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SourceHanSansCN-Regular" w:hAnsi="SourceHanSansCN-Regular" w:eastAsia="SourceHanSansCN-Regular" w:cs="SourceHanSansCN-Regular"/>
          <w:i w:val="0"/>
          <w:iCs w:val="0"/>
          <w:caps w:val="0"/>
          <w:color w:val="333333"/>
          <w:spacing w:val="0"/>
          <w:sz w:val="21"/>
          <w:szCs w:val="21"/>
        </w:rPr>
      </w:pPr>
      <w:bookmarkStart w:id="0" w:name="_GoBack"/>
      <w:bookmarkEnd w:id="0"/>
      <w:r>
        <w:rPr>
          <w:rFonts w:ascii="仿宋_GB2312" w:hAnsi="SourceHanSansCN-Regular" w:eastAsia="仿宋_GB2312" w:cs="仿宋_GB2312"/>
          <w:b/>
          <w:bCs/>
          <w:i w:val="0"/>
          <w:iCs w:val="0"/>
          <w:caps w:val="0"/>
          <w:color w:val="333333"/>
          <w:spacing w:val="0"/>
          <w:kern w:val="0"/>
          <w:sz w:val="28"/>
          <w:szCs w:val="28"/>
          <w:bdr w:val="none" w:color="auto" w:sz="0" w:space="0"/>
          <w:shd w:val="clear" w:fill="FFFFFF"/>
          <w:lang w:val="en-US" w:eastAsia="zh-CN" w:bidi="ar"/>
        </w:rPr>
        <w:t>附件</w:t>
      </w:r>
      <w:r>
        <w:rPr>
          <w:rFonts w:hint="default" w:ascii="仿宋_GB2312" w:hAnsi="SourceHanSansCN-Regular" w:eastAsia="仿宋_GB2312" w:cs="仿宋_GB2312"/>
          <w:b/>
          <w:bCs/>
          <w:i w:val="0"/>
          <w:iCs w:val="0"/>
          <w:caps w:val="0"/>
          <w:color w:val="333333"/>
          <w:spacing w:val="0"/>
          <w:kern w:val="0"/>
          <w:sz w:val="28"/>
          <w:szCs w:val="28"/>
          <w:bdr w:val="none" w:color="auto" w:sz="0" w:space="0"/>
          <w:shd w:val="clear" w:fill="FFFFFF"/>
          <w:lang w:val="en-US" w:eastAsia="zh-CN" w:bidi="ar"/>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i w:val="0"/>
          <w:iCs w:val="0"/>
          <w:caps w:val="0"/>
          <w:color w:val="333333"/>
          <w:spacing w:val="0"/>
          <w:kern w:val="0"/>
          <w:sz w:val="17"/>
          <w:szCs w:val="1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首批营商环境创新试点改革事项清单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SourceHanSansCN-Regular" w:hAnsi="SourceHanSansCN-Regular" w:eastAsia="SourceHanSansCN-Regular" w:cs="SourceHanSansCN-Regular"/>
          <w:i w:val="0"/>
          <w:iCs w:val="0"/>
          <w:caps w:val="0"/>
          <w:color w:val="333333"/>
          <w:spacing w:val="0"/>
          <w:sz w:val="21"/>
          <w:szCs w:val="21"/>
        </w:rPr>
      </w:pPr>
      <w:r>
        <w:rPr>
          <w:rFonts w:ascii="楷体" w:hAnsi="楷体" w:eastAsia="楷体" w:cs="楷体"/>
          <w:i w:val="0"/>
          <w:iCs w:val="0"/>
          <w:caps w:val="0"/>
          <w:color w:val="333333"/>
          <w:spacing w:val="0"/>
          <w:kern w:val="0"/>
          <w:sz w:val="17"/>
          <w:szCs w:val="17"/>
          <w:bdr w:val="none" w:color="auto" w:sz="0" w:space="0"/>
          <w:shd w:val="clear" w:fill="FFFFFF"/>
          <w:lang w:val="en-US" w:eastAsia="zh-CN" w:bidi="ar"/>
        </w:rPr>
        <w:t>（共</w:t>
      </w:r>
      <w:r>
        <w:rPr>
          <w:rFonts w:hint="eastAsia" w:ascii="楷体" w:hAnsi="楷体" w:eastAsia="楷体" w:cs="楷体"/>
          <w:i w:val="0"/>
          <w:iCs w:val="0"/>
          <w:caps w:val="0"/>
          <w:color w:val="333333"/>
          <w:spacing w:val="0"/>
          <w:kern w:val="0"/>
          <w:sz w:val="17"/>
          <w:szCs w:val="17"/>
          <w:bdr w:val="none" w:color="auto" w:sz="0" w:space="0"/>
          <w:shd w:val="clear" w:fill="FFFFFF"/>
          <w:lang w:val="en-US" w:eastAsia="zh-CN" w:bidi="ar"/>
        </w:rPr>
        <w:t>10个方面101项改革举措）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i w:val="0"/>
          <w:iCs w:val="0"/>
          <w:caps w:val="0"/>
          <w:color w:val="333333"/>
          <w:spacing w:val="0"/>
          <w:kern w:val="0"/>
          <w:sz w:val="17"/>
          <w:szCs w:val="17"/>
          <w:bdr w:val="none" w:color="auto" w:sz="0" w:space="0"/>
          <w:shd w:val="clear" w:fill="FFFFFF"/>
          <w:lang w:val="en-US" w:eastAsia="zh-CN" w:bidi="ar"/>
        </w:rPr>
        <w:t> </w:t>
      </w:r>
    </w:p>
    <w:tbl>
      <w:tblPr>
        <w:tblW w:w="952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26"/>
        <w:gridCol w:w="1766"/>
        <w:gridCol w:w="4945"/>
        <w:gridCol w:w="18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20" w:hRule="atLeast"/>
          <w:jc w:val="center"/>
        </w:trPr>
        <w:tc>
          <w:tcPr>
            <w:tcW w:w="74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center"/>
              <w:textAlignment w:val="center"/>
            </w:pPr>
            <w:r>
              <w:rPr>
                <w:rFonts w:hint="eastAsia" w:ascii="宋体" w:hAnsi="宋体" w:eastAsia="宋体" w:cs="宋体"/>
                <w:b/>
                <w:bCs/>
                <w:kern w:val="0"/>
                <w:sz w:val="20"/>
                <w:szCs w:val="20"/>
                <w:bdr w:val="none" w:color="auto" w:sz="0" w:space="0"/>
                <w:lang w:val="en-US" w:eastAsia="zh-CN" w:bidi="ar"/>
              </w:rPr>
              <w:t>序号</w:t>
            </w:r>
          </w:p>
        </w:tc>
        <w:tc>
          <w:tcPr>
            <w:tcW w:w="1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center"/>
              <w:textAlignment w:val="center"/>
            </w:pPr>
            <w:r>
              <w:rPr>
                <w:rFonts w:hint="eastAsia" w:ascii="宋体" w:hAnsi="宋体" w:eastAsia="宋体" w:cs="宋体"/>
                <w:b/>
                <w:bCs/>
                <w:kern w:val="0"/>
                <w:sz w:val="20"/>
                <w:szCs w:val="20"/>
                <w:bdr w:val="none" w:color="auto" w:sz="0" w:space="0"/>
                <w:lang w:val="en-US" w:eastAsia="zh-CN" w:bidi="ar"/>
              </w:rPr>
              <w:t>改革事项</w:t>
            </w:r>
          </w:p>
        </w:tc>
        <w:tc>
          <w:tcPr>
            <w:tcW w:w="5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center"/>
              <w:textAlignment w:val="center"/>
            </w:pPr>
            <w:r>
              <w:rPr>
                <w:rFonts w:hint="eastAsia" w:ascii="宋体" w:hAnsi="宋体" w:eastAsia="宋体" w:cs="宋体"/>
                <w:b/>
                <w:bCs/>
                <w:kern w:val="0"/>
                <w:sz w:val="20"/>
                <w:szCs w:val="20"/>
                <w:bdr w:val="none" w:color="auto" w:sz="0" w:space="0"/>
                <w:lang w:val="en-US" w:eastAsia="zh-CN" w:bidi="ar"/>
              </w:rPr>
              <w:t>主要内容</w:t>
            </w:r>
          </w:p>
        </w:tc>
        <w:tc>
          <w:tcPr>
            <w:tcW w:w="1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center"/>
              <w:textAlignment w:val="center"/>
            </w:pPr>
            <w:r>
              <w:rPr>
                <w:rFonts w:hint="eastAsia" w:ascii="宋体" w:hAnsi="宋体" w:eastAsia="宋体" w:cs="宋体"/>
                <w:b/>
                <w:bCs/>
                <w:kern w:val="0"/>
                <w:sz w:val="20"/>
                <w:szCs w:val="20"/>
                <w:bdr w:val="none" w:color="auto" w:sz="0" w:space="0"/>
                <w:lang w:val="en-US" w:eastAsia="zh-CN" w:bidi="ar"/>
              </w:rPr>
              <w:t>主管部门和单位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91" w:hRule="atLeast"/>
          <w:jc w:val="center"/>
        </w:trPr>
        <w:tc>
          <w:tcPr>
            <w:tcW w:w="9524"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一、进一步破除区域分割和地方保护等不合理限制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411"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left"/>
              <w:textAlignment w:val="center"/>
            </w:pPr>
            <w:r>
              <w:rPr>
                <w:rFonts w:hint="eastAsia" w:ascii="宋体" w:hAnsi="宋体" w:eastAsia="宋体" w:cs="宋体"/>
                <w:kern w:val="0"/>
                <w:sz w:val="20"/>
                <w:szCs w:val="20"/>
                <w:bdr w:val="none" w:color="auto" w:sz="0" w:space="0"/>
                <w:lang w:val="en-US" w:eastAsia="zh-CN" w:bidi="ar"/>
              </w:rPr>
              <w:t>1 </w:t>
            </w:r>
          </w:p>
        </w:tc>
        <w:tc>
          <w:tcPr>
            <w:tcW w:w="1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开展“一照多址”、“一证多址”改革</w:t>
            </w:r>
          </w:p>
        </w:tc>
        <w:tc>
          <w:tcPr>
            <w:tcW w:w="5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除直接涉及公共安全和人民群众生命健康的领域外，对符合条件的企业，允许在营业执照上加载新设立住所（经营场所）的地址，免于分支机构登记；对部分高频办理的经营许可证，探索允许企业在一定区域内开设经营项目相同的分支机构时，就其符合许可条件作出承诺后，免于再次办理相关许可证，相关部门加强事后核查和监管。</w:t>
            </w:r>
          </w:p>
        </w:tc>
        <w:tc>
          <w:tcPr>
            <w:tcW w:w="1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8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便利企业分支机构、连锁门店信息变更</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大型企业分支机构办理不涉及新办许可证的信息变更时，在试点城市内可实行集中统一办理。</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753"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清除招投标和政府采购领域对外地企业设置的隐性门槛和壁垒</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清理取消要求投标单位必须在项目所在地或采购人所在地设立分公司或办事处等排斥外地投标人的行为，同步完善与统一开放的招投标和政府采购市场相适应的监管模式。</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国家发展改革委、财政部等国务院相关部门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84"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推动招投标领域数字证书兼容互认</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企业在任意试点城市公共资源交易平台完成注册后，即可在全部试点城市及其区县参与投标，做到只需注册一次，只用一套CA证书。</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2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推进客货运输电子证照跨区域互认与核验</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试点城市制作和发放的道路运输从业人员从业资格证（道路客、货运）、道路运输经营许可证（道路客、货运）、道路运输证（道路客、货运）、营运客车二维码（包含道路运输证、道路客运班线经营信息表的信息）、国内水路运输经营许可证、船舶营业运输证、内河船舶证书信息簿等7类电子证照在试点城市间互认，执法检查部门通过电子证照二维码在线核验、网站查询等方式核验电子证照真伪。</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交通运输部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43"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优化常用低风险植物和植物产品跨区域流通检疫申请流程</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点城市明确以本城市为调入地、必须经过检疫的常用低风险植物和植物产品的检疫要求，并在“全国植物检疫信息化管理系统”和“林业植物检疫管理信息系统”中进行公示，调出地植物检疫机构根据公示要求进行检疫，并出具检疫证书，企业在收到检疫合格证书后即可调运。改革后，调入地植物检疫机构按职责做好对检疫证书的查验审核，并完善复检制度，严格把好植物和植物产品跨省调运的检疫关。</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农业农村部、国家林草局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91" w:hRule="atLeast"/>
          <w:jc w:val="center"/>
        </w:trPr>
        <w:tc>
          <w:tcPr>
            <w:tcW w:w="9524"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二、健全更加开放透明、规范高效的市场主体准入和退出机制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523"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7 </w:t>
            </w:r>
          </w:p>
        </w:tc>
        <w:tc>
          <w:tcPr>
            <w:tcW w:w="1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拓展企业开办“一网通办”业务范围</w:t>
            </w:r>
          </w:p>
        </w:tc>
        <w:tc>
          <w:tcPr>
            <w:tcW w:w="5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在企业开办过程中，将社保登记后续环节一并纳入“一网通办”平台。推进电子营业执照、电子发票、电子签章同步发放及应用，方便企业网上办事。</w:t>
            </w:r>
          </w:p>
        </w:tc>
        <w:tc>
          <w:tcPr>
            <w:tcW w:w="1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市场监管总局、人力资源社会保障部、税务总局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5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进一步便利企业开立银行账户</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探索整合企业开办实名验证信息、企业登记信息和银行开户备案信息，自然人、法人等通过线上平台申请营业执照时，经企业授权同意后，线上平台将有关基本信息和银行开户预约信息实时推送给申请人选定的开户银行，开户银行生成企业账户预约账号，并通过线上平台推送给税务、人力资源社会保障、住房公积金管理部门。开户银行根据预约需求，按规定为企业开立账户后，及时将相关信息通过线上平台推送至相关部门。</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市场监管总局、人民银行、公安部、人力资源社会保障部、住房城乡建设部、税务总局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45"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开展不含行政区划名称的企业名称自主申报</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下放不含行政区划名称的企业名称登记权至试点城市，全面实行企业名称自主申报。</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45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10 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优化律师事务所核名管理</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试点城市司法行政部门律师管理系统同司法部全国律师综合管理信息系统律师事务所名称数据库进行对接，对申请人申请的律师事务所名称，由试点城市司法行政部门作出名称预核准决定并报司法部备案，缩短核名时限。</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司法部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28"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11 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企业住所（经营场所）标准化登记</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通过相关部门数据共享，建立标准化住所（经营场所）数据库，建立健全住所（经营场所）负面清单管理制度，在便利住所登记的同时，防范虚假住所等突出风险。</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91"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12 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试行企业登记信息变更网上办理</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通过企业开办“一网通办”平台完成登记注册的企业，可通过平台实现全程网上办理变更手续。</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30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13 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推行企业年度报告“多报合一”改革</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相关部门可依法依规共享企业年度报告有关信息，企业只需填报一次年度报告，无需再向多个部门重复报送相关信息，实现涉及市场监管、社保、税务、海关等事项年度报告的“多报合一”。</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市场监管总局、人力资源社会保障部、海关总署、税务总局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401"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14 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建立市场准入效能评估制度</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围绕市场准入负面清单制度落实情况、市场准入审批服务效能、市场准入隐性壁垒破除等方面，对市场准入效能进行综合评估。对违反市场准入负面清单制度情况进行监测、归集、通报。进一步畅通市场主体对隐性壁垒的投诉渠道和处理回应机制。</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86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15 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探索建立市场主体除名制度</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被列入经营异常名录或者被标记为经营异常状态满两年，且近两年未申报纳税的市场主体，商事登记机关可对其作出除名决定。除名后，市场主体应当依法完成清算、办理注销登记，且不得从事与清算和注销无关的活动。被除名期间市场主体存续，并可对除名决定申请行政复议或提起行政诉讼。</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45"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16 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优化破产企业土地、房产处置程序</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企业破产案件中因债务人资料缺失或第三方机构（如设计、勘察、监理等单位）不配合竣工验收等情形导致无法办理竣工验收的建设工程，经委托有关专业机构对工程质量进行安全鉴定合格后，可办理不动产登记。</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最高人民法院，自然资源部、住房城乡建设部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31"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17 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优化破产案件财产解封及处置机制</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破产案件财产处置协调机制，破产案件经试点城市人民法院裁定受理后，由破产管理人通知债权人及相关单位进行财产解封，破产管理人对已查封的财产进行处置时无须再办理解封手续。债务人在试点城市的不动产或动产等实物资产被相关单位查封后，查封单位未依法解封的，允许破产管理人对被查封的财产进行处置。处置后依据破产受理法院出具的文件办理解封和资产过户、移交手续，资产处置所得价款经与查封单位协调一致后，统一分配处置。</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最高人民法院，公安部、自然资源部、人民银行、海关总署、税务总局、市场监管总局等国务院相关部门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1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18 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进一步便利破产管理人查询破产企业财产信息</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允许破产管理人通过线上注册登录等方式，经身份核验后，依法查询有关机构（包括土地管理、房产管理、车辆管理、税务、市场监管、社保等部门和单位）掌握的破产企业财产相关信息，提高破产办理效率。</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最高人民法院，公安部、人力资源社会保障部、自然资源部、住房城乡建设部、税务总局、市场监管总局等国务院相关部门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2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19 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健全企业重整期间信用修复机制</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人民法院裁定批准重整计划的破产企业，可以申请在“信用中国”网站、国家企业信用信息公示系统、金融信用信息基础数据库中添加相关信息，及时反映企业重整情况；有关部门依法依规调整相关信用限制和惩戒措施。探索重整计划执行期间赋予符合条件的破产企业参与招投标、融资、开具保函等资格。</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最高人民法院，国家发展改革委、财政部、人民银行、税务总局、市场监管总局、银保监会等国务院相关部门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71"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20 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进一步完善破产管理人选任、预重整等制度</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允许破产企业的相关权利人推荐破产管理人，并由人民法院指定。探索建立破产预重整制度。</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91" w:hRule="atLeast"/>
          <w:jc w:val="center"/>
        </w:trPr>
        <w:tc>
          <w:tcPr>
            <w:tcW w:w="9524"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三、持续提升投资和建设便利度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323"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21 </w:t>
            </w:r>
          </w:p>
        </w:tc>
        <w:tc>
          <w:tcPr>
            <w:tcW w:w="1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推进社会投资项目“用地清单制”改革</w:t>
            </w:r>
          </w:p>
        </w:tc>
        <w:tc>
          <w:tcPr>
            <w:tcW w:w="5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土地供应前，可开展地质灾害、地震安全、压覆矿产、气候可行性、水资源论证、水土保持、防洪、考古调查勘探发掘等评估，并对文物、历史建筑保护对象、古树名木、人防工程、地下管线等进行现状普查，形成评估结果和普查意见清单，在土地供应时一并交付用地单位。相关单位在项目后续报建或验收环节，原则上不得增加清单外的要求。改革后，相关单位提升评估的科学性、精准性及论证深度，避免企业拿地后需重复论证。同时，当项目外部条件发生变化，相关单位及时对评估报告等进行调整完善。</w:t>
            </w:r>
          </w:p>
        </w:tc>
        <w:tc>
          <w:tcPr>
            <w:tcW w:w="1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国家发展改革委、自然资源部、住房城乡建设部、水利部、中国气象局、国家林草局、国家文物局、中国地震局、国家人防办等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677"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22 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试行分阶段整合相关测绘测量事项</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将勘测定界测绘、宗地测绘合并为一个测绘事项；将房产预测绘、人防面积预测绘、定位测量、建设工程规划验线、正负零检测等事项，在具备条件的情况下进行整合；将竣工规划测量、用地复核测量、房产测量、机动车停车场（库）测量、绿地测量、人防测量、地下管线测量等事项，在具备条件的情况下进行整合。加快统一相关测绘测量技术标准，实现同一阶段“一次委托、成果共享”，避免对同一标的物重复测绘测量。</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自然资源部、住房城乡建设部、交通运输部、国家人防办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72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23 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推行水电气暖等市政接入工程涉及的行政审批在线并联办理</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供电、供水、供气、供暖等市政接入工程涉及的建设工程规划许可、绿化许可、涉路施工许可等实行全程在线并联办理，对符合条件的市政接入工程审批实行告知承诺管理。改革后，有关行政审批部门加强抽查核验力度，对虚假承诺、违反承诺等行为实行惩戒。</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住房城乡建设部、公安部、自然资源部、交通运输部、国家电网有限公司、中国南方电网有限责任公司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18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24 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开展联合验收“一口受理”</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对实行联合验收的工程建设项目，由住房城乡建设主管部门“一口受理”建设单位申请，并牵头协调相关部门限时开展联合验收，避免建设单位反复与多个政府部门沟通协调。</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住房城乡建设部、自然资源部、国家人防办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28"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25 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进一步优化工程建设项目联合验收方式</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实行联合验收的工程建设项目，根据项目类别科学合理确定纳入联合验收的事项，原则上未经验收不得投入使用的事项（如规划核实、人防备案、消防验收、消防备案、竣工备案、档案验收等）应当纳入联合验收，其他验收事项可根据实际情况纳入，并综合运用承诺制等多种方式灵活办理验收手续，提高验收效率，减少企业等待时间，加快项目投产使用。改革后，相关主管部门和单位对未纳入联合验收的事项也要依申请及时进行验收，并优化验收流程，对验收时发现的问题及时督促建设单位整改。</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住房城乡建设部、自然资源部、国家人防办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36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26 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简化实行联合验收的工程建设项目竣工验收备案手续</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对实行联合验收的工程建设项目，可在通过联合验收后现场出具竣工联合验收意见书，政府部门直接备案，不动产登记等相关部门通过系统数据共享获得需要的验收结果，企业无需再单独办理竣工验收备案。</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住房城乡建设部、自然资源部、国家人防办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293"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27 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试行对已满足使用功能的单位工程开展单独竣工验收</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办理了一张建设工程规划许可证但涉及多个单位工程的工程建设项目，在符合项目整体质量安全要求、达到安全使用条件的前提下，对已满足使用功能的单位工程可采用单独竣工验收方式，单位工程验收合格后，可单独投入使用。改革后，试点城市建立完善单位工程竣工验收标准，加强风险管控，确保项目整体符合规划要求和质量安全。</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住房城乡建设部、自然资源部、国家人防办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3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28 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推进产业园区规划环评与项目环评联动</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在环境质量符合国家相关考核要求、环境管理体系较为健全的产业园区，对环境影响较小的项目环评，探索入园建设项目环评改革，推进规划环评与项目环评联动，避免重复评价。改革后，对相关产业园区加强环境监测，明确园区及园区内企业环境风险防范责任，对破坏生态环境的项目及时依法依规处理。</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生态环境部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91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29 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下放部分工程资质行政审批权限</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将省级审批的电子与智能化工程二级、消防设施工程二级、防水防腐保温工程二级、建筑装修装饰工程二级、建筑幕墙工程二级和特种工程资质的审批（包括企业发生重组、合并、分立、跨省变更等事项后资质核定），下放至北京市、上海市、重庆市市辖区（县）和杭州市、广州市、深圳市有关部门。改革后，试点城市明确承接机构、加强专业培训，做好事中事后监管。</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82"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30 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建立完善建筑师负责制</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推动有序发展建筑师个人执业事务所。探索在民用建筑工程领域推进和完善建筑师负责制，充分发挥建筑师的主导作用，鼓励提供全过程工程咨询服务，与国际工程建设模式接轨。</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91" w:hRule="atLeast"/>
          <w:jc w:val="center"/>
        </w:trPr>
        <w:tc>
          <w:tcPr>
            <w:tcW w:w="9524"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四、更好支持市场主体创新发展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54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31 </w:t>
            </w:r>
          </w:p>
        </w:tc>
        <w:tc>
          <w:tcPr>
            <w:tcW w:w="1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允许对食品自动制售设备等新业态发放食品经营许可</w:t>
            </w:r>
          </w:p>
        </w:tc>
        <w:tc>
          <w:tcPr>
            <w:tcW w:w="5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在保障食品安全和符合相关法律法规规定的前提下，经充分研究论证和开展风险评估，对自动制售设备、无人售货商店等自动化、无人化新业态的经营者发放食品经营许可或办理食品经营备案。</w:t>
            </w:r>
          </w:p>
        </w:tc>
        <w:tc>
          <w:tcPr>
            <w:tcW w:w="1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91"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32 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在确保安全的前提下试行高精度地图面向智能网联汽车使用</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在取得相关资质和确保安全的前提下，试行高精度地图在限定路段面向智能网联汽车使用，允许不涉及国家安全的自动驾驶高精度地图数据在限定路段采集和使用，同步健全细致完备的监管措施，确保监管到位。</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自然资源部、公安部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17"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33 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进一步探索完善知识产权市场化定价和交易机制</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探索建立跨区域知识产权交易服务平台，为知识产权交易提供信息挂牌、交易撮合、资产评估等服务，帮助科技企业快速质押融资。</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国家知识产权局、财政部、国家版权局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405"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34 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健全知识产权质押融资风险分担机制和质物处置机制</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健全政府引导的知识产权质押融资风险分担和补偿机制，综合运用担保、风险补偿等方式降低信贷风险。探索担保机构等通过质权转股权、反向许可、拍卖等方式快速进行质物处置，保障金融机构对质权的实现。</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国家知识产权局、人民银行、国家版权局、银保监会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29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35 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开展赋予科研人员职务科技成果所有权或长期使用权试点</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赋予试点城市部分高等院校、科研机构的科研人员职务科技成果所有权或长期使用权。试点高等院校和科研机构将本单位利用财政性资金形成或接受企业、其他社会组织委托形成的归单位所有的职务科技成果所有权按一定比例赋予成果完成人（团队），试点单位与成果完成人（团队）成为共同所有权人。试点单位可赋予科研人员不低于10年的职务科技成果长期使用权。</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科技部、教育部、财政部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37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36 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优化科技企业孵化器及众创空间信息变更管理模式</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科技部门线上信息服务系统中增设国家备案科技企业孵化器及众创空间信息变更申请、审批和修改功能，增设科技企业孵化器及众创空间所属区域变更修改功能。对于名称、场地面积、经营场所等信息变更，由试点城市科技主管部门审批同意后即可变更，并将变更信息推送至国家科技主管部门。国家科技主管部门对相关信息变更的情况开展抽查检查和事中事后监管。</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科技部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86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37 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培育数据要素市场</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开展数据确权探索，实现对数据主权的可控可管，推动数据安全有序流动。在数据流通、数据安全等方面加快形成开放环境下的新型监管体系。</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国家发展改革委、工业和信息化部、国家网信办等国务院相关部门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424"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38 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有序开放公共管理和服务机构产生的部分公共数据</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按照分级分类、需求导向、安全可控的原则，探索向社会进一步开放公共管理和服务机构在履行职责或提供服务时产生、处理的公共数据，引导科研院所、社会团体等依法依规开放自有数据，并规范数据处理活动，促进数据流动和开发利用。</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国家发展改革委、工业和信息化部、国家网信办等国务院相关部门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41" w:hRule="atLeast"/>
          <w:jc w:val="center"/>
        </w:trPr>
        <w:tc>
          <w:tcPr>
            <w:tcW w:w="9524"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五、持续提升跨境贸易便利化水平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308"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39 </w:t>
            </w:r>
          </w:p>
        </w:tc>
        <w:tc>
          <w:tcPr>
            <w:tcW w:w="1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探索开展“组合港”、“一港通”等区域通关便利化改革</w:t>
            </w:r>
          </w:p>
        </w:tc>
        <w:tc>
          <w:tcPr>
            <w:tcW w:w="5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探索开展粤港澳大湾区“组合港”、“一港通”等改革，优化相关货物的转关手续，鼓励和支持试点城市进一步创新口岸通关监管方式，提升区域通关便利化水平。</w:t>
            </w:r>
          </w:p>
        </w:tc>
        <w:tc>
          <w:tcPr>
            <w:tcW w:w="1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144"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40 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推动与东亚地区主要贸易伙伴口岸间相关单证联网核查</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在确保信息安全的前提下，推动试点城市实现与日本、韩国、香港等东亚地区主要贸易伙伴和经济体口岸的相关单证联网核查。</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海关总署、商务部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83"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41 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优化进出口货物查询服务</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利用“单一窗口”为企业及相关机构提供进出口货物全流程查询服务。基于企业授权，企业申报信息可为金融机构开展融资、收结汇服务提供信用依据。</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海关总署、商务部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1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42 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实行进出口联合登临检查</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依托“单一窗口”将查验通知推送给口岸作业场站，开发“单一窗口”预约联合登临检查功能等，实现通关和物流操作快速衔接，提高进出口货物提离速度。</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海关总署、交通运输部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414"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43 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加强铁路信息系统与海关信息系统的数据交换共享</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加强铁路信息系统与海关信息系统的数据交换共享，实现相关单证电子化流转，大力推广铁路口岸“快速通关”业务模式，压缩列车停留时间，提高通关效率。</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海关总署、国家铁路局、中国国家铁路集团有限公司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302"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44 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推进水铁空公多式联运信息共享</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打破制约多式联运发展的信息壁垒，推进铁路、公路、水路、航空等运输环节信息对接共享，实现运力信息可查、货物全程实时追踪等，促进多种运输方式协同联动。</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交通运输部、海关总署、国家铁路局、中国民航局、国家邮政局、中国国家铁路集团有限公司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152"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45 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进一步深化进出口货物“提前申报”、“两步申报”、“船边直提”、“抵港直装”等改革</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推行进出口货物“提前申报”、“两步申报”措施。在有条件的港口推进进口货物“船边直提”和出口货物“抵港直装”。</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442"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46 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在“CCC免办及特殊用途进口产品检测处理管理系统”中为符合条件的企业开设便捷通道</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对符合条件的企业进口免强制性产品认证（CCC认证）产品目录内的产品，免于CCC免办证书申请和审核，实现“白名单企业”自我承诺、自主填报、自动获证。试点城市制定免予办理CCC认证便捷通道操作办法等，做好全链条闭环监管。</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市场监管总局、海关总署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35"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47 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探索开展科研设备、耗材跨境自由流动，简化研发用途设备和样本样品进出口手续</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制定跨境科研用物资正面清单，对正面清单列明的科研设备、科研样本、实验试剂、耗材等科研物资实行单位事先承诺申报、海关便利化通关的管理模式，简化报关单申报、检疫审批、监管证件管理等环节。对国外已上市但国内未注册的研发用医疗器械，准许企业在强化自主管理、确保安全的前提下进口，海关根据相关部门意见办理通关手续。</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科技部、商务部、国家卫生健康委、海关总署、市场监管总局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11" w:hRule="atLeast"/>
          <w:jc w:val="center"/>
        </w:trPr>
        <w:tc>
          <w:tcPr>
            <w:tcW w:w="9524"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六、优化外商投资和国际人才服务管理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398"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48 </w:t>
            </w:r>
          </w:p>
        </w:tc>
        <w:tc>
          <w:tcPr>
            <w:tcW w:w="1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建立涉外商事一站式多元解纷中心</w:t>
            </w:r>
          </w:p>
        </w:tc>
        <w:tc>
          <w:tcPr>
            <w:tcW w:w="5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支持试点城市建立涉外商事一站式多元解纷中心，为国际商事纠纷提供多元、高效、便捷解纷渠道。探索建立健全线上、线下解纷平台，引入国内调解组织、仲裁机构。鼓励调解组织、仲裁机构引入外籍调解员、仲裁员。</w:t>
            </w:r>
          </w:p>
        </w:tc>
        <w:tc>
          <w:tcPr>
            <w:tcW w:w="1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最高人民法院，司法部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9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49 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探索将境内仲裁机构的开庭通知作为签证材料</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允许将境内仲裁机构出具的开庭通知作为境外市场主体进入试点城市参与仲裁活动的签证材料，无需其他邀请函件。</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外交部、司法部、国家移民局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35"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50 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探索制定外籍“高精尖缺”人才地方认定标准</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结合国家外国高端人才、专业人才标准和本地区实际需求，探索制定外籍“高精尖缺”人才地方认定标准，加大外籍人才引进力度。</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科技部、人力资源社会保障部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64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51 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探索建立国际职业资格证书认可清单制度</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不直接涉及公共安全和人民群众生命健康、风险可控的领域，探索建立国际职业资格证书认可清单制度，允许取得境外相应职业资格或公认的国际专业组织认证的国际人才，经能力水平认定或有关部门备案后在试点城市上岗，并加强执业行为监管。</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人力资源社会保障部等国务院相关部门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10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52 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允许内资企业和中国公民开办外籍人员子女学校</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放宽外籍人员子女学校举办者市场准入，允许内资企业和中国公民等开办外籍人员子女学校，为外籍人才在华工作生活提供便利。</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教育部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177"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53 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简化港澳投资者商事登记的流程和材料</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采用简化版公证文书（仅保留公司注册证明书、公司商业登记证以及授权代表人签字字样和公司印章样式的董事会或股东会决议等核心信息的文书）办理港澳地区非自然人投资的市场主体注册登记，简化港澳投资者办理商事登记的流程和材料。</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市场监管总局、司法部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468"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54 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支持开展国际航行船舶保税加油业务，提升国际航运综合服务能力</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赋予上海市、广州市国际航行船舶保税加油许可权。允许广州市、深圳市保税油供应企业在广东省范围内开展保税油直供业务，进一步增强国际航运综合服务能力，吸引国际航行船舶。</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商务部、财政部、交通运输部、海关总署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15" w:hRule="atLeast"/>
          <w:jc w:val="center"/>
        </w:trPr>
        <w:tc>
          <w:tcPr>
            <w:tcW w:w="9524"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七、维护公平竞争秩序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9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55 </w:t>
            </w:r>
          </w:p>
        </w:tc>
        <w:tc>
          <w:tcPr>
            <w:tcW w:w="1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清理设置非必要条件排斥潜在竞争者行为</w:t>
            </w:r>
          </w:p>
        </w:tc>
        <w:tc>
          <w:tcPr>
            <w:tcW w:w="5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清理取消企业在资质资格获取、招投标、政府采购、权益保护等方面存在的差别化待遇，清理通过划分企业等级、增设证明事项、设立项目库、注册、认证、认定等非必要条件排除和限制竞争的行为。</w:t>
            </w:r>
          </w:p>
        </w:tc>
        <w:tc>
          <w:tcPr>
            <w:tcW w:w="1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国家发展改革委、财政部等国务院相关部门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151"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56 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推进招投标全流程电子化改革</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推进招投标全流程电子化，加快实施合同签订和变更网上办理。推动电子招投标交易平台与国库支付系统信息共享，实现工程款支付网上查询。</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国家发展改革委、财政部等国务院相关部门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87"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57 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探索建立招标计划提前发布制度</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对国有资金占控股或主导地位企业依法必须招标的项目，在招标前设置招标计划发布环节，发布时间为招标公告发布之日前至少30日，提高招投标活动透明度。</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58 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优化水利工程招投标手续</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推行水利工程在发布招标公告时同步发售或者下载资格预审文件（或招标文件）。取消水利工程施工招标条件中“监理单位已确定”的条件。</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国家发展改革委、水利部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1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59 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简化对政府采购供应商资格条件的形式审查</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简化对供应商资格条件等的形式审查，不再要求供应商提供相关财务状况、缴纳税收和社会保障资金等证明材料，降低政府采购供应商交易成本。</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财政部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61" w:hRule="atLeast"/>
          <w:jc w:val="center"/>
        </w:trPr>
        <w:tc>
          <w:tcPr>
            <w:tcW w:w="9524"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八、进一步加强和创新监管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58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60 </w:t>
            </w:r>
          </w:p>
        </w:tc>
        <w:tc>
          <w:tcPr>
            <w:tcW w:w="1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在部分领域探索建立完善综合监管机制</w:t>
            </w:r>
          </w:p>
        </w:tc>
        <w:tc>
          <w:tcPr>
            <w:tcW w:w="5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理顺单用途商业预付卡等预付式消费、成品油、农产品等领域监管机制，明确监管责任部门，统一行业监管标准。</w:t>
            </w:r>
          </w:p>
        </w:tc>
        <w:tc>
          <w:tcPr>
            <w:tcW w:w="1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商务部、农业农村部、市场监管总局等国务院相关部门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974"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61 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探索实行惩罚性赔偿和内部举报人制度</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探索在食品、药品、疫苗、环保、安全生产等直接涉及公共安全和人民群众生命健康的领域，依法制定惩罚性赔偿和内部举报人制度的具体办法。</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最高人民法院，生态环境部、应急部、市场监管总局、国家药监局等国务院相关部门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90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62 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探索形成市场主体全生命周期监管链</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在市场主体办理注册登记、资质审核、行政许可及接受日常监管、公共服务过程中，及时全面记录市场主体行为及信用信息，在此基础上实现分级分类“信用+智慧”监管，并做到全程可查询、可追溯。</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市场监管总局、国家发展改革委、人民银行等国务院相关部门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44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63 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在部分重点领域建立事前事中事后全流程监管机制</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在消防安全、食品药品、环境保护、水土保持、医疗卫生等重点领域，建立完善全链条、全流程监管体系，并探索制定行业信用监管标准化工作规范，提高监管效能。</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国家发展改革委、生态环境部、住房城乡建设部、水利部、国家卫生健康委、应急部、市场监管总局、国家药监局等国务院相关部门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44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64 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探索对重点行业从业人员建立个人信用体系</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探索将医疗、教育、工程建设等重点领域从业人员的执业行为记入个人信用记录，并共享至全国信用信息共享平台。对存在严重不良行为的依法实行行业禁入等惩戒措施。</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国家发展改革委、教育部、住房城乡建设部、国家卫生健康委等国务院相关部门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3"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65 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建立完善互联网医院监管平台</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建立完善互联网医院监管平台，接入互联网医院系统，加强医师线上执业行为监管。</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国家卫生健康委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33"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66 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在税务监管领域建立“信用+风险”监管体系</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探索推进动态“信用+风险”税务监控，简化无风险和低风险企业的涉税业务办理流程，提醒预警或直接阻断高风险企业的涉税业务办理，依托大数据分析进一步提高风险管理效能。</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68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67 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优化网络商品抽检机制</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向试点城市开放全国网络商品抽检信息，试点城市按照重点抽检属地平台、属地商户的原则，加大对网络商品的抽检力度，定期公示抽检结果，并将属地平台中非本地商户抽检结果推送至商户所在地市场监管部门，商户所在地市场监管部门按有关规定及时予以处理。</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36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68 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实行特种设备作业人员证书电子化管理</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制定特种设备作业人员电子证书，在纸质证书样式基础上加载聘用、违规行为等从业信息，实现与纸质证书并行使用。通过数据交换等方式将相关信息汇聚到试点城市市场监管部门平台，加强对从业人员的管理。</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38"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69 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建立不予实施行政强制措施清单</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探索柔性监管新方式，建立不予实施行政强制措施清单，对违法行为情节显著轻微或者没有明显社会危害，采取非强制手段可以达到行政管理目的的，不采取行政强制措施。</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税务总局、市场监管总局等国务院相关部门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35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70 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在市场监管、税务领域探索建立行政执法人员尽职免责制度</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市场监管、税务等领域行政执法人员尽职免责制度，在仅需形式审查的部分监管领域，以及因现有科学技术、监管手段限制未能及时发现问题的，或行政相对人、第三方弄虚作假、刻意隐瞒的部分情形，试行不予追究执法过错责任。</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税务总局、市场监管总局等国务院相关部门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07" w:hRule="atLeast"/>
          <w:jc w:val="center"/>
        </w:trPr>
        <w:tc>
          <w:tcPr>
            <w:tcW w:w="9524"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九、依法保护各类市场主体产权和合法权益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487"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71 </w:t>
            </w:r>
          </w:p>
        </w:tc>
        <w:tc>
          <w:tcPr>
            <w:tcW w:w="1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探索建立企业合法权益补偿救济机制</w:t>
            </w:r>
          </w:p>
        </w:tc>
        <w:tc>
          <w:tcPr>
            <w:tcW w:w="5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在债务融资、政府采购、招投标、招商引资等领域，针对因政策变化、规划调整而不履行合同约定，造成企业合法利益受损的情形，探索建立补偿救济机制和责任追究制度，维护企业合法权益。</w:t>
            </w:r>
          </w:p>
        </w:tc>
        <w:tc>
          <w:tcPr>
            <w:tcW w:w="1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国家发展改革委、司法部、财政部等国务院相关部门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627"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72 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建立健全政务诚信诉讼执行协调机制</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政务诚信诉讼执行协调机制，由相关地方人民法院定期将涉及政府部门、事业单位失信被执行人信息定向推送给政务诚信牵头部门。政务诚信牵头部门负责协调推动有关单位执行人民法院判决结果，保障市场主体合法权益。</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最高人民法院，国务院办公厅、国家发展改革委、司法部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75"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73 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畅通知识产权领域信息交换渠道</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试点城市知识产权部门与国家知识产权局在商标侵权判断、专利侵权判定及商标专利法律状态等方面的信息交换渠道。建立商标恶意注册和非正常专利申请的快速处置联动机制。开展商标专利巡回评审和远程评审。</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国家知识产权局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01"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74 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探索建立海外知识产权纠纷应对指导机制</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建立对试点城市海外知识产权纠纷应对的指导机制，支持试点城市建立维权协作机构。</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国家知识产权局、国家版权局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75"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75 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强化对专利代理机构的监管</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将省级专利代理机构监管职能委托给市（直辖市市辖区）级执行，优化专利代理监管机制，强化基层监管力量。</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国家知识产权局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85"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76 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推行人民法院档案电子化管理</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对于以电子方式收集或形成的文书材料可直接转为电子档案归档，无需再制作纸质材料形成纸质档案。</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最高人民法院，国家档案局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67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77 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开展司法专递面单电子化改革</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实行司法专递面单电子化，在受送达人签收、拒收或查无此人退回等送达任务完成后，邮政公司将人民法院专递面单进行电子化，通过系统对接后回传给人民法院，原始纸质面单可由邮政公司集中保管，人民法院将电子面单入卷归档，并降低邮寄送达的相关费用。</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最高人民法院，国家邮政局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63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78 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调整小额诉讼程序适用范围及费用</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允许标的额较小、当事人除提出给付金额诉讼请求外同时提出停止侵权、消除影响、赔礼道歉等其他诉讼请求的知识产权纠纷案件，适用小额诉讼程序。允许降低适用小额诉讼程序审理的案件受理费标准。</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最高人民法院，国家发展改革委、财政部、国家版权局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45" w:hRule="atLeast"/>
          <w:jc w:val="center"/>
        </w:trPr>
        <w:tc>
          <w:tcPr>
            <w:tcW w:w="9524"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十、优化经常性涉企服务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971"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79 </w:t>
            </w:r>
          </w:p>
        </w:tc>
        <w:tc>
          <w:tcPr>
            <w:tcW w:w="1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便利开展机动车、船舶、知识产权等动产和权利担保融资</w:t>
            </w:r>
          </w:p>
        </w:tc>
        <w:tc>
          <w:tcPr>
            <w:tcW w:w="5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动机动车、船舶、知识产权等担保登记主管部门探索建立以担保人名称为索引的电子数据库，实现对试点城市相关担保品登记状态信息的在线查询、修改和撤销。相关担保信息与人民银行征信中心动产融资统一登记公示系统共享互通，实现各类登记信息的统一查询。</w:t>
            </w:r>
          </w:p>
        </w:tc>
        <w:tc>
          <w:tcPr>
            <w:tcW w:w="1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人民银行、公安部、交通运输部、国家版权局、国家知识产权局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728"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80 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简化水路运输经营相关信息变更办理程序</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探索取消“固定办公场所发生变化”、“主要股东发生变化”备案，市场监管部门在水路运输经营者固定办公场所发生变化、主要股东发生变化后15个工作日内，将系统数据推送给同级交通运输主管部门。</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交通运输部、市场监管总局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75"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81 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简化检验检测机构人员信息变更办理程序</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检验检测机构变更法定代表人、最高管理者、技术负责人，由检验检测机构自行修改资质认定系统人员信息，不需再到资质认定部门申请办理。</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02"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82 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简化不动产非公证继承手续</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法定继承人或受遗赠人到不动产登记机构进行登记材料查验，有第一顺序继承人的，第二顺序继承人无需到场，无需提交第二顺序继承人材料。登记申请人应承诺提交的申请材料真实有效，因承诺不实给他人造成损失的，承担相应法律责任。</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5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83 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对办理不动产登记涉及的部分事项试行告知承诺制</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申请人因特殊原因确实难以获取死亡证明、亲属关系证明材料的，可以书面承诺代替死亡证明、亲属关系证明，并承诺若有隐瞒实际情况，给他人造成损失的，承担相应法律责任。</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自然资源部、公安部、民政部、国家卫生健康委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85"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84 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探索将遗产管理人制度引入不动产非公证继承登记</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探索研究将遗产管理人制度引入不动产非公证继承登记的查验、申请程序，简化相关流程，提高办理效率。</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最高人民法院，自然资源部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0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85 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探索对个人存量房交易开放电子发票功能</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探索对个人存量房交易开放代开增值税电子普通发票功能，允许自然人网上缴税后获取增值税电子普通发票，推动实现全业务流程网上办理。</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税务总局、自然资源部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685"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86 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实施不动产登记、交易和缴纳税费“一网通办”</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推进全业务类型“互联网+不动产登记”，实施不动产登记、交易和缴纳税费“一窗受理、并行办理”。加快实施网上缴纳税费，推行税费、登记费线上一次收缴、后台自动清分入账（库）。</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自然资源部、财政部、住房城乡建设部、人民银行、税务总局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37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87 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推行办理不动产登记涉及的政务信息共享和核验</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公安部门依托国家人口基础信息库、“互联网+可信身份认证平台”等对外服务系统，向不动产登记机构提供“公安部—人口库—人像比对服务接口”进行全国人口信息核验，并提供户籍人口基本信息；公安、卫生健康、民政等部门提供死亡证明、火化证明、收养登记等信息；公安、民政部门提供涉及人员单位的地名地址等信息；司法行政部门提供委托、继承、亲属关系等涉及不动产登记公证书真伪核验服务。</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自然资源部、公安部、民政部、司法部、国家卫生健康委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17"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88 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探索开展不动产登记信息及地籍图可视化查询</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依托互联网拓展不动产登记信息在线可视化检索和查询服务，任何人经身份验证后可在电子地图上依法查询不动产自然状况、权利限制状况、地籍图等信息，更大便利不动产转移登记，提高土地管理质量水平。</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42"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89 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试行有关法律文书及律师身份在线核验服务</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优化律师查询不动产登记信息流程，司法行政部门向不动产登记机构提供律师身份在线核验，人民法院提供律师调查令、立案文书信息在线核验，便利律师查询不动产登记信息。</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最高人民法院，自然资源部、司法部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36"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90 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探索非接触式发放税务UKey</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探索向新办纳税人非接触式发放税务UKey，纳税人可以向税务机关免费申领税务UKey。</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3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91 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深化“多税合一”申报改革</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探索整合企业所得税和财产行为税综合申报表，尽可能统一不同税种征期，进一步压减纳税人申报和缴税的次数。</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41"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92 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试行全国车船税缴纳信息联网查询与核验</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向试点城市保险机构依法依规开放全国车船税缴纳情况免费查询或核验接口，便于车辆异地办理保险及缴税。</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税务总局、银保监会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152"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93 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进一步拓展企业涉税数据开放维度</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对试点城市先期提供其他地方税务局的欠税公告信息、非正常户信息和骗取退税、虚开发票等高风险纳税人名单信息，以及税务总局的行政处罚类信息等，后续逐渐扩大信息共享共用范围，进一步提高征管效能。</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4"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94 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对代征税款试行实时电子缴税入库的开具电子完税证明</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允许试点城市在实现代征税款逐笔电子缴税且实时入库的前提下，向纳税人提供电子完税证明。</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0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95 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试行公安服务“一窗通办”</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试行公安服务“一窗通办”，建设涉及治安、户政、交管等公安服务综合窗口，实行“前台综合收件、后台分类审批、统一窗口出件”，推进更多事项实现在线办理。</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公安部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96 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推行企业办事“一照通办”</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通过政府部门内部数据共享等方式归集或核验企业基本信息，探索实行企业仅凭营业执照即可办理部分高频审批服务事项，无需提交其他材料。</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29"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97 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进一步扩大电子证照、电子签章等应用范围</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货物报关、银行贷款、项目申报、招投标、政府采购等业务领域推广在线身份认证、电子证照、电子签章应用，逐步实现在政务服务中互通互认，满足企业、个人在网上办事时对于身份认证、电子证照、加盖电子签章文档的业务需求。鼓励认证机构在认证证书等领域推广使用电子签章。</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国务院办公厅、国家发展改革委、公安部、财政部、人民银行、海关总署、市场监管总局、银保监会等国务院相关部门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32"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98 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简化洗染经营者登记手续</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洗染经营者在市场监管部门注册登记后，无需到商务部门办理备案手续，由市场监管部门直接将相关信息推送给同级商务部门。</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商务部、市场监管总局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343"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99 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取消企业内部使用的最高计量标准器具的考核发证及强制检定</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企业内部使用的最高计量标准器具调整为企业自主管理，不需计量行政部门考核发证，也不再实行强制检定，但应满足计量溯源性要求。</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10"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100 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优化游艇检验制度和流程</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批量建造的游艇型式检验制度，对通过型式检验的新建游艇，由船籍港所在地船舶检验机构根据工厂出具的合格证换发船舶检验证书。优化进口游艇检验流程，对外国船舶检验机构签发的游艇检验证书，可按照程序换发国内检验证书。改革后，加大对游艇可见构件和强度的检查评估和抽查力度，及时整改、消除安全隐患，督促游艇所有人落实游艇日常安全管理、保养和技术维护，确保游艇安全。</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交通运输部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148" w:hRule="atLeast"/>
          <w:jc w:val="center"/>
        </w:trPr>
        <w:tc>
          <w:tcPr>
            <w:tcW w:w="7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101 </w:t>
            </w:r>
          </w:p>
        </w:tc>
        <w:tc>
          <w:tcPr>
            <w:tcW w:w="1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优化游艇登记制度</w:t>
            </w:r>
          </w:p>
        </w:tc>
        <w:tc>
          <w:tcPr>
            <w:tcW w:w="5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游艇所有人在其签约的游艇俱乐部所在地海事管理机构直接办理游艇登记手续。同时，将船舶国籍证书、中华人民共和国船舶电台执照、海上移动通信业务标识码证书等多份登记证书整合为一份游艇登记证书，实现“一份材料、一次申请、发一本证”，提高游艇登记效率，便利游艇证书管理。</w:t>
            </w:r>
          </w:p>
        </w:tc>
        <w:tc>
          <w:tcPr>
            <w:tcW w:w="1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交通运输部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i w:val="0"/>
          <w:iCs w:val="0"/>
          <w:caps w:val="0"/>
          <w:color w:val="333333"/>
          <w:spacing w:val="0"/>
          <w:kern w:val="0"/>
          <w:sz w:val="17"/>
          <w:szCs w:val="1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i w:val="0"/>
          <w:iCs w:val="0"/>
          <w:caps w:val="0"/>
          <w:color w:val="333333"/>
          <w:spacing w:val="0"/>
          <w:kern w:val="0"/>
          <w:sz w:val="17"/>
          <w:szCs w:val="1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SourceHanSansCN-Regular" w:hAnsi="SourceHanSansCN-Regular" w:eastAsia="SourceHanSansCN-Regular" w:cs="SourceHanSansCN-Regular"/>
          <w:i w:val="0"/>
          <w:iCs w:val="0"/>
          <w:caps w:val="0"/>
          <w:color w:val="333333"/>
          <w:spacing w:val="0"/>
          <w:sz w:val="21"/>
          <w:szCs w:val="21"/>
        </w:rPr>
      </w:pPr>
      <w:r>
        <w:rPr>
          <w:rFonts w:hint="default" w:ascii="仿宋" w:hAnsi="仿宋" w:eastAsia="仿宋" w:cs="仿宋"/>
          <w:b/>
          <w:bCs/>
          <w:i w:val="0"/>
          <w:iCs w:val="0"/>
          <w:caps w:val="0"/>
          <w:color w:val="333333"/>
          <w:spacing w:val="0"/>
          <w:kern w:val="0"/>
          <w:sz w:val="28"/>
          <w:szCs w:val="28"/>
          <w:bdr w:val="none" w:color="auto" w:sz="0" w:space="0"/>
          <w:shd w:val="clear" w:fill="FFFFFF"/>
          <w:lang w:val="en-US" w:eastAsia="zh-CN" w:bidi="ar"/>
        </w:rPr>
        <w:t>附件</w:t>
      </w: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i w:val="0"/>
          <w:iCs w:val="0"/>
          <w:caps w:val="0"/>
          <w:color w:val="333333"/>
          <w:spacing w:val="0"/>
          <w:kern w:val="0"/>
          <w:sz w:val="17"/>
          <w:szCs w:val="1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国务院决定在营商环境创新试点城市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暂时调整适用有关行政法规规定目录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i w:val="0"/>
          <w:iCs w:val="0"/>
          <w:caps w:val="0"/>
          <w:color w:val="333333"/>
          <w:spacing w:val="0"/>
          <w:kern w:val="0"/>
          <w:sz w:val="17"/>
          <w:szCs w:val="17"/>
          <w:bdr w:val="none" w:color="auto" w:sz="0" w:space="0"/>
          <w:shd w:val="clear" w:fill="FFFFFF"/>
          <w:lang w:val="en-US" w:eastAsia="zh-CN" w:bidi="ar"/>
        </w:rPr>
        <w:t> </w:t>
      </w:r>
    </w:p>
    <w:tbl>
      <w:tblPr>
        <w:tblW w:w="952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70"/>
        <w:gridCol w:w="1244"/>
        <w:gridCol w:w="1906"/>
        <w:gridCol w:w="3154"/>
        <w:gridCol w:w="24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jc w:val="center"/>
        </w:trPr>
        <w:tc>
          <w:tcPr>
            <w:tcW w:w="77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0" w:right="0"/>
              <w:jc w:val="center"/>
              <w:textAlignment w:val="center"/>
            </w:pPr>
            <w:r>
              <w:rPr>
                <w:rFonts w:hint="eastAsia" w:ascii="宋体" w:hAnsi="宋体" w:eastAsia="宋体" w:cs="宋体"/>
                <w:b/>
                <w:bCs/>
                <w:kern w:val="0"/>
                <w:sz w:val="20"/>
                <w:szCs w:val="20"/>
                <w:bdr w:val="none" w:color="auto" w:sz="0" w:space="0"/>
                <w:lang w:val="en-US" w:eastAsia="zh-CN" w:bidi="ar"/>
              </w:rPr>
              <w:t>序号</w:t>
            </w:r>
          </w:p>
        </w:tc>
        <w:tc>
          <w:tcPr>
            <w:tcW w:w="12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0" w:right="0"/>
              <w:jc w:val="center"/>
              <w:textAlignment w:val="center"/>
            </w:pPr>
            <w:r>
              <w:rPr>
                <w:rFonts w:hint="eastAsia" w:ascii="宋体" w:hAnsi="宋体" w:eastAsia="宋体" w:cs="宋体"/>
                <w:b/>
                <w:bCs/>
                <w:kern w:val="0"/>
                <w:sz w:val="20"/>
                <w:szCs w:val="20"/>
                <w:bdr w:val="none" w:color="auto" w:sz="0" w:space="0"/>
                <w:lang w:val="en-US" w:eastAsia="zh-CN" w:bidi="ar"/>
              </w:rPr>
              <w:t>改革事项</w:t>
            </w:r>
          </w:p>
        </w:tc>
        <w:tc>
          <w:tcPr>
            <w:tcW w:w="19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0" w:right="0"/>
              <w:jc w:val="center"/>
              <w:textAlignment w:val="center"/>
            </w:pPr>
            <w:r>
              <w:rPr>
                <w:rFonts w:hint="eastAsia" w:ascii="宋体" w:hAnsi="宋体" w:eastAsia="宋体" w:cs="宋体"/>
                <w:b/>
                <w:bCs/>
                <w:kern w:val="0"/>
                <w:sz w:val="20"/>
                <w:szCs w:val="20"/>
                <w:bdr w:val="none" w:color="auto" w:sz="0" w:space="0"/>
                <w:lang w:val="en-US" w:eastAsia="zh-CN" w:bidi="ar"/>
              </w:rPr>
              <w:t>主要内容</w:t>
            </w:r>
          </w:p>
        </w:tc>
        <w:tc>
          <w:tcPr>
            <w:tcW w:w="315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0" w:right="0"/>
              <w:jc w:val="center"/>
              <w:textAlignment w:val="center"/>
            </w:pPr>
            <w:r>
              <w:rPr>
                <w:rFonts w:hint="eastAsia" w:ascii="宋体" w:hAnsi="宋体" w:eastAsia="宋体" w:cs="宋体"/>
                <w:b/>
                <w:bCs/>
                <w:kern w:val="0"/>
                <w:sz w:val="20"/>
                <w:szCs w:val="20"/>
                <w:bdr w:val="none" w:color="auto" w:sz="0" w:space="0"/>
                <w:lang w:val="en-US" w:eastAsia="zh-CN" w:bidi="ar"/>
              </w:rPr>
              <w:t>行政法规规定</w:t>
            </w:r>
          </w:p>
        </w:tc>
        <w:tc>
          <w:tcPr>
            <w:tcW w:w="24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ind w:left="0" w:right="0"/>
              <w:jc w:val="center"/>
              <w:textAlignment w:val="center"/>
            </w:pPr>
            <w:r>
              <w:rPr>
                <w:rFonts w:hint="eastAsia" w:ascii="宋体" w:hAnsi="宋体" w:eastAsia="宋体" w:cs="宋体"/>
                <w:b/>
                <w:bCs/>
                <w:kern w:val="0"/>
                <w:sz w:val="20"/>
                <w:szCs w:val="20"/>
                <w:bdr w:val="none" w:color="auto" w:sz="0" w:space="0"/>
                <w:lang w:val="en-US" w:eastAsia="zh-CN" w:bidi="ar"/>
              </w:rPr>
              <w:t>调整适用情况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430" w:hRule="atLeast"/>
          <w:jc w:val="center"/>
        </w:trPr>
        <w:tc>
          <w:tcPr>
            <w:tcW w:w="7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12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优化常用低风险植物和植物产品跨区域流通检疫申请流程</w:t>
            </w:r>
          </w:p>
        </w:tc>
        <w:tc>
          <w:tcPr>
            <w:tcW w:w="19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点城市明确以本城市为调入地、必须经过检疫的常用低风险植物和植物产品的检疫要求，并在“全国植物检疫信息化管理系统”和“林业植物检疫管理信息系统”中进行公示，调出地植物检疫机构根据公示要求进行检疫，并出具检疫证书，企业在收到检疫合格证书后即可调运。改革后，调入地植物检疫机构按职责做好对检疫证书的查验审核，并完善复检制度，严格把好植物和植物产品跨省调运的检疫关。</w:t>
            </w:r>
          </w:p>
        </w:tc>
        <w:tc>
          <w:tcPr>
            <w:tcW w:w="31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textAlignment w:val="center"/>
            </w:pPr>
            <w:r>
              <w:rPr>
                <w:rFonts w:hint="eastAsia" w:ascii="宋体" w:hAnsi="宋体" w:eastAsia="宋体" w:cs="宋体"/>
                <w:kern w:val="0"/>
                <w:sz w:val="20"/>
                <w:szCs w:val="20"/>
                <w:bdr w:val="none" w:color="auto" w:sz="0" w:space="0"/>
                <w:lang w:val="en-US" w:eastAsia="zh-CN" w:bidi="ar"/>
              </w:rPr>
              <w:t>《植物检疫条例》</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第十条第一款　省、自治区、直辖市间调运本条例第七条规定必须经过检疫的植物和植物产品的，调入单位必须事先征得所在地的省、自治区、直辖市植物检疫机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w:t>
            </w:r>
          </w:p>
        </w:tc>
        <w:tc>
          <w:tcPr>
            <w:tcW w:w="2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pPr>
            <w:r>
              <w:rPr>
                <w:rFonts w:hint="eastAsia" w:ascii="宋体" w:hAnsi="宋体" w:eastAsia="宋体" w:cs="宋体"/>
                <w:kern w:val="0"/>
                <w:sz w:val="20"/>
                <w:szCs w:val="20"/>
                <w:bdr w:val="none" w:color="auto" w:sz="0" w:space="0"/>
                <w:lang w:val="en-US" w:eastAsia="zh-CN" w:bidi="ar"/>
              </w:rPr>
              <w:t>暂时调整适用相关内容，允许向试点城市调运必须经过检疫的常用低风险植物和植物产品时，取消调入单位必须事先征得所在地的省、自治区、直辖市植物检疫机构同意的环节，由调入地植物检疫机构在相关信息系统公示和更新检疫要求。调出地植物检疫机构根据公示要求进行检疫并出具检疫证书，企业在收到检疫合格证书后即可调运。</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调整后，试点城市及时公示和更新常用低风险植物和植物产品的检疫要求，并做好对检疫证书的查验审核，完善复检制度，严格把好植物和植物产品跨省调运的检疫关。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93" w:hRule="atLeast"/>
          <w:jc w:val="center"/>
        </w:trPr>
        <w:tc>
          <w:tcPr>
            <w:tcW w:w="7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center"/>
              <w:textAlignment w:val="center"/>
            </w:pPr>
            <w:r>
              <w:rPr>
                <w:rFonts w:hint="eastAsia" w:ascii="宋体" w:hAnsi="宋体" w:eastAsia="宋体" w:cs="宋体"/>
                <w:kern w:val="0"/>
                <w:sz w:val="20"/>
                <w:szCs w:val="20"/>
                <w:bdr w:val="none" w:color="auto" w:sz="0" w:space="0"/>
                <w:lang w:val="en-US" w:eastAsia="zh-CN" w:bidi="ar"/>
              </w:rPr>
              <w:t>2</w:t>
            </w:r>
          </w:p>
        </w:tc>
        <w:tc>
          <w:tcPr>
            <w:tcW w:w="12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优化破产企业土地、房产处置程序</w:t>
            </w:r>
          </w:p>
        </w:tc>
        <w:tc>
          <w:tcPr>
            <w:tcW w:w="19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企业破产案件中因债务人资料缺失或第三方机构（如设计、勘察、监理等单位）不配合竣工验收等情形导致无法办理竣工验收的建设工程，经委托有关专业机构对工程质量进行安全鉴定合格后，可办理不动产登记。</w:t>
            </w:r>
          </w:p>
        </w:tc>
        <w:tc>
          <w:tcPr>
            <w:tcW w:w="31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pPr>
            <w:r>
              <w:rPr>
                <w:rFonts w:hint="eastAsia" w:ascii="宋体" w:hAnsi="宋体" w:eastAsia="宋体" w:cs="宋体"/>
                <w:kern w:val="0"/>
                <w:sz w:val="20"/>
                <w:szCs w:val="20"/>
                <w:bdr w:val="none" w:color="auto" w:sz="0" w:space="0"/>
                <w:lang w:val="en-US" w:eastAsia="zh-CN" w:bidi="ar"/>
              </w:rPr>
              <w:t>《建设工程质量管理条例》</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第十六条　建设单位收到建设工程竣工报告后，应当组织设计、施工、工程监理等有关单位进行竣工验收。</w:t>
            </w:r>
            <w:r>
              <w:rPr>
                <w:rFonts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建设工程竣工验收应当具备下列条件：</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（一）完成建设工程设计和合同约定的各项内容；</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（二）有完整的技术档案和施工管理资料；</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（三）有工程使用的主要建筑材料、建筑构配件和设备的进场试验报告；</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（四）有勘察、设计、施工、工程监理等单位分别签署的质量合格文件；</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（五）有施工单位签署的工程保修书。</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建设工程经验收合格的，方可交付使用。</w:t>
            </w:r>
          </w:p>
        </w:tc>
        <w:tc>
          <w:tcPr>
            <w:tcW w:w="2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pPr>
            <w:r>
              <w:rPr>
                <w:rFonts w:hint="eastAsia" w:ascii="宋体" w:hAnsi="宋体" w:eastAsia="宋体" w:cs="宋体"/>
                <w:kern w:val="0"/>
                <w:sz w:val="20"/>
                <w:szCs w:val="20"/>
                <w:bdr w:val="none" w:color="auto" w:sz="0" w:space="0"/>
                <w:lang w:val="en-US" w:eastAsia="zh-CN" w:bidi="ar"/>
              </w:rPr>
              <w:t>暂时调整适用相关内容，试点城市企业破产案件中因债务人资料缺失或第三方机构（如设计、勘察、监理等单位）不配合竣工验收等情形导致无法办理竣工验收的建设工程，经委托有关专业机构对工程质量进行安全鉴定合格后，可办理不动产登记。</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调整后，试点城市明确可直接进行工程质量安全鉴定建设工程的条件。加强对工程质量安全鉴定专业机构的管理，确保相关建设工程满足质量安全要求。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92" w:hRule="atLeast"/>
          <w:jc w:val="center"/>
        </w:trPr>
        <w:tc>
          <w:tcPr>
            <w:tcW w:w="7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center"/>
              <w:textAlignment w:val="center"/>
            </w:pPr>
            <w:r>
              <w:rPr>
                <w:rFonts w:hint="eastAsia" w:ascii="宋体" w:hAnsi="宋体" w:eastAsia="宋体" w:cs="宋体"/>
                <w:kern w:val="0"/>
                <w:sz w:val="20"/>
                <w:szCs w:val="20"/>
                <w:bdr w:val="none" w:color="auto" w:sz="0" w:space="0"/>
                <w:lang w:val="en-US" w:eastAsia="zh-CN" w:bidi="ar"/>
              </w:rPr>
              <w:t>3</w:t>
            </w:r>
          </w:p>
        </w:tc>
        <w:tc>
          <w:tcPr>
            <w:tcW w:w="12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健全企业重整期间信用修复机制</w:t>
            </w:r>
          </w:p>
        </w:tc>
        <w:tc>
          <w:tcPr>
            <w:tcW w:w="19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人民法院裁定批准重整计划的破产企业，可以申请在“信用中国”网站、国家企业信用信息公示系统、金融信用信息基础数据库中添加相关信息，及时反映企业重整情况；有关部门依法依规调整相关信用限制和惩戒措施。</w:t>
            </w:r>
          </w:p>
        </w:tc>
        <w:tc>
          <w:tcPr>
            <w:tcW w:w="31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textAlignment w:val="center"/>
            </w:pPr>
            <w:r>
              <w:rPr>
                <w:rFonts w:hint="eastAsia" w:ascii="宋体" w:hAnsi="宋体" w:eastAsia="宋体" w:cs="宋体"/>
                <w:kern w:val="0"/>
                <w:sz w:val="20"/>
                <w:szCs w:val="20"/>
                <w:bdr w:val="none" w:color="auto" w:sz="0" w:space="0"/>
                <w:lang w:val="en-US" w:eastAsia="zh-CN" w:bidi="ar"/>
              </w:rPr>
              <w:t>《企业信息公示暂行条例》</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第六条第一款　工商行政管理部门应当通过企业信用信息公示系统，公示其在履行职责过程中产生的下列企业信息：</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（一）注册登记、备案信息；</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（二）动产抵押登记信息；</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（三）股权出质登记信息；</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（四）行政处罚信息；</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（五）其他依法应当公示的信息。</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第七条第一款　工商行政管理部门以外的其他政府部门（以下简称其他政府部门）应当公示其在履行职责过程中产生的下列企业信息：</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（一）行政许可准予、变更、延续信息；</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（二）行政处罚信息；</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（三）其他依法应当公示的信息。</w:t>
            </w:r>
          </w:p>
        </w:tc>
        <w:tc>
          <w:tcPr>
            <w:tcW w:w="2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textAlignment w:val="center"/>
            </w:pPr>
            <w:r>
              <w:rPr>
                <w:rFonts w:hint="eastAsia" w:ascii="宋体" w:hAnsi="宋体" w:eastAsia="宋体" w:cs="宋体"/>
                <w:kern w:val="0"/>
                <w:sz w:val="20"/>
                <w:szCs w:val="20"/>
                <w:bdr w:val="none" w:color="auto" w:sz="0" w:space="0"/>
                <w:lang w:val="en-US" w:eastAsia="zh-CN" w:bidi="ar"/>
              </w:rPr>
              <w:t>暂时调整适用相关内容，试点城市人民法院裁定批准重整计划的破产企业，经征得失信信息认定部门同意后，可申请在相关公共信用网站上添加反映其重整情况的信息和中止公示失信信息。</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调整后，试点城市强化人民法院与市场监管部门等政府部门的协调联动，确保相关企业公示信息真实、准确。同时，对未能完成重整计划的破产企业，要及时在相关公共信用网站更新相关信息。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242" w:hRule="atLeast"/>
          <w:jc w:val="center"/>
        </w:trPr>
        <w:tc>
          <w:tcPr>
            <w:tcW w:w="7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center"/>
              <w:textAlignment w:val="center"/>
            </w:pPr>
            <w:r>
              <w:rPr>
                <w:rFonts w:hint="eastAsia" w:ascii="宋体" w:hAnsi="宋体" w:eastAsia="宋体" w:cs="宋体"/>
                <w:kern w:val="0"/>
                <w:sz w:val="20"/>
                <w:szCs w:val="20"/>
                <w:bdr w:val="none" w:color="auto" w:sz="0" w:space="0"/>
                <w:lang w:val="en-US" w:eastAsia="zh-CN" w:bidi="ar"/>
              </w:rPr>
              <w:t>4</w:t>
            </w:r>
          </w:p>
        </w:tc>
        <w:tc>
          <w:tcPr>
            <w:tcW w:w="12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探索将境内仲裁机构的开庭通知作为签证材料</w:t>
            </w:r>
          </w:p>
        </w:tc>
        <w:tc>
          <w:tcPr>
            <w:tcW w:w="19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允许将境内仲裁机构出具的开庭通知作为境外市场主体进入试点城市参与仲裁活动的签证材料，无需其他邀请函件。</w:t>
            </w:r>
          </w:p>
        </w:tc>
        <w:tc>
          <w:tcPr>
            <w:tcW w:w="31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textAlignment w:val="center"/>
            </w:pPr>
            <w:r>
              <w:rPr>
                <w:rFonts w:hint="eastAsia" w:ascii="宋体" w:hAnsi="宋体" w:eastAsia="宋体" w:cs="宋体"/>
                <w:kern w:val="0"/>
                <w:sz w:val="20"/>
                <w:szCs w:val="20"/>
                <w:bdr w:val="none" w:color="auto" w:sz="0" w:space="0"/>
                <w:lang w:val="en-US" w:eastAsia="zh-CN" w:bidi="ar"/>
              </w:rPr>
              <w:t>《中华人民共和国外国人入境出境管理条例》</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第七条第一款　外国人申请办理签证，应当填写申请表，提交本人的护照或者其他国际旅行证件以及符合规定的照片和申请事由的相关材料。</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w:t>
            </w:r>
            <w:r>
              <w:rPr>
                <w:rFonts w:hint="default" w:ascii="Calibri" w:hAnsi="Calibri" w:cs="Calibri" w:eastAsiaTheme="minorEastAsia"/>
                <w:kern w:val="0"/>
                <w:sz w:val="20"/>
                <w:szCs w:val="20"/>
                <w:bdr w:val="none" w:color="auto" w:sz="0" w:space="0"/>
                <w:lang w:val="en-US" w:eastAsia="zh-CN" w:bidi="ar"/>
              </w:rPr>
              <w:t>……</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（三）申请</w:t>
            </w:r>
            <w:r>
              <w:rPr>
                <w:rFonts w:hint="default" w:ascii="Calibri" w:hAnsi="Calibri" w:cs="Calibri" w:eastAsiaTheme="minorEastAsia"/>
                <w:kern w:val="0"/>
                <w:sz w:val="20"/>
                <w:szCs w:val="20"/>
                <w:bdr w:val="none" w:color="auto" w:sz="0" w:space="0"/>
                <w:lang w:val="en-US" w:eastAsia="zh-CN" w:bidi="ar"/>
              </w:rPr>
              <w:t>F</w:t>
            </w:r>
            <w:r>
              <w:rPr>
                <w:rFonts w:hint="eastAsia" w:ascii="宋体" w:hAnsi="宋体" w:eastAsia="宋体" w:cs="宋体"/>
                <w:kern w:val="0"/>
                <w:sz w:val="20"/>
                <w:szCs w:val="20"/>
                <w:bdr w:val="none" w:color="auto" w:sz="0" w:space="0"/>
                <w:lang w:val="en-US" w:eastAsia="zh-CN" w:bidi="ar"/>
              </w:rPr>
              <w:t>字签证，应当提交中国境内的邀请方出具的邀请函件。</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w:t>
            </w:r>
            <w:r>
              <w:rPr>
                <w:rFonts w:hint="default" w:ascii="Calibri" w:hAnsi="Calibri" w:cs="Calibri" w:eastAsiaTheme="minorEastAsia"/>
                <w:kern w:val="0"/>
                <w:sz w:val="20"/>
                <w:szCs w:val="20"/>
                <w:bdr w:val="none" w:color="auto" w:sz="0" w:space="0"/>
                <w:lang w:val="en-US" w:eastAsia="zh-CN" w:bidi="ar"/>
              </w:rPr>
              <w:t>……</w:t>
            </w:r>
          </w:p>
        </w:tc>
        <w:tc>
          <w:tcPr>
            <w:tcW w:w="2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textAlignment w:val="center"/>
            </w:pPr>
            <w:r>
              <w:rPr>
                <w:rFonts w:hint="eastAsia" w:ascii="宋体" w:hAnsi="宋体" w:eastAsia="宋体" w:cs="宋体"/>
                <w:kern w:val="0"/>
                <w:sz w:val="20"/>
                <w:szCs w:val="20"/>
                <w:bdr w:val="none" w:color="auto" w:sz="0" w:space="0"/>
                <w:lang w:val="en-US" w:eastAsia="zh-CN" w:bidi="ar"/>
              </w:rPr>
              <w:t>暂时调整适用相关内容，允许外国人在申请F字签证进入试点城市参与仲裁活动时，以境内仲裁机构出具的开庭通知作为签证材料，无需提交中国境内邀请方出具的邀请函件。</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调整后，试点城市加强仲裁机构向境外市场主体出具开庭通知的管理，禁止违规出具开庭通知。严格审核入境人员提交的开庭通知，确保材料真实有效。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83" w:hRule="atLeast"/>
          <w:jc w:val="center"/>
        </w:trPr>
        <w:tc>
          <w:tcPr>
            <w:tcW w:w="7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center"/>
              <w:textAlignment w:val="center"/>
            </w:pPr>
            <w:r>
              <w:rPr>
                <w:rFonts w:hint="eastAsia" w:ascii="宋体" w:hAnsi="宋体" w:eastAsia="宋体" w:cs="宋体"/>
                <w:kern w:val="0"/>
                <w:sz w:val="20"/>
                <w:szCs w:val="20"/>
                <w:bdr w:val="none" w:color="auto" w:sz="0" w:space="0"/>
                <w:lang w:val="en-US" w:eastAsia="zh-CN" w:bidi="ar"/>
              </w:rPr>
              <w:t>5</w:t>
            </w:r>
          </w:p>
        </w:tc>
        <w:tc>
          <w:tcPr>
            <w:tcW w:w="12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简化对政府采购供应商资格条件的形式审查</w:t>
            </w:r>
          </w:p>
        </w:tc>
        <w:tc>
          <w:tcPr>
            <w:tcW w:w="19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简化对供应商资格条件等的形式审查，不再要求供应商提供相关财务状况、缴纳税收和社会保障资金等证明材料，降低政府采购供应商交易成本。</w:t>
            </w:r>
          </w:p>
        </w:tc>
        <w:tc>
          <w:tcPr>
            <w:tcW w:w="31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textAlignment w:val="center"/>
            </w:pPr>
            <w:r>
              <w:rPr>
                <w:rFonts w:hint="eastAsia" w:ascii="宋体" w:hAnsi="宋体" w:eastAsia="宋体" w:cs="宋体"/>
                <w:kern w:val="0"/>
                <w:sz w:val="20"/>
                <w:szCs w:val="20"/>
                <w:bdr w:val="none" w:color="auto" w:sz="0" w:space="0"/>
                <w:lang w:val="en-US" w:eastAsia="zh-CN" w:bidi="ar"/>
              </w:rPr>
              <w:t>《中华人民共和国政府采购法实施条例》</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第十七条第一款　参加政府采购活动的供应商应当具备政府采购法第二十二条第一款规定的条件，提供下列材料：</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（一）法人或者其他组织的营业执照等证明文件，自然人的身份证明；</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（二）财务状况报告，依法缴纳税收和社会保障资金的相关材料；</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w:t>
            </w:r>
            <w:r>
              <w:rPr>
                <w:rFonts w:hint="default" w:ascii="Calibri" w:hAnsi="Calibri" w:cs="Calibri" w:eastAsiaTheme="minorEastAsia"/>
                <w:kern w:val="0"/>
                <w:sz w:val="20"/>
                <w:szCs w:val="20"/>
                <w:bdr w:val="none" w:color="auto" w:sz="0" w:space="0"/>
                <w:lang w:val="en-US" w:eastAsia="zh-CN" w:bidi="ar"/>
              </w:rPr>
              <w:t>……</w:t>
            </w:r>
          </w:p>
        </w:tc>
        <w:tc>
          <w:tcPr>
            <w:tcW w:w="2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textAlignment w:val="center"/>
            </w:pPr>
            <w:r>
              <w:rPr>
                <w:rFonts w:hint="eastAsia" w:ascii="宋体" w:hAnsi="宋体" w:eastAsia="宋体" w:cs="宋体"/>
                <w:kern w:val="0"/>
                <w:sz w:val="20"/>
                <w:szCs w:val="20"/>
                <w:bdr w:val="none" w:color="auto" w:sz="0" w:space="0"/>
                <w:lang w:val="en-US" w:eastAsia="zh-CN" w:bidi="ar"/>
              </w:rPr>
              <w:t>暂时调整适用相关内容，允许供应商参加试点城市政府采购时，不再提交财务状况报告、依法缴纳税收和社会保障资金等相关材料。</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调整后，试点城市加强部门间市场主体信息数据共享，加强对供应商在政府采购平台上提交材料真实性的审核，确保供应商符合政府采购规定的条件。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317" w:hRule="atLeast"/>
          <w:jc w:val="center"/>
        </w:trPr>
        <w:tc>
          <w:tcPr>
            <w:tcW w:w="7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center"/>
              <w:textAlignment w:val="center"/>
            </w:pPr>
            <w:r>
              <w:rPr>
                <w:rFonts w:hint="eastAsia" w:ascii="宋体" w:hAnsi="宋体" w:eastAsia="宋体" w:cs="宋体"/>
                <w:kern w:val="0"/>
                <w:sz w:val="20"/>
                <w:szCs w:val="20"/>
                <w:bdr w:val="none" w:color="auto" w:sz="0" w:space="0"/>
                <w:lang w:val="en-US" w:eastAsia="zh-CN" w:bidi="ar"/>
              </w:rPr>
              <w:t>6</w:t>
            </w:r>
          </w:p>
        </w:tc>
        <w:tc>
          <w:tcPr>
            <w:tcW w:w="12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调整小额诉讼程序适用范围及费用</w:t>
            </w:r>
          </w:p>
        </w:tc>
        <w:tc>
          <w:tcPr>
            <w:tcW w:w="19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允许降低适用小额诉讼程序审理的案件受理费标准。</w:t>
            </w:r>
          </w:p>
        </w:tc>
        <w:tc>
          <w:tcPr>
            <w:tcW w:w="31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textAlignment w:val="center"/>
            </w:pPr>
            <w:r>
              <w:rPr>
                <w:rFonts w:hint="eastAsia" w:ascii="宋体" w:hAnsi="宋体" w:eastAsia="宋体" w:cs="宋体"/>
                <w:kern w:val="0"/>
                <w:sz w:val="20"/>
                <w:szCs w:val="20"/>
                <w:bdr w:val="none" w:color="auto" w:sz="0" w:space="0"/>
                <w:lang w:val="en-US" w:eastAsia="zh-CN" w:bidi="ar"/>
              </w:rPr>
              <w:t>《诉讼费用交纳办法》</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第十三条第一款　案件受理费分别按照下列标准交纳：</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（一）财产案件根据诉讼请求的金额或者价额，按照下列比例分段累计交纳：</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1.不超过1万元的，每件交纳50元；</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w:t>
            </w:r>
            <w:r>
              <w:rPr>
                <w:rFonts w:hint="default" w:ascii="Calibri" w:hAnsi="Calibri" w:cs="Calibri" w:eastAsiaTheme="minorEastAsia"/>
                <w:kern w:val="0"/>
                <w:sz w:val="20"/>
                <w:szCs w:val="20"/>
                <w:bdr w:val="none" w:color="auto" w:sz="0" w:space="0"/>
                <w:lang w:val="en-US" w:eastAsia="zh-CN" w:bidi="ar"/>
              </w:rPr>
              <w:t>2.</w:t>
            </w:r>
            <w:r>
              <w:rPr>
                <w:rFonts w:hint="eastAsia" w:ascii="宋体" w:hAnsi="宋体" w:eastAsia="宋体" w:cs="宋体"/>
                <w:kern w:val="0"/>
                <w:sz w:val="20"/>
                <w:szCs w:val="20"/>
                <w:bdr w:val="none" w:color="auto" w:sz="0" w:space="0"/>
                <w:lang w:val="en-US" w:eastAsia="zh-CN" w:bidi="ar"/>
              </w:rPr>
              <w:t>超过</w:t>
            </w:r>
            <w:r>
              <w:rPr>
                <w:rFonts w:hint="default" w:ascii="Calibri" w:hAnsi="Calibri" w:cs="Calibri" w:eastAsiaTheme="minorEastAsia"/>
                <w:kern w:val="0"/>
                <w:sz w:val="20"/>
                <w:szCs w:val="20"/>
                <w:bdr w:val="none" w:color="auto" w:sz="0" w:space="0"/>
                <w:lang w:val="en-US" w:eastAsia="zh-CN" w:bidi="ar"/>
              </w:rPr>
              <w:t>1</w:t>
            </w:r>
            <w:r>
              <w:rPr>
                <w:rFonts w:hint="eastAsia" w:ascii="宋体" w:hAnsi="宋体" w:eastAsia="宋体" w:cs="宋体"/>
                <w:kern w:val="0"/>
                <w:sz w:val="20"/>
                <w:szCs w:val="20"/>
                <w:bdr w:val="none" w:color="auto" w:sz="0" w:space="0"/>
                <w:lang w:val="en-US" w:eastAsia="zh-CN" w:bidi="ar"/>
              </w:rPr>
              <w:t>万元至</w:t>
            </w:r>
            <w:r>
              <w:rPr>
                <w:rFonts w:hint="default" w:ascii="Calibri" w:hAnsi="Calibri" w:cs="Calibri" w:eastAsiaTheme="minorEastAsia"/>
                <w:kern w:val="0"/>
                <w:sz w:val="20"/>
                <w:szCs w:val="20"/>
                <w:bdr w:val="none" w:color="auto" w:sz="0" w:space="0"/>
                <w:lang w:val="en-US" w:eastAsia="zh-CN" w:bidi="ar"/>
              </w:rPr>
              <w:t>10</w:t>
            </w:r>
            <w:r>
              <w:rPr>
                <w:rFonts w:hint="eastAsia" w:ascii="宋体" w:hAnsi="宋体" w:eastAsia="宋体" w:cs="宋体"/>
                <w:kern w:val="0"/>
                <w:sz w:val="20"/>
                <w:szCs w:val="20"/>
                <w:bdr w:val="none" w:color="auto" w:sz="0" w:space="0"/>
                <w:lang w:val="en-US" w:eastAsia="zh-CN" w:bidi="ar"/>
              </w:rPr>
              <w:t>万元的部分，按照</w:t>
            </w:r>
            <w:r>
              <w:rPr>
                <w:rFonts w:hint="default" w:ascii="Calibri" w:hAnsi="Calibri" w:cs="Calibri" w:eastAsiaTheme="minorEastAsia"/>
                <w:kern w:val="0"/>
                <w:sz w:val="20"/>
                <w:szCs w:val="20"/>
                <w:bdr w:val="none" w:color="auto" w:sz="0" w:space="0"/>
                <w:lang w:val="en-US" w:eastAsia="zh-CN" w:bidi="ar"/>
              </w:rPr>
              <w:t>2.5%</w:t>
            </w:r>
            <w:r>
              <w:rPr>
                <w:rFonts w:hint="eastAsia" w:ascii="宋体" w:hAnsi="宋体" w:eastAsia="宋体" w:cs="宋体"/>
                <w:kern w:val="0"/>
                <w:sz w:val="20"/>
                <w:szCs w:val="20"/>
                <w:bdr w:val="none" w:color="auto" w:sz="0" w:space="0"/>
                <w:lang w:val="en-US" w:eastAsia="zh-CN" w:bidi="ar"/>
              </w:rPr>
              <w:t>交纳；</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w:t>
            </w:r>
            <w:r>
              <w:rPr>
                <w:rFonts w:hint="default" w:ascii="Calibri" w:hAnsi="Calibri" w:cs="Calibri" w:eastAsiaTheme="minorEastAsia"/>
                <w:kern w:val="0"/>
                <w:sz w:val="20"/>
                <w:szCs w:val="20"/>
                <w:bdr w:val="none" w:color="auto" w:sz="0" w:space="0"/>
                <w:lang w:val="en-US" w:eastAsia="zh-CN" w:bidi="ar"/>
              </w:rPr>
              <w:t>……</w:t>
            </w:r>
            <w:r>
              <w:rPr>
                <w:rFonts w:hint="default" w:ascii="Calibri" w:hAnsi="Calibri" w:cs="Calibri" w:eastAsiaTheme="minorEastAsia"/>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第十六条　适用简易程序审理的案件减半交纳案件受理费。</w:t>
            </w:r>
          </w:p>
        </w:tc>
        <w:tc>
          <w:tcPr>
            <w:tcW w:w="2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textAlignment w:val="center"/>
            </w:pPr>
            <w:r>
              <w:rPr>
                <w:rFonts w:hint="eastAsia" w:ascii="宋体" w:hAnsi="宋体" w:eastAsia="宋体" w:cs="宋体"/>
                <w:kern w:val="0"/>
                <w:sz w:val="20"/>
                <w:szCs w:val="20"/>
                <w:bdr w:val="none" w:color="auto" w:sz="0" w:space="0"/>
                <w:lang w:val="en-US" w:eastAsia="zh-CN" w:bidi="ar"/>
              </w:rPr>
              <w:t>暂时调整适用相关内容，允许试点城市降低适用小额诉讼程序审理的案件受理费标准。</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调整后，试点城市明确适用小额诉讼程序审理的案件受理费标准，加强对相关案件和诉讼费用的管理和监督。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58" w:hRule="atLeast"/>
          <w:jc w:val="center"/>
        </w:trPr>
        <w:tc>
          <w:tcPr>
            <w:tcW w:w="7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center"/>
              <w:textAlignment w:val="center"/>
            </w:pPr>
            <w:r>
              <w:rPr>
                <w:rFonts w:hint="eastAsia" w:ascii="宋体" w:hAnsi="宋体" w:eastAsia="宋体" w:cs="宋体"/>
                <w:kern w:val="0"/>
                <w:sz w:val="20"/>
                <w:szCs w:val="20"/>
                <w:bdr w:val="none" w:color="auto" w:sz="0" w:space="0"/>
                <w:lang w:val="en-US" w:eastAsia="zh-CN" w:bidi="ar"/>
              </w:rPr>
              <w:t>7</w:t>
            </w:r>
          </w:p>
        </w:tc>
        <w:tc>
          <w:tcPr>
            <w:tcW w:w="12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取消企业内部使用的最高计量标准器具的考核发证及强制检定</w:t>
            </w:r>
          </w:p>
        </w:tc>
        <w:tc>
          <w:tcPr>
            <w:tcW w:w="19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企业内部使用的最高计量标准器具调整为企业自主管理，不需计量行政部门考核发证，也不再实行强制检定，但应满足计量溯源性要求。</w:t>
            </w:r>
          </w:p>
        </w:tc>
        <w:tc>
          <w:tcPr>
            <w:tcW w:w="31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textAlignment w:val="center"/>
            </w:pPr>
            <w:r>
              <w:rPr>
                <w:rFonts w:hint="eastAsia" w:ascii="宋体" w:hAnsi="宋体" w:eastAsia="宋体" w:cs="宋体"/>
                <w:kern w:val="0"/>
                <w:sz w:val="20"/>
                <w:szCs w:val="20"/>
                <w:bdr w:val="none" w:color="auto" w:sz="0" w:space="0"/>
                <w:lang w:val="en-US" w:eastAsia="zh-CN" w:bidi="ar"/>
              </w:rPr>
              <w:t>《中华人民共和国计量法实施细则》</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第十条　企业、事业单位建立本单位各项最高计量标准，须向与其主管部门同级的人民政府计量行政部门申请考核。乡镇企业向当地县级人民政府计量行政部门申请考核。经考核符合本细则第七条规定条件并取得考核合格证的，企业、事业单位方可使用，并向其主管部门备案。</w:t>
            </w:r>
          </w:p>
        </w:tc>
        <w:tc>
          <w:tcPr>
            <w:tcW w:w="2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3" w:afterAutospacing="0" w:line="360" w:lineRule="atLeast"/>
              <w:ind w:left="0" w:right="0" w:firstLine="400"/>
              <w:jc w:val="left"/>
              <w:textAlignment w:val="center"/>
            </w:pPr>
            <w:r>
              <w:rPr>
                <w:rFonts w:hint="eastAsia" w:ascii="宋体" w:hAnsi="宋体" w:eastAsia="宋体" w:cs="宋体"/>
                <w:kern w:val="0"/>
                <w:sz w:val="20"/>
                <w:szCs w:val="20"/>
                <w:bdr w:val="none" w:color="auto" w:sz="0" w:space="0"/>
                <w:lang w:val="en-US" w:eastAsia="zh-CN" w:bidi="ar"/>
              </w:rPr>
              <w:t>暂时调整适用相关内容，允许试点城市企业内部使用的最高计量标准器具由企业自主管理，不需计量行政部门考核发证，不再实行强制检定。</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调整后，试点城市加强对企业自主管理最高计量标准器具的指导和事中事后监管，确保满足计量溯源性要求和计量标准准确。</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zOGQwOGU0MGMwMWU3ODJkY2U4ZjRkZmIwYzUwMTgifQ=="/>
  </w:docVars>
  <w:rsids>
    <w:rsidRoot w:val="00000000"/>
    <w:rsid w:val="3F444438"/>
    <w:rsid w:val="69C03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17478</Words>
  <Characters>17618</Characters>
  <Lines>0</Lines>
  <Paragraphs>0</Paragraphs>
  <TotalTime>8</TotalTime>
  <ScaleCrop>false</ScaleCrop>
  <LinksUpToDate>false</LinksUpToDate>
  <CharactersWithSpaces>17818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2023-03-01T01:21:00Z</dcterms:created>
  <dc:creator>Administrator</dc:creator>
  <cp:lastModifiedBy>刘书麟</cp:lastModifiedBy>
  <dcterms:modified xsi:type="dcterms:W3CDTF">2023-03-03T03:07:43Z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1E4EB4F6322D40CB841F6FBD0EF90171</vt:lpwstr>
  </property>
</Properties>
</file>