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8174D0">
      <w:pPr>
        <w:rPr>
          <w:rFonts w:ascii="宋体" w:hAnsi="宋体" w:cs="宋体"/>
        </w:rPr>
      </w:pPr>
      <w:bookmarkStart w:id="0" w:name="EB76284f3626fc492cae9cead4f8fb2db6"/>
    </w:p>
    <w:p w14:paraId="4C872436">
      <w:pPr>
        <w:adjustRightInd w:val="0"/>
        <w:snapToGrid w:val="0"/>
        <w:spacing w:before="156" w:beforeLines="50" w:line="360" w:lineRule="auto"/>
        <w:rPr>
          <w:rFonts w:ascii="宋体" w:hAnsi="宋体" w:cs="宋体"/>
          <w:b/>
          <w:sz w:val="44"/>
          <w:szCs w:val="44"/>
        </w:rPr>
      </w:pPr>
      <w:r>
        <w:rPr>
          <w:rFonts w:hint="eastAsia" w:ascii="宋体" w:hAnsi="宋体" w:cs="宋体"/>
          <w:szCs w:val="20"/>
        </w:rPr>
        <mc:AlternateContent>
          <mc:Choice Requires="wps">
            <w:drawing>
              <wp:anchor distT="0" distB="0" distL="114300" distR="114300" simplePos="0" relativeHeight="251659264" behindDoc="0" locked="0" layoutInCell="1" allowOverlap="1">
                <wp:simplePos x="0" y="0"/>
                <wp:positionH relativeFrom="column">
                  <wp:posOffset>-227965</wp:posOffset>
                </wp:positionH>
                <wp:positionV relativeFrom="paragraph">
                  <wp:posOffset>241300</wp:posOffset>
                </wp:positionV>
                <wp:extent cx="6120130" cy="30480"/>
                <wp:effectExtent l="0" t="9525" r="13970" b="17145"/>
                <wp:wrapNone/>
                <wp:docPr id="1" name="直接连接符 1"/>
                <wp:cNvGraphicFramePr/>
                <a:graphic xmlns:a="http://schemas.openxmlformats.org/drawingml/2006/main">
                  <a:graphicData uri="http://schemas.microsoft.com/office/word/2010/wordprocessingShape">
                    <wps:wsp>
                      <wps:cNvCnPr/>
                      <wps:spPr>
                        <a:xfrm flipV="1">
                          <a:off x="0" y="0"/>
                          <a:ext cx="6120130" cy="30480"/>
                        </a:xfrm>
                        <a:prstGeom prst="line">
                          <a:avLst/>
                        </a:prstGeom>
                        <a:ln w="19050" cap="flat" cmpd="sng">
                          <a:solidFill>
                            <a:srgbClr val="0000FF"/>
                          </a:solidFill>
                          <a:prstDash val="solid"/>
                          <a:headEnd type="none" w="med" len="med"/>
                          <a:tailEnd type="none" w="med" len="med"/>
                        </a:ln>
                        <a:effectLst/>
                      </wps:spPr>
                      <wps:bodyPr/>
                    </wps:wsp>
                  </a:graphicData>
                </a:graphic>
              </wp:anchor>
            </w:drawing>
          </mc:Choice>
          <mc:Fallback>
            <w:pict>
              <v:line id="_x0000_s1026" o:spid="_x0000_s1026" o:spt="20" style="position:absolute;left:0pt;flip:y;margin-left:-17.95pt;margin-top:19pt;height:2.4pt;width:481.9pt;z-index:251659264;mso-width-relative:page;mso-height-relative:page;" filled="f" stroked="t" coordsize="21600,21600" o:gfxdata="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mXvI/aAAAACQEAAA8AAAAAAAAAAQAgAAAAIgAAAGRycy9kb3du&#10;cmV2LnhtbFBLAQIUABQAAAAIAIdO4kAf5YRq/QEAAPUDAAAOAAAAAAAAAAEAIAAAACkBAABkcnMv&#10;ZTJvRG9jLnhtbFBLBQYAAAAABgAGAFkBAACYBQAAAAA=&#10;">
                <v:fill on="f" focussize="0,0"/>
                <v:stroke weight="1.5pt" color="#0000FF" joinstyle="round"/>
                <v:imagedata o:title=""/>
                <o:lock v:ext="edit" aspectratio="f"/>
              </v:line>
            </w:pict>
          </mc:Fallback>
        </mc:AlternateContent>
      </w:r>
    </w:p>
    <w:p w14:paraId="1CD5CCD5">
      <w:pPr>
        <w:adjustRightInd w:val="0"/>
        <w:snapToGrid w:val="0"/>
        <w:spacing w:before="156" w:beforeLines="50" w:line="360" w:lineRule="auto"/>
        <w:jc w:val="center"/>
        <w:rPr>
          <w:rFonts w:ascii="宋体" w:hAnsi="宋体" w:cs="宋体"/>
          <w:b/>
          <w:sz w:val="96"/>
          <w:szCs w:val="96"/>
        </w:rPr>
      </w:pPr>
      <w:r>
        <w:rPr>
          <w:rFonts w:hint="eastAsia" w:ascii="宋体" w:hAnsi="宋体" w:cs="宋体"/>
          <w:szCs w:val="20"/>
        </w:rPr>
        <mc:AlternateContent>
          <mc:Choice Requires="wps">
            <w:drawing>
              <wp:anchor distT="0" distB="0" distL="114300" distR="114300" simplePos="0" relativeHeight="251660288" behindDoc="0" locked="0" layoutInCell="1" allowOverlap="1">
                <wp:simplePos x="0" y="0"/>
                <wp:positionH relativeFrom="column">
                  <wp:posOffset>-227330</wp:posOffset>
                </wp:positionH>
                <wp:positionV relativeFrom="paragraph">
                  <wp:posOffset>1079500</wp:posOffset>
                </wp:positionV>
                <wp:extent cx="6188075" cy="635"/>
                <wp:effectExtent l="0" t="0" r="0" b="0"/>
                <wp:wrapNone/>
                <wp:docPr id="2" name="直接连接符 2"/>
                <wp:cNvGraphicFramePr/>
                <a:graphic xmlns:a="http://schemas.openxmlformats.org/drawingml/2006/main">
                  <a:graphicData uri="http://schemas.microsoft.com/office/word/2010/wordprocessingShape">
                    <wps:wsp>
                      <wps:cNvCnPr/>
                      <wps:spPr>
                        <a:xfrm>
                          <a:off x="0" y="0"/>
                          <a:ext cx="6188075" cy="635"/>
                        </a:xfrm>
                        <a:prstGeom prst="line">
                          <a:avLst/>
                        </a:prstGeom>
                        <a:ln w="19050" cap="flat" cmpd="sng">
                          <a:solidFill>
                            <a:srgbClr val="0000FF"/>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7.9pt;margin-top:85pt;height:0.05pt;width:487.25pt;z-index:251660288;mso-width-relative:page;mso-height-relative:page;" filled="f" stroked="t" coordsize="21600,21600" o:gfxdata="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mykjA9kAAAALAQAADwAAAAAAAAABACAAAAAiAAAAZHJzL2Rvd25yZXYueG1sUEsB&#10;AhQAFAAAAAgAh07iQGXmLkf0AQAA6QMAAA4AAAAAAAAAAQAgAAAAKAEAAGRycy9lMm9Eb2MueG1s&#10;UEsFBgAAAAAGAAYAWQEAAI4FAAAAAA==&#10;">
                <v:fill on="f" focussize="0,0"/>
                <v:stroke weight="1.5pt" color="#0000FF" joinstyle="round"/>
                <v:imagedata o:title=""/>
                <o:lock v:ext="edit" aspectratio="f"/>
              </v:line>
            </w:pict>
          </mc:Fallback>
        </mc:AlternateContent>
      </w:r>
      <w:r>
        <w:rPr>
          <w:rFonts w:hint="eastAsia" w:ascii="宋体" w:hAnsi="宋体" w:cs="宋体"/>
          <w:b/>
          <w:sz w:val="96"/>
          <w:szCs w:val="96"/>
        </w:rPr>
        <w:t xml:space="preserve"> 招 标 文 件</w:t>
      </w:r>
    </w:p>
    <w:p w14:paraId="531949EB">
      <w:pPr>
        <w:spacing w:line="360" w:lineRule="auto"/>
        <w:jc w:val="center"/>
        <w:rPr>
          <w:rFonts w:ascii="宋体" w:hAnsi="宋体" w:cs="宋体"/>
          <w:b/>
          <w:sz w:val="32"/>
          <w:szCs w:val="32"/>
        </w:rPr>
      </w:pPr>
    </w:p>
    <w:p w14:paraId="1D4F50C7">
      <w:pPr>
        <w:widowControl/>
        <w:rPr>
          <w:rFonts w:hint="eastAsia" w:ascii="宋体" w:hAnsi="宋体" w:eastAsia="宋体" w:cs="宋体"/>
          <w:b/>
          <w:w w:val="100"/>
          <w:sz w:val="32"/>
          <w:szCs w:val="32"/>
          <w:lang w:val="en-US" w:eastAsia="zh-CN"/>
        </w:rPr>
      </w:pPr>
      <w:r>
        <w:rPr>
          <w:rFonts w:hint="eastAsia" w:ascii="宋体" w:hAnsi="宋体" w:cs="宋体"/>
          <w:b/>
          <w:w w:val="100"/>
          <w:sz w:val="32"/>
          <w:szCs w:val="32"/>
          <w:lang w:val="en-US" w:eastAsia="zh-CN"/>
        </w:rPr>
        <w:t>项目</w:t>
      </w:r>
      <w:r>
        <w:rPr>
          <w:rFonts w:hint="eastAsia" w:ascii="宋体" w:hAnsi="宋体" w:cs="宋体"/>
          <w:b/>
          <w:w w:val="100"/>
          <w:sz w:val="32"/>
          <w:szCs w:val="32"/>
        </w:rPr>
        <w:t>名称</w:t>
      </w:r>
      <w:r>
        <w:rPr>
          <w:rFonts w:hint="eastAsia" w:ascii="宋体" w:hAnsi="宋体" w:eastAsia="宋体" w:cs="宋体"/>
          <w:b/>
          <w:w w:val="100"/>
          <w:sz w:val="32"/>
          <w:szCs w:val="32"/>
        </w:rPr>
        <w:t>：</w:t>
      </w:r>
      <w:r>
        <w:rPr>
          <w:rFonts w:hint="eastAsia" w:asciiTheme="minorEastAsia" w:hAnsiTheme="minorEastAsia" w:eastAsiaTheme="minorEastAsia" w:cstheme="minorEastAsia"/>
          <w:b/>
          <w:sz w:val="32"/>
          <w:szCs w:val="32"/>
          <w:highlight w:val="none"/>
          <w:lang w:val="en-US" w:eastAsia="zh-CN"/>
        </w:rPr>
        <w:t xml:space="preserve">商都县十八顷镇袁家村恒温库改扩建项目 </w:t>
      </w:r>
      <w:r>
        <w:rPr>
          <w:rFonts w:hint="eastAsia" w:asciiTheme="minorEastAsia" w:hAnsiTheme="minorEastAsia" w:eastAsiaTheme="minorEastAsia" w:cstheme="minorEastAsia"/>
          <w:b/>
          <w:sz w:val="32"/>
          <w:szCs w:val="32"/>
          <w:highlight w:val="none"/>
        </w:rPr>
        <w:t xml:space="preserve"> </w:t>
      </w:r>
      <w:r>
        <w:rPr>
          <w:rFonts w:hint="eastAsia" w:ascii="宋体" w:hAnsi="宋体" w:eastAsia="宋体" w:cs="宋体"/>
          <w:b/>
          <w:w w:val="100"/>
          <w:sz w:val="32"/>
          <w:szCs w:val="32"/>
          <w:lang w:val="en-US" w:eastAsia="zh-CN"/>
        </w:rPr>
        <w:t xml:space="preserve"> </w:t>
      </w:r>
    </w:p>
    <w:p w14:paraId="0B5C7D71">
      <w:pPr>
        <w:widowControl/>
        <w:rPr>
          <w:rFonts w:hint="default" w:ascii="宋体" w:hAnsi="宋体" w:eastAsia="宋体" w:cs="宋体"/>
          <w:b/>
          <w:sz w:val="32"/>
          <w:szCs w:val="32"/>
          <w:lang w:val="en-US" w:eastAsia="zh-CN"/>
        </w:rPr>
      </w:pPr>
      <w:r>
        <w:rPr>
          <w:rFonts w:hint="eastAsia" w:ascii="宋体" w:hAnsi="宋体" w:cs="宋体"/>
          <w:b/>
          <w:sz w:val="32"/>
          <w:szCs w:val="32"/>
        </w:rPr>
        <w:t>招标编号：</w:t>
      </w:r>
    </w:p>
    <w:p w14:paraId="09F42B5A">
      <w:pPr>
        <w:widowControl/>
        <w:rPr>
          <w:rFonts w:hint="default" w:ascii="宋体" w:hAnsi="宋体" w:cs="宋体"/>
          <w:b/>
          <w:sz w:val="36"/>
          <w:szCs w:val="36"/>
          <w:lang w:val="en-US"/>
        </w:rPr>
      </w:pPr>
    </w:p>
    <w:p w14:paraId="0F105116">
      <w:pPr>
        <w:pStyle w:val="50"/>
        <w:ind w:left="0" w:leftChars="0" w:firstLine="0" w:firstLineChars="0"/>
        <w:rPr>
          <w:rFonts w:hint="eastAsia"/>
          <w:lang w:eastAsia="zh-CN"/>
        </w:rPr>
      </w:pPr>
    </w:p>
    <w:p w14:paraId="0CF1C86D">
      <w:pPr>
        <w:adjustRightInd w:val="0"/>
        <w:snapToGrid w:val="0"/>
        <w:spacing w:before="156" w:beforeLines="50" w:line="360" w:lineRule="auto"/>
        <w:ind w:firstLine="2340" w:firstLineChars="650"/>
        <w:rPr>
          <w:rFonts w:ascii="宋体" w:hAnsi="宋体" w:cs="宋体"/>
          <w:sz w:val="36"/>
          <w:szCs w:val="36"/>
        </w:rPr>
      </w:pPr>
    </w:p>
    <w:p w14:paraId="69B8C7B9">
      <w:pPr>
        <w:adjustRightInd w:val="0"/>
        <w:snapToGrid w:val="0"/>
        <w:spacing w:before="156" w:beforeLines="50" w:line="360" w:lineRule="auto"/>
        <w:jc w:val="center"/>
        <w:rPr>
          <w:rFonts w:ascii="宋体" w:hAnsi="宋体" w:cs="宋体"/>
          <w:b/>
          <w:sz w:val="36"/>
          <w:szCs w:val="36"/>
        </w:rPr>
      </w:pPr>
      <w:r>
        <w:rPr>
          <w:rFonts w:hint="eastAsia" w:ascii="宋体" w:hAnsi="宋体" w:cs="宋体"/>
          <w:b/>
          <w:sz w:val="36"/>
          <w:szCs w:val="36"/>
        </w:rPr>
        <w:t xml:space="preserve"> </w:t>
      </w:r>
    </w:p>
    <w:p w14:paraId="5229F37D"/>
    <w:p w14:paraId="2456E81A">
      <w:pPr>
        <w:pStyle w:val="29"/>
      </w:pPr>
    </w:p>
    <w:p w14:paraId="52B3F6EF"/>
    <w:p w14:paraId="4898FB9C"/>
    <w:p w14:paraId="3A51ADFF">
      <w:pPr>
        <w:pStyle w:val="33"/>
        <w:rPr>
          <w:sz w:val="22"/>
          <w:szCs w:val="28"/>
        </w:rPr>
      </w:pPr>
    </w:p>
    <w:p w14:paraId="71649369">
      <w:pPr>
        <w:pStyle w:val="33"/>
        <w:ind w:left="0" w:leftChars="0" w:firstLine="0" w:firstLineChars="0"/>
        <w:rPr>
          <w:sz w:val="22"/>
          <w:szCs w:val="28"/>
        </w:rPr>
      </w:pPr>
    </w:p>
    <w:p w14:paraId="3BF6C4CB">
      <w:pPr>
        <w:pStyle w:val="33"/>
        <w:ind w:left="0" w:leftChars="0" w:firstLine="0" w:firstLineChars="0"/>
        <w:rPr>
          <w:sz w:val="22"/>
          <w:szCs w:val="28"/>
        </w:rPr>
      </w:pPr>
    </w:p>
    <w:p w14:paraId="58D09E0C">
      <w:pPr>
        <w:pStyle w:val="33"/>
        <w:ind w:left="0" w:leftChars="0" w:firstLine="0" w:firstLineChars="0"/>
        <w:rPr>
          <w:sz w:val="22"/>
          <w:szCs w:val="28"/>
        </w:rPr>
      </w:pPr>
    </w:p>
    <w:p w14:paraId="745694D8">
      <w:pPr>
        <w:pStyle w:val="33"/>
        <w:rPr>
          <w:sz w:val="22"/>
          <w:szCs w:val="28"/>
        </w:rPr>
      </w:pPr>
    </w:p>
    <w:p w14:paraId="36034013">
      <w:pPr>
        <w:pStyle w:val="33"/>
        <w:rPr>
          <w:sz w:val="22"/>
          <w:szCs w:val="28"/>
        </w:rPr>
      </w:pPr>
    </w:p>
    <w:p w14:paraId="7395BC13">
      <w:pPr>
        <w:adjustRightInd w:val="0"/>
        <w:snapToGrid w:val="0"/>
        <w:spacing w:before="156" w:beforeLines="50" w:line="360" w:lineRule="auto"/>
        <w:jc w:val="center"/>
        <w:rPr>
          <w:rFonts w:hint="eastAsia" w:ascii="宋体" w:hAnsi="宋体" w:cs="宋体"/>
          <w:b/>
          <w:sz w:val="36"/>
          <w:szCs w:val="36"/>
          <w:lang w:eastAsia="zh-CN"/>
        </w:rPr>
      </w:pPr>
      <w:r>
        <w:rPr>
          <w:rFonts w:hint="eastAsia" w:ascii="宋体" w:hAnsi="宋体" w:cs="宋体"/>
          <w:b/>
          <w:sz w:val="36"/>
          <w:szCs w:val="36"/>
          <w:lang w:eastAsia="zh-CN"/>
        </w:rPr>
        <w:t>内蒙古祥和项目管理有限公司</w:t>
      </w:r>
    </w:p>
    <w:p w14:paraId="27CB30DC">
      <w:pPr>
        <w:adjustRightInd w:val="0"/>
        <w:snapToGrid w:val="0"/>
        <w:spacing w:before="156" w:beforeLines="50"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lang w:eastAsia="zh-CN"/>
        </w:rPr>
        <w:t>二〇</w:t>
      </w:r>
      <w:r>
        <w:rPr>
          <w:rFonts w:hint="eastAsia" w:ascii="宋体" w:hAnsi="宋体" w:eastAsia="宋体" w:cs="宋体"/>
          <w:b/>
          <w:sz w:val="36"/>
          <w:szCs w:val="36"/>
          <w:lang w:val="en-US" w:eastAsia="zh-CN"/>
        </w:rPr>
        <w:t>二</w:t>
      </w:r>
      <w:r>
        <w:rPr>
          <w:rFonts w:hint="eastAsia" w:ascii="宋体" w:hAnsi="宋体" w:cs="宋体"/>
          <w:b/>
          <w:sz w:val="36"/>
          <w:szCs w:val="36"/>
          <w:lang w:val="en-US" w:eastAsia="zh-CN"/>
        </w:rPr>
        <w:t>六</w:t>
      </w:r>
      <w:r>
        <w:rPr>
          <w:rFonts w:hint="eastAsia" w:ascii="宋体" w:hAnsi="宋体" w:eastAsia="宋体" w:cs="宋体"/>
          <w:b/>
          <w:sz w:val="36"/>
          <w:szCs w:val="36"/>
          <w:lang w:eastAsia="zh-CN"/>
        </w:rPr>
        <w:t>年</w:t>
      </w:r>
      <w:r>
        <w:rPr>
          <w:rFonts w:hint="eastAsia" w:ascii="宋体" w:hAnsi="宋体" w:cs="宋体"/>
          <w:b/>
          <w:sz w:val="36"/>
          <w:szCs w:val="36"/>
          <w:lang w:val="en-US" w:eastAsia="zh-CN"/>
        </w:rPr>
        <w:t>五</w:t>
      </w:r>
      <w:r>
        <w:rPr>
          <w:rFonts w:hint="eastAsia" w:ascii="宋体" w:hAnsi="宋体" w:eastAsia="宋体" w:cs="宋体"/>
          <w:b/>
          <w:sz w:val="36"/>
          <w:szCs w:val="36"/>
          <w:lang w:val="en-US" w:eastAsia="zh-CN"/>
        </w:rPr>
        <w:t>月</w:t>
      </w:r>
    </w:p>
    <w:bookmarkEnd w:id="0"/>
    <w:p w14:paraId="1CA2A0E7">
      <w:pPr>
        <w:rPr>
          <w:rFonts w:ascii="宋体" w:hAnsi="宋体" w:cs="宋体"/>
        </w:rPr>
      </w:pPr>
    </w:p>
    <w:p w14:paraId="2BDB430F">
      <w:pPr>
        <w:adjustRightInd w:val="0"/>
        <w:snapToGrid w:val="0"/>
        <w:spacing w:before="156" w:beforeLines="50" w:line="360" w:lineRule="auto"/>
        <w:rPr>
          <w:rFonts w:ascii="宋体" w:hAnsi="宋体" w:cs="宋体"/>
          <w:b/>
          <w:sz w:val="44"/>
          <w:szCs w:val="44"/>
        </w:rPr>
      </w:pPr>
      <w:r>
        <w:rPr>
          <w:rFonts w:hint="eastAsia" w:ascii="宋体" w:hAnsi="宋体" w:cs="宋体"/>
          <w:szCs w:val="20"/>
        </w:rPr>
        <mc:AlternateContent>
          <mc:Choice Requires="wps">
            <w:drawing>
              <wp:anchor distT="0" distB="0" distL="114300" distR="114300" simplePos="0" relativeHeight="251668480" behindDoc="0" locked="0" layoutInCell="1" allowOverlap="1">
                <wp:simplePos x="0" y="0"/>
                <wp:positionH relativeFrom="column">
                  <wp:posOffset>-227965</wp:posOffset>
                </wp:positionH>
                <wp:positionV relativeFrom="paragraph">
                  <wp:posOffset>241300</wp:posOffset>
                </wp:positionV>
                <wp:extent cx="6120130" cy="30480"/>
                <wp:effectExtent l="0" t="9525" r="13970" b="17145"/>
                <wp:wrapNone/>
                <wp:docPr id="3" name="直接连接符 3"/>
                <wp:cNvGraphicFramePr/>
                <a:graphic xmlns:a="http://schemas.openxmlformats.org/drawingml/2006/main">
                  <a:graphicData uri="http://schemas.microsoft.com/office/word/2010/wordprocessingShape">
                    <wps:wsp>
                      <wps:cNvCnPr/>
                      <wps:spPr>
                        <a:xfrm flipV="1">
                          <a:off x="0" y="0"/>
                          <a:ext cx="6120130" cy="30480"/>
                        </a:xfrm>
                        <a:prstGeom prst="line">
                          <a:avLst/>
                        </a:prstGeom>
                        <a:ln w="19050" cap="flat" cmpd="sng">
                          <a:solidFill>
                            <a:srgbClr val="0000FF"/>
                          </a:solidFill>
                          <a:prstDash val="solid"/>
                          <a:headEnd type="none" w="med" len="med"/>
                          <a:tailEnd type="none" w="med" len="med"/>
                        </a:ln>
                        <a:effectLst/>
                      </wps:spPr>
                      <wps:bodyPr/>
                    </wps:wsp>
                  </a:graphicData>
                </a:graphic>
              </wp:anchor>
            </w:drawing>
          </mc:Choice>
          <mc:Fallback>
            <w:pict>
              <v:line id="_x0000_s1026" o:spid="_x0000_s1026" o:spt="20" style="position:absolute;left:0pt;flip:y;margin-left:-17.95pt;margin-top:19pt;height:2.4pt;width:481.9pt;z-index:251668480;mso-width-relative:page;mso-height-relative:page;" filled="f" stroked="t" coordsize="21600,21600" o:gfxdata="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Zl7yP2gAAAAkBAAAPAAAAAAAAAAEAIAAAACIAAABkcnMvZG93&#10;bnJldi54bWxQSwECFAAUAAAACACHTuJA87KUav4BAAD1AwAADgAAAAAAAAABACAAAAApAQAAZHJz&#10;L2Uyb0RvYy54bWxQSwUGAAAAAAYABgBZAQAAmQUAAAAA&#10;">
                <v:fill on="f" focussize="0,0"/>
                <v:stroke weight="1.5pt" color="#0000FF" joinstyle="round"/>
                <v:imagedata o:title=""/>
                <o:lock v:ext="edit" aspectratio="f"/>
              </v:line>
            </w:pict>
          </mc:Fallback>
        </mc:AlternateContent>
      </w:r>
    </w:p>
    <w:p w14:paraId="4853FABB">
      <w:pPr>
        <w:adjustRightInd w:val="0"/>
        <w:snapToGrid w:val="0"/>
        <w:spacing w:before="156" w:beforeLines="50" w:line="360" w:lineRule="auto"/>
        <w:jc w:val="center"/>
        <w:rPr>
          <w:rFonts w:ascii="宋体" w:hAnsi="宋体" w:cs="宋体"/>
          <w:b w:val="0"/>
          <w:bCs/>
          <w:sz w:val="96"/>
          <w:szCs w:val="96"/>
        </w:rPr>
      </w:pPr>
      <w:r>
        <w:rPr>
          <w:rFonts w:hint="eastAsia" w:ascii="宋体" w:hAnsi="宋体" w:cs="宋体"/>
          <w:szCs w:val="20"/>
        </w:rPr>
        <mc:AlternateContent>
          <mc:Choice Requires="wps">
            <w:drawing>
              <wp:anchor distT="0" distB="0" distL="114300" distR="114300" simplePos="0" relativeHeight="251669504" behindDoc="0" locked="0" layoutInCell="1" allowOverlap="1">
                <wp:simplePos x="0" y="0"/>
                <wp:positionH relativeFrom="column">
                  <wp:posOffset>-227330</wp:posOffset>
                </wp:positionH>
                <wp:positionV relativeFrom="paragraph">
                  <wp:posOffset>1079500</wp:posOffset>
                </wp:positionV>
                <wp:extent cx="6188075"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6188075" cy="635"/>
                        </a:xfrm>
                        <a:prstGeom prst="line">
                          <a:avLst/>
                        </a:prstGeom>
                        <a:ln w="19050" cap="flat" cmpd="sng">
                          <a:solidFill>
                            <a:srgbClr val="0000FF"/>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7.9pt;margin-top:85pt;height:0.05pt;width:487.25pt;z-index:251669504;mso-width-relative:page;mso-height-relative:page;" filled="f" stroked="t" coordsize="21600,21600" o:gfxdata="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spIwPZAAAACwEAAA8AAAAAAAAAAQAgAAAAIgAAAGRycy9kb3ducmV2LnhtbFBL&#10;AQIUABQAAAAIAIdO4kCxdtGj9QEAAOkDAAAOAAAAAAAAAAEAIAAAACgBAABkcnMvZTJvRG9jLnht&#10;bFBLBQYAAAAABgAGAFkBAACPBQAAAAA=&#10;">
                <v:fill on="f" focussize="0,0"/>
                <v:stroke weight="1.5pt" color="#0000FF" joinstyle="round"/>
                <v:imagedata o:title=""/>
                <o:lock v:ext="edit" aspectratio="f"/>
              </v:line>
            </w:pict>
          </mc:Fallback>
        </mc:AlternateContent>
      </w:r>
      <w:r>
        <w:rPr>
          <w:rFonts w:hint="eastAsia" w:ascii="宋体" w:hAnsi="宋体" w:cs="宋体"/>
          <w:b/>
          <w:sz w:val="96"/>
          <w:szCs w:val="96"/>
        </w:rPr>
        <w:t xml:space="preserve"> </w:t>
      </w:r>
      <w:r>
        <w:rPr>
          <w:rFonts w:hint="eastAsia" w:ascii="宋体" w:hAnsi="宋体" w:cs="宋体"/>
          <w:b w:val="0"/>
          <w:bCs/>
          <w:sz w:val="96"/>
          <w:szCs w:val="96"/>
        </w:rPr>
        <w:t>招 标 文 件</w:t>
      </w:r>
    </w:p>
    <w:p w14:paraId="0E3F2721">
      <w:pPr>
        <w:spacing w:line="360" w:lineRule="auto"/>
        <w:jc w:val="center"/>
        <w:rPr>
          <w:rFonts w:ascii="宋体" w:hAnsi="宋体" w:cs="宋体"/>
          <w:b w:val="0"/>
          <w:bCs/>
          <w:w w:val="100"/>
          <w:sz w:val="32"/>
          <w:szCs w:val="32"/>
        </w:rPr>
      </w:pPr>
    </w:p>
    <w:p w14:paraId="7B5DB979">
      <w:pPr>
        <w:adjustRightInd w:val="0"/>
        <w:snapToGrid w:val="0"/>
        <w:spacing w:line="360" w:lineRule="auto"/>
        <w:ind w:left="1807" w:hanging="1600" w:hangingChars="500"/>
        <w:rPr>
          <w:rFonts w:hint="eastAsia" w:ascii="宋体" w:hAnsi="宋体" w:eastAsia="宋体" w:cs="宋体"/>
          <w:b w:val="0"/>
          <w:bCs/>
          <w:spacing w:val="-17"/>
          <w:w w:val="100"/>
          <w:sz w:val="32"/>
          <w:szCs w:val="32"/>
          <w:lang w:eastAsia="zh-CN"/>
        </w:rPr>
      </w:pPr>
      <w:r>
        <w:rPr>
          <w:rFonts w:hint="eastAsia" w:ascii="宋体" w:hAnsi="宋体" w:cs="宋体"/>
          <w:b w:val="0"/>
          <w:bCs/>
          <w:w w:val="100"/>
          <w:sz w:val="32"/>
          <w:szCs w:val="32"/>
          <w:lang w:val="en-US" w:eastAsia="zh-CN"/>
        </w:rPr>
        <w:t>项目</w:t>
      </w:r>
      <w:r>
        <w:rPr>
          <w:rFonts w:hint="eastAsia" w:ascii="宋体" w:hAnsi="宋体" w:cs="宋体"/>
          <w:b w:val="0"/>
          <w:bCs/>
          <w:w w:val="100"/>
          <w:sz w:val="32"/>
          <w:szCs w:val="32"/>
          <w:lang w:eastAsia="zh-CN"/>
        </w:rPr>
        <w:t xml:space="preserve">名称：商都县十八顷镇袁家村恒温库改扩建项目  </w:t>
      </w:r>
      <w:r>
        <w:rPr>
          <w:rFonts w:hint="eastAsia" w:ascii="宋体" w:hAnsi="宋体" w:cs="宋体"/>
          <w:b w:val="0"/>
          <w:bCs/>
          <w:w w:val="100"/>
          <w:sz w:val="32"/>
          <w:szCs w:val="32"/>
          <w:lang w:val="en-US" w:eastAsia="zh-CN"/>
        </w:rPr>
        <w:t xml:space="preserve"> </w:t>
      </w:r>
      <w:r>
        <w:rPr>
          <w:rFonts w:hint="eastAsia" w:ascii="宋体" w:hAnsi="宋体" w:cs="宋体"/>
          <w:b w:val="0"/>
          <w:bCs/>
          <w:w w:val="100"/>
          <w:sz w:val="32"/>
          <w:szCs w:val="32"/>
          <w:lang w:eastAsia="zh-CN"/>
        </w:rPr>
        <w:t xml:space="preserve"> </w:t>
      </w:r>
    </w:p>
    <w:p w14:paraId="0D7A9658">
      <w:pPr>
        <w:widowControl/>
        <w:rPr>
          <w:rFonts w:hint="default" w:ascii="宋体" w:hAnsi="宋体" w:eastAsia="宋体" w:cs="宋体"/>
          <w:b w:val="0"/>
          <w:bCs/>
          <w:sz w:val="32"/>
          <w:szCs w:val="32"/>
          <w:lang w:val="en-US" w:eastAsia="zh-CN"/>
        </w:rPr>
      </w:pPr>
      <w:r>
        <w:rPr>
          <w:rFonts w:hint="eastAsia" w:ascii="宋体" w:hAnsi="宋体" w:cs="宋体"/>
          <w:b w:val="0"/>
          <w:bCs/>
          <w:sz w:val="32"/>
          <w:szCs w:val="32"/>
        </w:rPr>
        <w:t>招</w:t>
      </w:r>
      <w:r>
        <w:rPr>
          <w:rFonts w:hint="eastAsia" w:ascii="宋体" w:hAnsi="宋体" w:cs="宋体"/>
          <w:b w:val="0"/>
          <w:bCs/>
          <w:w w:val="100"/>
          <w:sz w:val="32"/>
          <w:szCs w:val="32"/>
          <w:lang w:eastAsia="zh-CN"/>
        </w:rPr>
        <w:t>标编号：</w:t>
      </w:r>
    </w:p>
    <w:p w14:paraId="50E98D81">
      <w:pPr>
        <w:widowControl/>
        <w:rPr>
          <w:rFonts w:hint="default" w:ascii="宋体" w:hAnsi="宋体" w:cs="宋体"/>
          <w:b w:val="0"/>
          <w:bCs/>
          <w:sz w:val="36"/>
          <w:szCs w:val="36"/>
          <w:highlight w:val="yellow"/>
          <w:lang w:val="en-US"/>
        </w:rPr>
      </w:pPr>
    </w:p>
    <w:p w14:paraId="53AAC77C">
      <w:pPr>
        <w:widowControl/>
        <w:rPr>
          <w:rFonts w:hint="default" w:ascii="宋体" w:hAnsi="宋体" w:cs="宋体"/>
          <w:b w:val="0"/>
          <w:bCs/>
          <w:sz w:val="36"/>
          <w:szCs w:val="36"/>
          <w:highlight w:val="yellow"/>
          <w:lang w:val="en-US"/>
        </w:rPr>
      </w:pPr>
    </w:p>
    <w:p w14:paraId="12156444">
      <w:pPr>
        <w:widowControl/>
        <w:rPr>
          <w:rFonts w:hint="eastAsia" w:ascii="Arial" w:hAnsi="Arial" w:eastAsia="宋体" w:cs="Arial"/>
          <w:b w:val="0"/>
          <w:bCs/>
          <w:color w:val="0D0D03"/>
          <w:kern w:val="0"/>
          <w:sz w:val="20"/>
          <w:szCs w:val="20"/>
          <w:lang w:eastAsia="zh-CN"/>
        </w:rPr>
      </w:pPr>
    </w:p>
    <w:p w14:paraId="771627DC">
      <w:pPr>
        <w:pStyle w:val="50"/>
        <w:rPr>
          <w:rFonts w:hint="default"/>
          <w:b w:val="0"/>
          <w:bCs/>
          <w:lang w:val="en-US" w:eastAsia="zh-CN"/>
        </w:rPr>
      </w:pPr>
      <w:r>
        <w:rPr>
          <w:rFonts w:hint="eastAsia"/>
          <w:b w:val="0"/>
          <w:bCs/>
          <w:lang w:val="en-US" w:eastAsia="zh-CN"/>
        </w:rPr>
        <w:t xml:space="preserve"> </w:t>
      </w:r>
    </w:p>
    <w:p w14:paraId="4D0BB688">
      <w:pPr>
        <w:adjustRightInd w:val="0"/>
        <w:snapToGrid w:val="0"/>
        <w:spacing w:before="156" w:beforeLines="50" w:line="360" w:lineRule="auto"/>
        <w:ind w:firstLine="2340" w:firstLineChars="650"/>
        <w:rPr>
          <w:rFonts w:ascii="宋体" w:hAnsi="宋体" w:cs="宋体"/>
          <w:b w:val="0"/>
          <w:bCs/>
          <w:sz w:val="36"/>
          <w:szCs w:val="36"/>
        </w:rPr>
      </w:pPr>
    </w:p>
    <w:p w14:paraId="0A5B7020">
      <w:pPr>
        <w:adjustRightInd w:val="0"/>
        <w:snapToGrid w:val="0"/>
        <w:spacing w:before="156" w:beforeLines="50" w:line="360" w:lineRule="auto"/>
        <w:jc w:val="center"/>
        <w:rPr>
          <w:rFonts w:ascii="宋体" w:hAnsi="宋体" w:cs="宋体"/>
          <w:b w:val="0"/>
          <w:bCs/>
          <w:sz w:val="36"/>
          <w:szCs w:val="36"/>
        </w:rPr>
      </w:pPr>
      <w:r>
        <w:rPr>
          <w:rFonts w:hint="eastAsia" w:ascii="宋体" w:hAnsi="宋体" w:cs="宋体"/>
          <w:b w:val="0"/>
          <w:bCs/>
          <w:sz w:val="36"/>
          <w:szCs w:val="36"/>
        </w:rPr>
        <w:t xml:space="preserve"> </w:t>
      </w:r>
    </w:p>
    <w:p w14:paraId="59EBA455">
      <w:pPr>
        <w:rPr>
          <w:b w:val="0"/>
          <w:bCs/>
        </w:rPr>
      </w:pPr>
    </w:p>
    <w:p w14:paraId="724176A9">
      <w:pPr>
        <w:rPr>
          <w:b w:val="0"/>
          <w:bCs/>
        </w:rPr>
      </w:pPr>
    </w:p>
    <w:p w14:paraId="04716791">
      <w:pPr>
        <w:rPr>
          <w:b w:val="0"/>
          <w:bCs/>
        </w:rPr>
      </w:pPr>
    </w:p>
    <w:p w14:paraId="667E66DD">
      <w:pPr>
        <w:rPr>
          <w:b w:val="0"/>
          <w:bCs/>
        </w:rPr>
      </w:pPr>
    </w:p>
    <w:p w14:paraId="3D25338F">
      <w:pPr>
        <w:rPr>
          <w:b w:val="0"/>
          <w:bCs/>
        </w:rPr>
      </w:pPr>
    </w:p>
    <w:p w14:paraId="59C6C07B">
      <w:pPr>
        <w:adjustRightInd w:val="0"/>
        <w:snapToGrid w:val="0"/>
        <w:spacing w:before="156" w:beforeLines="50" w:line="360" w:lineRule="auto"/>
        <w:jc w:val="both"/>
        <w:rPr>
          <w:rFonts w:hint="eastAsia" w:ascii="宋体" w:hAnsi="宋体" w:cs="宋体"/>
          <w:b w:val="0"/>
          <w:bCs/>
          <w:sz w:val="32"/>
          <w:szCs w:val="32"/>
          <w:lang w:val="en-US" w:eastAsia="zh-CN"/>
        </w:rPr>
      </w:pPr>
    </w:p>
    <w:p w14:paraId="2912ACA5">
      <w:pPr>
        <w:adjustRightInd w:val="0"/>
        <w:snapToGrid w:val="0"/>
        <w:spacing w:before="156" w:beforeLines="50" w:line="360" w:lineRule="auto"/>
        <w:jc w:val="both"/>
        <w:rPr>
          <w:rFonts w:hint="default" w:ascii="宋体" w:hAnsi="宋体" w:cs="宋体"/>
          <w:b w:val="0"/>
          <w:bCs/>
          <w:sz w:val="32"/>
          <w:szCs w:val="32"/>
          <w:lang w:val="en-US" w:eastAsia="zh-CN"/>
        </w:rPr>
      </w:pPr>
      <w:r>
        <w:rPr>
          <w:rFonts w:hint="eastAsia" w:ascii="宋体" w:hAnsi="宋体" w:cs="宋体"/>
          <w:b w:val="0"/>
          <w:bCs/>
          <w:sz w:val="32"/>
          <w:szCs w:val="32"/>
          <w:lang w:val="en-US" w:eastAsia="zh-CN"/>
        </w:rPr>
        <w:t>招标单位（盖章）：商都县十八顷镇人民政府</w:t>
      </w:r>
    </w:p>
    <w:p w14:paraId="323A17B6">
      <w:pPr>
        <w:adjustRightInd w:val="0"/>
        <w:snapToGrid w:val="0"/>
        <w:spacing w:before="156" w:beforeLines="50" w:line="360" w:lineRule="auto"/>
        <w:jc w:val="both"/>
        <w:rPr>
          <w:rFonts w:hint="eastAsia" w:ascii="宋体" w:hAnsi="宋体" w:cs="宋体"/>
          <w:b w:val="0"/>
          <w:bCs/>
          <w:sz w:val="32"/>
          <w:szCs w:val="32"/>
          <w:lang w:eastAsia="zh-CN"/>
        </w:rPr>
      </w:pPr>
      <w:r>
        <w:rPr>
          <w:rFonts w:hint="eastAsia" w:ascii="宋体" w:hAnsi="宋体" w:cs="宋体"/>
          <w:b w:val="0"/>
          <w:bCs/>
          <w:sz w:val="32"/>
          <w:szCs w:val="32"/>
          <w:lang w:val="en-US" w:eastAsia="zh-CN"/>
        </w:rPr>
        <w:t>招标代理机构（盖章）：</w:t>
      </w:r>
      <w:r>
        <w:rPr>
          <w:rFonts w:hint="eastAsia" w:ascii="宋体" w:hAnsi="宋体" w:cs="宋体"/>
          <w:b w:val="0"/>
          <w:bCs/>
          <w:sz w:val="32"/>
          <w:szCs w:val="32"/>
          <w:lang w:eastAsia="zh-CN"/>
        </w:rPr>
        <w:t>内蒙古祥和项目管理有限公司</w:t>
      </w:r>
    </w:p>
    <w:p w14:paraId="24492395">
      <w:pPr>
        <w:adjustRightInd w:val="0"/>
        <w:snapToGrid w:val="0"/>
        <w:spacing w:before="156" w:beforeLines="50" w:line="360" w:lineRule="auto"/>
        <w:jc w:val="center"/>
        <w:rPr>
          <w:rFonts w:hint="eastAsia" w:ascii="宋体" w:hAnsi="宋体" w:eastAsia="宋体" w:cs="宋体"/>
          <w:b w:val="0"/>
          <w:bCs/>
          <w:sz w:val="32"/>
          <w:szCs w:val="32"/>
          <w:lang w:eastAsia="zh-CN"/>
        </w:rPr>
      </w:pPr>
      <w:r>
        <w:rPr>
          <w:rFonts w:hint="eastAsia" w:ascii="宋体" w:hAnsi="宋体" w:eastAsia="宋体" w:cs="宋体"/>
          <w:b w:val="0"/>
          <w:bCs/>
          <w:sz w:val="32"/>
          <w:szCs w:val="32"/>
          <w:lang w:eastAsia="zh-CN"/>
        </w:rPr>
        <w:t>二〇</w:t>
      </w:r>
      <w:r>
        <w:rPr>
          <w:rFonts w:hint="eastAsia" w:ascii="宋体" w:hAnsi="宋体" w:eastAsia="宋体" w:cs="宋体"/>
          <w:b w:val="0"/>
          <w:bCs/>
          <w:sz w:val="32"/>
          <w:szCs w:val="32"/>
          <w:lang w:val="en-US" w:eastAsia="zh-CN"/>
        </w:rPr>
        <w:t>二</w:t>
      </w:r>
      <w:r>
        <w:rPr>
          <w:rFonts w:hint="eastAsia" w:ascii="宋体" w:hAnsi="宋体" w:cs="宋体"/>
          <w:b w:val="0"/>
          <w:bCs/>
          <w:sz w:val="32"/>
          <w:szCs w:val="32"/>
          <w:lang w:val="en-US" w:eastAsia="zh-CN"/>
        </w:rPr>
        <w:t>六</w:t>
      </w:r>
      <w:r>
        <w:rPr>
          <w:rFonts w:hint="eastAsia" w:ascii="宋体" w:hAnsi="宋体" w:eastAsia="宋体" w:cs="宋体"/>
          <w:b w:val="0"/>
          <w:bCs/>
          <w:sz w:val="32"/>
          <w:szCs w:val="32"/>
          <w:lang w:eastAsia="zh-CN"/>
        </w:rPr>
        <w:t>年</w:t>
      </w:r>
      <w:r>
        <w:rPr>
          <w:rFonts w:hint="eastAsia" w:ascii="宋体" w:hAnsi="宋体" w:cs="宋体"/>
          <w:b w:val="0"/>
          <w:bCs/>
          <w:sz w:val="32"/>
          <w:szCs w:val="32"/>
          <w:lang w:val="en-US" w:eastAsia="zh-CN"/>
        </w:rPr>
        <w:t>五</w:t>
      </w:r>
      <w:r>
        <w:rPr>
          <w:rFonts w:hint="eastAsia" w:ascii="宋体" w:hAnsi="宋体" w:eastAsia="宋体" w:cs="宋体"/>
          <w:b w:val="0"/>
          <w:bCs/>
          <w:sz w:val="32"/>
          <w:szCs w:val="32"/>
          <w:lang w:val="en-US" w:eastAsia="zh-CN"/>
        </w:rPr>
        <w:t>月</w:t>
      </w:r>
    </w:p>
    <w:p w14:paraId="3905C56C">
      <w:pPr>
        <w:spacing w:line="400" w:lineRule="exact"/>
        <w:ind w:firstLine="437"/>
        <w:jc w:val="center"/>
        <w:rPr>
          <w:rFonts w:ascii="宋体" w:hAnsi="宋体" w:cs="宋体"/>
          <w:bCs/>
          <w:sz w:val="36"/>
          <w:szCs w:val="36"/>
        </w:rPr>
      </w:pPr>
      <w:r>
        <w:rPr>
          <w:rFonts w:hint="eastAsia" w:ascii="宋体" w:hAnsi="宋体" w:cs="宋体"/>
          <w:bCs/>
          <w:sz w:val="36"/>
          <w:szCs w:val="36"/>
        </w:rPr>
        <w:t>目  录</w:t>
      </w:r>
    </w:p>
    <w:p w14:paraId="2182E6C5">
      <w:pPr>
        <w:pStyle w:val="23"/>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_Toc7949 </w:instrText>
      </w:r>
      <w:r>
        <w:rPr>
          <w:rFonts w:hint="eastAsia" w:ascii="宋体" w:hAnsi="宋体" w:eastAsia="宋体" w:cs="宋体"/>
          <w:sz w:val="28"/>
          <w:szCs w:val="28"/>
        </w:rPr>
        <w:fldChar w:fldCharType="separate"/>
      </w:r>
      <w:r>
        <w:rPr>
          <w:rFonts w:hint="eastAsia" w:ascii="宋体" w:hAnsi="宋体" w:eastAsia="宋体" w:cs="宋体"/>
          <w:sz w:val="28"/>
          <w:szCs w:val="28"/>
          <w:lang w:eastAsia="zh-CN"/>
        </w:rPr>
        <w:t xml:space="preserve">第一章 </w:t>
      </w:r>
      <w:r>
        <w:rPr>
          <w:rFonts w:hint="eastAsia" w:ascii="宋体" w:hAnsi="宋体" w:eastAsia="宋体" w:cs="宋体"/>
          <w:sz w:val="28"/>
          <w:szCs w:val="28"/>
          <w:highlight w:val="none"/>
          <w:lang w:eastAsia="zh-CN"/>
        </w:rPr>
        <w:t>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_Toc7949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0980E6B9">
      <w:pPr>
        <w:pStyle w:val="23"/>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_Toc25126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第二章 投标人须知</w:t>
      </w:r>
      <w:r>
        <w:rPr>
          <w:rFonts w:hint="eastAsia" w:ascii="宋体" w:hAnsi="宋体" w:eastAsia="宋体" w:cs="宋体"/>
          <w:sz w:val="28"/>
          <w:szCs w:val="28"/>
        </w:rPr>
        <w:tab/>
      </w:r>
      <w:r>
        <w:rPr>
          <w:rFonts w:hint="eastAsia" w:ascii="宋体" w:hAnsi="宋体" w:cs="宋体"/>
          <w:sz w:val="28"/>
          <w:szCs w:val="28"/>
          <w:lang w:val="en-US" w:eastAsia="zh-CN"/>
        </w:rPr>
        <w:t>5</w:t>
      </w:r>
      <w:r>
        <w:rPr>
          <w:rFonts w:hint="eastAsia" w:ascii="宋体" w:hAnsi="宋体" w:eastAsia="宋体" w:cs="宋体"/>
          <w:sz w:val="28"/>
          <w:szCs w:val="28"/>
          <w:lang w:val="zh-CN"/>
        </w:rPr>
        <w:fldChar w:fldCharType="end"/>
      </w:r>
    </w:p>
    <w:p w14:paraId="7C6A139B">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_Toc6522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投标人须知前附表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_Toc6522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3965C241">
      <w:pPr>
        <w:pStyle w:val="23"/>
        <w:tabs>
          <w:tab w:val="right" w:leader="dot" w:pos="8312"/>
        </w:tabs>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_Toc8339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第三章 评标办法（综合评估法）</w:t>
      </w:r>
      <w:r>
        <w:rPr>
          <w:rFonts w:hint="eastAsia" w:ascii="宋体" w:hAnsi="宋体" w:eastAsia="宋体" w:cs="宋体"/>
          <w:sz w:val="28"/>
          <w:szCs w:val="28"/>
        </w:rPr>
        <w:tab/>
      </w:r>
      <w:r>
        <w:rPr>
          <w:rFonts w:hint="eastAsia" w:ascii="宋体" w:hAnsi="宋体" w:cs="宋体"/>
          <w:sz w:val="28"/>
          <w:szCs w:val="28"/>
          <w:lang w:val="en-US" w:eastAsia="zh-CN"/>
        </w:rPr>
        <w:t>2</w:t>
      </w:r>
      <w:r>
        <w:rPr>
          <w:rFonts w:hint="eastAsia" w:ascii="宋体" w:hAnsi="宋体" w:eastAsia="宋体" w:cs="宋体"/>
          <w:sz w:val="28"/>
          <w:szCs w:val="28"/>
          <w:lang w:val="zh-CN"/>
        </w:rPr>
        <w:fldChar w:fldCharType="end"/>
      </w:r>
      <w:r>
        <w:rPr>
          <w:rFonts w:hint="eastAsia" w:ascii="宋体" w:hAnsi="宋体" w:cs="宋体"/>
          <w:sz w:val="28"/>
          <w:szCs w:val="28"/>
          <w:lang w:val="en-US" w:eastAsia="zh-CN"/>
        </w:rPr>
        <w:t>1</w:t>
      </w:r>
    </w:p>
    <w:p w14:paraId="5346D15C">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_Toc14142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评标办法前附表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_Toc14142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0682465C">
      <w:pPr>
        <w:pStyle w:val="23"/>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_Toc5578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第四章</w:t>
      </w:r>
      <w:r>
        <w:rPr>
          <w:rFonts w:hint="eastAsia" w:ascii="宋体" w:hAnsi="宋体" w:cs="宋体"/>
          <w:sz w:val="28"/>
          <w:szCs w:val="28"/>
          <w:lang w:val="en-US" w:eastAsia="zh-CN"/>
        </w:rPr>
        <w:t xml:space="preserve"> </w:t>
      </w:r>
      <w:r>
        <w:rPr>
          <w:rFonts w:hint="eastAsia" w:ascii="宋体" w:hAnsi="宋体" w:eastAsia="宋体" w:cs="宋体"/>
          <w:sz w:val="28"/>
          <w:szCs w:val="28"/>
        </w:rPr>
        <w:t>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_Toc5578 \h </w:instrText>
      </w:r>
      <w:r>
        <w:rPr>
          <w:rFonts w:hint="eastAsia" w:ascii="宋体" w:hAnsi="宋体" w:eastAsia="宋体" w:cs="宋体"/>
          <w:sz w:val="28"/>
          <w:szCs w:val="28"/>
        </w:rPr>
        <w:fldChar w:fldCharType="separate"/>
      </w:r>
      <w:r>
        <w:rPr>
          <w:rFonts w:hint="eastAsia" w:ascii="宋体" w:hAnsi="宋体" w:eastAsia="宋体" w:cs="宋体"/>
          <w:sz w:val="28"/>
          <w:szCs w:val="28"/>
        </w:rPr>
        <w:t>26</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2F2D224D">
      <w:pPr>
        <w:pStyle w:val="23"/>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_Toc24371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highlight w:val="none"/>
        </w:rPr>
        <w:t>第五章 技术标准要求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_Toc24371 \h </w:instrText>
      </w:r>
      <w:r>
        <w:rPr>
          <w:rFonts w:hint="eastAsia" w:ascii="宋体" w:hAnsi="宋体" w:eastAsia="宋体" w:cs="宋体"/>
          <w:sz w:val="28"/>
          <w:szCs w:val="28"/>
        </w:rPr>
        <w:fldChar w:fldCharType="separate"/>
      </w:r>
      <w:r>
        <w:rPr>
          <w:rFonts w:hint="eastAsia" w:ascii="宋体" w:hAnsi="宋体" w:eastAsia="宋体" w:cs="宋体"/>
          <w:sz w:val="28"/>
          <w:szCs w:val="28"/>
        </w:rPr>
        <w:t>122</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5C73E6F9">
      <w:pPr>
        <w:pStyle w:val="23"/>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_Toc11709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第六章 工程量清单</w:t>
      </w:r>
      <w:bookmarkStart w:id="1709" w:name="_GoBack"/>
      <w:bookmarkEnd w:id="1709"/>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_Toc11709 \h </w:instrText>
      </w:r>
      <w:r>
        <w:rPr>
          <w:rFonts w:hint="eastAsia" w:ascii="宋体" w:hAnsi="宋体" w:eastAsia="宋体" w:cs="宋体"/>
          <w:sz w:val="28"/>
          <w:szCs w:val="28"/>
        </w:rPr>
        <w:fldChar w:fldCharType="separate"/>
      </w:r>
      <w:r>
        <w:rPr>
          <w:rFonts w:hint="eastAsia" w:ascii="宋体" w:hAnsi="宋体" w:eastAsia="宋体" w:cs="宋体"/>
          <w:sz w:val="28"/>
          <w:szCs w:val="28"/>
        </w:rPr>
        <w:t>123</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260DE50A">
      <w:pPr>
        <w:pStyle w:val="23"/>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_Toc29690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第七章 </w:t>
      </w:r>
      <w:r>
        <w:rPr>
          <w:rFonts w:hint="eastAsia" w:ascii="宋体" w:hAnsi="宋体" w:eastAsia="宋体" w:cs="宋体"/>
          <w:sz w:val="28"/>
          <w:szCs w:val="28"/>
          <w:lang w:eastAsia="zh-CN"/>
        </w:rPr>
        <w:t>图纸</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_Toc29690 \h </w:instrText>
      </w:r>
      <w:r>
        <w:rPr>
          <w:rFonts w:hint="eastAsia" w:ascii="宋体" w:hAnsi="宋体" w:eastAsia="宋体" w:cs="宋体"/>
          <w:sz w:val="28"/>
          <w:szCs w:val="28"/>
        </w:rPr>
        <w:fldChar w:fldCharType="separate"/>
      </w:r>
      <w:r>
        <w:rPr>
          <w:rFonts w:hint="eastAsia" w:ascii="宋体" w:hAnsi="宋体" w:eastAsia="宋体" w:cs="宋体"/>
          <w:sz w:val="28"/>
          <w:szCs w:val="28"/>
        </w:rPr>
        <w:t>124</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5DBE0760">
      <w:pPr>
        <w:pStyle w:val="23"/>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_Toc13600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第八章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_Toc13600 \h </w:instrText>
      </w:r>
      <w:r>
        <w:rPr>
          <w:rFonts w:hint="eastAsia" w:ascii="宋体" w:hAnsi="宋体" w:eastAsia="宋体" w:cs="宋体"/>
          <w:sz w:val="28"/>
          <w:szCs w:val="28"/>
        </w:rPr>
        <w:fldChar w:fldCharType="separate"/>
      </w:r>
      <w:r>
        <w:rPr>
          <w:rFonts w:hint="eastAsia" w:ascii="宋体" w:hAnsi="宋体" w:eastAsia="宋体" w:cs="宋体"/>
          <w:sz w:val="28"/>
          <w:szCs w:val="28"/>
        </w:rPr>
        <w:t>125</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5B8B9345">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_Toc31175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一、投标函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_Toc31175 \h </w:instrText>
      </w:r>
      <w:r>
        <w:rPr>
          <w:rFonts w:hint="eastAsia" w:ascii="宋体" w:hAnsi="宋体" w:eastAsia="宋体" w:cs="宋体"/>
          <w:sz w:val="28"/>
          <w:szCs w:val="28"/>
        </w:rPr>
        <w:fldChar w:fldCharType="separate"/>
      </w:r>
      <w:r>
        <w:rPr>
          <w:rFonts w:hint="eastAsia" w:ascii="宋体" w:hAnsi="宋体" w:eastAsia="宋体" w:cs="宋体"/>
          <w:sz w:val="28"/>
          <w:szCs w:val="28"/>
        </w:rPr>
        <w:t>127</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3B3102E5">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_Toc2169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二、投标报价汇总表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_Toc2169 \h </w:instrText>
      </w:r>
      <w:r>
        <w:rPr>
          <w:rFonts w:hint="eastAsia" w:ascii="宋体" w:hAnsi="宋体" w:eastAsia="宋体" w:cs="宋体"/>
          <w:sz w:val="28"/>
          <w:szCs w:val="28"/>
        </w:rPr>
        <w:fldChar w:fldCharType="separate"/>
      </w:r>
      <w:r>
        <w:rPr>
          <w:rFonts w:hint="eastAsia" w:ascii="宋体" w:hAnsi="宋体" w:eastAsia="宋体" w:cs="宋体"/>
          <w:sz w:val="28"/>
          <w:szCs w:val="28"/>
        </w:rPr>
        <w:t>128</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421F25D7">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_Toc10145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三、法定代表人身份证明</w:t>
      </w:r>
      <w:r>
        <w:rPr>
          <w:rFonts w:hint="eastAsia" w:ascii="宋体" w:hAnsi="宋体" w:eastAsia="宋体" w:cs="宋体"/>
          <w:sz w:val="28"/>
          <w:szCs w:val="28"/>
          <w:lang w:eastAsia="zh-CN"/>
        </w:rPr>
        <w:t>及授权委托书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_Toc10145 \h </w:instrText>
      </w:r>
      <w:r>
        <w:rPr>
          <w:rFonts w:hint="eastAsia" w:ascii="宋体" w:hAnsi="宋体" w:eastAsia="宋体" w:cs="宋体"/>
          <w:sz w:val="28"/>
          <w:szCs w:val="28"/>
        </w:rPr>
        <w:fldChar w:fldCharType="separate"/>
      </w:r>
      <w:r>
        <w:rPr>
          <w:rFonts w:hint="eastAsia" w:ascii="宋体" w:hAnsi="宋体" w:eastAsia="宋体" w:cs="宋体"/>
          <w:sz w:val="28"/>
          <w:szCs w:val="28"/>
        </w:rPr>
        <w:t>129</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0E8CE528">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_Toc1252 </w:instrText>
      </w:r>
      <w:r>
        <w:rPr>
          <w:rFonts w:hint="eastAsia" w:ascii="宋体" w:hAnsi="宋体" w:eastAsia="宋体" w:cs="宋体"/>
          <w:sz w:val="28"/>
          <w:szCs w:val="28"/>
          <w:lang w:val="zh-CN"/>
        </w:rPr>
        <w:fldChar w:fldCharType="separate"/>
      </w:r>
      <w:r>
        <w:rPr>
          <w:rFonts w:hint="eastAsia" w:ascii="宋体" w:hAnsi="宋体" w:eastAsia="宋体" w:cs="宋体"/>
          <w:bCs/>
          <w:kern w:val="2"/>
          <w:sz w:val="28"/>
          <w:szCs w:val="28"/>
          <w:lang w:val="en-US" w:eastAsia="zh-CN" w:bidi="ar-SA"/>
        </w:rPr>
        <w:t>四、联合体协议书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_Toc1252 \h </w:instrText>
      </w:r>
      <w:r>
        <w:rPr>
          <w:rFonts w:hint="eastAsia" w:ascii="宋体" w:hAnsi="宋体" w:eastAsia="宋体" w:cs="宋体"/>
          <w:sz w:val="28"/>
          <w:szCs w:val="28"/>
        </w:rPr>
        <w:fldChar w:fldCharType="separate"/>
      </w:r>
      <w:r>
        <w:rPr>
          <w:rFonts w:hint="eastAsia" w:ascii="宋体" w:hAnsi="宋体" w:eastAsia="宋体" w:cs="宋体"/>
          <w:sz w:val="28"/>
          <w:szCs w:val="28"/>
        </w:rPr>
        <w:t>131</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18CFA1FA">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_Toc10136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五、投标保证金</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_Toc10136 \h </w:instrText>
      </w:r>
      <w:r>
        <w:rPr>
          <w:rFonts w:hint="eastAsia" w:ascii="宋体" w:hAnsi="宋体" w:eastAsia="宋体" w:cs="宋体"/>
          <w:sz w:val="28"/>
          <w:szCs w:val="28"/>
        </w:rPr>
        <w:fldChar w:fldCharType="separate"/>
      </w:r>
      <w:r>
        <w:rPr>
          <w:rFonts w:hint="eastAsia" w:ascii="宋体" w:hAnsi="宋体" w:eastAsia="宋体" w:cs="宋体"/>
          <w:sz w:val="28"/>
          <w:szCs w:val="28"/>
        </w:rPr>
        <w:t>132</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46E10F8C">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_Toc4079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六、已标价工程量清单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_Toc4079 \h </w:instrText>
      </w:r>
      <w:r>
        <w:rPr>
          <w:rFonts w:hint="eastAsia" w:ascii="宋体" w:hAnsi="宋体" w:eastAsia="宋体" w:cs="宋体"/>
          <w:sz w:val="28"/>
          <w:szCs w:val="28"/>
        </w:rPr>
        <w:fldChar w:fldCharType="separate"/>
      </w:r>
      <w:r>
        <w:rPr>
          <w:rFonts w:hint="eastAsia" w:ascii="宋体" w:hAnsi="宋体" w:eastAsia="宋体" w:cs="宋体"/>
          <w:sz w:val="28"/>
          <w:szCs w:val="28"/>
        </w:rPr>
        <w:t>133</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3643B506">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_Toc9669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七、施工组织设计</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_Toc9669 \h </w:instrText>
      </w:r>
      <w:r>
        <w:rPr>
          <w:rFonts w:hint="eastAsia" w:ascii="宋体" w:hAnsi="宋体" w:eastAsia="宋体" w:cs="宋体"/>
          <w:sz w:val="28"/>
          <w:szCs w:val="28"/>
        </w:rPr>
        <w:fldChar w:fldCharType="separate"/>
      </w:r>
      <w:r>
        <w:rPr>
          <w:rFonts w:hint="eastAsia" w:ascii="宋体" w:hAnsi="宋体" w:eastAsia="宋体" w:cs="宋体"/>
          <w:sz w:val="28"/>
          <w:szCs w:val="28"/>
        </w:rPr>
        <w:t>134</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2D68A210">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_Toc30503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八、项目管理机构</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_Toc30503 \h </w:instrText>
      </w:r>
      <w:r>
        <w:rPr>
          <w:rFonts w:hint="eastAsia" w:ascii="宋体" w:hAnsi="宋体" w:eastAsia="宋体" w:cs="宋体"/>
          <w:sz w:val="28"/>
          <w:szCs w:val="28"/>
        </w:rPr>
        <w:fldChar w:fldCharType="separate"/>
      </w:r>
      <w:r>
        <w:rPr>
          <w:rFonts w:hint="eastAsia" w:ascii="宋体" w:hAnsi="宋体" w:eastAsia="宋体" w:cs="宋体"/>
          <w:sz w:val="28"/>
          <w:szCs w:val="28"/>
        </w:rPr>
        <w:t>139</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0A07A0CD">
      <w:pPr>
        <w:pStyle w:val="1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_Toc3075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（一）项目管理机构组成表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_Toc3075 \h </w:instrText>
      </w:r>
      <w:r>
        <w:rPr>
          <w:rFonts w:hint="eastAsia" w:ascii="宋体" w:hAnsi="宋体" w:eastAsia="宋体" w:cs="宋体"/>
          <w:sz w:val="28"/>
          <w:szCs w:val="28"/>
        </w:rPr>
        <w:fldChar w:fldCharType="separate"/>
      </w:r>
      <w:r>
        <w:rPr>
          <w:rFonts w:hint="eastAsia" w:ascii="宋体" w:hAnsi="宋体" w:eastAsia="宋体" w:cs="宋体"/>
          <w:sz w:val="28"/>
          <w:szCs w:val="28"/>
        </w:rPr>
        <w:t>140</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3C2BB49A">
      <w:pPr>
        <w:pStyle w:val="1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_Toc11609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（二）主要人员简历表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_Toc11609 \h </w:instrText>
      </w:r>
      <w:r>
        <w:rPr>
          <w:rFonts w:hint="eastAsia" w:ascii="宋体" w:hAnsi="宋体" w:eastAsia="宋体" w:cs="宋体"/>
          <w:sz w:val="28"/>
          <w:szCs w:val="28"/>
        </w:rPr>
        <w:fldChar w:fldCharType="separate"/>
      </w:r>
      <w:r>
        <w:rPr>
          <w:rFonts w:hint="eastAsia" w:ascii="宋体" w:hAnsi="宋体" w:eastAsia="宋体" w:cs="宋体"/>
          <w:sz w:val="28"/>
          <w:szCs w:val="28"/>
        </w:rPr>
        <w:t>141</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12620747">
      <w:pPr>
        <w:pStyle w:val="27"/>
        <w:tabs>
          <w:tab w:val="right" w:leader="dot" w:pos="8312"/>
        </w:tabs>
        <w:spacing w:line="360" w:lineRule="auto"/>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_Toc30920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九、符合性审查资料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_Toc30920 \h </w:instrText>
      </w:r>
      <w:r>
        <w:rPr>
          <w:rFonts w:hint="eastAsia" w:ascii="宋体" w:hAnsi="宋体" w:eastAsia="宋体" w:cs="宋体"/>
          <w:sz w:val="28"/>
          <w:szCs w:val="28"/>
        </w:rPr>
        <w:fldChar w:fldCharType="separate"/>
      </w:r>
      <w:r>
        <w:rPr>
          <w:rFonts w:hint="eastAsia" w:ascii="宋体" w:hAnsi="宋体" w:eastAsia="宋体" w:cs="宋体"/>
          <w:sz w:val="28"/>
          <w:szCs w:val="28"/>
        </w:rPr>
        <w:t>144</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p>
    <w:p w14:paraId="7EE6E26C">
      <w:pPr>
        <w:pStyle w:val="2"/>
        <w:spacing w:line="360" w:lineRule="auto"/>
        <w:jc w:val="center"/>
        <w:rPr>
          <w:rFonts w:hint="eastAsia" w:ascii="宋体" w:hAnsi="宋体" w:eastAsia="宋体" w:cs="宋体"/>
          <w:kern w:val="0"/>
          <w:sz w:val="28"/>
          <w:szCs w:val="28"/>
        </w:rPr>
        <w:sectPr>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AndChars" w:linePitch="312" w:charSpace="0"/>
        </w:sectPr>
      </w:pPr>
      <w:r>
        <w:rPr>
          <w:rFonts w:hint="eastAsia" w:ascii="宋体" w:hAnsi="宋体" w:eastAsia="宋体" w:cs="宋体"/>
          <w:sz w:val="28"/>
          <w:szCs w:val="28"/>
          <w:lang w:val="zh-CN"/>
        </w:rPr>
        <w:fldChar w:fldCharType="end"/>
      </w:r>
    </w:p>
    <w:p w14:paraId="700D0485">
      <w:pPr>
        <w:pStyle w:val="3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outlineLvl w:val="0"/>
        <w:rPr>
          <w:rFonts w:hint="eastAsia" w:asciiTheme="minorEastAsia" w:hAnsiTheme="minorEastAsia" w:eastAsiaTheme="minorEastAsia" w:cstheme="minorEastAsia"/>
          <w:b/>
          <w:sz w:val="32"/>
          <w:szCs w:val="32"/>
          <w:highlight w:val="none"/>
          <w:lang w:eastAsia="zh-CN"/>
        </w:rPr>
      </w:pPr>
      <w:bookmarkStart w:id="1" w:name="_Toc2294"/>
      <w:r>
        <w:rPr>
          <w:rFonts w:hint="eastAsia" w:asciiTheme="minorEastAsia" w:hAnsiTheme="minorEastAsia" w:eastAsiaTheme="minorEastAsia" w:cstheme="minorEastAsia"/>
          <w:b/>
          <w:sz w:val="32"/>
          <w:szCs w:val="32"/>
          <w:highlight w:val="none"/>
          <w:lang w:eastAsia="zh-CN"/>
        </w:rPr>
        <w:t xml:space="preserve"> </w:t>
      </w:r>
      <w:bookmarkStart w:id="2" w:name="_Toc7949"/>
      <w:r>
        <w:rPr>
          <w:rFonts w:hint="eastAsia" w:asciiTheme="minorEastAsia" w:hAnsiTheme="minorEastAsia" w:eastAsiaTheme="minorEastAsia" w:cstheme="minorEastAsia"/>
          <w:b/>
          <w:sz w:val="32"/>
          <w:szCs w:val="32"/>
          <w:highlight w:val="none"/>
          <w:lang w:eastAsia="zh-CN"/>
        </w:rPr>
        <w:t>招标公告</w:t>
      </w:r>
      <w:bookmarkEnd w:id="1"/>
      <w:bookmarkEnd w:id="2"/>
    </w:p>
    <w:p w14:paraId="57D41B2B">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b/>
          <w:sz w:val="32"/>
          <w:szCs w:val="32"/>
          <w:highlight w:val="none"/>
        </w:rPr>
      </w:pPr>
      <w:bookmarkStart w:id="3" w:name="_Toc25126"/>
      <w:r>
        <w:rPr>
          <w:rFonts w:hint="eastAsia" w:asciiTheme="minorEastAsia" w:hAnsiTheme="minorEastAsia" w:eastAsiaTheme="minorEastAsia" w:cstheme="minorEastAsia"/>
          <w:b/>
          <w:sz w:val="32"/>
          <w:szCs w:val="32"/>
          <w:highlight w:val="none"/>
        </w:rPr>
        <w:t xml:space="preserve">商都县十八顷镇袁家村恒温库改扩建项目   </w:t>
      </w:r>
    </w:p>
    <w:p w14:paraId="6AD46874">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sz w:val="32"/>
          <w:szCs w:val="32"/>
          <w:highlight w:val="none"/>
        </w:rPr>
        <w:t>招标公告</w:t>
      </w:r>
      <w:r>
        <w:rPr>
          <w:rFonts w:hint="eastAsia" w:asciiTheme="minorEastAsia" w:hAnsiTheme="minorEastAsia" w:eastAsiaTheme="minorEastAsia" w:cstheme="minorEastAsia"/>
          <w:sz w:val="22"/>
          <w:szCs w:val="22"/>
          <w:highlight w:val="none"/>
        </w:rPr>
        <w:t xml:space="preserve"> </w:t>
      </w:r>
    </w:p>
    <w:p w14:paraId="78132558">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1.招标条件</w:t>
      </w:r>
    </w:p>
    <w:p w14:paraId="0D793567">
      <w:pPr>
        <w:pStyle w:val="2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本招标项目商都县十八顷镇袁家村恒温库改扩建项目已由商都县</w:t>
      </w:r>
      <w:r>
        <w:rPr>
          <w:rFonts w:hint="eastAsia" w:asciiTheme="minorEastAsia" w:hAnsiTheme="minorEastAsia" w:eastAsiaTheme="minorEastAsia" w:cstheme="minorEastAsia"/>
          <w:sz w:val="24"/>
          <w:szCs w:val="24"/>
          <w:lang w:eastAsia="zh-CN"/>
        </w:rPr>
        <w:t>发展和改革委员会</w:t>
      </w:r>
      <w:r>
        <w:rPr>
          <w:rFonts w:hint="eastAsia" w:asciiTheme="minorEastAsia" w:hAnsiTheme="minorEastAsia" w:eastAsiaTheme="minorEastAsia" w:cstheme="minorEastAsia"/>
          <w:sz w:val="24"/>
          <w:szCs w:val="24"/>
        </w:rPr>
        <w:t>批准建设，招标人为</w:t>
      </w:r>
      <w:r>
        <w:rPr>
          <w:rFonts w:hint="eastAsia" w:ascii="宋体" w:hAnsi="宋体" w:eastAsia="宋体"/>
          <w:sz w:val="24"/>
          <w:szCs w:val="24"/>
          <w:lang w:eastAsia="zh-CN"/>
        </w:rPr>
        <w:t>商都县十八顷镇人民政府</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highlight w:val="none"/>
        </w:rPr>
        <w:t>建设资金来</w:t>
      </w:r>
      <w:r>
        <w:rPr>
          <w:rFonts w:hint="eastAsia" w:asciiTheme="minorEastAsia" w:hAnsiTheme="minorEastAsia" w:eastAsiaTheme="minorEastAsia" w:cstheme="minorEastAsia"/>
          <w:color w:val="auto"/>
          <w:sz w:val="24"/>
          <w:szCs w:val="24"/>
          <w:highlight w:val="none"/>
        </w:rPr>
        <w:t>自</w:t>
      </w:r>
      <w:r>
        <w:rPr>
          <w:rFonts w:hint="eastAsia" w:asciiTheme="minorEastAsia" w:hAnsiTheme="minorEastAsia" w:eastAsiaTheme="minorEastAsia" w:cstheme="minorEastAsia"/>
          <w:color w:val="auto"/>
          <w:sz w:val="24"/>
          <w:szCs w:val="24"/>
          <w:highlight w:val="none"/>
          <w:lang w:val="en-US" w:eastAsia="zh-CN"/>
        </w:rPr>
        <w:t>财政</w:t>
      </w:r>
      <w:r>
        <w:rPr>
          <w:rFonts w:hint="eastAsia" w:asciiTheme="minorEastAsia" w:hAnsiTheme="minorEastAsia" w:eastAsiaTheme="minorEastAsia" w:cstheme="minorEastAsia"/>
          <w:sz w:val="24"/>
          <w:szCs w:val="24"/>
        </w:rPr>
        <w:t>，项目已具备招标条件，现采用资格后审的方式对该项目进行公开招标。</w:t>
      </w:r>
    </w:p>
    <w:p w14:paraId="1DBF64D7">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2.项目概况与招标范围</w:t>
      </w:r>
    </w:p>
    <w:p w14:paraId="10760EFA">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2.1招标项目名称：商都县十八顷镇袁家村恒温库改扩建项目  </w:t>
      </w:r>
    </w:p>
    <w:p w14:paraId="2977E90C">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2.2建设地点：</w:t>
      </w:r>
      <w:r>
        <w:rPr>
          <w:rFonts w:hint="eastAsia" w:asciiTheme="minorEastAsia" w:hAnsiTheme="minorEastAsia" w:eastAsiaTheme="minorEastAsia" w:cstheme="minorEastAsia"/>
          <w:sz w:val="24"/>
          <w:szCs w:val="24"/>
          <w:lang w:val="en-US" w:eastAsia="zh-CN"/>
        </w:rPr>
        <w:t>商都县十八顷袁家村</w:t>
      </w:r>
      <w:r>
        <w:rPr>
          <w:rFonts w:hint="eastAsia" w:ascii="宋体" w:hAnsi="宋体" w:eastAsia="宋体"/>
          <w:sz w:val="24"/>
          <w:szCs w:val="24"/>
          <w:lang w:eastAsia="zh-CN"/>
        </w:rPr>
        <w:t>。</w:t>
      </w:r>
    </w:p>
    <w:p w14:paraId="5785BF6C">
      <w:pPr>
        <w:pStyle w:val="29"/>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2.3招标规模：项目总占地面积10748.56平方米</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其中</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新建恒温库1座建筑面积561平方米、恒温库设备机房1座建筑面积50平方米、卸车棚1座建筑面积450平方米、包装材料库1座建筑面积100平方米，改造冷库150平方米，以及其他相关附属工程及设备</w:t>
      </w:r>
      <w:r>
        <w:rPr>
          <w:rFonts w:hint="eastAsia" w:asciiTheme="minorEastAsia" w:hAnsiTheme="minorEastAsia" w:eastAsiaTheme="minorEastAsia" w:cstheme="minorEastAsia"/>
          <w:sz w:val="24"/>
          <w:szCs w:val="24"/>
          <w:lang w:val="en-US" w:eastAsia="zh-CN"/>
        </w:rPr>
        <w:t>。（具体内容详见工程量清单）</w:t>
      </w:r>
    </w:p>
    <w:p w14:paraId="50EAEE15">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2.4项目计划投资：</w:t>
      </w:r>
      <w:r>
        <w:rPr>
          <w:rFonts w:hint="eastAsia" w:asciiTheme="minorEastAsia" w:hAnsiTheme="minorEastAsia" w:eastAsiaTheme="minorEastAsia" w:cstheme="minorEastAsia"/>
          <w:sz w:val="24"/>
          <w:szCs w:val="24"/>
          <w:lang w:val="en-US" w:eastAsia="zh-CN"/>
        </w:rPr>
        <w:t>400</w:t>
      </w:r>
      <w:r>
        <w:rPr>
          <w:rFonts w:hint="eastAsia" w:asciiTheme="minorEastAsia" w:hAnsiTheme="minorEastAsia" w:eastAsiaTheme="minorEastAsia" w:cstheme="minorEastAsia"/>
          <w:sz w:val="24"/>
          <w:szCs w:val="24"/>
        </w:rPr>
        <w:t>万元</w:t>
      </w:r>
    </w:p>
    <w:p w14:paraId="5FECB11A">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2.5标段划分：</w:t>
      </w:r>
    </w:p>
    <w:tbl>
      <w:tblPr>
        <w:tblStyle w:val="35"/>
        <w:tblW w:w="9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9"/>
        <w:gridCol w:w="2235"/>
        <w:gridCol w:w="1935"/>
        <w:gridCol w:w="3012"/>
      </w:tblGrid>
      <w:tr w14:paraId="47225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299" w:type="dxa"/>
            <w:vAlign w:val="center"/>
          </w:tcPr>
          <w:p w14:paraId="70D7758A">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标段编号</w:t>
            </w:r>
          </w:p>
        </w:tc>
        <w:tc>
          <w:tcPr>
            <w:tcW w:w="2235" w:type="dxa"/>
            <w:vAlign w:val="center"/>
          </w:tcPr>
          <w:p w14:paraId="12DD6F55">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val="en-US" w:eastAsia="zh-CN"/>
              </w:rPr>
            </w:pPr>
          </w:p>
        </w:tc>
        <w:tc>
          <w:tcPr>
            <w:tcW w:w="1935" w:type="dxa"/>
            <w:vAlign w:val="center"/>
          </w:tcPr>
          <w:p w14:paraId="1BCB3C08">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val="en-US" w:eastAsia="zh-CN"/>
              </w:rPr>
              <w:t>标段</w:t>
            </w:r>
            <w:r>
              <w:rPr>
                <w:rFonts w:hint="eastAsia" w:asciiTheme="minorEastAsia" w:hAnsiTheme="minorEastAsia" w:eastAsiaTheme="minorEastAsia" w:cstheme="minorEastAsia"/>
                <w:sz w:val="24"/>
                <w:szCs w:val="24"/>
                <w:vertAlign w:val="baseline"/>
                <w:lang w:eastAsia="zh-CN"/>
              </w:rPr>
              <w:t>名称</w:t>
            </w:r>
          </w:p>
        </w:tc>
        <w:tc>
          <w:tcPr>
            <w:tcW w:w="3012" w:type="dxa"/>
            <w:vAlign w:val="center"/>
          </w:tcPr>
          <w:p w14:paraId="28A140B1">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商都县十八顷镇袁家村恒温库改扩建项目</w:t>
            </w:r>
          </w:p>
        </w:tc>
      </w:tr>
      <w:tr w14:paraId="150F6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299" w:type="dxa"/>
            <w:vAlign w:val="center"/>
          </w:tcPr>
          <w:p w14:paraId="7EA1399B">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招标范围</w:t>
            </w:r>
          </w:p>
        </w:tc>
        <w:tc>
          <w:tcPr>
            <w:tcW w:w="7182" w:type="dxa"/>
            <w:gridSpan w:val="3"/>
            <w:vAlign w:val="center"/>
          </w:tcPr>
          <w:p w14:paraId="1555AC22">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rPr>
            </w:pPr>
          </w:p>
        </w:tc>
      </w:tr>
      <w:tr w14:paraId="51C9B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299" w:type="dxa"/>
            <w:vAlign w:val="center"/>
          </w:tcPr>
          <w:p w14:paraId="2F40C890">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合同估算价（万元）</w:t>
            </w:r>
          </w:p>
        </w:tc>
        <w:tc>
          <w:tcPr>
            <w:tcW w:w="2235" w:type="dxa"/>
            <w:vAlign w:val="center"/>
          </w:tcPr>
          <w:p w14:paraId="6BEB591D">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vertAlign w:val="baseline"/>
                <w:lang w:val="en-US" w:eastAsia="zh-CN"/>
              </w:rPr>
            </w:pPr>
          </w:p>
        </w:tc>
        <w:tc>
          <w:tcPr>
            <w:tcW w:w="1935" w:type="dxa"/>
            <w:vAlign w:val="center"/>
          </w:tcPr>
          <w:p w14:paraId="2B711375">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工期（日历天）</w:t>
            </w:r>
          </w:p>
        </w:tc>
        <w:tc>
          <w:tcPr>
            <w:tcW w:w="3012" w:type="dxa"/>
            <w:vAlign w:val="center"/>
          </w:tcPr>
          <w:p w14:paraId="15D16BEA">
            <w:pPr>
              <w:pStyle w:val="2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150</w:t>
            </w:r>
          </w:p>
        </w:tc>
      </w:tr>
    </w:tbl>
    <w:p w14:paraId="78B5EA58">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3.投标人资格要求</w:t>
      </w:r>
    </w:p>
    <w:p w14:paraId="2FB54872">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3.1本次招标所有标段接收联合体投标。联合体投标的，应满足下列要求： </w:t>
      </w:r>
    </w:p>
    <w:p w14:paraId="51C44BB6">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lang w:val="en-US" w:eastAsia="zh-CN" w:bidi="ar-SA"/>
        </w:rPr>
        <w:t>3.1.1</w:t>
      </w:r>
      <w:r>
        <w:rPr>
          <w:rFonts w:hint="eastAsia" w:asciiTheme="minorEastAsia" w:hAnsiTheme="minorEastAsia" w:eastAsiaTheme="minorEastAsia" w:cstheme="minorEastAsia"/>
          <w:sz w:val="24"/>
          <w:szCs w:val="24"/>
        </w:rPr>
        <w:t xml:space="preserve">由同一专业的单位组成的联合体，按照资质等级较低的单位确定资质等级。 </w:t>
      </w:r>
    </w:p>
    <w:p w14:paraId="0DA134CD">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lang w:val="en-US" w:eastAsia="zh-CN" w:bidi="ar-SA"/>
        </w:rPr>
        <w:t>3.1.2</w:t>
      </w:r>
      <w:r>
        <w:rPr>
          <w:rFonts w:hint="eastAsia" w:asciiTheme="minorEastAsia" w:hAnsiTheme="minorEastAsia" w:eastAsiaTheme="minorEastAsia" w:cstheme="minorEastAsia"/>
          <w:sz w:val="24"/>
          <w:szCs w:val="24"/>
        </w:rPr>
        <w:t>签订联合体投标协议书，明确约定各方拟承担的工作和责任</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联合体中标的，联合体各方应当共同与招标人签订合同，就中标项目向招标人承担连带责任。 </w:t>
      </w:r>
    </w:p>
    <w:p w14:paraId="45DAC7E7">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lang w:val="en-US" w:eastAsia="zh-CN" w:bidi="ar-SA"/>
        </w:rPr>
        <w:t>3.1.3</w:t>
      </w:r>
      <w:r>
        <w:rPr>
          <w:rFonts w:hint="eastAsia" w:asciiTheme="minorEastAsia" w:hAnsiTheme="minorEastAsia" w:eastAsiaTheme="minorEastAsia" w:cstheme="minorEastAsia"/>
          <w:sz w:val="24"/>
          <w:szCs w:val="24"/>
        </w:rPr>
        <w:t xml:space="preserve">联合体各方不得再以自己的名义单独或参加其他联合体在同一标段中投标，否则其投标和与此相关的联合体投标将被拒绝。 </w:t>
      </w:r>
    </w:p>
    <w:p w14:paraId="2323A6DF">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lang w:val="en-US" w:eastAsia="zh-CN" w:bidi="ar-SA"/>
        </w:rPr>
        <w:t>3.1.4</w:t>
      </w:r>
      <w:r>
        <w:rPr>
          <w:rFonts w:hint="eastAsia" w:asciiTheme="minorEastAsia" w:hAnsiTheme="minorEastAsia" w:eastAsiaTheme="minorEastAsia" w:cstheme="minorEastAsia"/>
          <w:sz w:val="24"/>
          <w:szCs w:val="24"/>
        </w:rPr>
        <w:t xml:space="preserve">由联合体牵头人进行投标与提交投标保证金。以联合体牵头人名义提交的投标保证金对联合体各成员具有约束力。 </w:t>
      </w:r>
    </w:p>
    <w:p w14:paraId="6AB68469">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3.1.5</w:t>
      </w:r>
      <w:r>
        <w:rPr>
          <w:rFonts w:hint="eastAsia" w:asciiTheme="minorEastAsia" w:hAnsiTheme="minorEastAsia" w:eastAsiaTheme="minorEastAsia" w:cstheme="minorEastAsia"/>
          <w:sz w:val="24"/>
          <w:szCs w:val="24"/>
        </w:rPr>
        <w:t>支持央企与自治区建筑业企业、区外建筑业企业与自治区中小微建筑业企业、自治区龙头企业与自治区中小微建筑业企业或者民营建筑业企业组成联合体投标，联合体成员单位工作量不低于联合体投标标段工作量40%。</w:t>
      </w:r>
    </w:p>
    <w:p w14:paraId="0A006DDF">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投标资格能力要求：</w:t>
      </w:r>
    </w:p>
    <w:p w14:paraId="0BF358B3">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3.2.1</w:t>
      </w:r>
      <w:r>
        <w:rPr>
          <w:rFonts w:hint="eastAsia" w:asciiTheme="minorEastAsia" w:hAnsiTheme="minorEastAsia" w:eastAsiaTheme="minorEastAsia" w:cstheme="minorEastAsia"/>
          <w:sz w:val="24"/>
          <w:szCs w:val="24"/>
        </w:rPr>
        <w:t xml:space="preserve">在中华人民共和国境内注册的合法经营企业法人； </w:t>
      </w:r>
    </w:p>
    <w:p w14:paraId="1B4E31C6">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3.2.2</w:t>
      </w:r>
      <w:r>
        <w:rPr>
          <w:rFonts w:hint="eastAsia" w:asciiTheme="minorEastAsia" w:hAnsiTheme="minorEastAsia" w:eastAsiaTheme="minorEastAsia" w:cstheme="minorEastAsia"/>
          <w:sz w:val="24"/>
          <w:szCs w:val="24"/>
        </w:rPr>
        <w:t>须具备建设行政主管部门核发的</w:t>
      </w:r>
      <w:r>
        <w:rPr>
          <w:rFonts w:hint="eastAsia" w:asciiTheme="minorEastAsia" w:hAnsiTheme="minorEastAsia" w:eastAsiaTheme="minorEastAsia" w:cstheme="minorEastAsia"/>
          <w:sz w:val="24"/>
          <w:szCs w:val="24"/>
          <w:lang w:val="en-US" w:eastAsia="zh-CN"/>
        </w:rPr>
        <w:t>建筑工程施工总承包叁级及以上资质</w:t>
      </w:r>
      <w:r>
        <w:rPr>
          <w:rFonts w:hint="eastAsia" w:asciiTheme="minorEastAsia" w:hAnsiTheme="minorEastAsia" w:eastAsiaTheme="minorEastAsia" w:cstheme="minorEastAsia"/>
          <w:sz w:val="24"/>
          <w:szCs w:val="24"/>
        </w:rPr>
        <w:t xml:space="preserve">(有效期内)并具有安全生产许可证(有效期内)，并在人员、设备、财务、业绩等方面具有相应的施工能力，具有良好的商业信誉； </w:t>
      </w:r>
    </w:p>
    <w:p w14:paraId="3760DE3A">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3.2.3</w:t>
      </w:r>
      <w:r>
        <w:rPr>
          <w:rFonts w:hint="eastAsia" w:asciiTheme="minorEastAsia" w:hAnsiTheme="minorEastAsia" w:eastAsiaTheme="minorEastAsia" w:cstheme="minorEastAsia"/>
          <w:sz w:val="24"/>
          <w:szCs w:val="24"/>
        </w:rPr>
        <w:t>拟派项目经理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如为联合体，须牵头单位提供</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须为注册在本企业的建筑工程专业二级及以上注册建造师且具有B类安全生产考核合格证(有效期内)，未担任其他在建工程项目的项目经理； </w:t>
      </w:r>
    </w:p>
    <w:p w14:paraId="1A5905CE">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3.2.4</w:t>
      </w:r>
      <w:r>
        <w:rPr>
          <w:rFonts w:hint="eastAsia" w:asciiTheme="minorEastAsia" w:hAnsiTheme="minorEastAsia" w:eastAsiaTheme="minorEastAsia" w:cstheme="minorEastAsia"/>
          <w:sz w:val="24"/>
          <w:szCs w:val="24"/>
        </w:rPr>
        <w:t xml:space="preserve">投标人通过“信用中国”网页（www.creditchina.gov.cn）查询，未被列入失信被执行人和重大税收违法失信主体名单；“国家企业信用信息公示系统”（www.gsxt.gov.cn）内未被列入严重违法失信企业名单。 </w:t>
      </w:r>
    </w:p>
    <w:p w14:paraId="236BA24B">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3.2.5</w:t>
      </w:r>
      <w:r>
        <w:rPr>
          <w:rFonts w:hint="eastAsia" w:asciiTheme="minorEastAsia" w:hAnsiTheme="minorEastAsia" w:eastAsiaTheme="minorEastAsia" w:cstheme="minorEastAsia"/>
          <w:sz w:val="24"/>
          <w:szCs w:val="24"/>
        </w:rPr>
        <w:t xml:space="preserve">投标人没有处于被责令停业、财产被接管、冻结、破产状态； </w:t>
      </w:r>
    </w:p>
    <w:p w14:paraId="3545BAA2">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3.2.6</w:t>
      </w:r>
      <w:r>
        <w:rPr>
          <w:rFonts w:hint="eastAsia" w:asciiTheme="minorEastAsia" w:hAnsiTheme="minorEastAsia" w:eastAsiaTheme="minorEastAsia" w:cstheme="minorEastAsia"/>
          <w:sz w:val="24"/>
          <w:szCs w:val="24"/>
        </w:rPr>
        <w:t>单位负责人为同一人或者存在控股、管理关系的不同单位，不得同时参加投标，否则相关投标均无效。</w:t>
      </w:r>
    </w:p>
    <w:p w14:paraId="16B4F4A8">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3.3其他要求：无</w:t>
      </w:r>
    </w:p>
    <w:p w14:paraId="6616C37B">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4.招标文件的获取</w:t>
      </w:r>
    </w:p>
    <w:p w14:paraId="07CC8480">
      <w:pPr>
        <w:pStyle w:val="2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凡有意参加投标者，请于</w:t>
      </w:r>
      <w:r>
        <w:rPr>
          <w:rFonts w:hint="eastAsia" w:asciiTheme="minorEastAsia" w:hAnsiTheme="minorEastAsia" w:eastAsiaTheme="minorEastAsia" w:cstheme="minorEastAsia"/>
          <w:sz w:val="24"/>
          <w:szCs w:val="24"/>
          <w:highlight w:val="none"/>
        </w:rPr>
        <w:t>202</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FFFFFF" w:themeColor="background1"/>
          <w:sz w:val="24"/>
          <w:szCs w:val="24"/>
          <w:highlight w:val="none"/>
          <w:lang w:val="en-US" w:eastAsia="zh-CN"/>
          <w14:textFill>
            <w14:solidFill>
              <w14:schemeClr w14:val="bg1"/>
            </w14:solidFill>
          </w14:textFill>
        </w:rPr>
        <w:t>04</w:t>
      </w:r>
      <w:r>
        <w:rPr>
          <w:rFonts w:hint="eastAsia" w:asciiTheme="minorEastAsia" w:hAnsiTheme="minorEastAsia" w:eastAsiaTheme="minorEastAsia" w:cstheme="minorEastAsia"/>
          <w:color w:val="FFFFFF" w:themeColor="background1"/>
          <w:sz w:val="24"/>
          <w:szCs w:val="24"/>
          <w:highlight w:val="none"/>
          <w14:textFill>
            <w14:solidFill>
              <w14:schemeClr w14:val="bg1"/>
            </w14:solidFill>
          </w14:textFill>
        </w:rPr>
        <w:t>-</w:t>
      </w:r>
      <w:r>
        <w:rPr>
          <w:rFonts w:hint="eastAsia" w:asciiTheme="minorEastAsia" w:hAnsiTheme="minorEastAsia" w:eastAsiaTheme="minorEastAsia" w:cstheme="minorEastAsia"/>
          <w:color w:val="FFFFFF" w:themeColor="background1"/>
          <w:sz w:val="24"/>
          <w:szCs w:val="24"/>
          <w:highlight w:val="none"/>
          <w:lang w:val="en-US" w:eastAsia="zh-CN"/>
          <w14:textFill>
            <w14:solidFill>
              <w14:schemeClr w14:val="bg1"/>
            </w14:solidFill>
          </w14:textFill>
        </w:rPr>
        <w:t>30</w:t>
      </w:r>
      <w:r>
        <w:rPr>
          <w:rFonts w:hint="eastAsia" w:asciiTheme="minorEastAsia" w:hAnsiTheme="minorEastAsia" w:eastAsiaTheme="minorEastAsia" w:cstheme="minorEastAsia"/>
          <w:color w:val="auto"/>
          <w:sz w:val="24"/>
          <w:szCs w:val="24"/>
          <w:highlight w:val="none"/>
        </w:rPr>
        <w:t xml:space="preserve"> 10:00 至 2026-</w:t>
      </w:r>
      <w:r>
        <w:rPr>
          <w:rFonts w:hint="eastAsia" w:asciiTheme="minorEastAsia" w:hAnsiTheme="minorEastAsia" w:eastAsiaTheme="minorEastAsia" w:cstheme="minorEastAsia"/>
          <w:color w:val="FFFFFF" w:themeColor="background1"/>
          <w:sz w:val="24"/>
          <w:szCs w:val="24"/>
          <w:highlight w:val="none"/>
          <w:lang w:val="en-US" w:eastAsia="zh-CN"/>
          <w14:textFill>
            <w14:solidFill>
              <w14:schemeClr w14:val="bg1"/>
            </w14:solidFill>
          </w14:textFill>
        </w:rPr>
        <w:t>05</w:t>
      </w:r>
      <w:r>
        <w:rPr>
          <w:rFonts w:hint="eastAsia" w:asciiTheme="minorEastAsia" w:hAnsiTheme="minorEastAsia" w:eastAsiaTheme="minorEastAsia" w:cstheme="minorEastAsia"/>
          <w:color w:val="FFFFFF" w:themeColor="background1"/>
          <w:sz w:val="24"/>
          <w:szCs w:val="24"/>
          <w:highlight w:val="none"/>
          <w14:textFill>
            <w14:solidFill>
              <w14:schemeClr w14:val="bg1"/>
            </w14:solidFill>
          </w14:textFill>
        </w:rPr>
        <w:t>-</w:t>
      </w:r>
      <w:r>
        <w:rPr>
          <w:rFonts w:hint="eastAsia" w:asciiTheme="minorEastAsia" w:hAnsiTheme="minorEastAsia" w:eastAsiaTheme="minorEastAsia" w:cstheme="minorEastAsia"/>
          <w:color w:val="FFFFFF" w:themeColor="background1"/>
          <w:sz w:val="24"/>
          <w:szCs w:val="24"/>
          <w:highlight w:val="none"/>
          <w:lang w:val="en-US" w:eastAsia="zh-CN"/>
          <w14:textFill>
            <w14:solidFill>
              <w14:schemeClr w14:val="bg1"/>
            </w14:solidFill>
          </w14:textFill>
        </w:rPr>
        <w:t>20</w:t>
      </w:r>
      <w:r>
        <w:rPr>
          <w:rFonts w:hint="eastAsia" w:asciiTheme="minorEastAsia" w:hAnsiTheme="minorEastAsia" w:eastAsiaTheme="minorEastAsia" w:cstheme="minorEastAsia"/>
          <w:color w:val="auto"/>
          <w:sz w:val="24"/>
          <w:szCs w:val="24"/>
          <w:highlight w:val="none"/>
        </w:rPr>
        <w:t xml:space="preserve"> 10:</w:t>
      </w:r>
      <w:r>
        <w:rPr>
          <w:rFonts w:hint="eastAsia" w:asciiTheme="minorEastAsia" w:hAnsiTheme="minorEastAsia" w:eastAsiaTheme="minorEastAsia" w:cstheme="minorEastAsia"/>
          <w:sz w:val="24"/>
          <w:szCs w:val="24"/>
          <w:highlight w:val="none"/>
        </w:rPr>
        <w:t>00</w:t>
      </w:r>
      <w:r>
        <w:rPr>
          <w:rFonts w:hint="eastAsia" w:asciiTheme="minorEastAsia" w:hAnsiTheme="minorEastAsia" w:eastAsiaTheme="minorEastAsia" w:cstheme="minorEastAsia"/>
          <w:sz w:val="24"/>
          <w:szCs w:val="24"/>
        </w:rPr>
        <w:t>（北京时间，下同)，通过请登录《内蒙古自治区工程项目项目交易系统》（https://219.148.175.179:9443/tpbidder），领取格式为"nmgzf\"的招标文件。领取后使用"投标文件制作工具（内蒙古）"打开查看。</w:t>
      </w:r>
    </w:p>
    <w:p w14:paraId="1442EA50">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5.投标文件的递交</w:t>
      </w:r>
    </w:p>
    <w:p w14:paraId="77D44090">
      <w:pPr>
        <w:pStyle w:val="2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投标文件递交的截止时间（投标截止时间，下同）为</w:t>
      </w:r>
      <w:r>
        <w:rPr>
          <w:rFonts w:hint="eastAsia" w:asciiTheme="minorEastAsia" w:hAnsiTheme="minorEastAsia" w:eastAsiaTheme="minorEastAsia" w:cstheme="minorEastAsia"/>
          <w:color w:val="auto"/>
          <w:sz w:val="24"/>
          <w:szCs w:val="24"/>
          <w:highlight w:val="none"/>
        </w:rPr>
        <w:t>2026-</w:t>
      </w:r>
      <w:r>
        <w:rPr>
          <w:rFonts w:hint="eastAsia" w:asciiTheme="minorEastAsia" w:hAnsiTheme="minorEastAsia" w:eastAsiaTheme="minorEastAsia" w:cstheme="minorEastAsia"/>
          <w:color w:val="FFFFFF" w:themeColor="background1"/>
          <w:sz w:val="24"/>
          <w:szCs w:val="24"/>
          <w:highlight w:val="none"/>
          <w:lang w:val="en-US" w:eastAsia="zh-CN"/>
          <w14:textFill>
            <w14:solidFill>
              <w14:schemeClr w14:val="bg1"/>
            </w14:solidFill>
          </w14:textFill>
        </w:rPr>
        <w:t>05</w:t>
      </w:r>
      <w:r>
        <w:rPr>
          <w:rFonts w:hint="eastAsia" w:asciiTheme="minorEastAsia" w:hAnsiTheme="minorEastAsia" w:eastAsiaTheme="minorEastAsia" w:cstheme="minorEastAsia"/>
          <w:color w:val="FFFFFF" w:themeColor="background1"/>
          <w:sz w:val="24"/>
          <w:szCs w:val="24"/>
          <w:highlight w:val="none"/>
          <w14:textFill>
            <w14:solidFill>
              <w14:schemeClr w14:val="bg1"/>
            </w14:solidFill>
          </w14:textFill>
        </w:rPr>
        <w:t>-</w:t>
      </w:r>
      <w:r>
        <w:rPr>
          <w:rFonts w:hint="eastAsia" w:asciiTheme="minorEastAsia" w:hAnsiTheme="minorEastAsia" w:eastAsiaTheme="minorEastAsia" w:cstheme="minorEastAsia"/>
          <w:color w:val="FFFFFF" w:themeColor="background1"/>
          <w:sz w:val="24"/>
          <w:szCs w:val="24"/>
          <w:highlight w:val="none"/>
          <w:lang w:val="en-US" w:eastAsia="zh-CN"/>
          <w14:textFill>
            <w14:solidFill>
              <w14:schemeClr w14:val="bg1"/>
            </w14:solidFill>
          </w14:textFill>
        </w:rPr>
        <w:t>20</w:t>
      </w:r>
      <w:r>
        <w:rPr>
          <w:rFonts w:hint="eastAsia" w:asciiTheme="minorEastAsia" w:hAnsiTheme="minorEastAsia" w:eastAsiaTheme="minorEastAsia" w:cstheme="minorEastAsia"/>
          <w:color w:val="auto"/>
          <w:sz w:val="24"/>
          <w:szCs w:val="24"/>
          <w:highlight w:val="none"/>
        </w:rPr>
        <w:t xml:space="preserve"> 10:00</w:t>
      </w:r>
      <w:r>
        <w:rPr>
          <w:rFonts w:hint="eastAsia" w:asciiTheme="minorEastAsia" w:hAnsiTheme="minorEastAsia" w:eastAsiaTheme="minorEastAsia" w:cstheme="minorEastAsia"/>
          <w:color w:val="auto"/>
          <w:sz w:val="24"/>
          <w:szCs w:val="24"/>
        </w:rPr>
        <w:t>，投标人应在截止时间前通过登录内蒙古自治区工程建设电子招投标交易平台，将加密</w:t>
      </w:r>
      <w:r>
        <w:rPr>
          <w:rFonts w:hint="eastAsia" w:asciiTheme="minorEastAsia" w:hAnsiTheme="minorEastAsia" w:eastAsiaTheme="minorEastAsia" w:cstheme="minorEastAsia"/>
          <w:sz w:val="24"/>
          <w:szCs w:val="24"/>
        </w:rPr>
        <w:t>版电子投标文件上传至系统，如果是双信封，需将一信封和二信封分别上传。</w:t>
      </w:r>
    </w:p>
    <w:p w14:paraId="3027F165">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6.发布公告的媒介</w:t>
      </w:r>
    </w:p>
    <w:p w14:paraId="6698A1E3">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本次招标公告同时在内蒙古自治区公共资源交易网（http://ggzyjy.nmg.gov.cn）、</w:t>
      </w:r>
    </w:p>
    <w:p w14:paraId="78EF5266">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中国招标投标公共服务平台（http://www.cebpubservice.com）、</w:t>
      </w:r>
    </w:p>
    <w:p w14:paraId="5B27D4D3">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内蒙古招标投标公共服务平台（http://www.nmgztb.com.cn）上发布。</w:t>
      </w:r>
    </w:p>
    <w:p w14:paraId="1190DCD2">
      <w:pPr>
        <w:pStyle w:val="29"/>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其他说明</w:t>
      </w:r>
    </w:p>
    <w:p w14:paraId="21571753">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7.1 项目类别：工程建设项目招标投标，项目内容：房屋建筑和市政基础设施工程</w:t>
      </w:r>
    </w:p>
    <w:p w14:paraId="516B071C">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7.2 按照《中华人民共和国招标投标法》《电子招标投标办法》（国家发展和改革委员会等八部委令第20号）等相关规定，招标人和中标人应当自中标通知书发出之日起三十日内，按照招标文件和中标人的投标文件订立书面合同，通过公共资源交易平台在线签订或备案交易合同。</w:t>
      </w:r>
    </w:p>
    <w:p w14:paraId="5815E9A8">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8.联系方式</w:t>
      </w:r>
    </w:p>
    <w:p w14:paraId="7D762564">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 标 人：商都县十八顷镇人民政府</w:t>
      </w:r>
    </w:p>
    <w:p w14:paraId="7EBDDCE2">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  址：乌兰察布市商都县</w:t>
      </w:r>
    </w:p>
    <w:p w14:paraId="262FEAA7">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联 系 人：</w:t>
      </w:r>
      <w:r>
        <w:rPr>
          <w:rFonts w:hint="eastAsia" w:asciiTheme="minorEastAsia" w:hAnsiTheme="minorEastAsia" w:eastAsiaTheme="minorEastAsia" w:cstheme="minorEastAsia"/>
          <w:sz w:val="24"/>
          <w:szCs w:val="24"/>
          <w:highlight w:val="none"/>
          <w:lang w:val="zh-CN"/>
        </w:rPr>
        <w:t>孔祥睿</w:t>
      </w:r>
    </w:p>
    <w:p w14:paraId="6390BBD3">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联系电话：</w:t>
      </w:r>
      <w:r>
        <w:rPr>
          <w:rFonts w:hint="eastAsia" w:asciiTheme="minorEastAsia" w:hAnsiTheme="minorEastAsia" w:eastAsiaTheme="minorEastAsia" w:cstheme="minorEastAsia"/>
          <w:sz w:val="24"/>
          <w:szCs w:val="24"/>
          <w:highlight w:val="none"/>
          <w:lang w:val="en-US" w:eastAsia="zh-CN"/>
        </w:rPr>
        <w:t>16604749032</w:t>
      </w:r>
    </w:p>
    <w:p w14:paraId="40EAFBB7">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w:t>
      </w:r>
    </w:p>
    <w:p w14:paraId="678B32CE">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招标代理：内蒙古祥和项目管理有限公司</w:t>
      </w:r>
    </w:p>
    <w:p w14:paraId="0ECE6AAF">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地  址：</w:t>
      </w:r>
      <w:r>
        <w:rPr>
          <w:rFonts w:hint="eastAsia" w:asciiTheme="minorEastAsia" w:hAnsiTheme="minorEastAsia" w:eastAsiaTheme="minorEastAsia" w:cstheme="minorEastAsia"/>
          <w:sz w:val="24"/>
          <w:szCs w:val="24"/>
          <w:lang w:eastAsia="zh-CN"/>
        </w:rPr>
        <w:t>乌兰察布市集宁区察哈尔东街</w:t>
      </w:r>
      <w:r>
        <w:rPr>
          <w:rFonts w:hint="eastAsia" w:asciiTheme="minorEastAsia" w:hAnsiTheme="minorEastAsia" w:eastAsiaTheme="minorEastAsia" w:cstheme="minorEastAsia"/>
          <w:sz w:val="24"/>
          <w:szCs w:val="24"/>
          <w:lang w:val="en-US" w:eastAsia="zh-CN"/>
        </w:rPr>
        <w:t>京蒙人才科创大厦</w:t>
      </w:r>
      <w:r>
        <w:rPr>
          <w:rFonts w:hint="eastAsia" w:asciiTheme="minorEastAsia" w:hAnsiTheme="minorEastAsia" w:eastAsiaTheme="minorEastAsia" w:cstheme="minorEastAsia"/>
          <w:sz w:val="24"/>
          <w:szCs w:val="24"/>
          <w:lang w:eastAsia="zh-CN"/>
        </w:rPr>
        <w:t>B座11楼</w:t>
      </w:r>
    </w:p>
    <w:p w14:paraId="5848616E">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 系 人：</w:t>
      </w:r>
      <w:r>
        <w:rPr>
          <w:rFonts w:hint="eastAsia" w:asciiTheme="minorEastAsia" w:hAnsiTheme="minorEastAsia" w:eastAsiaTheme="minorEastAsia" w:cstheme="minorEastAsia"/>
          <w:sz w:val="24"/>
          <w:szCs w:val="24"/>
          <w:lang w:eastAsia="zh-CN"/>
        </w:rPr>
        <w:t>陈晓萌</w:t>
      </w:r>
    </w:p>
    <w:p w14:paraId="6B921695">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lang w:val="en-US" w:eastAsia="zh-CN"/>
        </w:rPr>
        <w:t>15247409735</w:t>
      </w:r>
    </w:p>
    <w:p w14:paraId="04FC0046">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行业监管：</w:t>
      </w:r>
      <w:r>
        <w:rPr>
          <w:rFonts w:hint="eastAsia" w:asciiTheme="minorEastAsia" w:hAnsiTheme="minorEastAsia" w:eastAsiaTheme="minorEastAsia" w:cstheme="minorEastAsia"/>
          <w:sz w:val="24"/>
          <w:szCs w:val="24"/>
          <w:lang w:val="en-US" w:eastAsia="zh-CN"/>
        </w:rPr>
        <w:t>商都县农牧局</w:t>
      </w:r>
    </w:p>
    <w:p w14:paraId="38CDA3EC">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  址：乌兰察布市商都县</w:t>
      </w:r>
    </w:p>
    <w:p w14:paraId="08F2EEEC">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 系 人：</w:t>
      </w:r>
    </w:p>
    <w:p w14:paraId="10A8CC26">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联系电话：</w:t>
      </w:r>
    </w:p>
    <w:p w14:paraId="68E52965">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9.提出异议的渠道和方式</w:t>
      </w:r>
    </w:p>
    <w:p w14:paraId="7F0C1E20">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投标人或者其他利害关系人如有异议可通过内蒙古公共资源交易中心工程项目交易系统在线提交异议，并通过本公告注明的招标人联系方式向招标人反馈。</w:t>
      </w:r>
    </w:p>
    <w:p w14:paraId="0FEC1ABD">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10.投标注意事项：</w:t>
      </w:r>
    </w:p>
    <w:p w14:paraId="4B16E02F">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10.1领取招标文件登录地址：请登录《内蒙古自治区工程项目交易系统》（https://219.148.175.179:9443/tpbidder），领取格式为“nmgzf"的招标文件。领取后使用“投标文件制作工具（内蒙古）”打开查看。</w:t>
      </w:r>
    </w:p>
    <w:p w14:paraId="5DFBB76E">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10.2请使用投标文件制作工具查看投标文件内容并编辑电子版投标文件，工具下载地址：</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"https://download.bqpoint.com/?SourceFrom=Ztb&amp;ZtbSoftXiaQuCode=0822&amp;ZtbSoftType=tballinclusive&amp;SoftGuid=1fd27c68-363d-48a0-a418-cb4ad6bae09e&amp;RootGuid=a7b335b5-2d2a-4323-a16c-e204c351557f&amp;softtypecode=03" \t "https://219.148.175.179:9443/tpframe/jsgc/zhaobiaogg/_blank"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【请点击下载】</w:t>
      </w:r>
      <w:r>
        <w:rPr>
          <w:rFonts w:hint="eastAsia" w:asciiTheme="minorEastAsia" w:hAnsiTheme="minorEastAsia" w:eastAsiaTheme="minorEastAsia" w:cstheme="minorEastAsia"/>
          <w:sz w:val="24"/>
          <w:szCs w:val="24"/>
        </w:rPr>
        <w:fldChar w:fldCharType="end"/>
      </w:r>
    </w:p>
    <w:p w14:paraId="47E7C4C5">
      <w:pPr>
        <w:pStyle w:val="29"/>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10.3开标解密投标文件（不见面开标大厅）地址：https://219.148.175.179:9443/BidOpening</w:t>
      </w:r>
    </w:p>
    <w:p w14:paraId="2015FF78">
      <w:pPr>
        <w:rPr>
          <w:rFonts w:hint="eastAsia"/>
        </w:rPr>
      </w:pPr>
      <w:r>
        <w:rPr>
          <w:rFonts w:hint="eastAsia"/>
        </w:rPr>
        <w:br w:type="page"/>
      </w:r>
    </w:p>
    <w:p w14:paraId="2A4C88F1">
      <w:pPr>
        <w:pStyle w:val="2"/>
        <w:spacing w:line="240" w:lineRule="auto"/>
        <w:jc w:val="center"/>
        <w:rPr>
          <w:rFonts w:ascii="宋体" w:hAnsi="宋体" w:cs="宋体"/>
        </w:rPr>
      </w:pPr>
      <w:r>
        <w:rPr>
          <w:rFonts w:hint="eastAsia" w:ascii="宋体" w:hAnsi="宋体" w:cs="宋体"/>
        </w:rPr>
        <w:t>第二章  投标人须知</w:t>
      </w:r>
      <w:bookmarkEnd w:id="3"/>
    </w:p>
    <w:p w14:paraId="6BD82A1F">
      <w:pPr>
        <w:pStyle w:val="25"/>
        <w:spacing w:line="240" w:lineRule="auto"/>
        <w:jc w:val="center"/>
        <w:rPr>
          <w:rFonts w:ascii="宋体" w:hAnsi="宋体" w:cs="宋体"/>
        </w:rPr>
      </w:pPr>
      <w:bookmarkStart w:id="4" w:name="_Toc6522"/>
      <w:r>
        <w:rPr>
          <w:rFonts w:hint="eastAsia" w:ascii="宋体" w:hAnsi="宋体" w:cs="宋体"/>
        </w:rPr>
        <w:t>投标人须知前附表</w:t>
      </w:r>
      <w:bookmarkEnd w:id="4"/>
    </w:p>
    <w:tbl>
      <w:tblPr>
        <w:tblStyle w:val="3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744"/>
        <w:gridCol w:w="6865"/>
      </w:tblGrid>
      <w:tr w14:paraId="12261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15393D33">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条款号</w:t>
            </w:r>
          </w:p>
        </w:tc>
        <w:tc>
          <w:tcPr>
            <w:tcW w:w="1744" w:type="dxa"/>
            <w:tcMar>
              <w:top w:w="113" w:type="dxa"/>
              <w:left w:w="113" w:type="dxa"/>
              <w:bottom w:w="0" w:type="dxa"/>
              <w:right w:w="113" w:type="dxa"/>
            </w:tcMar>
            <w:vAlign w:val="center"/>
          </w:tcPr>
          <w:p w14:paraId="300F5BB0">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条款名称</w:t>
            </w:r>
          </w:p>
        </w:tc>
        <w:tc>
          <w:tcPr>
            <w:tcW w:w="6865" w:type="dxa"/>
            <w:tcMar>
              <w:top w:w="113" w:type="dxa"/>
              <w:left w:w="113" w:type="dxa"/>
              <w:bottom w:w="0" w:type="dxa"/>
              <w:right w:w="113" w:type="dxa"/>
            </w:tcMar>
            <w:vAlign w:val="center"/>
          </w:tcPr>
          <w:p w14:paraId="778CF803">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编列内容</w:t>
            </w:r>
          </w:p>
        </w:tc>
      </w:tr>
      <w:tr w14:paraId="5AC26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030" w:type="dxa"/>
            <w:tcMar>
              <w:top w:w="113" w:type="dxa"/>
              <w:left w:w="113" w:type="dxa"/>
              <w:bottom w:w="0" w:type="dxa"/>
              <w:right w:w="113" w:type="dxa"/>
            </w:tcMar>
            <w:vAlign w:val="center"/>
          </w:tcPr>
          <w:p w14:paraId="6D7C4B8F">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1.1.2</w:t>
            </w:r>
          </w:p>
        </w:tc>
        <w:tc>
          <w:tcPr>
            <w:tcW w:w="1744" w:type="dxa"/>
            <w:tcMar>
              <w:top w:w="113" w:type="dxa"/>
              <w:left w:w="113" w:type="dxa"/>
              <w:bottom w:w="0" w:type="dxa"/>
              <w:right w:w="113" w:type="dxa"/>
            </w:tcMar>
            <w:vAlign w:val="center"/>
          </w:tcPr>
          <w:p w14:paraId="3327D311">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招标人</w:t>
            </w:r>
          </w:p>
        </w:tc>
        <w:tc>
          <w:tcPr>
            <w:tcW w:w="6865" w:type="dxa"/>
            <w:tcMar>
              <w:top w:w="113" w:type="dxa"/>
              <w:left w:w="113" w:type="dxa"/>
              <w:bottom w:w="0" w:type="dxa"/>
              <w:right w:w="113" w:type="dxa"/>
            </w:tcMar>
            <w:vAlign w:val="center"/>
          </w:tcPr>
          <w:p w14:paraId="19A8286E">
            <w:pPr>
              <w:pStyle w:val="30"/>
              <w:keepNext w:val="0"/>
              <w:keepLines w:val="0"/>
              <w:pageBreakBefore w:val="0"/>
              <w:kinsoku/>
              <w:wordWrap/>
              <w:overflowPunct/>
              <w:topLinePunct w:val="0"/>
              <w:autoSpaceDE/>
              <w:autoSpaceDN/>
              <w:bidi w:val="0"/>
              <w:adjustRightInd/>
              <w:snapToGrid/>
              <w:spacing w:line="480" w:lineRule="exact"/>
              <w:textAlignment w:val="auto"/>
              <w:rPr>
                <w:rFonts w:hint="eastAsia" w:asciiTheme="minorEastAsia" w:hAnsiTheme="minorEastAsia"/>
                <w:szCs w:val="24"/>
              </w:rPr>
            </w:pPr>
            <w:r>
              <w:rPr>
                <w:rFonts w:hint="eastAsia" w:asciiTheme="minorEastAsia" w:hAnsiTheme="minorEastAsia"/>
                <w:szCs w:val="24"/>
              </w:rPr>
              <w:t>招 标 人：商都县十八顷镇人民政府</w:t>
            </w:r>
          </w:p>
          <w:p w14:paraId="7B572818">
            <w:pPr>
              <w:pStyle w:val="30"/>
              <w:keepNext w:val="0"/>
              <w:keepLines w:val="0"/>
              <w:pageBreakBefore w:val="0"/>
              <w:kinsoku/>
              <w:wordWrap/>
              <w:overflowPunct/>
              <w:topLinePunct w:val="0"/>
              <w:autoSpaceDE/>
              <w:autoSpaceDN/>
              <w:bidi w:val="0"/>
              <w:adjustRightInd/>
              <w:snapToGrid/>
              <w:spacing w:line="480" w:lineRule="exact"/>
              <w:textAlignment w:val="auto"/>
              <w:rPr>
                <w:rFonts w:hint="eastAsia" w:asciiTheme="minorEastAsia" w:hAnsiTheme="minorEastAsia"/>
                <w:szCs w:val="24"/>
              </w:rPr>
            </w:pPr>
            <w:r>
              <w:rPr>
                <w:rFonts w:hint="eastAsia" w:asciiTheme="minorEastAsia" w:hAnsiTheme="minorEastAsia"/>
                <w:szCs w:val="24"/>
              </w:rPr>
              <w:t>地  址：乌兰察布市商都县</w:t>
            </w:r>
          </w:p>
          <w:p w14:paraId="0C7501C7">
            <w:pPr>
              <w:pStyle w:val="30"/>
              <w:keepNext w:val="0"/>
              <w:keepLines w:val="0"/>
              <w:pageBreakBefore w:val="0"/>
              <w:kinsoku/>
              <w:wordWrap/>
              <w:overflowPunct/>
              <w:topLinePunct w:val="0"/>
              <w:autoSpaceDE/>
              <w:autoSpaceDN/>
              <w:bidi w:val="0"/>
              <w:adjustRightInd/>
              <w:snapToGrid/>
              <w:spacing w:line="480" w:lineRule="exact"/>
              <w:textAlignment w:val="auto"/>
              <w:rPr>
                <w:rFonts w:hint="eastAsia" w:asciiTheme="minorEastAsia" w:hAnsiTheme="minorEastAsia"/>
                <w:szCs w:val="24"/>
              </w:rPr>
            </w:pPr>
            <w:r>
              <w:rPr>
                <w:rFonts w:hint="eastAsia" w:asciiTheme="minorEastAsia" w:hAnsiTheme="minorEastAsia"/>
                <w:szCs w:val="24"/>
              </w:rPr>
              <w:t>联 系 人：</w:t>
            </w:r>
            <w:r>
              <w:rPr>
                <w:rFonts w:hint="eastAsia" w:asciiTheme="minorEastAsia" w:hAnsiTheme="minorEastAsia"/>
                <w:szCs w:val="24"/>
                <w:lang w:val="zh-CN"/>
              </w:rPr>
              <w:t>孔祥睿</w:t>
            </w:r>
            <w:r>
              <w:rPr>
                <w:rFonts w:hint="eastAsia" w:asciiTheme="minorEastAsia" w:hAnsiTheme="minorEastAsia"/>
                <w:szCs w:val="24"/>
                <w:lang w:val="en-US" w:eastAsia="zh-CN"/>
              </w:rPr>
              <w:t xml:space="preserve">           </w:t>
            </w:r>
          </w:p>
          <w:p w14:paraId="1F0D8218">
            <w:pPr>
              <w:pStyle w:val="30"/>
              <w:keepNext w:val="0"/>
              <w:keepLines w:val="0"/>
              <w:pageBreakBefore w:val="0"/>
              <w:kinsoku/>
              <w:wordWrap/>
              <w:overflowPunct/>
              <w:topLinePunct w:val="0"/>
              <w:autoSpaceDE/>
              <w:autoSpaceDN/>
              <w:bidi w:val="0"/>
              <w:adjustRightInd/>
              <w:snapToGrid/>
              <w:spacing w:line="480" w:lineRule="exact"/>
              <w:textAlignment w:val="auto"/>
              <w:rPr>
                <w:rFonts w:asciiTheme="minorEastAsia" w:hAnsiTheme="minorEastAsia"/>
                <w:szCs w:val="24"/>
              </w:rPr>
            </w:pPr>
            <w:r>
              <w:rPr>
                <w:rFonts w:hint="eastAsia" w:asciiTheme="minorEastAsia" w:hAnsiTheme="minorEastAsia"/>
                <w:szCs w:val="24"/>
              </w:rPr>
              <w:t>联系电话：</w:t>
            </w:r>
            <w:r>
              <w:rPr>
                <w:rFonts w:hint="eastAsia" w:asciiTheme="minorEastAsia" w:hAnsiTheme="minorEastAsia"/>
                <w:szCs w:val="24"/>
                <w:lang w:val="en-US" w:eastAsia="zh-CN"/>
              </w:rPr>
              <w:t>16604749032</w:t>
            </w:r>
          </w:p>
        </w:tc>
      </w:tr>
      <w:tr w14:paraId="4150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030" w:type="dxa"/>
            <w:tcMar>
              <w:top w:w="113" w:type="dxa"/>
              <w:left w:w="113" w:type="dxa"/>
              <w:bottom w:w="0" w:type="dxa"/>
              <w:right w:w="113" w:type="dxa"/>
            </w:tcMar>
            <w:vAlign w:val="center"/>
          </w:tcPr>
          <w:p w14:paraId="0EE3D51F">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1.1.3</w:t>
            </w:r>
          </w:p>
        </w:tc>
        <w:tc>
          <w:tcPr>
            <w:tcW w:w="1744" w:type="dxa"/>
            <w:tcMar>
              <w:top w:w="113" w:type="dxa"/>
              <w:left w:w="113" w:type="dxa"/>
              <w:bottom w:w="0" w:type="dxa"/>
              <w:right w:w="113" w:type="dxa"/>
            </w:tcMar>
            <w:vAlign w:val="center"/>
          </w:tcPr>
          <w:p w14:paraId="118CB57C">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招标代理机构</w:t>
            </w:r>
          </w:p>
        </w:tc>
        <w:tc>
          <w:tcPr>
            <w:tcW w:w="6865" w:type="dxa"/>
            <w:tcMar>
              <w:top w:w="113" w:type="dxa"/>
              <w:left w:w="113" w:type="dxa"/>
              <w:bottom w:w="0" w:type="dxa"/>
              <w:right w:w="113" w:type="dxa"/>
            </w:tcMar>
            <w:vAlign w:val="center"/>
          </w:tcPr>
          <w:p w14:paraId="2A171EB4">
            <w:pPr>
              <w:pStyle w:val="15"/>
              <w:keepNext w:val="0"/>
              <w:keepLines w:val="0"/>
              <w:pageBreakBefore w:val="0"/>
              <w:kinsoku/>
              <w:wordWrap/>
              <w:overflowPunct/>
              <w:topLinePunct w:val="0"/>
              <w:autoSpaceDE/>
              <w:autoSpaceDN/>
              <w:bidi w:val="0"/>
              <w:adjustRightInd/>
              <w:snapToGrid/>
              <w:spacing w:line="480" w:lineRule="exact"/>
              <w:ind w:left="0" w:leftChars="0" w:firstLine="0" w:firstLineChars="0"/>
              <w:textAlignment w:val="auto"/>
              <w:rPr>
                <w:rFonts w:hint="eastAsia" w:eastAsia="宋体" w:cs="宋体" w:asciiTheme="minorEastAsia" w:hAnsiTheme="minorEastAsia"/>
                <w:kern w:val="0"/>
                <w:sz w:val="24"/>
                <w:szCs w:val="24"/>
                <w:lang w:eastAsia="zh-CN"/>
              </w:rPr>
            </w:pPr>
            <w:r>
              <w:rPr>
                <w:rFonts w:hint="eastAsia" w:cs="宋体" w:asciiTheme="minorEastAsia" w:hAnsiTheme="minorEastAsia"/>
                <w:kern w:val="0"/>
                <w:sz w:val="24"/>
                <w:szCs w:val="24"/>
              </w:rPr>
              <w:t>名  称：</w:t>
            </w:r>
            <w:r>
              <w:rPr>
                <w:rFonts w:hint="eastAsia" w:ascii="宋体" w:hAnsi="宋体" w:cs="宋体"/>
                <w:i w:val="0"/>
                <w:iCs w:val="0"/>
                <w:caps w:val="0"/>
                <w:color w:val="000000"/>
                <w:spacing w:val="0"/>
                <w:sz w:val="24"/>
                <w:szCs w:val="24"/>
                <w:lang w:eastAsia="zh-CN"/>
              </w:rPr>
              <w:t>内蒙古祥和项目管理有限公司</w:t>
            </w:r>
          </w:p>
          <w:p w14:paraId="4977F99E">
            <w:pPr>
              <w:keepNext w:val="0"/>
              <w:keepLines w:val="0"/>
              <w:pageBreakBefore w:val="0"/>
              <w:kinsoku/>
              <w:wordWrap/>
              <w:overflowPunct/>
              <w:topLinePunct w:val="0"/>
              <w:autoSpaceDE/>
              <w:autoSpaceDN/>
              <w:bidi w:val="0"/>
              <w:adjustRightInd/>
              <w:snapToGrid/>
              <w:spacing w:line="480" w:lineRule="exact"/>
              <w:ind w:left="960" w:hanging="960" w:hangingChars="400"/>
              <w:textAlignment w:val="auto"/>
              <w:rPr>
                <w:rFonts w:hint="eastAsia" w:cs="宋体" w:asciiTheme="minorEastAsia" w:hAnsiTheme="minorEastAsia"/>
                <w:kern w:val="0"/>
                <w:sz w:val="24"/>
                <w:szCs w:val="24"/>
                <w:lang w:eastAsia="zh-CN"/>
              </w:rPr>
            </w:pPr>
            <w:r>
              <w:rPr>
                <w:rFonts w:hint="eastAsia" w:cs="宋体" w:asciiTheme="minorEastAsia" w:hAnsiTheme="minorEastAsia"/>
                <w:kern w:val="0"/>
                <w:sz w:val="24"/>
                <w:szCs w:val="24"/>
              </w:rPr>
              <w:t>地  址：</w:t>
            </w:r>
            <w:r>
              <w:rPr>
                <w:rFonts w:hint="eastAsia" w:cs="宋体" w:asciiTheme="minorEastAsia" w:hAnsiTheme="minorEastAsia"/>
                <w:kern w:val="0"/>
                <w:sz w:val="24"/>
                <w:szCs w:val="24"/>
                <w:lang w:eastAsia="zh-CN"/>
              </w:rPr>
              <w:t>乌兰察布市集宁区察哈尔东街</w:t>
            </w:r>
            <w:r>
              <w:rPr>
                <w:rFonts w:hint="eastAsia" w:cs="宋体" w:asciiTheme="minorEastAsia" w:hAnsiTheme="minorEastAsia"/>
                <w:kern w:val="0"/>
                <w:sz w:val="24"/>
                <w:szCs w:val="24"/>
                <w:lang w:val="en-US" w:eastAsia="zh-CN"/>
              </w:rPr>
              <w:t>京蒙人才科创大厦</w:t>
            </w:r>
            <w:r>
              <w:rPr>
                <w:rFonts w:hint="eastAsia" w:cs="宋体" w:asciiTheme="minorEastAsia" w:hAnsiTheme="minorEastAsia"/>
                <w:kern w:val="0"/>
                <w:sz w:val="24"/>
                <w:szCs w:val="24"/>
                <w:lang w:eastAsia="zh-CN"/>
              </w:rPr>
              <w:t>B座11楼</w:t>
            </w:r>
          </w:p>
          <w:p w14:paraId="1A6CEFC1">
            <w:pPr>
              <w:keepNext w:val="0"/>
              <w:keepLines w:val="0"/>
              <w:pageBreakBefore w:val="0"/>
              <w:kinsoku/>
              <w:wordWrap/>
              <w:overflowPunct/>
              <w:topLinePunct w:val="0"/>
              <w:autoSpaceDE/>
              <w:autoSpaceDN/>
              <w:bidi w:val="0"/>
              <w:adjustRightInd/>
              <w:snapToGrid/>
              <w:spacing w:line="480" w:lineRule="exact"/>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rPr>
              <w:t>联系人：</w:t>
            </w:r>
            <w:r>
              <w:rPr>
                <w:rFonts w:hint="eastAsia" w:cs="宋体" w:asciiTheme="minorEastAsia" w:hAnsiTheme="minorEastAsia"/>
                <w:kern w:val="0"/>
                <w:sz w:val="24"/>
                <w:szCs w:val="24"/>
                <w:lang w:eastAsia="zh-CN"/>
              </w:rPr>
              <w:t>陈晓萌</w:t>
            </w:r>
          </w:p>
          <w:p w14:paraId="2C75EB3A">
            <w:pPr>
              <w:keepNext w:val="0"/>
              <w:keepLines w:val="0"/>
              <w:pageBreakBefore w:val="0"/>
              <w:kinsoku/>
              <w:wordWrap/>
              <w:overflowPunct/>
              <w:topLinePunct w:val="0"/>
              <w:autoSpaceDE/>
              <w:autoSpaceDN/>
              <w:bidi w:val="0"/>
              <w:adjustRightInd/>
              <w:snapToGrid/>
              <w:spacing w:line="480" w:lineRule="exact"/>
              <w:textAlignment w:val="auto"/>
              <w:rPr>
                <w:rFonts w:cs="宋体" w:asciiTheme="minorEastAsia" w:hAnsiTheme="minorEastAsia"/>
                <w:kern w:val="0"/>
                <w:sz w:val="24"/>
                <w:szCs w:val="24"/>
              </w:rPr>
            </w:pPr>
            <w:r>
              <w:rPr>
                <w:rFonts w:hint="eastAsia" w:cs="宋体" w:asciiTheme="minorEastAsia" w:hAnsiTheme="minorEastAsia"/>
                <w:kern w:val="0"/>
                <w:sz w:val="24"/>
                <w:szCs w:val="24"/>
              </w:rPr>
              <w:t>联系电话：</w:t>
            </w:r>
            <w:r>
              <w:rPr>
                <w:rFonts w:hint="eastAsia" w:cs="宋体" w:asciiTheme="minorEastAsia" w:hAnsiTheme="minorEastAsia"/>
                <w:kern w:val="0"/>
                <w:sz w:val="24"/>
                <w:szCs w:val="24"/>
                <w:lang w:val="en-US" w:eastAsia="zh-CN"/>
              </w:rPr>
              <w:t>15247409735</w:t>
            </w:r>
          </w:p>
        </w:tc>
      </w:tr>
      <w:tr w14:paraId="496D4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5A6B6E92">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1.1.4</w:t>
            </w:r>
          </w:p>
        </w:tc>
        <w:tc>
          <w:tcPr>
            <w:tcW w:w="1744" w:type="dxa"/>
            <w:tcMar>
              <w:top w:w="113" w:type="dxa"/>
              <w:left w:w="113" w:type="dxa"/>
              <w:bottom w:w="0" w:type="dxa"/>
              <w:right w:w="113" w:type="dxa"/>
            </w:tcMar>
            <w:vAlign w:val="center"/>
          </w:tcPr>
          <w:p w14:paraId="4C139611">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lang w:val="en-US" w:eastAsia="zh-CN"/>
              </w:rPr>
              <w:t>项目</w:t>
            </w:r>
            <w:r>
              <w:rPr>
                <w:rFonts w:hint="eastAsia" w:ascii="宋体" w:hAnsi="宋体" w:cs="宋体"/>
                <w:sz w:val="24"/>
                <w:szCs w:val="24"/>
              </w:rPr>
              <w:t>名称</w:t>
            </w:r>
          </w:p>
        </w:tc>
        <w:tc>
          <w:tcPr>
            <w:tcW w:w="6865" w:type="dxa"/>
            <w:tcMar>
              <w:top w:w="113" w:type="dxa"/>
              <w:left w:w="113" w:type="dxa"/>
              <w:bottom w:w="0" w:type="dxa"/>
              <w:right w:w="113" w:type="dxa"/>
            </w:tcMar>
            <w:vAlign w:val="center"/>
          </w:tcPr>
          <w:p w14:paraId="74C7E306">
            <w:pPr>
              <w:keepNext w:val="0"/>
              <w:keepLines w:val="0"/>
              <w:pageBreakBefore w:val="0"/>
              <w:kinsoku/>
              <w:wordWrap/>
              <w:overflowPunct/>
              <w:topLinePunct w:val="0"/>
              <w:autoSpaceDE/>
              <w:autoSpaceDN/>
              <w:bidi w:val="0"/>
              <w:adjustRightInd/>
              <w:snapToGrid/>
              <w:spacing w:line="480" w:lineRule="exact"/>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商都县十八顷镇袁家村恒温库改扩建项目 </w:t>
            </w:r>
          </w:p>
        </w:tc>
      </w:tr>
      <w:tr w14:paraId="305F0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73752DB1">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1.1.5</w:t>
            </w:r>
          </w:p>
        </w:tc>
        <w:tc>
          <w:tcPr>
            <w:tcW w:w="1744" w:type="dxa"/>
            <w:tcMar>
              <w:top w:w="113" w:type="dxa"/>
              <w:left w:w="113" w:type="dxa"/>
              <w:bottom w:w="0" w:type="dxa"/>
              <w:right w:w="113" w:type="dxa"/>
            </w:tcMar>
            <w:vAlign w:val="center"/>
          </w:tcPr>
          <w:p w14:paraId="7A8FED5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标段划分</w:t>
            </w:r>
          </w:p>
        </w:tc>
        <w:tc>
          <w:tcPr>
            <w:tcW w:w="6865" w:type="dxa"/>
            <w:tcMar>
              <w:top w:w="113" w:type="dxa"/>
              <w:left w:w="113" w:type="dxa"/>
              <w:bottom w:w="0" w:type="dxa"/>
              <w:right w:w="113" w:type="dxa"/>
            </w:tcMar>
          </w:tcPr>
          <w:p w14:paraId="02F93B84">
            <w:pPr>
              <w:keepNext w:val="0"/>
              <w:keepLines w:val="0"/>
              <w:pageBreakBefore w:val="0"/>
              <w:kinsoku/>
              <w:wordWrap/>
              <w:overflowPunct/>
              <w:topLinePunct w:val="0"/>
              <w:autoSpaceDE/>
              <w:autoSpaceDN/>
              <w:bidi w:val="0"/>
              <w:adjustRightInd/>
              <w:snapToGrid/>
              <w:spacing w:line="480" w:lineRule="exact"/>
              <w:textAlignment w:val="auto"/>
              <w:rPr>
                <w:rFonts w:cs="宋体" w:asciiTheme="minorEastAsia" w:hAnsiTheme="minorEastAsia"/>
                <w:kern w:val="0"/>
                <w:sz w:val="24"/>
                <w:szCs w:val="24"/>
              </w:rPr>
            </w:pPr>
            <w:r>
              <w:rPr>
                <w:rFonts w:hint="eastAsia" w:cs="宋体" w:asciiTheme="minorEastAsia" w:hAnsiTheme="minorEastAsia"/>
                <w:kern w:val="0"/>
                <w:sz w:val="24"/>
                <w:szCs w:val="24"/>
              </w:rPr>
              <w:t>本项目不划分标段</w:t>
            </w:r>
          </w:p>
        </w:tc>
      </w:tr>
      <w:tr w14:paraId="187D2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600A4E1F">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1.1.6</w:t>
            </w:r>
          </w:p>
        </w:tc>
        <w:tc>
          <w:tcPr>
            <w:tcW w:w="1744" w:type="dxa"/>
            <w:tcMar>
              <w:top w:w="113" w:type="dxa"/>
              <w:left w:w="113" w:type="dxa"/>
              <w:bottom w:w="0" w:type="dxa"/>
              <w:right w:w="113" w:type="dxa"/>
            </w:tcMar>
            <w:vAlign w:val="center"/>
          </w:tcPr>
          <w:p w14:paraId="35F080A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建设地点</w:t>
            </w:r>
          </w:p>
        </w:tc>
        <w:tc>
          <w:tcPr>
            <w:tcW w:w="6865" w:type="dxa"/>
            <w:tcMar>
              <w:top w:w="113" w:type="dxa"/>
              <w:left w:w="113" w:type="dxa"/>
              <w:bottom w:w="0" w:type="dxa"/>
              <w:right w:w="113" w:type="dxa"/>
            </w:tcMar>
          </w:tcPr>
          <w:p w14:paraId="7EC0E55E">
            <w:pPr>
              <w:keepNext w:val="0"/>
              <w:keepLines w:val="0"/>
              <w:pageBreakBefore w:val="0"/>
              <w:kinsoku/>
              <w:wordWrap/>
              <w:overflowPunct/>
              <w:topLinePunct w:val="0"/>
              <w:autoSpaceDE/>
              <w:autoSpaceDN/>
              <w:bidi w:val="0"/>
              <w:adjustRightInd/>
              <w:snapToGrid/>
              <w:spacing w:line="480" w:lineRule="exact"/>
              <w:textAlignment w:val="auto"/>
              <w:rPr>
                <w:rFonts w:ascii="宋体" w:hAnsi="宋体" w:cs="宋体"/>
                <w:sz w:val="24"/>
                <w:szCs w:val="24"/>
              </w:rPr>
            </w:pPr>
            <w:r>
              <w:rPr>
                <w:rFonts w:hint="eastAsia" w:ascii="宋体" w:hAnsi="宋体" w:cs="宋体"/>
                <w:sz w:val="24"/>
                <w:szCs w:val="24"/>
                <w:lang w:val="en-US" w:eastAsia="zh-CN"/>
              </w:rPr>
              <w:t>商都县十八顷袁家村。</w:t>
            </w:r>
          </w:p>
        </w:tc>
      </w:tr>
      <w:tr w14:paraId="0CA3F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0" w:type="dxa"/>
            <w:tcMar>
              <w:top w:w="113" w:type="dxa"/>
              <w:left w:w="113" w:type="dxa"/>
              <w:bottom w:w="0" w:type="dxa"/>
              <w:right w:w="113" w:type="dxa"/>
            </w:tcMar>
            <w:vAlign w:val="center"/>
          </w:tcPr>
          <w:p w14:paraId="1FEB58F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1.1.7</w:t>
            </w:r>
          </w:p>
        </w:tc>
        <w:tc>
          <w:tcPr>
            <w:tcW w:w="1744" w:type="dxa"/>
            <w:tcMar>
              <w:top w:w="113" w:type="dxa"/>
              <w:left w:w="113" w:type="dxa"/>
              <w:bottom w:w="0" w:type="dxa"/>
              <w:right w:w="113" w:type="dxa"/>
            </w:tcMar>
            <w:vAlign w:val="center"/>
          </w:tcPr>
          <w:p w14:paraId="21D7454B">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招标规模</w:t>
            </w:r>
          </w:p>
        </w:tc>
        <w:tc>
          <w:tcPr>
            <w:tcW w:w="6865" w:type="dxa"/>
            <w:tcMar>
              <w:top w:w="113" w:type="dxa"/>
              <w:left w:w="113" w:type="dxa"/>
              <w:bottom w:w="0" w:type="dxa"/>
              <w:right w:w="113" w:type="dxa"/>
            </w:tcMar>
            <w:vAlign w:val="center"/>
          </w:tcPr>
          <w:p w14:paraId="7638CC5E">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cs="宋体"/>
                <w:sz w:val="24"/>
                <w:szCs w:val="24"/>
                <w:highlight w:val="yellow"/>
              </w:rPr>
            </w:pPr>
            <w:r>
              <w:rPr>
                <w:rFonts w:hint="eastAsia" w:ascii="宋体" w:hAnsi="宋体" w:cs="宋体"/>
                <w:sz w:val="24"/>
                <w:szCs w:val="24"/>
                <w:highlight w:val="none"/>
                <w:lang w:val="en-US" w:eastAsia="zh-CN"/>
              </w:rPr>
              <w:t>项目总占地面积10748.56平方米；其中:新建恒温库1座建筑面积561平方米、恒温库设备机房1座建筑面积50平方米、卸车棚1座建筑面积450平方米、包装材料库1座建筑面积100平方米，改造冷库150平方米，以及其他相关附属工程及设备。（具体内容详见工程量清单）</w:t>
            </w:r>
          </w:p>
        </w:tc>
      </w:tr>
      <w:tr w14:paraId="60F0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3731166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1.1.8</w:t>
            </w:r>
          </w:p>
        </w:tc>
        <w:tc>
          <w:tcPr>
            <w:tcW w:w="1744" w:type="dxa"/>
            <w:tcMar>
              <w:top w:w="113" w:type="dxa"/>
              <w:left w:w="113" w:type="dxa"/>
              <w:bottom w:w="0" w:type="dxa"/>
              <w:right w:w="113" w:type="dxa"/>
            </w:tcMar>
            <w:vAlign w:val="center"/>
          </w:tcPr>
          <w:p w14:paraId="72F1C8F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招标方式</w:t>
            </w:r>
          </w:p>
        </w:tc>
        <w:tc>
          <w:tcPr>
            <w:tcW w:w="6865" w:type="dxa"/>
            <w:tcMar>
              <w:top w:w="113" w:type="dxa"/>
              <w:left w:w="113" w:type="dxa"/>
              <w:bottom w:w="0" w:type="dxa"/>
              <w:right w:w="113" w:type="dxa"/>
            </w:tcMar>
            <w:vAlign w:val="center"/>
          </w:tcPr>
          <w:p w14:paraId="6AF17B79">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公开招标</w:t>
            </w:r>
          </w:p>
        </w:tc>
      </w:tr>
      <w:tr w14:paraId="76C1A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030" w:type="dxa"/>
            <w:tcMar>
              <w:top w:w="113" w:type="dxa"/>
              <w:left w:w="113" w:type="dxa"/>
              <w:bottom w:w="0" w:type="dxa"/>
              <w:right w:w="113" w:type="dxa"/>
            </w:tcMar>
            <w:vAlign w:val="center"/>
          </w:tcPr>
          <w:p w14:paraId="7DB99325">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1.2.1</w:t>
            </w:r>
          </w:p>
        </w:tc>
        <w:tc>
          <w:tcPr>
            <w:tcW w:w="1744" w:type="dxa"/>
            <w:tcMar>
              <w:top w:w="113" w:type="dxa"/>
              <w:left w:w="113" w:type="dxa"/>
              <w:bottom w:w="0" w:type="dxa"/>
              <w:right w:w="113" w:type="dxa"/>
            </w:tcMar>
            <w:vAlign w:val="center"/>
          </w:tcPr>
          <w:p w14:paraId="5618FC4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资金来源</w:t>
            </w:r>
          </w:p>
        </w:tc>
        <w:tc>
          <w:tcPr>
            <w:tcW w:w="6865" w:type="dxa"/>
            <w:tcMar>
              <w:top w:w="113" w:type="dxa"/>
              <w:left w:w="113" w:type="dxa"/>
              <w:bottom w:w="0" w:type="dxa"/>
              <w:right w:w="113" w:type="dxa"/>
            </w:tcMar>
            <w:vAlign w:val="center"/>
          </w:tcPr>
          <w:p w14:paraId="350D0A5E">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宋体" w:hAnsi="宋体" w:eastAsia="宋体" w:cs="宋体"/>
                <w:sz w:val="24"/>
                <w:szCs w:val="24"/>
                <w:lang w:val="en-US" w:eastAsia="zh-CN"/>
              </w:rPr>
            </w:pPr>
            <w:r>
              <w:rPr>
                <w:rFonts w:hint="eastAsia" w:ascii="宋体" w:hAnsi="宋体" w:cs="宋体"/>
                <w:sz w:val="24"/>
                <w:szCs w:val="24"/>
                <w:highlight w:val="none"/>
                <w:lang w:val="en-US" w:eastAsia="zh-CN"/>
              </w:rPr>
              <w:t>中央下达衔接资金和自治区下达常态化帮扶资金。</w:t>
            </w:r>
          </w:p>
        </w:tc>
      </w:tr>
      <w:tr w14:paraId="690E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6CFC35C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1.2.2</w:t>
            </w:r>
          </w:p>
        </w:tc>
        <w:tc>
          <w:tcPr>
            <w:tcW w:w="1744" w:type="dxa"/>
            <w:tcMar>
              <w:top w:w="113" w:type="dxa"/>
              <w:left w:w="113" w:type="dxa"/>
              <w:bottom w:w="0" w:type="dxa"/>
              <w:right w:w="113" w:type="dxa"/>
            </w:tcMar>
            <w:vAlign w:val="center"/>
          </w:tcPr>
          <w:p w14:paraId="44A0DE8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资金落实情况</w:t>
            </w:r>
          </w:p>
        </w:tc>
        <w:tc>
          <w:tcPr>
            <w:tcW w:w="6865" w:type="dxa"/>
            <w:tcMar>
              <w:top w:w="113" w:type="dxa"/>
              <w:left w:w="113" w:type="dxa"/>
              <w:bottom w:w="0" w:type="dxa"/>
              <w:right w:w="113" w:type="dxa"/>
            </w:tcMar>
            <w:vAlign w:val="center"/>
          </w:tcPr>
          <w:p w14:paraId="70A4B264">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已落实</w:t>
            </w:r>
          </w:p>
        </w:tc>
      </w:tr>
      <w:tr w14:paraId="2AA7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2A30F48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1.3.1</w:t>
            </w:r>
          </w:p>
        </w:tc>
        <w:tc>
          <w:tcPr>
            <w:tcW w:w="1744" w:type="dxa"/>
            <w:tcMar>
              <w:top w:w="113" w:type="dxa"/>
              <w:left w:w="113" w:type="dxa"/>
              <w:bottom w:w="0" w:type="dxa"/>
              <w:right w:w="113" w:type="dxa"/>
            </w:tcMar>
            <w:vAlign w:val="center"/>
          </w:tcPr>
          <w:p w14:paraId="322571DA">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招标范围</w:t>
            </w:r>
          </w:p>
        </w:tc>
        <w:tc>
          <w:tcPr>
            <w:tcW w:w="6865" w:type="dxa"/>
            <w:tcMar>
              <w:top w:w="113" w:type="dxa"/>
              <w:left w:w="113" w:type="dxa"/>
              <w:bottom w:w="0" w:type="dxa"/>
              <w:right w:w="113" w:type="dxa"/>
            </w:tcMar>
            <w:vAlign w:val="center"/>
          </w:tcPr>
          <w:p w14:paraId="34199FD4">
            <w:pPr>
              <w:pStyle w:val="29"/>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sz w:val="24"/>
                <w:szCs w:val="24"/>
                <w:highlight w:val="yellow"/>
              </w:rPr>
            </w:pPr>
            <w:r>
              <w:rPr>
                <w:rFonts w:hint="eastAsia" w:asciiTheme="minorEastAsia" w:hAnsiTheme="minorEastAsia" w:eastAsiaTheme="minorEastAsia" w:cstheme="minorEastAsia"/>
                <w:sz w:val="24"/>
                <w:szCs w:val="24"/>
              </w:rPr>
              <w:t>项目总占地面积10748.56平方米</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其中</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新建恒温库1座建筑面积561平方米、恒温库设备机房1座建筑面积50平方米、卸车棚1座建筑面积450平方米、包装材料库1座建筑面积100平方米，改造冷库150平方米，以及其他相关附属工程及设备</w:t>
            </w:r>
            <w:r>
              <w:rPr>
                <w:rFonts w:hint="eastAsia" w:asciiTheme="minorEastAsia" w:hAnsiTheme="minorEastAsia" w:eastAsiaTheme="minorEastAsia" w:cstheme="minorEastAsia"/>
                <w:sz w:val="24"/>
                <w:szCs w:val="24"/>
                <w:lang w:val="en-US" w:eastAsia="zh-CN"/>
              </w:rPr>
              <w:t>。（具体内容详见工程量清单）</w:t>
            </w:r>
          </w:p>
        </w:tc>
      </w:tr>
      <w:tr w14:paraId="2F311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Mar>
              <w:top w:w="113" w:type="dxa"/>
              <w:left w:w="113" w:type="dxa"/>
              <w:bottom w:w="0" w:type="dxa"/>
              <w:right w:w="113" w:type="dxa"/>
            </w:tcMar>
            <w:vAlign w:val="center"/>
          </w:tcPr>
          <w:p w14:paraId="77E1101F">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1.3.2</w:t>
            </w:r>
          </w:p>
        </w:tc>
        <w:tc>
          <w:tcPr>
            <w:tcW w:w="1744" w:type="dxa"/>
            <w:tcMar>
              <w:top w:w="113" w:type="dxa"/>
              <w:left w:w="113" w:type="dxa"/>
              <w:bottom w:w="0" w:type="dxa"/>
              <w:right w:w="113" w:type="dxa"/>
            </w:tcMar>
            <w:vAlign w:val="center"/>
          </w:tcPr>
          <w:p w14:paraId="3C1F196A">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highlight w:val="none"/>
              </w:rPr>
            </w:pPr>
            <w:r>
              <w:rPr>
                <w:rFonts w:hint="eastAsia" w:ascii="宋体" w:hAnsi="宋体" w:cs="宋体"/>
                <w:sz w:val="24"/>
                <w:szCs w:val="24"/>
                <w:highlight w:val="none"/>
              </w:rPr>
              <w:t>计划工期</w:t>
            </w:r>
          </w:p>
        </w:tc>
        <w:tc>
          <w:tcPr>
            <w:tcW w:w="6865" w:type="dxa"/>
            <w:tcMar>
              <w:top w:w="113" w:type="dxa"/>
              <w:left w:w="113" w:type="dxa"/>
              <w:bottom w:w="0" w:type="dxa"/>
              <w:right w:w="113" w:type="dxa"/>
            </w:tcMar>
            <w:vAlign w:val="center"/>
          </w:tcPr>
          <w:p w14:paraId="59133ADC">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150</w:t>
            </w:r>
            <w:r>
              <w:rPr>
                <w:rFonts w:hint="eastAsia" w:asciiTheme="minorEastAsia" w:hAnsiTheme="minorEastAsia" w:eastAsiaTheme="minorEastAsia" w:cstheme="minorEastAsia"/>
                <w:sz w:val="24"/>
                <w:szCs w:val="24"/>
                <w:highlight w:val="none"/>
                <w:lang w:val="en-US" w:eastAsia="zh-CN"/>
              </w:rPr>
              <w:t>日历天；</w:t>
            </w:r>
          </w:p>
          <w:p w14:paraId="0726E5AD">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宋体" w:hAnsi="宋体" w:cs="宋体"/>
                <w:b/>
                <w:color w:val="000000"/>
                <w:sz w:val="24"/>
                <w:szCs w:val="24"/>
              </w:rPr>
              <w:t>备注：实际开竣工时间以签订合同为准。</w:t>
            </w:r>
          </w:p>
        </w:tc>
      </w:tr>
      <w:tr w14:paraId="12C9E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40821226">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1.3.3</w:t>
            </w:r>
          </w:p>
        </w:tc>
        <w:tc>
          <w:tcPr>
            <w:tcW w:w="1744" w:type="dxa"/>
            <w:tcMar>
              <w:top w:w="113" w:type="dxa"/>
              <w:left w:w="113" w:type="dxa"/>
              <w:bottom w:w="0" w:type="dxa"/>
              <w:right w:w="113" w:type="dxa"/>
            </w:tcMar>
            <w:vAlign w:val="center"/>
          </w:tcPr>
          <w:p w14:paraId="2035B42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质量要求</w:t>
            </w:r>
          </w:p>
        </w:tc>
        <w:tc>
          <w:tcPr>
            <w:tcW w:w="6865" w:type="dxa"/>
            <w:tcMar>
              <w:top w:w="113" w:type="dxa"/>
              <w:left w:w="113" w:type="dxa"/>
              <w:bottom w:w="0" w:type="dxa"/>
              <w:right w:w="113" w:type="dxa"/>
            </w:tcMar>
            <w:vAlign w:val="center"/>
          </w:tcPr>
          <w:p w14:paraId="54ED6A60">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符合国家质量验收标准</w:t>
            </w:r>
          </w:p>
        </w:tc>
      </w:tr>
      <w:tr w14:paraId="17E1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9" w:hRule="atLeast"/>
          <w:jc w:val="center"/>
        </w:trPr>
        <w:tc>
          <w:tcPr>
            <w:tcW w:w="1030" w:type="dxa"/>
            <w:tcMar>
              <w:top w:w="113" w:type="dxa"/>
              <w:left w:w="113" w:type="dxa"/>
              <w:bottom w:w="0" w:type="dxa"/>
              <w:right w:w="113" w:type="dxa"/>
            </w:tcMar>
            <w:vAlign w:val="center"/>
          </w:tcPr>
          <w:p w14:paraId="4CD8E10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1.4.1</w:t>
            </w:r>
          </w:p>
        </w:tc>
        <w:tc>
          <w:tcPr>
            <w:tcW w:w="1744" w:type="dxa"/>
            <w:tcMar>
              <w:top w:w="113" w:type="dxa"/>
              <w:left w:w="113" w:type="dxa"/>
              <w:bottom w:w="0" w:type="dxa"/>
              <w:right w:w="113" w:type="dxa"/>
            </w:tcMar>
            <w:vAlign w:val="center"/>
          </w:tcPr>
          <w:p w14:paraId="2370C7ED">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投标人资质条件、能力和信誉</w:t>
            </w:r>
          </w:p>
        </w:tc>
        <w:tc>
          <w:tcPr>
            <w:tcW w:w="6865" w:type="dxa"/>
            <w:tcMar>
              <w:top w:w="113" w:type="dxa"/>
              <w:left w:w="113" w:type="dxa"/>
              <w:bottom w:w="0" w:type="dxa"/>
              <w:right w:w="113" w:type="dxa"/>
            </w:tcMar>
            <w:vAlign w:val="center"/>
          </w:tcPr>
          <w:p w14:paraId="1281C3C6">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b/>
                <w:bCs/>
                <w:sz w:val="24"/>
                <w:szCs w:val="24"/>
              </w:rPr>
            </w:pPr>
            <w:r>
              <w:rPr>
                <w:rFonts w:hint="eastAsia" w:ascii="宋体" w:hAnsi="宋体" w:cs="宋体"/>
                <w:b/>
                <w:bCs/>
                <w:sz w:val="24"/>
                <w:szCs w:val="24"/>
              </w:rPr>
              <w:t>资质条件：</w:t>
            </w:r>
          </w:p>
          <w:p w14:paraId="7BC2BEAE">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（1）企业营业执照；</w:t>
            </w:r>
          </w:p>
          <w:p w14:paraId="64AF10EF">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（2）须具备建设行政主管部门核发的</w:t>
            </w:r>
            <w:r>
              <w:rPr>
                <w:rFonts w:hint="eastAsia" w:ascii="宋体" w:hAnsi="宋体" w:cs="宋体"/>
                <w:sz w:val="24"/>
                <w:szCs w:val="24"/>
                <w:lang w:val="en-US" w:eastAsia="zh-CN"/>
              </w:rPr>
              <w:t>建筑工程施工总承包叁级及以上资质</w:t>
            </w:r>
            <w:r>
              <w:rPr>
                <w:rFonts w:hint="eastAsia" w:ascii="宋体" w:hAnsi="宋体" w:cs="宋体"/>
                <w:sz w:val="24"/>
                <w:szCs w:val="24"/>
              </w:rPr>
              <w:t>(有效期内)并具有安全生产许可证(有效期内)</w:t>
            </w:r>
            <w:r>
              <w:rPr>
                <w:rFonts w:hint="eastAsia" w:asciiTheme="minorEastAsia" w:hAnsiTheme="minorEastAsia" w:eastAsiaTheme="minorEastAsia" w:cstheme="minorEastAsia"/>
                <w:sz w:val="24"/>
                <w:szCs w:val="24"/>
                <w:highlight w:val="none"/>
                <w:lang w:val="en-US" w:eastAsia="zh-CN"/>
              </w:rPr>
              <w:t>；</w:t>
            </w:r>
          </w:p>
          <w:p w14:paraId="08AA222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sz w:val="24"/>
                <w:szCs w:val="24"/>
                <w:highlight w:val="none"/>
                <w:lang w:val="en-US" w:eastAsia="zh-CN"/>
              </w:rPr>
            </w:pP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w:t>
            </w:r>
            <w:r>
              <w:rPr>
                <w:rFonts w:hint="eastAsia" w:asciiTheme="minorEastAsia" w:hAnsiTheme="minorEastAsia" w:eastAsiaTheme="minorEastAsia" w:cstheme="minorEastAsia"/>
                <w:sz w:val="24"/>
                <w:szCs w:val="24"/>
              </w:rPr>
              <w:t>拟派项目经理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如为联合体，须牵头单位提供</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须为注册在本企业的建筑工程专业二级及以上注册建造师且具有B类安全生产考核合格证(有效期内)，未担任其他在建工程项目的项目经理；</w:t>
            </w:r>
          </w:p>
          <w:p w14:paraId="00988904">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b/>
                <w:bCs/>
                <w:sz w:val="24"/>
                <w:szCs w:val="24"/>
              </w:rPr>
            </w:pPr>
            <w:r>
              <w:rPr>
                <w:rFonts w:hint="eastAsia" w:ascii="宋体" w:hAnsi="宋体" w:cs="宋体"/>
                <w:b/>
                <w:bCs/>
                <w:sz w:val="24"/>
                <w:szCs w:val="24"/>
              </w:rPr>
              <w:t>信誉要求：</w:t>
            </w:r>
          </w:p>
          <w:p w14:paraId="0C42D8EC">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投标人通过“信用中国”网页（www.creditchina.gov.cn）查询，未被列入失信被执行人和重大税收违法失信主体名单；“国家企业信用信息公示系统”（www.gsxt.gov.cn）内未被列入严重违法失信企业名单。</w:t>
            </w:r>
          </w:p>
          <w:p w14:paraId="1D41ECAF">
            <w:pPr>
              <w:keepNext w:val="0"/>
              <w:keepLines w:val="0"/>
              <w:pageBreakBefore w:val="0"/>
              <w:kinsoku/>
              <w:wordWrap/>
              <w:overflowPunct/>
              <w:topLinePunct w:val="0"/>
              <w:autoSpaceDE/>
              <w:autoSpaceDN/>
              <w:bidi w:val="0"/>
              <w:adjustRightInd/>
              <w:snapToGrid/>
              <w:spacing w:line="480" w:lineRule="exact"/>
              <w:jc w:val="left"/>
              <w:textAlignment w:val="auto"/>
            </w:pPr>
            <w:r>
              <w:rPr>
                <w:rFonts w:hint="eastAsia" w:ascii="宋体" w:hAnsi="宋体" w:cs="宋体"/>
                <w:b/>
                <w:bCs/>
                <w:sz w:val="24"/>
                <w:szCs w:val="24"/>
              </w:rPr>
              <w:t>其他要求：/</w:t>
            </w:r>
          </w:p>
        </w:tc>
      </w:tr>
      <w:tr w14:paraId="33694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030" w:type="dxa"/>
            <w:tcMar>
              <w:top w:w="113" w:type="dxa"/>
              <w:left w:w="113" w:type="dxa"/>
              <w:bottom w:w="0" w:type="dxa"/>
              <w:right w:w="113" w:type="dxa"/>
            </w:tcMar>
            <w:vAlign w:val="center"/>
          </w:tcPr>
          <w:p w14:paraId="3F3A977C">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1.4.3</w:t>
            </w:r>
          </w:p>
        </w:tc>
        <w:tc>
          <w:tcPr>
            <w:tcW w:w="1744" w:type="dxa"/>
            <w:tcMar>
              <w:top w:w="113" w:type="dxa"/>
              <w:left w:w="113" w:type="dxa"/>
              <w:bottom w:w="0" w:type="dxa"/>
              <w:right w:w="113" w:type="dxa"/>
            </w:tcMar>
            <w:vAlign w:val="center"/>
          </w:tcPr>
          <w:p w14:paraId="59EF47C1">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是否接受联合体</w:t>
            </w:r>
          </w:p>
        </w:tc>
        <w:tc>
          <w:tcPr>
            <w:tcW w:w="6865" w:type="dxa"/>
            <w:tcMar>
              <w:top w:w="113" w:type="dxa"/>
              <w:left w:w="113" w:type="dxa"/>
              <w:bottom w:w="0" w:type="dxa"/>
              <w:right w:w="113" w:type="dxa"/>
            </w:tcMar>
            <w:vAlign w:val="center"/>
          </w:tcPr>
          <w:p w14:paraId="7B850C2C">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rPr>
              <w:t>不接受</w:t>
            </w:r>
          </w:p>
          <w:p w14:paraId="311DE5F6">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rPr>
              <w:t xml:space="preserve">接受 </w:t>
            </w:r>
            <w:r>
              <w:rPr>
                <w:rFonts w:hint="eastAsia" w:ascii="宋体" w:hAnsi="宋体" w:cs="宋体"/>
                <w:sz w:val="24"/>
                <w:szCs w:val="24"/>
              </w:rPr>
              <w:tab/>
            </w:r>
          </w:p>
          <w:p w14:paraId="771E16E0">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应满足下列要求：</w:t>
            </w:r>
          </w:p>
          <w:p w14:paraId="30217617">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1、由同一专业的单位组成的联合体，按照资质等级较低的单位确定资质等级。</w:t>
            </w:r>
          </w:p>
          <w:p w14:paraId="29479A28">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2、签订联合体投标协议书，明确约定各方拟承担的工作和责任;联合体中标的，联合体各方应当共同与招标人签订合同，就中标项目向招标人承担连带责任。</w:t>
            </w:r>
          </w:p>
          <w:p w14:paraId="7B7AE5ED">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3、联合体各方不得再以自己的名义单独或参加其他联合体在同一标段中投标，否则其投标和与此相关的联合体投标将被拒绝。</w:t>
            </w:r>
          </w:p>
          <w:p w14:paraId="4FC7956B">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4、由联合体牵头人进行投标与提交投标保证金。以联合体牵头人名义提交的投标保证金对联合体各成员具有约束力。</w:t>
            </w:r>
          </w:p>
          <w:p w14:paraId="76D56142">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lang w:val="en-US" w:eastAsia="zh-CN"/>
              </w:rPr>
              <w:t>5、支持央企与自治区建筑业企业、区外建筑业企业与自治区中小微建筑业企业、自治区龙头企业与自治区中小微建筑业企业或者民营建筑业企业组成联合体投标，联合体成员单位工作量不低于联合体投标标段工作量40%。</w:t>
            </w:r>
          </w:p>
        </w:tc>
      </w:tr>
      <w:tr w14:paraId="7DD8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Mar>
              <w:top w:w="113" w:type="dxa"/>
              <w:left w:w="113" w:type="dxa"/>
              <w:bottom w:w="0" w:type="dxa"/>
              <w:right w:w="113" w:type="dxa"/>
            </w:tcMar>
            <w:vAlign w:val="center"/>
          </w:tcPr>
          <w:p w14:paraId="3361D300">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1.4.4</w:t>
            </w:r>
          </w:p>
        </w:tc>
        <w:tc>
          <w:tcPr>
            <w:tcW w:w="1744" w:type="dxa"/>
            <w:tcMar>
              <w:top w:w="113" w:type="dxa"/>
              <w:left w:w="113" w:type="dxa"/>
              <w:bottom w:w="0" w:type="dxa"/>
              <w:right w:w="113" w:type="dxa"/>
            </w:tcMar>
            <w:vAlign w:val="center"/>
          </w:tcPr>
          <w:p w14:paraId="7CEA3D37">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资格审查方式</w:t>
            </w:r>
          </w:p>
        </w:tc>
        <w:tc>
          <w:tcPr>
            <w:tcW w:w="6865" w:type="dxa"/>
            <w:tcMar>
              <w:top w:w="113" w:type="dxa"/>
              <w:left w:w="113" w:type="dxa"/>
              <w:bottom w:w="0" w:type="dxa"/>
              <w:right w:w="113" w:type="dxa"/>
            </w:tcMar>
            <w:vAlign w:val="center"/>
          </w:tcPr>
          <w:p w14:paraId="76EE4AB8">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资格后审，即在开标后评标委员会按照招标文件规定的标准和方法对投标人的资格进行审查。</w:t>
            </w:r>
          </w:p>
        </w:tc>
      </w:tr>
      <w:tr w14:paraId="5B51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030" w:type="dxa"/>
            <w:tcMar>
              <w:top w:w="113" w:type="dxa"/>
              <w:left w:w="113" w:type="dxa"/>
              <w:bottom w:w="0" w:type="dxa"/>
              <w:right w:w="113" w:type="dxa"/>
            </w:tcMar>
            <w:vAlign w:val="center"/>
          </w:tcPr>
          <w:p w14:paraId="49BB53FF">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1.10</w:t>
            </w:r>
          </w:p>
        </w:tc>
        <w:tc>
          <w:tcPr>
            <w:tcW w:w="1744" w:type="dxa"/>
            <w:tcMar>
              <w:top w:w="113" w:type="dxa"/>
              <w:left w:w="113" w:type="dxa"/>
              <w:bottom w:w="0" w:type="dxa"/>
              <w:right w:w="113" w:type="dxa"/>
            </w:tcMar>
            <w:vAlign w:val="center"/>
          </w:tcPr>
          <w:p w14:paraId="32DBE517">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踏勘现场</w:t>
            </w:r>
          </w:p>
        </w:tc>
        <w:tc>
          <w:tcPr>
            <w:tcW w:w="6865" w:type="dxa"/>
            <w:tcMar>
              <w:top w:w="113" w:type="dxa"/>
              <w:left w:w="113" w:type="dxa"/>
              <w:bottom w:w="0" w:type="dxa"/>
              <w:right w:w="113" w:type="dxa"/>
            </w:tcMar>
            <w:vAlign w:val="center"/>
          </w:tcPr>
          <w:p w14:paraId="16655B3E">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☑不组织 </w:t>
            </w:r>
          </w:p>
          <w:p w14:paraId="5C16C699">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□组织 </w:t>
            </w:r>
            <w:r>
              <w:rPr>
                <w:rFonts w:hint="eastAsia" w:ascii="宋体" w:hAnsi="宋体" w:cs="宋体"/>
                <w:sz w:val="24"/>
                <w:szCs w:val="24"/>
              </w:rPr>
              <w:tab/>
            </w:r>
          </w:p>
          <w:p w14:paraId="551D4E53">
            <w:pPr>
              <w:keepNext w:val="0"/>
              <w:keepLines w:val="0"/>
              <w:pageBreakBefore w:val="0"/>
              <w:kinsoku/>
              <w:wordWrap/>
              <w:overflowPunct/>
              <w:topLinePunct w:val="0"/>
              <w:autoSpaceDE/>
              <w:autoSpaceDN/>
              <w:bidi w:val="0"/>
              <w:adjustRightInd/>
              <w:snapToGrid/>
              <w:spacing w:line="480" w:lineRule="exact"/>
              <w:ind w:firstLine="720" w:firstLineChars="300"/>
              <w:jc w:val="left"/>
              <w:textAlignment w:val="auto"/>
              <w:rPr>
                <w:rFonts w:ascii="宋体" w:hAnsi="宋体" w:cs="宋体"/>
                <w:sz w:val="24"/>
                <w:szCs w:val="24"/>
              </w:rPr>
            </w:pPr>
            <w:r>
              <w:rPr>
                <w:rFonts w:hint="eastAsia" w:ascii="宋体" w:hAnsi="宋体" w:cs="宋体"/>
                <w:sz w:val="24"/>
                <w:szCs w:val="24"/>
              </w:rPr>
              <w:t xml:space="preserve">踏勘时间：  </w:t>
            </w:r>
          </w:p>
          <w:p w14:paraId="3F0390AD">
            <w:pPr>
              <w:keepNext w:val="0"/>
              <w:keepLines w:val="0"/>
              <w:pageBreakBefore w:val="0"/>
              <w:kinsoku/>
              <w:wordWrap/>
              <w:overflowPunct/>
              <w:topLinePunct w:val="0"/>
              <w:autoSpaceDE/>
              <w:autoSpaceDN/>
              <w:bidi w:val="0"/>
              <w:adjustRightInd/>
              <w:snapToGrid/>
              <w:spacing w:line="480" w:lineRule="exact"/>
              <w:ind w:firstLine="720" w:firstLineChars="300"/>
              <w:jc w:val="left"/>
              <w:textAlignment w:val="auto"/>
              <w:rPr>
                <w:rFonts w:ascii="宋体" w:hAnsi="宋体" w:cs="宋体"/>
                <w:sz w:val="24"/>
                <w:szCs w:val="24"/>
              </w:rPr>
            </w:pPr>
            <w:r>
              <w:rPr>
                <w:rFonts w:hint="eastAsia" w:ascii="宋体" w:hAnsi="宋体" w:cs="宋体"/>
                <w:sz w:val="24"/>
                <w:szCs w:val="24"/>
              </w:rPr>
              <w:t>踏勘集中地点：</w:t>
            </w:r>
          </w:p>
        </w:tc>
      </w:tr>
      <w:tr w14:paraId="62D6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030" w:type="dxa"/>
            <w:tcMar>
              <w:top w:w="113" w:type="dxa"/>
              <w:left w:w="113" w:type="dxa"/>
              <w:bottom w:w="0" w:type="dxa"/>
              <w:right w:w="113" w:type="dxa"/>
            </w:tcMar>
            <w:vAlign w:val="center"/>
          </w:tcPr>
          <w:p w14:paraId="229EBF2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1.11</w:t>
            </w:r>
          </w:p>
        </w:tc>
        <w:tc>
          <w:tcPr>
            <w:tcW w:w="1744" w:type="dxa"/>
            <w:tcMar>
              <w:top w:w="113" w:type="dxa"/>
              <w:left w:w="113" w:type="dxa"/>
              <w:bottom w:w="0" w:type="dxa"/>
              <w:right w:w="113" w:type="dxa"/>
            </w:tcMar>
            <w:vAlign w:val="center"/>
          </w:tcPr>
          <w:p w14:paraId="3F8B04D2">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投标预备会</w:t>
            </w:r>
          </w:p>
        </w:tc>
        <w:tc>
          <w:tcPr>
            <w:tcW w:w="6865" w:type="dxa"/>
            <w:tcMar>
              <w:top w:w="113" w:type="dxa"/>
              <w:left w:w="113" w:type="dxa"/>
              <w:bottom w:w="0" w:type="dxa"/>
              <w:right w:w="113" w:type="dxa"/>
            </w:tcMar>
            <w:vAlign w:val="center"/>
          </w:tcPr>
          <w:p w14:paraId="447CC648">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☑不召开 </w:t>
            </w:r>
          </w:p>
          <w:p w14:paraId="08A9DBCD">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□召开 </w:t>
            </w:r>
            <w:r>
              <w:rPr>
                <w:rFonts w:hint="eastAsia" w:ascii="宋体" w:hAnsi="宋体" w:cs="宋体"/>
                <w:sz w:val="24"/>
                <w:szCs w:val="24"/>
              </w:rPr>
              <w:tab/>
            </w:r>
          </w:p>
          <w:p w14:paraId="3A8D5435">
            <w:pPr>
              <w:keepNext w:val="0"/>
              <w:keepLines w:val="0"/>
              <w:pageBreakBefore w:val="0"/>
              <w:kinsoku/>
              <w:wordWrap/>
              <w:overflowPunct/>
              <w:topLinePunct w:val="0"/>
              <w:autoSpaceDE/>
              <w:autoSpaceDN/>
              <w:bidi w:val="0"/>
              <w:adjustRightInd/>
              <w:snapToGrid/>
              <w:spacing w:line="480" w:lineRule="exact"/>
              <w:ind w:firstLine="720" w:firstLineChars="300"/>
              <w:jc w:val="left"/>
              <w:textAlignment w:val="auto"/>
              <w:rPr>
                <w:rFonts w:ascii="宋体" w:hAnsi="宋体" w:cs="宋体"/>
                <w:sz w:val="24"/>
                <w:szCs w:val="24"/>
              </w:rPr>
            </w:pPr>
            <w:r>
              <w:rPr>
                <w:rFonts w:hint="eastAsia" w:ascii="宋体" w:hAnsi="宋体" w:cs="宋体"/>
                <w:sz w:val="24"/>
                <w:szCs w:val="24"/>
              </w:rPr>
              <w:t xml:space="preserve">召开时间：  </w:t>
            </w:r>
          </w:p>
          <w:p w14:paraId="1146D75C">
            <w:pPr>
              <w:keepNext w:val="0"/>
              <w:keepLines w:val="0"/>
              <w:pageBreakBefore w:val="0"/>
              <w:kinsoku/>
              <w:wordWrap/>
              <w:overflowPunct/>
              <w:topLinePunct w:val="0"/>
              <w:autoSpaceDE/>
              <w:autoSpaceDN/>
              <w:bidi w:val="0"/>
              <w:adjustRightInd/>
              <w:snapToGrid/>
              <w:spacing w:line="480" w:lineRule="exact"/>
              <w:ind w:firstLine="720" w:firstLineChars="300"/>
              <w:jc w:val="left"/>
              <w:textAlignment w:val="auto"/>
              <w:rPr>
                <w:rFonts w:ascii="宋体" w:hAnsi="宋体" w:cs="宋体"/>
                <w:sz w:val="24"/>
                <w:szCs w:val="24"/>
              </w:rPr>
            </w:pPr>
            <w:r>
              <w:rPr>
                <w:rFonts w:hint="eastAsia" w:ascii="宋体" w:hAnsi="宋体" w:cs="宋体"/>
                <w:sz w:val="24"/>
                <w:szCs w:val="24"/>
              </w:rPr>
              <w:t>召开地点：</w:t>
            </w:r>
          </w:p>
        </w:tc>
      </w:tr>
      <w:tr w14:paraId="3E14C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030" w:type="dxa"/>
            <w:tcMar>
              <w:top w:w="113" w:type="dxa"/>
              <w:left w:w="113" w:type="dxa"/>
              <w:bottom w:w="0" w:type="dxa"/>
              <w:right w:w="113" w:type="dxa"/>
            </w:tcMar>
            <w:vAlign w:val="center"/>
          </w:tcPr>
          <w:p w14:paraId="7ABF6A3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1.12</w:t>
            </w:r>
          </w:p>
        </w:tc>
        <w:tc>
          <w:tcPr>
            <w:tcW w:w="1744" w:type="dxa"/>
            <w:tcMar>
              <w:top w:w="113" w:type="dxa"/>
              <w:left w:w="113" w:type="dxa"/>
              <w:bottom w:w="0" w:type="dxa"/>
              <w:right w:w="113" w:type="dxa"/>
            </w:tcMar>
            <w:vAlign w:val="center"/>
          </w:tcPr>
          <w:p w14:paraId="7E2BB459">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分  包</w:t>
            </w:r>
          </w:p>
        </w:tc>
        <w:tc>
          <w:tcPr>
            <w:tcW w:w="6865" w:type="dxa"/>
            <w:tcBorders>
              <w:bottom w:val="single" w:color="auto" w:sz="4" w:space="0"/>
            </w:tcBorders>
            <w:tcMar>
              <w:top w:w="113" w:type="dxa"/>
              <w:left w:w="113" w:type="dxa"/>
              <w:bottom w:w="0" w:type="dxa"/>
              <w:right w:w="113" w:type="dxa"/>
            </w:tcMar>
            <w:vAlign w:val="center"/>
          </w:tcPr>
          <w:p w14:paraId="72BC55B8">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☑不允许 </w:t>
            </w:r>
          </w:p>
          <w:p w14:paraId="41251B44">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□允许 </w:t>
            </w:r>
            <w:r>
              <w:rPr>
                <w:rFonts w:hint="eastAsia" w:ascii="宋体" w:hAnsi="宋体" w:cs="宋体"/>
                <w:sz w:val="24"/>
                <w:szCs w:val="24"/>
              </w:rPr>
              <w:tab/>
            </w:r>
          </w:p>
          <w:p w14:paraId="61BB640E">
            <w:pPr>
              <w:keepNext w:val="0"/>
              <w:keepLines w:val="0"/>
              <w:pageBreakBefore w:val="0"/>
              <w:kinsoku/>
              <w:wordWrap/>
              <w:overflowPunct/>
              <w:topLinePunct w:val="0"/>
              <w:autoSpaceDE/>
              <w:autoSpaceDN/>
              <w:bidi w:val="0"/>
              <w:adjustRightInd/>
              <w:snapToGrid/>
              <w:spacing w:line="480" w:lineRule="exact"/>
              <w:ind w:firstLine="720" w:firstLineChars="300"/>
              <w:jc w:val="left"/>
              <w:textAlignment w:val="auto"/>
              <w:rPr>
                <w:rFonts w:ascii="宋体" w:hAnsi="宋体" w:cs="宋体"/>
                <w:sz w:val="24"/>
                <w:szCs w:val="24"/>
              </w:rPr>
            </w:pPr>
            <w:r>
              <w:rPr>
                <w:rFonts w:hint="eastAsia" w:ascii="宋体" w:hAnsi="宋体" w:cs="宋体"/>
                <w:sz w:val="24"/>
                <w:szCs w:val="24"/>
              </w:rPr>
              <w:t>分包内容要求：</w:t>
            </w:r>
          </w:p>
          <w:p w14:paraId="75302B97">
            <w:pPr>
              <w:keepNext w:val="0"/>
              <w:keepLines w:val="0"/>
              <w:pageBreakBefore w:val="0"/>
              <w:kinsoku/>
              <w:wordWrap/>
              <w:overflowPunct/>
              <w:topLinePunct w:val="0"/>
              <w:autoSpaceDE/>
              <w:autoSpaceDN/>
              <w:bidi w:val="0"/>
              <w:adjustRightInd/>
              <w:snapToGrid/>
              <w:spacing w:line="480" w:lineRule="exact"/>
              <w:ind w:firstLine="720" w:firstLineChars="300"/>
              <w:jc w:val="left"/>
              <w:textAlignment w:val="auto"/>
              <w:rPr>
                <w:rFonts w:ascii="宋体" w:hAnsi="宋体" w:cs="宋体"/>
                <w:sz w:val="24"/>
                <w:szCs w:val="24"/>
              </w:rPr>
            </w:pPr>
            <w:r>
              <w:rPr>
                <w:rFonts w:hint="eastAsia" w:ascii="宋体" w:hAnsi="宋体" w:cs="宋体"/>
                <w:sz w:val="24"/>
                <w:szCs w:val="24"/>
              </w:rPr>
              <w:t>分包金额要求：</w:t>
            </w:r>
          </w:p>
          <w:p w14:paraId="169C6476">
            <w:pPr>
              <w:keepNext w:val="0"/>
              <w:keepLines w:val="0"/>
              <w:pageBreakBefore w:val="0"/>
              <w:kinsoku/>
              <w:wordWrap/>
              <w:overflowPunct/>
              <w:topLinePunct w:val="0"/>
              <w:autoSpaceDE/>
              <w:autoSpaceDN/>
              <w:bidi w:val="0"/>
              <w:adjustRightInd/>
              <w:snapToGrid/>
              <w:spacing w:line="480" w:lineRule="exact"/>
              <w:ind w:firstLine="720" w:firstLineChars="300"/>
              <w:jc w:val="left"/>
              <w:textAlignment w:val="auto"/>
              <w:rPr>
                <w:rFonts w:ascii="宋体" w:hAnsi="宋体" w:cs="宋体"/>
                <w:sz w:val="24"/>
                <w:szCs w:val="24"/>
              </w:rPr>
            </w:pPr>
            <w:r>
              <w:rPr>
                <w:rFonts w:hint="eastAsia" w:ascii="宋体" w:hAnsi="宋体" w:cs="宋体"/>
                <w:sz w:val="24"/>
                <w:szCs w:val="24"/>
              </w:rPr>
              <w:t>接受分包的第三人资质要求：</w:t>
            </w:r>
          </w:p>
        </w:tc>
      </w:tr>
      <w:tr w14:paraId="41B5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Mar>
              <w:top w:w="113" w:type="dxa"/>
              <w:left w:w="113" w:type="dxa"/>
              <w:bottom w:w="0" w:type="dxa"/>
              <w:right w:w="113" w:type="dxa"/>
            </w:tcMar>
            <w:vAlign w:val="center"/>
          </w:tcPr>
          <w:p w14:paraId="44379612">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1.13</w:t>
            </w:r>
          </w:p>
        </w:tc>
        <w:tc>
          <w:tcPr>
            <w:tcW w:w="1744" w:type="dxa"/>
            <w:tcMar>
              <w:top w:w="113" w:type="dxa"/>
              <w:left w:w="113" w:type="dxa"/>
              <w:bottom w:w="0" w:type="dxa"/>
              <w:right w:w="113" w:type="dxa"/>
            </w:tcMar>
            <w:vAlign w:val="center"/>
          </w:tcPr>
          <w:p w14:paraId="391F742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偏  离</w:t>
            </w:r>
          </w:p>
        </w:tc>
        <w:tc>
          <w:tcPr>
            <w:tcW w:w="6865" w:type="dxa"/>
            <w:tcMar>
              <w:top w:w="113" w:type="dxa"/>
              <w:left w:w="113" w:type="dxa"/>
              <w:bottom w:w="0" w:type="dxa"/>
              <w:right w:w="113" w:type="dxa"/>
            </w:tcMar>
            <w:vAlign w:val="center"/>
          </w:tcPr>
          <w:p w14:paraId="07CCF4E3">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☑不允许 </w:t>
            </w:r>
          </w:p>
          <w:p w14:paraId="3EA3C11F">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□允许 </w:t>
            </w:r>
          </w:p>
        </w:tc>
      </w:tr>
      <w:tr w14:paraId="353A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24E96469">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2.2.1</w:t>
            </w:r>
          </w:p>
        </w:tc>
        <w:tc>
          <w:tcPr>
            <w:tcW w:w="1744" w:type="dxa"/>
            <w:tcMar>
              <w:top w:w="113" w:type="dxa"/>
              <w:left w:w="113" w:type="dxa"/>
              <w:bottom w:w="0" w:type="dxa"/>
              <w:right w:w="113" w:type="dxa"/>
            </w:tcMar>
            <w:vAlign w:val="center"/>
          </w:tcPr>
          <w:p w14:paraId="02DE8A4C">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highlight w:val="none"/>
              </w:rPr>
            </w:pPr>
            <w:r>
              <w:rPr>
                <w:rFonts w:hint="eastAsia" w:ascii="宋体" w:hAnsi="宋体" w:cs="宋体"/>
                <w:sz w:val="24"/>
                <w:szCs w:val="24"/>
                <w:highlight w:val="none"/>
              </w:rPr>
              <w:t>投标截止时间</w:t>
            </w:r>
          </w:p>
        </w:tc>
        <w:tc>
          <w:tcPr>
            <w:tcW w:w="6865" w:type="dxa"/>
            <w:tcMar>
              <w:top w:w="113" w:type="dxa"/>
              <w:left w:w="113" w:type="dxa"/>
              <w:bottom w:w="0" w:type="dxa"/>
              <w:right w:w="113" w:type="dxa"/>
            </w:tcMar>
            <w:vAlign w:val="center"/>
          </w:tcPr>
          <w:p w14:paraId="025A2E41">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highlight w:val="none"/>
              </w:rPr>
            </w:pP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color w:val="auto"/>
                <w:sz w:val="24"/>
                <w:szCs w:val="24"/>
                <w:highlight w:val="none"/>
              </w:rPr>
              <w:t>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FFFFFF" w:themeColor="background1"/>
                <w:sz w:val="24"/>
                <w:szCs w:val="24"/>
                <w:highlight w:val="none"/>
                <w:lang w:val="en-US" w:eastAsia="zh-CN"/>
                <w14:textFill>
                  <w14:solidFill>
                    <w14:schemeClr w14:val="bg1"/>
                  </w14:solidFill>
                </w14:textFill>
              </w:rPr>
              <w:t>05</w:t>
            </w:r>
            <w:r>
              <w:rPr>
                <w:rFonts w:hint="eastAsia" w:asciiTheme="minorEastAsia" w:hAnsiTheme="minorEastAsia" w:eastAsiaTheme="minorEastAsia" w:cstheme="minorEastAsia"/>
                <w:color w:val="FFFFFF" w:themeColor="background1"/>
                <w:sz w:val="24"/>
                <w:szCs w:val="24"/>
                <w:highlight w:val="none"/>
                <w14:textFill>
                  <w14:solidFill>
                    <w14:schemeClr w14:val="bg1"/>
                  </w14:solidFill>
                </w14:textFill>
              </w:rPr>
              <w:t>月</w:t>
            </w:r>
            <w:r>
              <w:rPr>
                <w:rFonts w:hint="eastAsia" w:asciiTheme="minorEastAsia" w:hAnsiTheme="minorEastAsia" w:eastAsiaTheme="minorEastAsia" w:cstheme="minorEastAsia"/>
                <w:color w:val="FFFFFF" w:themeColor="background1"/>
                <w:sz w:val="24"/>
                <w:szCs w:val="24"/>
                <w:highlight w:val="none"/>
                <w:lang w:val="en-US" w:eastAsia="zh-CN"/>
                <w14:textFill>
                  <w14:solidFill>
                    <w14:schemeClr w14:val="bg1"/>
                  </w14:solidFill>
                </w14:textFill>
              </w:rPr>
              <w:t>20</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上</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午1</w:t>
            </w:r>
            <w:r>
              <w:rPr>
                <w:rFonts w:hint="eastAsia" w:asciiTheme="minorEastAsia" w:hAnsiTheme="minorEastAsia" w:eastAsiaTheme="minorEastAsia" w:cstheme="minorEastAsia"/>
                <w:color w:val="auto"/>
                <w:sz w:val="24"/>
                <w:szCs w:val="24"/>
                <w:highlight w:val="none"/>
                <w:lang w:val="en-US" w:eastAsia="zh-CN"/>
              </w:rPr>
              <w:t>0:00</w:t>
            </w:r>
            <w:r>
              <w:rPr>
                <w:rFonts w:hint="eastAsia" w:asciiTheme="minorEastAsia" w:hAnsiTheme="minorEastAsia" w:eastAsiaTheme="minorEastAsia" w:cstheme="minorEastAsia"/>
                <w:color w:val="auto"/>
                <w:sz w:val="24"/>
                <w:szCs w:val="24"/>
                <w:highlight w:val="none"/>
              </w:rPr>
              <w:t>时</w:t>
            </w:r>
          </w:p>
        </w:tc>
      </w:tr>
      <w:tr w14:paraId="3052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30" w:type="dxa"/>
            <w:tcMar>
              <w:top w:w="113" w:type="dxa"/>
              <w:left w:w="113" w:type="dxa"/>
              <w:bottom w:w="0" w:type="dxa"/>
              <w:right w:w="113" w:type="dxa"/>
            </w:tcMar>
            <w:vAlign w:val="center"/>
          </w:tcPr>
          <w:p w14:paraId="067C427C">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2.2.2</w:t>
            </w:r>
          </w:p>
        </w:tc>
        <w:tc>
          <w:tcPr>
            <w:tcW w:w="1744" w:type="dxa"/>
            <w:tcMar>
              <w:top w:w="113" w:type="dxa"/>
              <w:left w:w="113" w:type="dxa"/>
              <w:bottom w:w="0" w:type="dxa"/>
              <w:right w:w="113" w:type="dxa"/>
            </w:tcMar>
            <w:vAlign w:val="center"/>
          </w:tcPr>
          <w:p w14:paraId="0A73C0FE">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招标人澄清、修改、答疑的时间</w:t>
            </w:r>
          </w:p>
        </w:tc>
        <w:tc>
          <w:tcPr>
            <w:tcW w:w="6865" w:type="dxa"/>
            <w:tcMar>
              <w:top w:w="113" w:type="dxa"/>
              <w:left w:w="113" w:type="dxa"/>
              <w:bottom w:w="0" w:type="dxa"/>
              <w:right w:w="113" w:type="dxa"/>
            </w:tcMar>
            <w:vAlign w:val="center"/>
          </w:tcPr>
          <w:p w14:paraId="5EE36453">
            <w:pPr>
              <w:keepNext w:val="0"/>
              <w:keepLines w:val="0"/>
              <w:pageBreakBefore w:val="0"/>
              <w:kinsoku/>
              <w:wordWrap/>
              <w:overflowPunct/>
              <w:topLinePunct w:val="0"/>
              <w:autoSpaceDE/>
              <w:autoSpaceDN/>
              <w:bidi w:val="0"/>
              <w:adjustRightInd/>
              <w:snapToGrid/>
              <w:spacing w:line="480" w:lineRule="exact"/>
              <w:ind w:left="0" w:leftChars="0"/>
              <w:textAlignment w:val="auto"/>
            </w:pPr>
            <w:r>
              <w:rPr>
                <w:rFonts w:hint="eastAsia" w:ascii="宋体" w:hAnsi="宋体"/>
                <w:sz w:val="24"/>
                <w:szCs w:val="24"/>
              </w:rPr>
              <w:t>在投标截止时间十五日前，在</w:t>
            </w:r>
            <w:r>
              <w:rPr>
                <w:rFonts w:hint="eastAsia" w:ascii="宋体" w:hAnsi="宋体"/>
                <w:sz w:val="24"/>
                <w:szCs w:val="24"/>
                <w:lang w:eastAsia="zh-CN"/>
              </w:rPr>
              <w:t>内蒙古自治区公共资源交易网</w:t>
            </w:r>
            <w:r>
              <w:rPr>
                <w:rFonts w:hint="eastAsia" w:ascii="宋体" w:hAnsi="宋体"/>
                <w:sz w:val="24"/>
                <w:szCs w:val="24"/>
              </w:rPr>
              <w:t>上交易系统内的“答疑文件下载”栏目以电子澄清答疑文件形式通知所有招标文件收受人。如果澄清发出的时间距投标截止时间不足十五天，相应延长投标截止时间。</w:t>
            </w:r>
          </w:p>
        </w:tc>
      </w:tr>
      <w:tr w14:paraId="1401B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030" w:type="dxa"/>
            <w:tcMar>
              <w:top w:w="113" w:type="dxa"/>
              <w:left w:w="113" w:type="dxa"/>
              <w:bottom w:w="0" w:type="dxa"/>
              <w:right w:w="113" w:type="dxa"/>
            </w:tcMar>
            <w:vAlign w:val="center"/>
          </w:tcPr>
          <w:p w14:paraId="0B80CE3A">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3</w:t>
            </w:r>
          </w:p>
        </w:tc>
        <w:tc>
          <w:tcPr>
            <w:tcW w:w="1744" w:type="dxa"/>
            <w:tcMar>
              <w:top w:w="113" w:type="dxa"/>
              <w:left w:w="113" w:type="dxa"/>
              <w:bottom w:w="0" w:type="dxa"/>
              <w:right w:w="113" w:type="dxa"/>
            </w:tcMar>
            <w:vAlign w:val="center"/>
          </w:tcPr>
          <w:p w14:paraId="4328CCA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投标人提出异议的</w:t>
            </w:r>
            <w:r>
              <w:rPr>
                <w:rFonts w:hint="eastAsia" w:ascii="宋体" w:hAnsi="宋体" w:cs="宋体"/>
                <w:color w:val="auto"/>
                <w:sz w:val="24"/>
                <w:szCs w:val="24"/>
                <w:highlight w:val="none"/>
                <w:lang w:val="en-US" w:eastAsia="zh-CN"/>
              </w:rPr>
              <w:t>截止</w:t>
            </w:r>
            <w:r>
              <w:rPr>
                <w:rFonts w:hint="eastAsia" w:ascii="宋体" w:hAnsi="宋体" w:cs="宋体"/>
                <w:color w:val="auto"/>
                <w:sz w:val="24"/>
                <w:szCs w:val="24"/>
                <w:highlight w:val="none"/>
              </w:rPr>
              <w:t>时间</w:t>
            </w:r>
          </w:p>
        </w:tc>
        <w:tc>
          <w:tcPr>
            <w:tcW w:w="6865" w:type="dxa"/>
            <w:tcMar>
              <w:top w:w="113" w:type="dxa"/>
              <w:left w:w="113" w:type="dxa"/>
              <w:bottom w:w="0" w:type="dxa"/>
              <w:right w:w="113" w:type="dxa"/>
            </w:tcMar>
            <w:vAlign w:val="center"/>
          </w:tcPr>
          <w:p w14:paraId="12FCF28C">
            <w:pPr>
              <w:keepNext w:val="0"/>
              <w:keepLines w:val="0"/>
              <w:pageBreakBefore w:val="0"/>
              <w:kinsoku/>
              <w:wordWrap/>
              <w:overflowPunct/>
              <w:topLinePunct w:val="0"/>
              <w:autoSpaceDE/>
              <w:autoSpaceDN/>
              <w:bidi w:val="0"/>
              <w:adjustRightInd/>
              <w:snapToGrid/>
              <w:spacing w:line="480" w:lineRule="exact"/>
              <w:ind w:left="0" w:leftChars="0"/>
              <w:textAlignment w:val="auto"/>
              <w:rPr>
                <w:rFonts w:ascii="宋体" w:hAnsi="宋体" w:cs="宋体"/>
                <w:color w:val="auto"/>
                <w:sz w:val="24"/>
                <w:szCs w:val="24"/>
                <w:highlight w:val="none"/>
              </w:rPr>
            </w:pPr>
            <w:r>
              <w:rPr>
                <w:rFonts w:hint="eastAsia" w:ascii="宋体" w:hAnsi="宋体" w:eastAsia="宋体" w:cs="宋体"/>
                <w:sz w:val="24"/>
                <w:szCs w:val="24"/>
              </w:rPr>
              <w:t>投标人应仔细阅读和检查招标文件的全部内容，如有异议，应在投标截止时间十日前，</w:t>
            </w:r>
            <w:r>
              <w:rPr>
                <w:rFonts w:hint="eastAsia" w:ascii="宋体" w:hAnsi="宋体" w:cs="宋体"/>
                <w:sz w:val="24"/>
                <w:szCs w:val="24"/>
                <w:lang w:val="en-US" w:eastAsia="zh-CN"/>
              </w:rPr>
              <w:t>登录内蒙古自治区公共资源交易网</w:t>
            </w:r>
            <w:r>
              <w:rPr>
                <w:rFonts w:hint="eastAsia" w:ascii="宋体" w:hAnsi="宋体" w:eastAsia="宋体" w:cs="宋体"/>
                <w:sz w:val="24"/>
                <w:szCs w:val="24"/>
              </w:rPr>
              <w:t>上交易系统内的“网上答疑”栏目以网上提问的形式通知招标人或招标代理机构对招标文件予以澄清，代理机构所做出的答复投标人可查看。</w:t>
            </w:r>
          </w:p>
        </w:tc>
      </w:tr>
      <w:tr w14:paraId="47D4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Mar>
              <w:top w:w="113" w:type="dxa"/>
              <w:left w:w="113" w:type="dxa"/>
              <w:bottom w:w="0" w:type="dxa"/>
              <w:right w:w="113" w:type="dxa"/>
            </w:tcMar>
            <w:vAlign w:val="center"/>
          </w:tcPr>
          <w:p w14:paraId="0F9542EA">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3.1</w:t>
            </w:r>
          </w:p>
        </w:tc>
        <w:tc>
          <w:tcPr>
            <w:tcW w:w="1744" w:type="dxa"/>
            <w:tcMar>
              <w:top w:w="113" w:type="dxa"/>
              <w:left w:w="113" w:type="dxa"/>
              <w:bottom w:w="0" w:type="dxa"/>
              <w:right w:w="113" w:type="dxa"/>
            </w:tcMar>
            <w:vAlign w:val="center"/>
          </w:tcPr>
          <w:p w14:paraId="521D65C9">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构成投标文件的其他材料</w:t>
            </w:r>
          </w:p>
        </w:tc>
        <w:tc>
          <w:tcPr>
            <w:tcW w:w="6865" w:type="dxa"/>
            <w:tcMar>
              <w:top w:w="113" w:type="dxa"/>
              <w:left w:w="113" w:type="dxa"/>
              <w:bottom w:w="0" w:type="dxa"/>
              <w:right w:w="113" w:type="dxa"/>
            </w:tcMar>
            <w:vAlign w:val="center"/>
          </w:tcPr>
          <w:p w14:paraId="21A85D11">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投标人认为对其投标有利的其他材料</w:t>
            </w:r>
            <w:r>
              <w:rPr>
                <w:rFonts w:hint="eastAsia" w:ascii="宋体" w:hAnsi="宋体" w:cs="宋体"/>
                <w:sz w:val="24"/>
                <w:szCs w:val="24"/>
                <w:lang w:eastAsia="zh-CN"/>
              </w:rPr>
              <w:t>；</w:t>
            </w:r>
          </w:p>
        </w:tc>
      </w:tr>
      <w:tr w14:paraId="3E6C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030" w:type="dxa"/>
            <w:tcMar>
              <w:top w:w="113" w:type="dxa"/>
              <w:left w:w="113" w:type="dxa"/>
              <w:bottom w:w="0" w:type="dxa"/>
              <w:right w:w="113" w:type="dxa"/>
            </w:tcMar>
            <w:vAlign w:val="center"/>
          </w:tcPr>
          <w:p w14:paraId="4EDB6630">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3.2.1</w:t>
            </w:r>
          </w:p>
        </w:tc>
        <w:tc>
          <w:tcPr>
            <w:tcW w:w="1744" w:type="dxa"/>
            <w:tcMar>
              <w:top w:w="113" w:type="dxa"/>
              <w:left w:w="113" w:type="dxa"/>
              <w:bottom w:w="0" w:type="dxa"/>
              <w:right w:w="113" w:type="dxa"/>
            </w:tcMar>
            <w:vAlign w:val="center"/>
          </w:tcPr>
          <w:p w14:paraId="3C4371B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报价方式</w:t>
            </w:r>
          </w:p>
        </w:tc>
        <w:tc>
          <w:tcPr>
            <w:tcW w:w="6865" w:type="dxa"/>
            <w:tcMar>
              <w:top w:w="113" w:type="dxa"/>
              <w:left w:w="113" w:type="dxa"/>
              <w:bottom w:w="0" w:type="dxa"/>
              <w:right w:w="113" w:type="dxa"/>
            </w:tcMar>
            <w:vAlign w:val="center"/>
          </w:tcPr>
          <w:p w14:paraId="60A5075A">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工程量清单报价</w:t>
            </w:r>
            <w:r>
              <w:rPr>
                <w:rFonts w:hint="eastAsia" w:ascii="宋体" w:hAnsi="宋体" w:cs="宋体"/>
                <w:sz w:val="24"/>
                <w:szCs w:val="24"/>
                <w:lang w:eastAsia="zh-CN"/>
              </w:rPr>
              <w:t>；</w:t>
            </w:r>
          </w:p>
        </w:tc>
      </w:tr>
      <w:tr w14:paraId="675C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030" w:type="dxa"/>
            <w:tcMar>
              <w:top w:w="113" w:type="dxa"/>
              <w:left w:w="113" w:type="dxa"/>
              <w:bottom w:w="0" w:type="dxa"/>
              <w:right w:w="113" w:type="dxa"/>
            </w:tcMar>
            <w:vAlign w:val="center"/>
          </w:tcPr>
          <w:p w14:paraId="5F5E2FF7">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3.3.1</w:t>
            </w:r>
          </w:p>
        </w:tc>
        <w:tc>
          <w:tcPr>
            <w:tcW w:w="1744" w:type="dxa"/>
            <w:tcMar>
              <w:top w:w="113" w:type="dxa"/>
              <w:left w:w="113" w:type="dxa"/>
              <w:bottom w:w="0" w:type="dxa"/>
              <w:right w:w="113" w:type="dxa"/>
            </w:tcMar>
            <w:vAlign w:val="center"/>
          </w:tcPr>
          <w:p w14:paraId="770260D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投标有效期</w:t>
            </w:r>
          </w:p>
        </w:tc>
        <w:tc>
          <w:tcPr>
            <w:tcW w:w="6865" w:type="dxa"/>
            <w:tcMar>
              <w:top w:w="113" w:type="dxa"/>
              <w:left w:w="113" w:type="dxa"/>
              <w:bottom w:w="0" w:type="dxa"/>
              <w:right w:w="113" w:type="dxa"/>
            </w:tcMar>
            <w:vAlign w:val="center"/>
          </w:tcPr>
          <w:p w14:paraId="5F72F3DB">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为90日历天（从投标截止之日算起）</w:t>
            </w:r>
            <w:r>
              <w:rPr>
                <w:rFonts w:hint="eastAsia" w:ascii="宋体" w:hAnsi="宋体" w:cs="宋体"/>
                <w:sz w:val="24"/>
                <w:szCs w:val="24"/>
                <w:lang w:eastAsia="zh-CN"/>
              </w:rPr>
              <w:t>；</w:t>
            </w:r>
          </w:p>
        </w:tc>
      </w:tr>
      <w:tr w14:paraId="1BFE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30" w:type="dxa"/>
            <w:tcMar>
              <w:top w:w="113" w:type="dxa"/>
              <w:left w:w="113" w:type="dxa"/>
              <w:bottom w:w="0" w:type="dxa"/>
              <w:right w:w="113" w:type="dxa"/>
            </w:tcMar>
            <w:vAlign w:val="center"/>
          </w:tcPr>
          <w:p w14:paraId="08BC6FAE">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rPr>
              <w:t>3.4</w:t>
            </w:r>
            <w:r>
              <w:rPr>
                <w:rFonts w:hint="eastAsia" w:ascii="宋体" w:hAnsi="宋体" w:cs="宋体"/>
                <w:sz w:val="24"/>
                <w:szCs w:val="24"/>
                <w:lang w:val="en-US" w:eastAsia="zh-CN"/>
              </w:rPr>
              <w:t>.1</w:t>
            </w:r>
          </w:p>
        </w:tc>
        <w:tc>
          <w:tcPr>
            <w:tcW w:w="1744" w:type="dxa"/>
            <w:tcMar>
              <w:top w:w="113" w:type="dxa"/>
              <w:left w:w="113" w:type="dxa"/>
              <w:bottom w:w="0" w:type="dxa"/>
              <w:right w:w="113" w:type="dxa"/>
            </w:tcMar>
            <w:vAlign w:val="center"/>
          </w:tcPr>
          <w:p w14:paraId="367244C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highlight w:val="none"/>
              </w:rPr>
            </w:pPr>
            <w:r>
              <w:rPr>
                <w:rFonts w:hint="eastAsia" w:ascii="宋体" w:hAnsi="宋体" w:cs="宋体"/>
                <w:sz w:val="24"/>
                <w:szCs w:val="24"/>
                <w:highlight w:val="none"/>
              </w:rPr>
              <w:t>投标保证金</w:t>
            </w:r>
          </w:p>
        </w:tc>
        <w:tc>
          <w:tcPr>
            <w:tcW w:w="6865" w:type="dxa"/>
            <w:tcMar>
              <w:top w:w="113" w:type="dxa"/>
              <w:left w:w="113" w:type="dxa"/>
              <w:bottom w:w="0" w:type="dxa"/>
              <w:right w:w="113" w:type="dxa"/>
            </w:tcMar>
            <w:vAlign w:val="center"/>
          </w:tcPr>
          <w:p w14:paraId="5F471267">
            <w:pPr>
              <w:keepNext w:val="0"/>
              <w:keepLines w:val="0"/>
              <w:pageBreakBefore w:val="0"/>
              <w:kinsoku/>
              <w:wordWrap/>
              <w:overflowPunct/>
              <w:topLinePunct w:val="0"/>
              <w:autoSpaceDE/>
              <w:autoSpaceDN/>
              <w:bidi w:val="0"/>
              <w:adjustRightInd/>
              <w:snapToGrid/>
              <w:spacing w:line="480" w:lineRule="exact"/>
              <w:ind w:left="0"/>
              <w:textAlignment w:val="auto"/>
              <w:rPr>
                <w:rFonts w:ascii="宋体" w:hAnsi="宋体" w:cs="宋体"/>
                <w:sz w:val="24"/>
                <w:szCs w:val="24"/>
                <w:highlight w:val="none"/>
              </w:rPr>
            </w:pPr>
            <w:r>
              <w:rPr>
                <w:rFonts w:hint="eastAsia" w:ascii="宋体" w:hAnsi="宋体" w:cs="宋体"/>
                <w:sz w:val="24"/>
                <w:szCs w:val="24"/>
                <w:highlight w:val="none"/>
                <w:lang w:val="en-US" w:eastAsia="zh-CN"/>
              </w:rPr>
              <w:t>不收取</w:t>
            </w:r>
          </w:p>
        </w:tc>
      </w:tr>
      <w:tr w14:paraId="4BEAF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030" w:type="dxa"/>
            <w:tcMar>
              <w:top w:w="113" w:type="dxa"/>
              <w:left w:w="113" w:type="dxa"/>
              <w:bottom w:w="0" w:type="dxa"/>
              <w:right w:w="113" w:type="dxa"/>
            </w:tcMar>
            <w:vAlign w:val="center"/>
          </w:tcPr>
          <w:p w14:paraId="4324A5D6">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3.5</w:t>
            </w:r>
          </w:p>
        </w:tc>
        <w:tc>
          <w:tcPr>
            <w:tcW w:w="1744" w:type="dxa"/>
            <w:tcMar>
              <w:top w:w="113" w:type="dxa"/>
              <w:left w:w="113" w:type="dxa"/>
              <w:bottom w:w="0" w:type="dxa"/>
              <w:right w:w="113" w:type="dxa"/>
            </w:tcMar>
            <w:vAlign w:val="center"/>
          </w:tcPr>
          <w:p w14:paraId="05B3E34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资格审查资料要求</w:t>
            </w:r>
          </w:p>
        </w:tc>
        <w:tc>
          <w:tcPr>
            <w:tcW w:w="6865" w:type="dxa"/>
            <w:tcMar>
              <w:top w:w="113" w:type="dxa"/>
              <w:left w:w="113" w:type="dxa"/>
              <w:bottom w:w="0" w:type="dxa"/>
              <w:right w:w="113" w:type="dxa"/>
            </w:tcMar>
            <w:vAlign w:val="center"/>
          </w:tcPr>
          <w:p w14:paraId="4B59CB0E">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以上传至平台的投标文件电子版为准</w:t>
            </w:r>
            <w:r>
              <w:rPr>
                <w:rFonts w:hint="eastAsia" w:ascii="宋体" w:hAnsi="宋体" w:cs="宋体"/>
                <w:sz w:val="24"/>
                <w:szCs w:val="24"/>
                <w:lang w:eastAsia="zh-CN"/>
              </w:rPr>
              <w:t>；</w:t>
            </w:r>
          </w:p>
        </w:tc>
      </w:tr>
      <w:tr w14:paraId="61E3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Mar>
              <w:top w:w="113" w:type="dxa"/>
              <w:left w:w="113" w:type="dxa"/>
              <w:bottom w:w="0" w:type="dxa"/>
              <w:right w:w="113" w:type="dxa"/>
            </w:tcMar>
            <w:vAlign w:val="center"/>
          </w:tcPr>
          <w:p w14:paraId="7F614111">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3.5.2</w:t>
            </w:r>
          </w:p>
        </w:tc>
        <w:tc>
          <w:tcPr>
            <w:tcW w:w="1744" w:type="dxa"/>
            <w:tcMar>
              <w:top w:w="113" w:type="dxa"/>
              <w:left w:w="113" w:type="dxa"/>
              <w:bottom w:w="0" w:type="dxa"/>
              <w:right w:w="113" w:type="dxa"/>
            </w:tcMar>
            <w:vAlign w:val="center"/>
          </w:tcPr>
          <w:p w14:paraId="6C167A1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近年财务状况的年份要求</w:t>
            </w:r>
          </w:p>
        </w:tc>
        <w:tc>
          <w:tcPr>
            <w:tcW w:w="6865" w:type="dxa"/>
            <w:tcMar>
              <w:top w:w="113" w:type="dxa"/>
              <w:left w:w="113" w:type="dxa"/>
              <w:bottom w:w="0" w:type="dxa"/>
              <w:right w:w="113" w:type="dxa"/>
            </w:tcMar>
            <w:vAlign w:val="center"/>
          </w:tcPr>
          <w:p w14:paraId="544BC98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lang w:eastAsia="zh-CN"/>
              </w:rPr>
            </w:pPr>
            <w:r>
              <w:rPr>
                <w:rFonts w:hint="eastAsia" w:ascii="宋体" w:hAnsi="宋体" w:cs="宋体"/>
                <w:sz w:val="24"/>
                <w:szCs w:val="24"/>
                <w:highlight w:val="none"/>
                <w:lang w:val="en-US" w:eastAsia="zh-CN"/>
              </w:rPr>
              <w:t>近三年，2023年、2024年、2025年；（公司成立不满三年的，提供自成立以来年份即可）</w:t>
            </w:r>
          </w:p>
        </w:tc>
      </w:tr>
      <w:tr w14:paraId="13EC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Mar>
              <w:top w:w="113" w:type="dxa"/>
              <w:left w:w="113" w:type="dxa"/>
              <w:bottom w:w="0" w:type="dxa"/>
              <w:right w:w="113" w:type="dxa"/>
            </w:tcMar>
            <w:vAlign w:val="center"/>
          </w:tcPr>
          <w:p w14:paraId="30A4D13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3.5.3</w:t>
            </w:r>
          </w:p>
        </w:tc>
        <w:tc>
          <w:tcPr>
            <w:tcW w:w="1744" w:type="dxa"/>
            <w:tcMar>
              <w:top w:w="113" w:type="dxa"/>
              <w:left w:w="113" w:type="dxa"/>
              <w:bottom w:w="0" w:type="dxa"/>
              <w:right w:w="113" w:type="dxa"/>
            </w:tcMar>
            <w:vAlign w:val="center"/>
          </w:tcPr>
          <w:p w14:paraId="3DE626F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近年完成项目的年份要求</w:t>
            </w:r>
          </w:p>
        </w:tc>
        <w:tc>
          <w:tcPr>
            <w:tcW w:w="6865" w:type="dxa"/>
            <w:tcMar>
              <w:top w:w="113" w:type="dxa"/>
              <w:left w:w="113" w:type="dxa"/>
              <w:bottom w:w="0" w:type="dxa"/>
              <w:right w:w="113" w:type="dxa"/>
            </w:tcMar>
            <w:vAlign w:val="center"/>
          </w:tcPr>
          <w:p w14:paraId="0C5DD06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近三年，</w:t>
            </w:r>
            <w:r>
              <w:rPr>
                <w:rFonts w:hint="eastAsia" w:ascii="宋体" w:hAnsi="宋体" w:cs="宋体"/>
                <w:sz w:val="24"/>
                <w:szCs w:val="24"/>
                <w:highlight w:val="none"/>
              </w:rPr>
              <w:t>20</w:t>
            </w:r>
            <w:r>
              <w:rPr>
                <w:rFonts w:hint="eastAsia" w:ascii="宋体" w:hAnsi="宋体" w:cs="宋体"/>
                <w:sz w:val="24"/>
                <w:szCs w:val="24"/>
                <w:highlight w:val="none"/>
                <w:lang w:val="en-US" w:eastAsia="zh-CN"/>
              </w:rPr>
              <w:t>23</w:t>
            </w:r>
            <w:r>
              <w:rPr>
                <w:rFonts w:hint="eastAsia" w:ascii="宋体" w:hAnsi="宋体" w:cs="宋体"/>
                <w:sz w:val="24"/>
                <w:szCs w:val="24"/>
                <w:highlight w:val="none"/>
              </w:rPr>
              <w:t>年0</w:t>
            </w:r>
            <w:r>
              <w:rPr>
                <w:rFonts w:hint="eastAsia" w:ascii="宋体" w:hAnsi="宋体" w:cs="宋体"/>
                <w:sz w:val="24"/>
                <w:szCs w:val="24"/>
                <w:highlight w:val="none"/>
                <w:lang w:val="en-US" w:eastAsia="zh-CN"/>
              </w:rPr>
              <w:t>1</w:t>
            </w:r>
            <w:r>
              <w:rPr>
                <w:rFonts w:hint="eastAsia" w:ascii="宋体" w:hAnsi="宋体" w:cs="宋体"/>
                <w:sz w:val="24"/>
                <w:szCs w:val="24"/>
                <w:highlight w:val="none"/>
              </w:rPr>
              <w:t>月01日</w:t>
            </w:r>
            <w:r>
              <w:rPr>
                <w:rFonts w:hint="eastAsia" w:ascii="宋体" w:hAnsi="宋体" w:cs="宋体"/>
                <w:sz w:val="24"/>
                <w:szCs w:val="24"/>
                <w:highlight w:val="none"/>
                <w:lang w:eastAsia="zh-CN"/>
              </w:rPr>
              <w:t>至投标截止之日；</w:t>
            </w:r>
          </w:p>
        </w:tc>
      </w:tr>
      <w:tr w14:paraId="1B8DD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030" w:type="dxa"/>
            <w:tcMar>
              <w:top w:w="113" w:type="dxa"/>
              <w:left w:w="113" w:type="dxa"/>
              <w:bottom w:w="0" w:type="dxa"/>
              <w:right w:w="113" w:type="dxa"/>
            </w:tcMar>
            <w:vAlign w:val="center"/>
          </w:tcPr>
          <w:p w14:paraId="2152281B">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3.5.5</w:t>
            </w:r>
          </w:p>
        </w:tc>
        <w:tc>
          <w:tcPr>
            <w:tcW w:w="1744" w:type="dxa"/>
            <w:tcMar>
              <w:top w:w="113" w:type="dxa"/>
              <w:left w:w="113" w:type="dxa"/>
              <w:bottom w:w="0" w:type="dxa"/>
              <w:right w:w="113" w:type="dxa"/>
            </w:tcMar>
            <w:vAlign w:val="center"/>
          </w:tcPr>
          <w:p w14:paraId="7576CCB9">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近年发生的诉讼及仲裁情况的年份要求</w:t>
            </w:r>
          </w:p>
        </w:tc>
        <w:tc>
          <w:tcPr>
            <w:tcW w:w="6865" w:type="dxa"/>
            <w:tcMar>
              <w:top w:w="113" w:type="dxa"/>
              <w:left w:w="113" w:type="dxa"/>
              <w:bottom w:w="0" w:type="dxa"/>
              <w:right w:w="113" w:type="dxa"/>
            </w:tcMar>
            <w:vAlign w:val="center"/>
          </w:tcPr>
          <w:p w14:paraId="63672968">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近三年，</w:t>
            </w:r>
            <w:r>
              <w:rPr>
                <w:rFonts w:hint="eastAsia" w:ascii="宋体" w:hAnsi="宋体" w:cs="宋体"/>
                <w:sz w:val="24"/>
                <w:szCs w:val="24"/>
                <w:highlight w:val="none"/>
              </w:rPr>
              <w:t>20</w:t>
            </w:r>
            <w:r>
              <w:rPr>
                <w:rFonts w:hint="eastAsia" w:ascii="宋体" w:hAnsi="宋体" w:cs="宋体"/>
                <w:sz w:val="24"/>
                <w:szCs w:val="24"/>
                <w:highlight w:val="none"/>
                <w:lang w:val="en-US" w:eastAsia="zh-CN"/>
              </w:rPr>
              <w:t>23</w:t>
            </w:r>
            <w:r>
              <w:rPr>
                <w:rFonts w:hint="eastAsia" w:ascii="宋体" w:hAnsi="宋体" w:cs="宋体"/>
                <w:sz w:val="24"/>
                <w:szCs w:val="24"/>
                <w:highlight w:val="none"/>
              </w:rPr>
              <w:t>年0</w:t>
            </w:r>
            <w:r>
              <w:rPr>
                <w:rFonts w:hint="eastAsia" w:ascii="宋体" w:hAnsi="宋体" w:cs="宋体"/>
                <w:sz w:val="24"/>
                <w:szCs w:val="24"/>
                <w:highlight w:val="none"/>
                <w:lang w:val="en-US" w:eastAsia="zh-CN"/>
              </w:rPr>
              <w:t>1</w:t>
            </w:r>
            <w:r>
              <w:rPr>
                <w:rFonts w:hint="eastAsia" w:ascii="宋体" w:hAnsi="宋体" w:cs="宋体"/>
                <w:sz w:val="24"/>
                <w:szCs w:val="24"/>
                <w:highlight w:val="none"/>
              </w:rPr>
              <w:t>月01日</w:t>
            </w:r>
            <w:r>
              <w:rPr>
                <w:rFonts w:hint="eastAsia" w:ascii="宋体" w:hAnsi="宋体" w:cs="宋体"/>
                <w:sz w:val="24"/>
                <w:szCs w:val="24"/>
                <w:highlight w:val="none"/>
                <w:lang w:eastAsia="zh-CN"/>
              </w:rPr>
              <w:t>至投标截止之日；</w:t>
            </w:r>
          </w:p>
        </w:tc>
      </w:tr>
      <w:tr w14:paraId="1BC3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14ADE057">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3.8</w:t>
            </w:r>
          </w:p>
        </w:tc>
        <w:tc>
          <w:tcPr>
            <w:tcW w:w="1744" w:type="dxa"/>
            <w:tcMar>
              <w:top w:w="113" w:type="dxa"/>
              <w:left w:w="113" w:type="dxa"/>
              <w:bottom w:w="0" w:type="dxa"/>
              <w:right w:w="113" w:type="dxa"/>
            </w:tcMar>
            <w:vAlign w:val="center"/>
          </w:tcPr>
          <w:p w14:paraId="77F49FBD">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投标文件份数</w:t>
            </w:r>
          </w:p>
        </w:tc>
        <w:tc>
          <w:tcPr>
            <w:tcW w:w="6865" w:type="dxa"/>
            <w:tcMar>
              <w:top w:w="113" w:type="dxa"/>
              <w:left w:w="113" w:type="dxa"/>
              <w:bottom w:w="0" w:type="dxa"/>
              <w:right w:w="113" w:type="dxa"/>
            </w:tcMar>
            <w:vAlign w:val="center"/>
          </w:tcPr>
          <w:p w14:paraId="4A9FCEC7">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不提供纸质版投标文件</w:t>
            </w:r>
            <w:r>
              <w:rPr>
                <w:rFonts w:hint="eastAsia" w:ascii="宋体" w:hAnsi="宋体" w:cs="宋体"/>
                <w:sz w:val="24"/>
                <w:szCs w:val="24"/>
                <w:lang w:eastAsia="zh-CN"/>
              </w:rPr>
              <w:t>；</w:t>
            </w:r>
          </w:p>
        </w:tc>
      </w:tr>
      <w:tr w14:paraId="4103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Mar>
              <w:top w:w="113" w:type="dxa"/>
              <w:left w:w="113" w:type="dxa"/>
              <w:bottom w:w="0" w:type="dxa"/>
              <w:right w:w="113" w:type="dxa"/>
            </w:tcMar>
            <w:vAlign w:val="center"/>
          </w:tcPr>
          <w:p w14:paraId="0ED0B5AA">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4.1.2</w:t>
            </w:r>
          </w:p>
        </w:tc>
        <w:tc>
          <w:tcPr>
            <w:tcW w:w="1744" w:type="dxa"/>
            <w:tcMar>
              <w:top w:w="113" w:type="dxa"/>
              <w:left w:w="113" w:type="dxa"/>
              <w:bottom w:w="0" w:type="dxa"/>
              <w:right w:w="113" w:type="dxa"/>
            </w:tcMar>
            <w:vAlign w:val="center"/>
          </w:tcPr>
          <w:p w14:paraId="4616A82D">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递交投标文件方式及地点</w:t>
            </w:r>
          </w:p>
        </w:tc>
        <w:tc>
          <w:tcPr>
            <w:tcW w:w="6865" w:type="dxa"/>
            <w:tcMar>
              <w:top w:w="113" w:type="dxa"/>
              <w:left w:w="113" w:type="dxa"/>
              <w:bottom w:w="0" w:type="dxa"/>
              <w:right w:w="113" w:type="dxa"/>
            </w:tcMar>
            <w:vAlign w:val="center"/>
          </w:tcPr>
          <w:p w14:paraId="4772AA18">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lang w:val="en-US" w:eastAsia="zh-CN"/>
              </w:rPr>
              <w:t>投标人须在投标截止时间前，上传至《内蒙古自治区工程项目交易系统》（https://219.148.175.179:9443/tpbidder）。</w:t>
            </w:r>
          </w:p>
        </w:tc>
      </w:tr>
      <w:tr w14:paraId="1B59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Mar>
              <w:top w:w="113" w:type="dxa"/>
              <w:left w:w="113" w:type="dxa"/>
              <w:bottom w:w="0" w:type="dxa"/>
              <w:right w:w="113" w:type="dxa"/>
            </w:tcMar>
            <w:vAlign w:val="center"/>
          </w:tcPr>
          <w:p w14:paraId="2FE91845">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4.1.3</w:t>
            </w:r>
          </w:p>
        </w:tc>
        <w:tc>
          <w:tcPr>
            <w:tcW w:w="1744" w:type="dxa"/>
            <w:tcMar>
              <w:top w:w="113" w:type="dxa"/>
              <w:left w:w="113" w:type="dxa"/>
              <w:bottom w:w="0" w:type="dxa"/>
              <w:right w:w="113" w:type="dxa"/>
            </w:tcMar>
            <w:vAlign w:val="center"/>
          </w:tcPr>
          <w:p w14:paraId="0F364FB5">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是否退还投标文件</w:t>
            </w:r>
          </w:p>
        </w:tc>
        <w:tc>
          <w:tcPr>
            <w:tcW w:w="6865" w:type="dxa"/>
            <w:tcMar>
              <w:top w:w="113" w:type="dxa"/>
              <w:left w:w="113" w:type="dxa"/>
              <w:bottom w:w="0" w:type="dxa"/>
              <w:right w:w="113" w:type="dxa"/>
            </w:tcMar>
            <w:vAlign w:val="center"/>
          </w:tcPr>
          <w:p w14:paraId="1A349F76">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☑否 </w:t>
            </w:r>
          </w:p>
          <w:p w14:paraId="501C51C3">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 xml:space="preserve">□是 </w:t>
            </w:r>
          </w:p>
        </w:tc>
      </w:tr>
      <w:tr w14:paraId="5473F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030" w:type="dxa"/>
            <w:tcBorders>
              <w:bottom w:val="single" w:color="auto" w:sz="4" w:space="0"/>
            </w:tcBorders>
            <w:tcMar>
              <w:top w:w="113" w:type="dxa"/>
              <w:left w:w="113" w:type="dxa"/>
              <w:bottom w:w="0" w:type="dxa"/>
              <w:right w:w="113" w:type="dxa"/>
            </w:tcMar>
            <w:vAlign w:val="center"/>
          </w:tcPr>
          <w:p w14:paraId="2DE3B6D6">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5.1</w:t>
            </w:r>
          </w:p>
        </w:tc>
        <w:tc>
          <w:tcPr>
            <w:tcW w:w="1744" w:type="dxa"/>
            <w:tcBorders>
              <w:bottom w:val="single" w:color="auto" w:sz="4" w:space="0"/>
            </w:tcBorders>
            <w:tcMar>
              <w:top w:w="113" w:type="dxa"/>
              <w:left w:w="113" w:type="dxa"/>
              <w:bottom w:w="0" w:type="dxa"/>
              <w:right w:w="113" w:type="dxa"/>
            </w:tcMar>
            <w:vAlign w:val="center"/>
          </w:tcPr>
          <w:p w14:paraId="356A0B69">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开标时间和</w:t>
            </w:r>
          </w:p>
          <w:p w14:paraId="25998E71">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地点</w:t>
            </w:r>
          </w:p>
        </w:tc>
        <w:tc>
          <w:tcPr>
            <w:tcW w:w="6865" w:type="dxa"/>
            <w:tcBorders>
              <w:bottom w:val="single" w:color="auto" w:sz="4" w:space="0"/>
            </w:tcBorders>
            <w:tcMar>
              <w:top w:w="113" w:type="dxa"/>
              <w:left w:w="113" w:type="dxa"/>
              <w:bottom w:w="0" w:type="dxa"/>
              <w:right w:w="113" w:type="dxa"/>
            </w:tcMar>
            <w:vAlign w:val="center"/>
          </w:tcPr>
          <w:p w14:paraId="0206AD1B">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cs="宋体"/>
                <w:sz w:val="24"/>
                <w:szCs w:val="24"/>
                <w:highlight w:val="none"/>
              </w:rPr>
            </w:pPr>
            <w:r>
              <w:rPr>
                <w:rFonts w:hint="eastAsia" w:ascii="宋体" w:hAnsi="宋体" w:cs="宋体"/>
                <w:sz w:val="24"/>
                <w:szCs w:val="24"/>
                <w:highlight w:val="none"/>
              </w:rPr>
              <w:t>开标时间：</w:t>
            </w:r>
            <w:r>
              <w:rPr>
                <w:rFonts w:hint="eastAsia" w:ascii="宋体" w:hAnsi="宋体" w:cs="宋体"/>
                <w:color w:val="000000" w:themeColor="text1"/>
                <w:sz w:val="24"/>
                <w:szCs w:val="24"/>
                <w:highlight w:val="none"/>
                <w14:textFill>
                  <w14:solidFill>
                    <w14:schemeClr w14:val="tx1"/>
                  </w14:solidFill>
                </w14:textFill>
              </w:rPr>
              <w:t>20</w:t>
            </w:r>
            <w:r>
              <w:rPr>
                <w:rFonts w:hint="eastAsia" w:ascii="宋体" w:hAnsi="宋体" w:cs="宋体"/>
                <w:color w:val="000000" w:themeColor="text1"/>
                <w:sz w:val="24"/>
                <w:szCs w:val="24"/>
                <w:highlight w:val="none"/>
                <w:lang w:val="en-US" w:eastAsia="zh-CN"/>
                <w14:textFill>
                  <w14:solidFill>
                    <w14:schemeClr w14:val="tx1"/>
                  </w14:solidFill>
                </w14:textFill>
              </w:rPr>
              <w:t>26</w:t>
            </w:r>
            <w:r>
              <w:rPr>
                <w:rFonts w:hint="eastAsia" w:ascii="宋体" w:hAnsi="宋体" w:cs="宋体"/>
                <w:color w:val="auto"/>
                <w:sz w:val="24"/>
                <w:szCs w:val="24"/>
                <w:highlight w:val="none"/>
              </w:rPr>
              <w:t>年</w:t>
            </w:r>
            <w:r>
              <w:rPr>
                <w:rFonts w:hint="eastAsia" w:ascii="宋体" w:hAnsi="宋体" w:cs="宋体"/>
                <w:color w:val="FFFFFF" w:themeColor="background1"/>
                <w:sz w:val="24"/>
                <w:szCs w:val="24"/>
                <w:highlight w:val="none"/>
                <w:lang w:val="en-US" w:eastAsia="zh-CN"/>
                <w14:textFill>
                  <w14:solidFill>
                    <w14:schemeClr w14:val="bg1"/>
                  </w14:solidFill>
                </w14:textFill>
              </w:rPr>
              <w:t>05</w:t>
            </w:r>
            <w:r>
              <w:rPr>
                <w:rFonts w:hint="eastAsia" w:ascii="宋体" w:hAnsi="宋体" w:cs="宋体"/>
                <w:color w:val="FFFFFF" w:themeColor="background1"/>
                <w:sz w:val="24"/>
                <w:szCs w:val="24"/>
                <w:highlight w:val="none"/>
                <w14:textFill>
                  <w14:solidFill>
                    <w14:schemeClr w14:val="bg1"/>
                  </w14:solidFill>
                </w14:textFill>
              </w:rPr>
              <w:t>月</w:t>
            </w:r>
            <w:r>
              <w:rPr>
                <w:rFonts w:hint="eastAsia" w:ascii="宋体" w:hAnsi="宋体" w:cs="宋体"/>
                <w:color w:val="FFFFFF" w:themeColor="background1"/>
                <w:sz w:val="24"/>
                <w:szCs w:val="24"/>
                <w:highlight w:val="none"/>
                <w:lang w:val="en-US" w:eastAsia="zh-CN"/>
                <w14:textFill>
                  <w14:solidFill>
                    <w14:schemeClr w14:val="bg1"/>
                  </w14:solidFill>
                </w14:textFill>
              </w:rPr>
              <w:t>20</w:t>
            </w:r>
            <w:r>
              <w:rPr>
                <w:rFonts w:hint="eastAsia" w:ascii="宋体" w:hAnsi="宋体" w:cs="宋体"/>
                <w:color w:val="FFFFFF" w:themeColor="background1"/>
                <w:sz w:val="24"/>
                <w:szCs w:val="24"/>
                <w:highlight w:val="none"/>
                <w14:textFill>
                  <w14:solidFill>
                    <w14:schemeClr w14:val="bg1"/>
                  </w14:solidFill>
                </w14:textFill>
              </w:rPr>
              <w:t>日</w:t>
            </w:r>
            <w:r>
              <w:rPr>
                <w:rFonts w:hint="eastAsia" w:ascii="宋体" w:hAnsi="宋体" w:cs="宋体"/>
                <w:color w:val="auto"/>
                <w:sz w:val="24"/>
                <w:szCs w:val="24"/>
                <w:highlight w:val="none"/>
                <w:lang w:val="en-US" w:eastAsia="zh-CN"/>
              </w:rPr>
              <w:t>上</w:t>
            </w:r>
            <w:r>
              <w:rPr>
                <w:rFonts w:hint="eastAsia" w:ascii="宋体" w:hAnsi="宋体" w:cs="宋体"/>
                <w:color w:val="000000" w:themeColor="text1"/>
                <w:sz w:val="24"/>
                <w:szCs w:val="24"/>
                <w:highlight w:val="none"/>
                <w:lang w:val="en-US" w:eastAsia="zh-CN"/>
                <w14:textFill>
                  <w14:solidFill>
                    <w14:schemeClr w14:val="tx1"/>
                  </w14:solidFill>
                </w14:textFill>
              </w:rPr>
              <w:t>午1</w:t>
            </w:r>
            <w:r>
              <w:rPr>
                <w:rFonts w:hint="eastAsia" w:ascii="宋体" w:hAnsi="宋体" w:cs="宋体"/>
                <w:color w:val="auto"/>
                <w:sz w:val="24"/>
                <w:szCs w:val="24"/>
                <w:highlight w:val="none"/>
                <w:lang w:val="en-US" w:eastAsia="zh-CN"/>
              </w:rPr>
              <w:t>0:00时</w:t>
            </w:r>
          </w:p>
          <w:p w14:paraId="73D4EE61">
            <w:pPr>
              <w:keepNext w:val="0"/>
              <w:keepLines w:val="0"/>
              <w:pageBreakBefore w:val="0"/>
              <w:kinsoku/>
              <w:wordWrap/>
              <w:overflowPunct/>
              <w:topLinePunct w:val="0"/>
              <w:autoSpaceDE/>
              <w:autoSpaceDN/>
              <w:bidi w:val="0"/>
              <w:adjustRightInd/>
              <w:snapToGrid/>
              <w:spacing w:line="480" w:lineRule="exact"/>
              <w:textAlignment w:val="auto"/>
            </w:pPr>
            <w:r>
              <w:rPr>
                <w:rFonts w:hint="eastAsia" w:ascii="宋体" w:hAnsi="宋体" w:cs="宋体"/>
                <w:sz w:val="24"/>
                <w:szCs w:val="24"/>
                <w:highlight w:val="none"/>
              </w:rPr>
              <w:t>开标地点：</w:t>
            </w:r>
            <w:r>
              <w:rPr>
                <w:rFonts w:hint="eastAsia" w:ascii="宋体" w:hAnsi="宋体" w:eastAsia="宋体" w:cs="宋体"/>
                <w:color w:val="000000"/>
                <w:kern w:val="0"/>
                <w:sz w:val="24"/>
                <w:szCs w:val="24"/>
                <w:highlight w:val="none"/>
              </w:rPr>
              <w:t>内蒙古自治区</w:t>
            </w:r>
            <w:r>
              <w:rPr>
                <w:rFonts w:hint="eastAsia" w:ascii="宋体" w:hAnsi="宋体" w:eastAsia="宋体" w:cs="宋体"/>
                <w:color w:val="000000"/>
                <w:kern w:val="0"/>
                <w:sz w:val="24"/>
                <w:szCs w:val="24"/>
                <w:highlight w:val="none"/>
                <w:lang w:val="en-US" w:eastAsia="zh-CN"/>
              </w:rPr>
              <w:t>建设</w:t>
            </w:r>
            <w:r>
              <w:rPr>
                <w:rFonts w:hint="eastAsia" w:ascii="宋体" w:hAnsi="宋体" w:eastAsia="宋体" w:cs="宋体"/>
                <w:color w:val="000000"/>
                <w:kern w:val="0"/>
                <w:sz w:val="24"/>
                <w:szCs w:val="24"/>
                <w:highlight w:val="none"/>
              </w:rPr>
              <w:t>工程不见</w:t>
            </w:r>
            <w:r>
              <w:rPr>
                <w:rFonts w:hint="eastAsia" w:ascii="宋体" w:hAnsi="宋体" w:eastAsia="宋体" w:cs="宋体"/>
                <w:color w:val="000000"/>
                <w:kern w:val="0"/>
                <w:sz w:val="24"/>
                <w:szCs w:val="24"/>
              </w:rPr>
              <w:t>面开标大厅（https://219.148.175.179:9443/BidOpening）</w:t>
            </w:r>
            <w:r>
              <w:rPr>
                <w:rFonts w:hint="eastAsia" w:ascii="宋体" w:hAnsi="宋体" w:cs="宋体"/>
                <w:color w:val="000000"/>
                <w:kern w:val="0"/>
                <w:sz w:val="24"/>
                <w:szCs w:val="24"/>
                <w:lang w:eastAsia="zh-CN"/>
              </w:rPr>
              <w:t>；</w:t>
            </w:r>
          </w:p>
        </w:tc>
      </w:tr>
      <w:tr w14:paraId="252D7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30" w:type="dxa"/>
            <w:tcBorders>
              <w:bottom w:val="single" w:color="auto" w:sz="4" w:space="0"/>
            </w:tcBorders>
            <w:tcMar>
              <w:top w:w="113" w:type="dxa"/>
              <w:left w:w="113" w:type="dxa"/>
              <w:bottom w:w="0" w:type="dxa"/>
              <w:right w:w="113" w:type="dxa"/>
            </w:tcMar>
            <w:vAlign w:val="center"/>
          </w:tcPr>
          <w:p w14:paraId="055F4BA0">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5.1.1</w:t>
            </w:r>
          </w:p>
        </w:tc>
        <w:tc>
          <w:tcPr>
            <w:tcW w:w="1744" w:type="dxa"/>
            <w:tcBorders>
              <w:bottom w:val="single" w:color="auto" w:sz="4" w:space="0"/>
            </w:tcBorders>
            <w:tcMar>
              <w:top w:w="113" w:type="dxa"/>
              <w:left w:w="113" w:type="dxa"/>
              <w:bottom w:w="0" w:type="dxa"/>
              <w:right w:w="113" w:type="dxa"/>
            </w:tcMar>
            <w:vAlign w:val="center"/>
          </w:tcPr>
          <w:p w14:paraId="0BC8E45C">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cs="宋体"/>
                <w:sz w:val="24"/>
                <w:szCs w:val="24"/>
                <w:lang w:val="en-US"/>
              </w:rPr>
            </w:pPr>
            <w:r>
              <w:rPr>
                <w:rFonts w:hint="eastAsia" w:ascii="宋体" w:hAnsi="宋体" w:cs="宋体"/>
                <w:sz w:val="24"/>
                <w:szCs w:val="24"/>
                <w:lang w:val="en-US" w:eastAsia="zh-CN"/>
              </w:rPr>
              <w:t>解密时间及方式</w:t>
            </w:r>
          </w:p>
        </w:tc>
        <w:tc>
          <w:tcPr>
            <w:tcW w:w="6865" w:type="dxa"/>
            <w:tcBorders>
              <w:bottom w:val="single" w:color="auto" w:sz="4" w:space="0"/>
            </w:tcBorders>
            <w:tcMar>
              <w:top w:w="113" w:type="dxa"/>
              <w:left w:w="113" w:type="dxa"/>
              <w:bottom w:w="0" w:type="dxa"/>
              <w:right w:w="113" w:type="dxa"/>
            </w:tcMar>
            <w:vAlign w:val="center"/>
          </w:tcPr>
          <w:p w14:paraId="4CB9FF2A">
            <w:pPr>
              <w:keepNext w:val="0"/>
              <w:keepLines w:val="0"/>
              <w:pageBreakBefore w:val="0"/>
              <w:kinsoku/>
              <w:wordWrap/>
              <w:overflowPunct/>
              <w:topLinePunct w:val="0"/>
              <w:autoSpaceDE/>
              <w:autoSpaceDN/>
              <w:bidi w:val="0"/>
              <w:adjustRightInd/>
              <w:snapToGrid/>
              <w:spacing w:line="480" w:lineRule="exact"/>
              <w:jc w:val="both"/>
              <w:textAlignment w:val="auto"/>
              <w:rPr>
                <w:rFonts w:hint="eastAsia" w:ascii="宋体" w:hAnsi="宋体" w:cs="宋体"/>
                <w:sz w:val="24"/>
                <w:szCs w:val="24"/>
              </w:rPr>
            </w:pPr>
            <w:r>
              <w:rPr>
                <w:rFonts w:hint="eastAsia" w:ascii="宋体" w:hAnsi="宋体" w:cs="宋体"/>
                <w:sz w:val="24"/>
                <w:szCs w:val="24"/>
              </w:rPr>
              <w:t>投标人应进入内蒙古自治区</w:t>
            </w:r>
            <w:r>
              <w:rPr>
                <w:rFonts w:hint="eastAsia" w:ascii="宋体" w:hAnsi="宋体" w:cs="宋体"/>
                <w:sz w:val="24"/>
                <w:szCs w:val="24"/>
                <w:lang w:val="en-US" w:eastAsia="zh-CN"/>
              </w:rPr>
              <w:t>建设</w:t>
            </w:r>
            <w:r>
              <w:rPr>
                <w:rFonts w:hint="eastAsia" w:ascii="宋体" w:hAnsi="宋体" w:cs="宋体"/>
                <w:sz w:val="24"/>
                <w:szCs w:val="24"/>
              </w:rPr>
              <w:t>工程不见面开标大厅（https://219.148.175.179:9443/BidOpening），</w:t>
            </w:r>
            <w:r>
              <w:rPr>
                <w:rFonts w:hint="eastAsia" w:ascii="宋体" w:hAnsi="宋体" w:cs="宋体"/>
                <w:sz w:val="24"/>
                <w:szCs w:val="24"/>
                <w:lang w:val="en-US" w:eastAsia="zh-CN"/>
              </w:rPr>
              <w:t>在开始解密30分内点击投标单位解密按钮，插入CA锁，在弹出的密码输入框输入密码，进行解密；因投标人原因未完成解密工作的，视为撤销其投标文件。（开标过程中如有问题请咨询：0512-58188511、0471-5332612。）</w:t>
            </w:r>
          </w:p>
        </w:tc>
      </w:tr>
      <w:tr w14:paraId="3894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30" w:type="dxa"/>
            <w:tcBorders>
              <w:bottom w:val="single" w:color="auto" w:sz="4" w:space="0"/>
            </w:tcBorders>
            <w:tcMar>
              <w:top w:w="113" w:type="dxa"/>
              <w:left w:w="113" w:type="dxa"/>
              <w:bottom w:w="0" w:type="dxa"/>
              <w:right w:w="113" w:type="dxa"/>
            </w:tcMar>
            <w:vAlign w:val="center"/>
          </w:tcPr>
          <w:p w14:paraId="637FF92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lang w:eastAsia="zh-CN"/>
              </w:rPr>
            </w:pPr>
            <w:r>
              <w:rPr>
                <w:rFonts w:hint="eastAsia" w:ascii="宋体" w:hAnsi="宋体" w:cs="宋体"/>
                <w:sz w:val="24"/>
                <w:szCs w:val="24"/>
              </w:rPr>
              <w:t>5.1.</w:t>
            </w:r>
            <w:r>
              <w:rPr>
                <w:rFonts w:hint="eastAsia" w:ascii="宋体" w:hAnsi="宋体" w:cs="宋体"/>
                <w:sz w:val="24"/>
                <w:szCs w:val="24"/>
                <w:lang w:val="en-US" w:eastAsia="zh-CN"/>
              </w:rPr>
              <w:t>2</w:t>
            </w:r>
          </w:p>
        </w:tc>
        <w:tc>
          <w:tcPr>
            <w:tcW w:w="1744" w:type="dxa"/>
            <w:tcBorders>
              <w:bottom w:val="single" w:color="auto" w:sz="4" w:space="0"/>
            </w:tcBorders>
            <w:tcMar>
              <w:top w:w="113" w:type="dxa"/>
              <w:left w:w="113" w:type="dxa"/>
              <w:bottom w:w="0" w:type="dxa"/>
              <w:right w:w="113" w:type="dxa"/>
            </w:tcMar>
            <w:vAlign w:val="center"/>
          </w:tcPr>
          <w:p w14:paraId="78993A6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开标所需携带原件</w:t>
            </w:r>
          </w:p>
        </w:tc>
        <w:tc>
          <w:tcPr>
            <w:tcW w:w="6865" w:type="dxa"/>
            <w:tcBorders>
              <w:bottom w:val="single" w:color="auto" w:sz="4" w:space="0"/>
            </w:tcBorders>
            <w:tcMar>
              <w:top w:w="113" w:type="dxa"/>
              <w:left w:w="113" w:type="dxa"/>
              <w:bottom w:w="0" w:type="dxa"/>
              <w:right w:w="113" w:type="dxa"/>
            </w:tcMar>
            <w:vAlign w:val="center"/>
          </w:tcPr>
          <w:p w14:paraId="2ABFB14D">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本项目开标无需携带原件，无需投标人到场。</w:t>
            </w:r>
          </w:p>
        </w:tc>
      </w:tr>
      <w:tr w14:paraId="2F93F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1030" w:type="dxa"/>
            <w:tcBorders>
              <w:bottom w:val="single" w:color="auto" w:sz="4" w:space="0"/>
            </w:tcBorders>
            <w:tcMar>
              <w:top w:w="113" w:type="dxa"/>
              <w:left w:w="113" w:type="dxa"/>
              <w:bottom w:w="0" w:type="dxa"/>
              <w:right w:w="113" w:type="dxa"/>
            </w:tcMar>
            <w:vAlign w:val="center"/>
          </w:tcPr>
          <w:p w14:paraId="700F324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cs="宋体"/>
                <w:sz w:val="24"/>
                <w:szCs w:val="24"/>
              </w:rPr>
            </w:pPr>
            <w:r>
              <w:rPr>
                <w:rFonts w:hint="eastAsia" w:ascii="宋体" w:hAnsi="宋体" w:cs="宋体"/>
                <w:sz w:val="24"/>
                <w:szCs w:val="24"/>
              </w:rPr>
              <w:t>5.2</w:t>
            </w:r>
          </w:p>
        </w:tc>
        <w:tc>
          <w:tcPr>
            <w:tcW w:w="1744" w:type="dxa"/>
            <w:tcBorders>
              <w:bottom w:val="single" w:color="auto" w:sz="4" w:space="0"/>
            </w:tcBorders>
            <w:tcMar>
              <w:top w:w="113" w:type="dxa"/>
              <w:left w:w="113" w:type="dxa"/>
              <w:bottom w:w="0" w:type="dxa"/>
              <w:right w:w="113" w:type="dxa"/>
            </w:tcMar>
            <w:vAlign w:val="center"/>
          </w:tcPr>
          <w:p w14:paraId="581BAA4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cs="宋体"/>
                <w:sz w:val="24"/>
                <w:szCs w:val="24"/>
              </w:rPr>
            </w:pPr>
            <w:r>
              <w:rPr>
                <w:rFonts w:hint="eastAsia" w:ascii="宋体" w:hAnsi="宋体" w:cs="宋体"/>
                <w:sz w:val="24"/>
                <w:szCs w:val="24"/>
              </w:rPr>
              <w:t>电子开标程序</w:t>
            </w:r>
          </w:p>
        </w:tc>
        <w:tc>
          <w:tcPr>
            <w:tcW w:w="6865" w:type="dxa"/>
            <w:tcBorders>
              <w:bottom w:val="single" w:color="auto" w:sz="4" w:space="0"/>
            </w:tcBorders>
            <w:tcMar>
              <w:top w:w="113" w:type="dxa"/>
              <w:left w:w="113" w:type="dxa"/>
              <w:bottom w:w="0" w:type="dxa"/>
              <w:right w:w="113" w:type="dxa"/>
            </w:tcMar>
            <w:vAlign w:val="center"/>
          </w:tcPr>
          <w:p w14:paraId="5F6FBD73">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rPr>
            </w:pPr>
            <w:r>
              <w:rPr>
                <w:rFonts w:hint="eastAsia" w:ascii="宋体" w:hAnsi="宋体" w:cs="宋体"/>
                <w:sz w:val="24"/>
                <w:szCs w:val="24"/>
              </w:rPr>
              <w:t>按下列程序进行开标：</w:t>
            </w:r>
          </w:p>
          <w:p w14:paraId="639ED8D2">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1、等待开标：各交易主体登录</w:t>
            </w:r>
            <w:r>
              <w:rPr>
                <w:rFonts w:hint="eastAsia" w:ascii="宋体" w:hAnsi="宋体" w:cs="宋体"/>
                <w:sz w:val="24"/>
                <w:szCs w:val="24"/>
              </w:rPr>
              <w:t>内蒙古自治区</w:t>
            </w:r>
            <w:r>
              <w:rPr>
                <w:rFonts w:hint="eastAsia" w:ascii="宋体" w:hAnsi="宋体" w:cs="宋体"/>
                <w:sz w:val="24"/>
                <w:szCs w:val="24"/>
                <w:lang w:val="en-US" w:eastAsia="zh-CN"/>
              </w:rPr>
              <w:t>建设</w:t>
            </w:r>
            <w:r>
              <w:rPr>
                <w:rFonts w:hint="eastAsia" w:ascii="宋体" w:hAnsi="宋体" w:cs="宋体"/>
                <w:sz w:val="24"/>
                <w:szCs w:val="24"/>
              </w:rPr>
              <w:t>工程不见面开标大厅（https://219.148.175.179:9443/BidOpening）</w:t>
            </w:r>
            <w:r>
              <w:rPr>
                <w:rFonts w:hint="eastAsia" w:ascii="宋体" w:hAnsi="宋体" w:cs="宋体"/>
                <w:sz w:val="24"/>
                <w:szCs w:val="24"/>
                <w:lang w:val="en-US" w:eastAsia="zh-CN"/>
              </w:rPr>
              <w:t>等待开标。</w:t>
            </w:r>
          </w:p>
          <w:p w14:paraId="2FE5C537">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2、查看投标人：</w:t>
            </w:r>
            <w:r>
              <w:rPr>
                <w:rFonts w:hint="eastAsia" w:ascii="宋体" w:hAnsi="宋体" w:cs="宋体"/>
                <w:sz w:val="24"/>
                <w:szCs w:val="24"/>
              </w:rPr>
              <w:t>开标时间（与投标截止时间一致）</w:t>
            </w:r>
            <w:r>
              <w:rPr>
                <w:rFonts w:hint="eastAsia" w:ascii="宋体" w:hAnsi="宋体" w:cs="宋体"/>
                <w:sz w:val="24"/>
                <w:szCs w:val="24"/>
                <w:lang w:val="en-US" w:eastAsia="zh-CN"/>
              </w:rPr>
              <w:t>已到</w:t>
            </w:r>
            <w:r>
              <w:rPr>
                <w:rFonts w:hint="eastAsia" w:ascii="宋体" w:hAnsi="宋体" w:cs="宋体"/>
                <w:sz w:val="24"/>
                <w:szCs w:val="24"/>
              </w:rPr>
              <w:t>，</w:t>
            </w:r>
            <w:r>
              <w:rPr>
                <w:rFonts w:hint="eastAsia" w:ascii="宋体" w:hAnsi="宋体" w:cs="宋体"/>
                <w:sz w:val="24"/>
                <w:szCs w:val="24"/>
                <w:lang w:val="en-US" w:eastAsia="zh-CN"/>
              </w:rPr>
              <w:t>开标大厅</w:t>
            </w:r>
            <w:r>
              <w:rPr>
                <w:rFonts w:hint="eastAsia" w:ascii="宋体" w:hAnsi="宋体" w:cs="宋体"/>
                <w:sz w:val="24"/>
                <w:szCs w:val="24"/>
              </w:rPr>
              <w:t>自动提取所有在投标截止时间前成功投递的投标文件。公布投标人名单。</w:t>
            </w:r>
          </w:p>
          <w:p w14:paraId="2B032600">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3、标书解密：按照</w:t>
            </w:r>
            <w:r>
              <w:rPr>
                <w:rFonts w:hint="eastAsia" w:ascii="宋体" w:hAnsi="宋体" w:cs="宋体"/>
                <w:sz w:val="24"/>
                <w:szCs w:val="24"/>
              </w:rPr>
              <w:t>系统提示</w:t>
            </w:r>
            <w:r>
              <w:rPr>
                <w:rFonts w:hint="eastAsia" w:ascii="宋体" w:hAnsi="宋体" w:cs="宋体"/>
                <w:sz w:val="24"/>
                <w:szCs w:val="24"/>
                <w:lang w:eastAsia="zh-CN"/>
              </w:rPr>
              <w:t>，</w:t>
            </w:r>
            <w:r>
              <w:rPr>
                <w:rFonts w:hint="eastAsia" w:ascii="宋体" w:hAnsi="宋体" w:cs="宋体"/>
                <w:sz w:val="24"/>
                <w:szCs w:val="24"/>
              </w:rPr>
              <w:t>投标人在招标文件规定的时间内自行解密其经加密的电子投标文件。</w:t>
            </w:r>
          </w:p>
          <w:p w14:paraId="37C17FA9">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在规定的时间内未成功解密的投标文件处理方式：</w:t>
            </w:r>
          </w:p>
          <w:p w14:paraId="503DCAA4">
            <w:pPr>
              <w:keepNext w:val="0"/>
              <w:keepLines w:val="0"/>
              <w:pageBreakBefore w:val="0"/>
              <w:numPr>
                <w:ilvl w:val="0"/>
                <w:numId w:val="4"/>
              </w:numPr>
              <w:kinsoku/>
              <w:wordWrap/>
              <w:overflowPunct/>
              <w:topLinePunct w:val="0"/>
              <w:autoSpaceDE/>
              <w:autoSpaceDN/>
              <w:bidi w:val="0"/>
              <w:adjustRightInd/>
              <w:snapToGrid/>
              <w:spacing w:line="480" w:lineRule="exact"/>
              <w:jc w:val="left"/>
              <w:textAlignment w:val="auto"/>
              <w:rPr>
                <w:rFonts w:hint="eastAsia" w:ascii="宋体" w:hAnsi="宋体" w:cs="宋体"/>
                <w:sz w:val="24"/>
                <w:szCs w:val="24"/>
              </w:rPr>
            </w:pPr>
            <w:r>
              <w:rPr>
                <w:rFonts w:hint="eastAsia" w:ascii="宋体" w:hAnsi="宋体" w:cs="宋体"/>
                <w:sz w:val="24"/>
                <w:szCs w:val="24"/>
              </w:rPr>
              <w:t>因</w:t>
            </w:r>
            <w:r>
              <w:rPr>
                <w:rFonts w:hint="eastAsia" w:ascii="宋体" w:hAnsi="宋体" w:cs="宋体"/>
                <w:sz w:val="24"/>
                <w:szCs w:val="24"/>
                <w:lang w:val="en-US" w:eastAsia="zh-CN"/>
              </w:rPr>
              <w:t>不见面开标大厅</w:t>
            </w:r>
            <w:r>
              <w:rPr>
                <w:rFonts w:hint="eastAsia" w:ascii="宋体" w:hAnsi="宋体" w:cs="宋体"/>
                <w:sz w:val="24"/>
                <w:szCs w:val="24"/>
              </w:rPr>
              <w:t>等原因影响解密进程时，招标人可根据现场投标情况延长解密时间；</w:t>
            </w:r>
          </w:p>
          <w:p w14:paraId="6A3BFE63">
            <w:pPr>
              <w:keepNext w:val="0"/>
              <w:keepLines w:val="0"/>
              <w:pageBreakBefore w:val="0"/>
              <w:numPr>
                <w:ilvl w:val="0"/>
                <w:numId w:val="4"/>
              </w:numPr>
              <w:kinsoku/>
              <w:wordWrap/>
              <w:overflowPunct/>
              <w:topLinePunct w:val="0"/>
              <w:autoSpaceDE/>
              <w:autoSpaceDN/>
              <w:bidi w:val="0"/>
              <w:adjustRightInd/>
              <w:snapToGrid/>
              <w:spacing w:line="480" w:lineRule="exact"/>
              <w:ind w:left="0" w:leftChars="0" w:firstLine="0" w:firstLineChars="0"/>
              <w:jc w:val="left"/>
              <w:textAlignment w:val="auto"/>
              <w:rPr>
                <w:rFonts w:hint="eastAsia" w:ascii="宋体" w:hAnsi="宋体" w:cs="宋体"/>
                <w:sz w:val="24"/>
                <w:szCs w:val="24"/>
              </w:rPr>
            </w:pPr>
            <w:r>
              <w:rPr>
                <w:rFonts w:hint="eastAsia" w:ascii="宋体" w:hAnsi="宋体" w:cs="宋体"/>
                <w:sz w:val="24"/>
                <w:szCs w:val="24"/>
              </w:rPr>
              <w:t>因投标人原因未完成解密工作的，视为撤销其投标文件。</w:t>
            </w:r>
          </w:p>
          <w:p w14:paraId="37036387">
            <w:pPr>
              <w:keepNext w:val="0"/>
              <w:keepLines w:val="0"/>
              <w:pageBreakBefore w:val="0"/>
              <w:numPr>
                <w:ilvl w:val="0"/>
                <w:numId w:val="0"/>
              </w:numPr>
              <w:kinsoku/>
              <w:wordWrap/>
              <w:overflowPunct/>
              <w:topLinePunct w:val="0"/>
              <w:autoSpaceDE/>
              <w:autoSpaceDN/>
              <w:bidi w:val="0"/>
              <w:adjustRightInd/>
              <w:snapToGrid/>
              <w:spacing w:line="480" w:lineRule="exact"/>
              <w:ind w:leftChars="0"/>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（3）其他解密异常情况按照应急处理办法执行；</w:t>
            </w:r>
          </w:p>
          <w:p w14:paraId="3B1D2E87">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rPr>
            </w:pPr>
            <w:r>
              <w:rPr>
                <w:rFonts w:hint="eastAsia" w:ascii="宋体" w:hAnsi="宋体" w:cs="宋体"/>
                <w:sz w:val="24"/>
                <w:szCs w:val="24"/>
                <w:lang w:val="en-US" w:eastAsia="zh-CN"/>
              </w:rPr>
              <w:t>5、标书导入：</w:t>
            </w:r>
            <w:r>
              <w:rPr>
                <w:rFonts w:hint="eastAsia" w:ascii="宋体" w:hAnsi="宋体" w:cs="宋体"/>
                <w:sz w:val="24"/>
                <w:szCs w:val="24"/>
              </w:rPr>
              <w:t>解密全部完成或招标文件规定的解密时间截止后，进入</w:t>
            </w:r>
            <w:r>
              <w:rPr>
                <w:rFonts w:hint="eastAsia" w:ascii="宋体" w:hAnsi="宋体" w:cs="宋体"/>
                <w:sz w:val="24"/>
                <w:szCs w:val="24"/>
                <w:lang w:val="en-US" w:eastAsia="zh-CN"/>
              </w:rPr>
              <w:t>标书导入</w:t>
            </w:r>
            <w:r>
              <w:rPr>
                <w:rFonts w:hint="eastAsia" w:ascii="宋体" w:hAnsi="宋体" w:cs="宋体"/>
                <w:sz w:val="24"/>
                <w:szCs w:val="24"/>
              </w:rPr>
              <w:t>环节。</w:t>
            </w:r>
            <w:r>
              <w:rPr>
                <w:rFonts w:hint="eastAsia" w:ascii="宋体" w:hAnsi="宋体" w:cs="宋体"/>
                <w:sz w:val="24"/>
                <w:szCs w:val="24"/>
                <w:lang w:val="en-US" w:eastAsia="zh-CN"/>
              </w:rPr>
              <w:t>开标大厅</w:t>
            </w:r>
            <w:r>
              <w:rPr>
                <w:rFonts w:hint="eastAsia" w:ascii="宋体" w:hAnsi="宋体" w:cs="宋体"/>
                <w:sz w:val="24"/>
                <w:szCs w:val="24"/>
              </w:rPr>
              <w:t>展示最终解密结果，公布成功解密投标人名单，并备注投标文件未成功解密的原因（若有）。</w:t>
            </w:r>
          </w:p>
          <w:p w14:paraId="6FB8BF90">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rPr>
            </w:pPr>
            <w:r>
              <w:rPr>
                <w:rFonts w:hint="eastAsia" w:ascii="宋体" w:hAnsi="宋体" w:cs="宋体"/>
                <w:sz w:val="24"/>
                <w:szCs w:val="24"/>
                <w:lang w:val="en-US" w:eastAsia="zh-CN"/>
              </w:rPr>
              <w:t>6、唱标：</w:t>
            </w:r>
            <w:r>
              <w:rPr>
                <w:rFonts w:hint="eastAsia" w:ascii="宋体" w:hAnsi="宋体" w:cs="宋体"/>
                <w:sz w:val="24"/>
                <w:szCs w:val="24"/>
              </w:rPr>
              <w:t>公布投标人名称、投标报价、质量目标、工期及其他内容。</w:t>
            </w:r>
          </w:p>
          <w:p w14:paraId="16D6910D">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lang w:eastAsia="zh-CN"/>
              </w:rPr>
              <w:t>、</w:t>
            </w:r>
            <w:r>
              <w:rPr>
                <w:rFonts w:hint="eastAsia" w:ascii="宋体" w:hAnsi="宋体" w:cs="宋体"/>
                <w:sz w:val="24"/>
                <w:szCs w:val="24"/>
              </w:rPr>
              <w:t>投标人对开标有异议的，应在</w:t>
            </w:r>
            <w:r>
              <w:rPr>
                <w:rFonts w:hint="eastAsia" w:ascii="宋体" w:hAnsi="宋体" w:cs="宋体"/>
                <w:sz w:val="24"/>
                <w:szCs w:val="24"/>
                <w:lang w:val="en-US" w:eastAsia="zh-CN"/>
              </w:rPr>
              <w:t>开标期间在</w:t>
            </w:r>
            <w:r>
              <w:rPr>
                <w:rFonts w:hint="eastAsia" w:ascii="宋体" w:hAnsi="宋体" w:cs="宋体"/>
                <w:sz w:val="24"/>
                <w:szCs w:val="24"/>
              </w:rPr>
              <w:t>线提出，由招标人或代理机构在线答复。</w:t>
            </w:r>
          </w:p>
          <w:p w14:paraId="1EEFD790">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rPr>
            </w:pPr>
            <w:r>
              <w:rPr>
                <w:rFonts w:hint="eastAsia" w:ascii="宋体" w:hAnsi="宋体" w:cs="宋体"/>
                <w:sz w:val="24"/>
                <w:szCs w:val="24"/>
                <w:lang w:val="en-US" w:eastAsia="zh-CN"/>
              </w:rPr>
              <w:t>8、</w:t>
            </w:r>
            <w:r>
              <w:rPr>
                <w:rFonts w:hint="eastAsia" w:ascii="宋体" w:hAnsi="宋体" w:cs="宋体"/>
                <w:sz w:val="24"/>
                <w:szCs w:val="24"/>
              </w:rPr>
              <w:t>开标结束。</w:t>
            </w:r>
          </w:p>
        </w:tc>
      </w:tr>
      <w:tr w14:paraId="07FF9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3DAF18BD">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6.1.1</w:t>
            </w:r>
          </w:p>
        </w:tc>
        <w:tc>
          <w:tcPr>
            <w:tcW w:w="1744" w:type="dxa"/>
            <w:tcMar>
              <w:top w:w="113" w:type="dxa"/>
              <w:left w:w="113" w:type="dxa"/>
              <w:bottom w:w="0" w:type="dxa"/>
              <w:right w:w="113" w:type="dxa"/>
            </w:tcMar>
            <w:vAlign w:val="center"/>
          </w:tcPr>
          <w:p w14:paraId="4BD214E0">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评标委员会的组建</w:t>
            </w:r>
          </w:p>
        </w:tc>
        <w:tc>
          <w:tcPr>
            <w:tcW w:w="6865" w:type="dxa"/>
            <w:tcBorders>
              <w:bottom w:val="single" w:color="auto" w:sz="4" w:space="0"/>
            </w:tcBorders>
            <w:tcMar>
              <w:top w:w="113" w:type="dxa"/>
              <w:left w:w="113" w:type="dxa"/>
              <w:bottom w:w="0" w:type="dxa"/>
              <w:right w:w="113" w:type="dxa"/>
            </w:tcMar>
            <w:vAlign w:val="center"/>
          </w:tcPr>
          <w:p w14:paraId="738BFDC5">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评标委员会构成：7人，其中招标人代表2人，专家5人；</w:t>
            </w:r>
          </w:p>
          <w:p w14:paraId="02D8E814">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评标专家确定方式：由招标人代表和公共资源交易中心评标专家库随机抽取的经济、技术专家组成。其中经济、技术方面的专家不得少于成员总数的三分之二。</w:t>
            </w:r>
          </w:p>
        </w:tc>
      </w:tr>
      <w:tr w14:paraId="5C00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030" w:type="dxa"/>
            <w:tcMar>
              <w:top w:w="113" w:type="dxa"/>
              <w:left w:w="113" w:type="dxa"/>
              <w:bottom w:w="0" w:type="dxa"/>
              <w:right w:w="113" w:type="dxa"/>
            </w:tcMar>
            <w:vAlign w:val="center"/>
          </w:tcPr>
          <w:p w14:paraId="2F80D318">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7.1</w:t>
            </w:r>
          </w:p>
        </w:tc>
        <w:tc>
          <w:tcPr>
            <w:tcW w:w="1744" w:type="dxa"/>
            <w:tcMar>
              <w:top w:w="113" w:type="dxa"/>
              <w:left w:w="113" w:type="dxa"/>
              <w:bottom w:w="0" w:type="dxa"/>
              <w:right w:w="113" w:type="dxa"/>
            </w:tcMar>
            <w:vAlign w:val="center"/>
          </w:tcPr>
          <w:p w14:paraId="720C652D">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是否授权评标委员会确定中标人</w:t>
            </w:r>
          </w:p>
        </w:tc>
        <w:tc>
          <w:tcPr>
            <w:tcW w:w="6865" w:type="dxa"/>
            <w:tcMar>
              <w:top w:w="113" w:type="dxa"/>
              <w:left w:w="113" w:type="dxa"/>
              <w:bottom w:w="0" w:type="dxa"/>
              <w:right w:w="113" w:type="dxa"/>
            </w:tcMar>
            <w:vAlign w:val="center"/>
          </w:tcPr>
          <w:p w14:paraId="1CE3634D">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□是 由评委确定中标人</w:t>
            </w:r>
          </w:p>
          <w:p w14:paraId="56303295">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☑否 推荐的中标候选人数：推荐前三名</w:t>
            </w:r>
          </w:p>
        </w:tc>
      </w:tr>
      <w:tr w14:paraId="0AB3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30" w:type="dxa"/>
            <w:tcMar>
              <w:top w:w="113" w:type="dxa"/>
              <w:left w:w="113" w:type="dxa"/>
              <w:bottom w:w="0" w:type="dxa"/>
              <w:right w:w="113" w:type="dxa"/>
            </w:tcMar>
            <w:vAlign w:val="center"/>
          </w:tcPr>
          <w:p w14:paraId="783AADF9">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7.3.2</w:t>
            </w:r>
          </w:p>
        </w:tc>
        <w:tc>
          <w:tcPr>
            <w:tcW w:w="1744" w:type="dxa"/>
            <w:tcMar>
              <w:top w:w="113" w:type="dxa"/>
              <w:left w:w="113" w:type="dxa"/>
              <w:bottom w:w="0" w:type="dxa"/>
              <w:right w:w="113" w:type="dxa"/>
            </w:tcMar>
            <w:vAlign w:val="center"/>
          </w:tcPr>
          <w:p w14:paraId="3F28B0FA">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中标候选人公示媒介</w:t>
            </w:r>
          </w:p>
        </w:tc>
        <w:tc>
          <w:tcPr>
            <w:tcW w:w="6865" w:type="dxa"/>
            <w:tcMar>
              <w:top w:w="113" w:type="dxa"/>
              <w:left w:w="113" w:type="dxa"/>
              <w:bottom w:w="0" w:type="dxa"/>
              <w:right w:w="113" w:type="dxa"/>
            </w:tcMar>
            <w:vAlign w:val="center"/>
          </w:tcPr>
          <w:p w14:paraId="2E31EA56">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sz w:val="24"/>
                <w:szCs w:val="24"/>
              </w:rPr>
            </w:pPr>
            <w:r>
              <w:rPr>
                <w:rFonts w:hint="eastAsia" w:ascii="宋体" w:hAnsi="宋体" w:cs="宋体"/>
                <w:sz w:val="24"/>
                <w:szCs w:val="24"/>
              </w:rPr>
              <w:t>内蒙古自治区公共资源交易网（http://ggzyjy.nmg.gov.cn）、</w:t>
            </w:r>
          </w:p>
          <w:p w14:paraId="429F969D">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sz w:val="24"/>
                <w:szCs w:val="24"/>
              </w:rPr>
            </w:pPr>
            <w:r>
              <w:rPr>
                <w:rFonts w:hint="eastAsia" w:ascii="宋体" w:hAnsi="宋体" w:cs="宋体"/>
                <w:sz w:val="24"/>
                <w:szCs w:val="24"/>
              </w:rPr>
              <w:t>中国招标投标公共服务平台（http://www.cebpubservice.com）、</w:t>
            </w:r>
          </w:p>
          <w:p w14:paraId="5B4A21D8">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内蒙古招标投标公共服务平台（http://www.nmgztb.com.cn）</w:t>
            </w:r>
            <w:r>
              <w:rPr>
                <w:rFonts w:hint="eastAsia" w:ascii="宋体" w:hAnsi="宋体" w:cs="宋体"/>
                <w:sz w:val="24"/>
                <w:szCs w:val="24"/>
                <w:lang w:eastAsia="zh-CN"/>
              </w:rPr>
              <w:t>。</w:t>
            </w:r>
          </w:p>
        </w:tc>
      </w:tr>
      <w:tr w14:paraId="73EC0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19A4227F">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7.4</w:t>
            </w:r>
          </w:p>
        </w:tc>
        <w:tc>
          <w:tcPr>
            <w:tcW w:w="1744" w:type="dxa"/>
            <w:tcMar>
              <w:top w:w="113" w:type="dxa"/>
              <w:left w:w="113" w:type="dxa"/>
              <w:bottom w:w="0" w:type="dxa"/>
              <w:right w:w="113" w:type="dxa"/>
            </w:tcMar>
            <w:vAlign w:val="center"/>
          </w:tcPr>
          <w:p w14:paraId="5797383C">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履约保证金</w:t>
            </w:r>
          </w:p>
        </w:tc>
        <w:tc>
          <w:tcPr>
            <w:tcW w:w="6865" w:type="dxa"/>
            <w:tcMar>
              <w:top w:w="113" w:type="dxa"/>
              <w:left w:w="113" w:type="dxa"/>
              <w:bottom w:w="0" w:type="dxa"/>
              <w:right w:w="113" w:type="dxa"/>
            </w:tcMar>
            <w:vAlign w:val="center"/>
          </w:tcPr>
          <w:p w14:paraId="5A9B0C74">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无</w:t>
            </w:r>
          </w:p>
        </w:tc>
      </w:tr>
      <w:tr w14:paraId="2D49B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30" w:type="dxa"/>
            <w:tcMar>
              <w:top w:w="113" w:type="dxa"/>
              <w:left w:w="113" w:type="dxa"/>
              <w:bottom w:w="0" w:type="dxa"/>
              <w:right w:w="113" w:type="dxa"/>
            </w:tcMar>
            <w:vAlign w:val="center"/>
          </w:tcPr>
          <w:p w14:paraId="1D7A691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10</w:t>
            </w:r>
          </w:p>
        </w:tc>
        <w:tc>
          <w:tcPr>
            <w:tcW w:w="8609" w:type="dxa"/>
            <w:gridSpan w:val="2"/>
            <w:tcMar>
              <w:top w:w="113" w:type="dxa"/>
              <w:left w:w="113" w:type="dxa"/>
              <w:bottom w:w="0" w:type="dxa"/>
              <w:right w:w="113" w:type="dxa"/>
            </w:tcMar>
            <w:vAlign w:val="center"/>
          </w:tcPr>
          <w:p w14:paraId="2EAEE07B">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需要补充的其他内容</w:t>
            </w:r>
          </w:p>
        </w:tc>
      </w:tr>
      <w:tr w14:paraId="733C0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jc w:val="center"/>
        </w:trPr>
        <w:tc>
          <w:tcPr>
            <w:tcW w:w="1030" w:type="dxa"/>
            <w:tcMar>
              <w:top w:w="113" w:type="dxa"/>
              <w:left w:w="113" w:type="dxa"/>
              <w:bottom w:w="0" w:type="dxa"/>
              <w:right w:w="113" w:type="dxa"/>
            </w:tcMar>
            <w:vAlign w:val="center"/>
          </w:tcPr>
          <w:p w14:paraId="2ABB2F5C">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10.1</w:t>
            </w:r>
          </w:p>
        </w:tc>
        <w:tc>
          <w:tcPr>
            <w:tcW w:w="1744" w:type="dxa"/>
            <w:tcMar>
              <w:top w:w="113" w:type="dxa"/>
              <w:left w:w="113" w:type="dxa"/>
              <w:bottom w:w="0" w:type="dxa"/>
              <w:right w:w="113" w:type="dxa"/>
            </w:tcMar>
            <w:vAlign w:val="center"/>
          </w:tcPr>
          <w:p w14:paraId="0EEEA7AB">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解释权</w:t>
            </w:r>
          </w:p>
        </w:tc>
        <w:tc>
          <w:tcPr>
            <w:tcW w:w="6865" w:type="dxa"/>
            <w:tcMar>
              <w:top w:w="113" w:type="dxa"/>
              <w:left w:w="113" w:type="dxa"/>
              <w:bottom w:w="0" w:type="dxa"/>
              <w:right w:w="113" w:type="dxa"/>
            </w:tcMar>
            <w:vAlign w:val="center"/>
          </w:tcPr>
          <w:p w14:paraId="126923F5">
            <w:pPr>
              <w:keepNext w:val="0"/>
              <w:keepLines w:val="0"/>
              <w:pageBreakBefore w:val="0"/>
              <w:kinsoku/>
              <w:wordWrap/>
              <w:overflowPunct/>
              <w:topLinePunct w:val="0"/>
              <w:autoSpaceDE/>
              <w:autoSpaceDN/>
              <w:bidi w:val="0"/>
              <w:adjustRightInd/>
              <w:snapToGrid/>
              <w:spacing w:line="480" w:lineRule="exact"/>
              <w:jc w:val="left"/>
              <w:textAlignment w:val="auto"/>
              <w:rPr>
                <w:rFonts w:ascii="宋体" w:hAnsi="宋体" w:cs="宋体"/>
                <w:sz w:val="24"/>
                <w:szCs w:val="24"/>
              </w:rPr>
            </w:pPr>
            <w:r>
              <w:rPr>
                <w:rFonts w:hint="eastAsia" w:ascii="宋体" w:hAnsi="宋体" w:cs="宋体"/>
                <w:sz w:val="24"/>
                <w:szCs w:val="24"/>
              </w:rPr>
              <w:t>构成本招标文件的各个组成文件应互为解释，互为说明；如有不明确或不一致，构成合同文件组成内容的，以合同文件约定内容为准；除招标文件中有特别规定外，仅适用于投标阶段的规定，按招标公告、投标人须知、评审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2CD53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0" w:type="dxa"/>
            <w:tcMar>
              <w:top w:w="113" w:type="dxa"/>
              <w:left w:w="113" w:type="dxa"/>
              <w:bottom w:w="0" w:type="dxa"/>
              <w:right w:w="113" w:type="dxa"/>
            </w:tcMar>
            <w:vAlign w:val="center"/>
          </w:tcPr>
          <w:p w14:paraId="0AAC6086">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10.2</w:t>
            </w:r>
          </w:p>
        </w:tc>
        <w:tc>
          <w:tcPr>
            <w:tcW w:w="1744" w:type="dxa"/>
            <w:tcMar>
              <w:top w:w="113" w:type="dxa"/>
              <w:left w:w="113" w:type="dxa"/>
              <w:bottom w:w="0" w:type="dxa"/>
              <w:right w:w="113" w:type="dxa"/>
            </w:tcMar>
            <w:vAlign w:val="center"/>
          </w:tcPr>
          <w:p w14:paraId="293EC501">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sz w:val="24"/>
                <w:szCs w:val="24"/>
              </w:rPr>
            </w:pPr>
            <w:r>
              <w:rPr>
                <w:rFonts w:hint="eastAsia" w:ascii="宋体" w:hAnsi="宋体" w:cs="宋体"/>
                <w:sz w:val="24"/>
                <w:szCs w:val="24"/>
              </w:rPr>
              <w:t>招标控制价</w:t>
            </w:r>
          </w:p>
        </w:tc>
        <w:tc>
          <w:tcPr>
            <w:tcW w:w="6865" w:type="dxa"/>
            <w:tcMar>
              <w:top w:w="113" w:type="dxa"/>
              <w:left w:w="113" w:type="dxa"/>
              <w:bottom w:w="0" w:type="dxa"/>
              <w:right w:w="113" w:type="dxa"/>
            </w:tcMar>
            <w:vAlign w:val="center"/>
          </w:tcPr>
          <w:p w14:paraId="463BC560">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b/>
                <w:bCs/>
                <w:color w:val="FF0000"/>
                <w:sz w:val="24"/>
                <w:szCs w:val="24"/>
                <w:highlight w:val="yellow"/>
              </w:rPr>
            </w:pPr>
            <w:r>
              <w:rPr>
                <w:rFonts w:hint="eastAsia" w:ascii="宋体" w:hAnsi="宋体" w:cs="宋体"/>
                <w:b/>
                <w:bCs/>
                <w:color w:val="auto"/>
                <w:sz w:val="24"/>
                <w:szCs w:val="24"/>
              </w:rPr>
              <w:t>招标控制价</w:t>
            </w:r>
            <w:r>
              <w:rPr>
                <w:rFonts w:hint="eastAsia" w:ascii="宋体" w:hAnsi="宋体" w:cs="宋体"/>
                <w:b/>
                <w:bCs/>
                <w:color w:val="auto"/>
                <w:sz w:val="24"/>
                <w:szCs w:val="24"/>
                <w:lang w:val="en-US" w:eastAsia="zh-CN"/>
              </w:rPr>
              <w:t>：        元</w:t>
            </w:r>
            <w:r>
              <w:rPr>
                <w:rFonts w:hint="eastAsia" w:ascii="宋体" w:hAnsi="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rPr>
              <w:t>）</w:t>
            </w:r>
          </w:p>
          <w:p w14:paraId="69604E9D">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color w:val="auto"/>
                <w:sz w:val="24"/>
                <w:szCs w:val="24"/>
              </w:rPr>
            </w:pPr>
            <w:r>
              <w:rPr>
                <w:rFonts w:hint="eastAsia" w:ascii="宋体" w:hAnsi="宋体" w:cs="宋体"/>
                <w:color w:val="auto"/>
                <w:sz w:val="24"/>
                <w:szCs w:val="24"/>
              </w:rPr>
              <w:t>1、投标人如对控制价有疑义，可在控制价发出5天内，向建设行政监督部门或造价管理部门提出。</w:t>
            </w:r>
          </w:p>
          <w:p w14:paraId="0D48F1FF">
            <w:pPr>
              <w:keepNext w:val="0"/>
              <w:keepLines w:val="0"/>
              <w:pageBreakBefore w:val="0"/>
              <w:kinsoku/>
              <w:wordWrap/>
              <w:overflowPunct/>
              <w:topLinePunct w:val="0"/>
              <w:autoSpaceDE/>
              <w:autoSpaceDN/>
              <w:bidi w:val="0"/>
              <w:adjustRightInd/>
              <w:snapToGrid/>
              <w:spacing w:line="480" w:lineRule="exact"/>
              <w:jc w:val="left"/>
              <w:textAlignment w:val="auto"/>
              <w:rPr>
                <w:rFonts w:hint="default" w:eastAsia="宋体"/>
                <w:lang w:val="en-US" w:eastAsia="zh-CN"/>
              </w:rPr>
            </w:pPr>
            <w:r>
              <w:rPr>
                <w:rFonts w:hint="eastAsia" w:ascii="宋体" w:hAnsi="宋体" w:cs="宋体"/>
                <w:color w:val="auto"/>
                <w:sz w:val="24"/>
                <w:szCs w:val="24"/>
              </w:rPr>
              <w:t>2、投标报价超出控制价的投标人其投标文件将会被否决。</w:t>
            </w:r>
          </w:p>
        </w:tc>
      </w:tr>
      <w:tr w14:paraId="525B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30" w:type="dxa"/>
            <w:tcMar>
              <w:top w:w="113" w:type="dxa"/>
              <w:left w:w="113" w:type="dxa"/>
              <w:bottom w:w="0" w:type="dxa"/>
              <w:right w:w="113" w:type="dxa"/>
            </w:tcMar>
            <w:vAlign w:val="center"/>
          </w:tcPr>
          <w:p w14:paraId="69E6F6CD">
            <w:pPr>
              <w:keepNext w:val="0"/>
              <w:keepLines w:val="0"/>
              <w:pageBreakBefore w:val="0"/>
              <w:kinsoku/>
              <w:wordWrap/>
              <w:overflowPunct/>
              <w:topLinePunct w:val="0"/>
              <w:autoSpaceDE/>
              <w:autoSpaceDN/>
              <w:bidi w:val="0"/>
              <w:adjustRightInd/>
              <w:snapToGrid/>
              <w:spacing w:line="480" w:lineRule="exact"/>
              <w:ind w:left="0" w:leftChars="0"/>
              <w:jc w:val="center"/>
              <w:textAlignment w:val="auto"/>
              <w:rPr>
                <w:rFonts w:hint="eastAsia" w:ascii="宋体" w:hAnsi="宋体" w:cs="宋体"/>
                <w:sz w:val="24"/>
                <w:szCs w:val="24"/>
              </w:rPr>
            </w:pPr>
            <w:r>
              <w:rPr>
                <w:rFonts w:hint="eastAsia" w:ascii="宋体" w:hAnsi="宋体" w:cs="宋体"/>
                <w:sz w:val="24"/>
                <w:szCs w:val="24"/>
                <w:highlight w:val="none"/>
                <w:lang w:val="en-US" w:eastAsia="zh-CN"/>
              </w:rPr>
              <w:t>10.3</w:t>
            </w:r>
          </w:p>
        </w:tc>
        <w:tc>
          <w:tcPr>
            <w:tcW w:w="1744" w:type="dxa"/>
            <w:tcMar>
              <w:top w:w="113" w:type="dxa"/>
              <w:left w:w="113" w:type="dxa"/>
              <w:bottom w:w="0" w:type="dxa"/>
              <w:right w:w="113" w:type="dxa"/>
            </w:tcMar>
            <w:vAlign w:val="center"/>
          </w:tcPr>
          <w:p w14:paraId="4E36F8FA">
            <w:pPr>
              <w:keepNext w:val="0"/>
              <w:keepLines w:val="0"/>
              <w:pageBreakBefore w:val="0"/>
              <w:kinsoku/>
              <w:wordWrap/>
              <w:overflowPunct/>
              <w:topLinePunct w:val="0"/>
              <w:autoSpaceDE/>
              <w:autoSpaceDN/>
              <w:bidi w:val="0"/>
              <w:adjustRightInd/>
              <w:snapToGrid/>
              <w:spacing w:line="480" w:lineRule="exact"/>
              <w:ind w:left="0"/>
              <w:jc w:val="center"/>
              <w:textAlignment w:val="auto"/>
              <w:rPr>
                <w:rFonts w:hint="eastAsia" w:ascii="宋体" w:hAnsi="宋体" w:cs="宋体"/>
                <w:sz w:val="24"/>
                <w:szCs w:val="24"/>
              </w:rPr>
            </w:pPr>
            <w:r>
              <w:rPr>
                <w:rFonts w:hint="eastAsia" w:ascii="宋体" w:hAnsi="宋体" w:cs="宋体"/>
                <w:sz w:val="24"/>
                <w:szCs w:val="24"/>
                <w:highlight w:val="none"/>
                <w:lang w:val="en-US" w:eastAsia="zh-CN"/>
              </w:rPr>
              <w:t>施工组织设计是否采用“暗标”评审方式</w:t>
            </w:r>
          </w:p>
        </w:tc>
        <w:tc>
          <w:tcPr>
            <w:tcW w:w="6865" w:type="dxa"/>
            <w:tcMar>
              <w:top w:w="113" w:type="dxa"/>
              <w:left w:w="113" w:type="dxa"/>
              <w:bottom w:w="0" w:type="dxa"/>
              <w:right w:w="113" w:type="dxa"/>
            </w:tcMar>
            <w:vAlign w:val="center"/>
          </w:tcPr>
          <w:p w14:paraId="2CB43552">
            <w:pPr>
              <w:keepNext w:val="0"/>
              <w:keepLines w:val="0"/>
              <w:pageBreakBefore w:val="0"/>
              <w:kinsoku/>
              <w:wordWrap/>
              <w:overflowPunct/>
              <w:topLinePunct w:val="0"/>
              <w:autoSpaceDE/>
              <w:autoSpaceDN/>
              <w:bidi w:val="0"/>
              <w:adjustRightInd/>
              <w:snapToGrid/>
              <w:spacing w:line="480" w:lineRule="exact"/>
              <w:ind w:left="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□不采用 </w:t>
            </w:r>
          </w:p>
          <w:p w14:paraId="73B40300">
            <w:pPr>
              <w:keepNext w:val="0"/>
              <w:keepLines w:val="0"/>
              <w:pageBreakBefore w:val="0"/>
              <w:kinsoku/>
              <w:wordWrap/>
              <w:overflowPunct/>
              <w:topLinePunct w:val="0"/>
              <w:autoSpaceDE/>
              <w:autoSpaceDN/>
              <w:bidi w:val="0"/>
              <w:adjustRightInd/>
              <w:snapToGrid/>
              <w:spacing w:line="480" w:lineRule="exact"/>
              <w:ind w:left="0" w:leftChars="0"/>
              <w:textAlignment w:val="auto"/>
              <w:rPr>
                <w:rFonts w:hint="eastAsia" w:ascii="宋体" w:hAnsi="宋体" w:cs="宋体"/>
                <w:sz w:val="24"/>
                <w:szCs w:val="24"/>
              </w:rPr>
            </w:pPr>
            <w:r>
              <w:rPr>
                <w:rFonts w:hint="eastAsia" w:ascii="宋体" w:hAnsi="宋体" w:cs="宋体"/>
                <w:sz w:val="24"/>
                <w:szCs w:val="24"/>
                <w:highlight w:val="none"/>
                <w:lang w:val="en-US" w:eastAsia="zh-CN"/>
              </w:rPr>
              <w:t xml:space="preserve">☑采用，投标人应严格按照第八章“投标文件格式”中“施工组织设计（技术暗标部分）编制要求”编制施工组织设计。 </w:t>
            </w:r>
          </w:p>
        </w:tc>
      </w:tr>
    </w:tbl>
    <w:p w14:paraId="3D5DED93">
      <w:pPr>
        <w:pageBreakBefore w:val="0"/>
        <w:wordWrap/>
        <w:topLinePunct w:val="0"/>
        <w:bidi w:val="0"/>
        <w:spacing w:line="430" w:lineRule="exact"/>
        <w:textAlignment w:val="auto"/>
        <w:outlineLvl w:val="9"/>
        <w:rPr>
          <w:rFonts w:hint="eastAsia" w:ascii="宋体" w:hAnsi="宋体" w:eastAsia="宋体" w:cs="宋体"/>
          <w:sz w:val="24"/>
          <w:szCs w:val="24"/>
        </w:rPr>
      </w:pPr>
      <w:r>
        <w:rPr>
          <w:rFonts w:hint="eastAsia" w:ascii="宋体" w:hAnsi="宋体" w:cs="宋体"/>
        </w:rPr>
        <w:br w:type="page"/>
      </w:r>
      <w:bookmarkStart w:id="5" w:name="_Toc17793"/>
      <w:r>
        <w:rPr>
          <w:rFonts w:hint="eastAsia" w:ascii="宋体" w:hAnsi="宋体" w:eastAsia="宋体" w:cs="宋体"/>
          <w:b/>
          <w:bCs/>
          <w:sz w:val="24"/>
          <w:szCs w:val="24"/>
        </w:rPr>
        <w:t>1、总则</w:t>
      </w:r>
      <w:bookmarkEnd w:id="5"/>
      <w:r>
        <w:rPr>
          <w:rFonts w:hint="eastAsia" w:ascii="宋体" w:hAnsi="宋体" w:eastAsia="宋体" w:cs="宋体"/>
          <w:b/>
          <w:bCs/>
          <w:sz w:val="24"/>
          <w:szCs w:val="24"/>
        </w:rPr>
        <w:t xml:space="preserve"> </w:t>
      </w:r>
    </w:p>
    <w:p w14:paraId="28929A2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1.1项目概况：</w:t>
      </w:r>
    </w:p>
    <w:p w14:paraId="326D97C6">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1.1.1根据《中华人民共和国招标投标法》等有关法律、法规和规章的规定，本招标项目已具备招标条件，现对本工程施工进行招标。</w:t>
      </w:r>
    </w:p>
    <w:p w14:paraId="1E3F185B">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1.1.2本招标项目招标人：见投标人须知前附表。</w:t>
      </w:r>
    </w:p>
    <w:p w14:paraId="38AC0EC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1.1.3本工程招标代理机构：见投标人须知前附表。</w:t>
      </w:r>
    </w:p>
    <w:p w14:paraId="3137963A">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1.1.4本招标</w:t>
      </w:r>
      <w:r>
        <w:rPr>
          <w:rFonts w:hint="eastAsia" w:ascii="宋体" w:hAnsi="宋体" w:cs="宋体"/>
          <w:kern w:val="0"/>
          <w:sz w:val="24"/>
          <w:szCs w:val="24"/>
          <w:lang w:val="en-US" w:eastAsia="zh-CN"/>
        </w:rPr>
        <w:t>项目</w:t>
      </w:r>
      <w:r>
        <w:rPr>
          <w:rFonts w:hint="eastAsia" w:ascii="宋体" w:hAnsi="宋体" w:eastAsia="宋体" w:cs="宋体"/>
          <w:kern w:val="0"/>
          <w:sz w:val="24"/>
          <w:szCs w:val="24"/>
        </w:rPr>
        <w:t>名称：见投标人须知前附表。</w:t>
      </w:r>
    </w:p>
    <w:p w14:paraId="1A1927E6">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1.1.5</w:t>
      </w:r>
      <w:r>
        <w:rPr>
          <w:rFonts w:hint="eastAsia" w:ascii="宋体" w:hAnsi="宋体" w:eastAsia="宋体" w:cs="宋体"/>
          <w:sz w:val="24"/>
          <w:szCs w:val="24"/>
        </w:rPr>
        <w:t>标段划分</w:t>
      </w:r>
      <w:r>
        <w:rPr>
          <w:rFonts w:hint="eastAsia" w:ascii="宋体" w:hAnsi="宋体" w:eastAsia="宋体" w:cs="宋体"/>
          <w:kern w:val="0"/>
          <w:sz w:val="24"/>
          <w:szCs w:val="24"/>
        </w:rPr>
        <w:t>：见投标人须知前附表。</w:t>
      </w:r>
    </w:p>
    <w:p w14:paraId="6E423343">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1.1.6本工程建设地点：见投标人须知前附表。</w:t>
      </w:r>
    </w:p>
    <w:p w14:paraId="05D63E7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1.1.7本工程招标规模：见投标人须知前附表。 </w:t>
      </w:r>
    </w:p>
    <w:p w14:paraId="626779C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1.1.8本招标项目的招标方式：见投标人须知前附表。</w:t>
      </w:r>
    </w:p>
    <w:p w14:paraId="19FDD68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1.2资金来源和落实情况：</w:t>
      </w:r>
    </w:p>
    <w:p w14:paraId="7E7D2DD6">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1.2.1本招标项目的资金来源：见投标人须知前附表。</w:t>
      </w:r>
    </w:p>
    <w:p w14:paraId="7CE01A93">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1.2.2本招标项目的资金落实情况：见投标人须知前附表。</w:t>
      </w:r>
    </w:p>
    <w:p w14:paraId="4A23254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1.3招标范围、计划工期和质量要求：</w:t>
      </w:r>
    </w:p>
    <w:p w14:paraId="1E58902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1.3.1本次招标范围：见投标人须知前附表。</w:t>
      </w:r>
    </w:p>
    <w:p w14:paraId="218833B6">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1.3.2本工程的计划工期：见投标人须知前附表。</w:t>
      </w:r>
    </w:p>
    <w:p w14:paraId="6C9B34F5">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1.3.3本工程的质量要求：见投标人须知前附表。</w:t>
      </w:r>
    </w:p>
    <w:p w14:paraId="7C127F03">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1.4投标人资格要求：</w:t>
      </w:r>
    </w:p>
    <w:p w14:paraId="5D3B03FD">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1.4.1 投标人应具备承担本项目施工的资质条件、能力和信誉。</w:t>
      </w:r>
    </w:p>
    <w:p w14:paraId="11E1A784">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（1）资质条件：见投标人须知前附表；</w:t>
      </w:r>
    </w:p>
    <w:p w14:paraId="13EEFE6B">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（2）信誉要求：见投标人须知前附表；</w:t>
      </w:r>
    </w:p>
    <w:p w14:paraId="02F06FFB">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（3）其他要求：见投标人须知前附表。</w:t>
      </w:r>
    </w:p>
    <w:p w14:paraId="6E16C7DF">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1.4.2投标人不得存在下列情形之一：</w:t>
      </w:r>
    </w:p>
    <w:p w14:paraId="1129E365">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（1）为招标人不具有独立法人资格的附属机构（单位）；</w:t>
      </w:r>
    </w:p>
    <w:p w14:paraId="23B659AD">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（2）为本工程前期准备提供设计或咨询服务的，但设计施工总承包的除外；</w:t>
      </w:r>
    </w:p>
    <w:p w14:paraId="45667C44">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（3）为本工程的监理人；</w:t>
      </w:r>
    </w:p>
    <w:p w14:paraId="7CBBB2E3">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（4）为本工程的代建人；</w:t>
      </w:r>
    </w:p>
    <w:p w14:paraId="1B367DE3">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（5）为本工程提供招标代理服务的；</w:t>
      </w:r>
    </w:p>
    <w:p w14:paraId="0479D1ED">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（6）与本工程的监理人或代建人或招标代理机构同为一个法定代表人的；</w:t>
      </w:r>
    </w:p>
    <w:p w14:paraId="7370977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（7）与本工程的监理人或代建人或招标代理机构相互控股或参股的；</w:t>
      </w:r>
    </w:p>
    <w:p w14:paraId="67F8CC05">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（8）与本工程的监理人或代建人或招标代理机构相互任职或工作的；</w:t>
      </w:r>
    </w:p>
    <w:p w14:paraId="5B4CE0CB">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（9）被责令停业的；</w:t>
      </w:r>
    </w:p>
    <w:p w14:paraId="16767EBD">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（10）被暂停或取消投标资格的；</w:t>
      </w:r>
    </w:p>
    <w:p w14:paraId="14E6C97B">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（11）财产被接管或冻结的；</w:t>
      </w:r>
    </w:p>
    <w:p w14:paraId="68B527F2">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（12）在最近三年内有骗取中标或严重违约或重大工程质量问题的。</w:t>
      </w:r>
    </w:p>
    <w:p w14:paraId="395A304F">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1.4.3是否接受联合体：见投标人须知前附表。</w:t>
      </w:r>
    </w:p>
    <w:p w14:paraId="6E8A396D">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1.4.4资格审查方式：见投标人须知前附表。</w:t>
      </w:r>
    </w:p>
    <w:p w14:paraId="28242CC4">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1.5费用承担：投标人准备和参加投标活动发生的费用自理。</w:t>
      </w:r>
    </w:p>
    <w:p w14:paraId="54AB2BD3">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1.5.1投标人应承担其投标文件编制与递交所涉及的一切费用。不管投标结果如何，投标文件概不退还，招标人和招标代理机构对上述费用不负任何责任。</w:t>
      </w:r>
    </w:p>
    <w:p w14:paraId="540B4110">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1.5.2招标代理服务费</w:t>
      </w:r>
      <w:r>
        <w:rPr>
          <w:rFonts w:hint="eastAsia" w:ascii="宋体" w:hAnsi="宋体" w:eastAsia="宋体" w:cs="宋体"/>
          <w:sz w:val="24"/>
          <w:szCs w:val="24"/>
          <w:lang w:val="en-US" w:eastAsia="zh-CN"/>
        </w:rPr>
        <w:t>参考</w:t>
      </w:r>
      <w:r>
        <w:rPr>
          <w:rFonts w:hint="eastAsia" w:ascii="宋体" w:hAnsi="宋体" w:eastAsia="宋体" w:cs="宋体"/>
          <w:sz w:val="24"/>
          <w:szCs w:val="24"/>
        </w:rPr>
        <w:t>内蒙古自治区工程建设协会关于印发《内蒙古自治区建设工程招标代理服务收费指导意见》的通知（内工建协【20</w:t>
      </w:r>
      <w:r>
        <w:rPr>
          <w:rFonts w:hint="eastAsia" w:ascii="宋体" w:hAnsi="宋体" w:eastAsia="宋体" w:cs="宋体"/>
          <w:sz w:val="24"/>
          <w:szCs w:val="24"/>
          <w:lang w:val="en-US" w:eastAsia="zh-CN"/>
        </w:rPr>
        <w:t>22</w:t>
      </w:r>
      <w:r>
        <w:rPr>
          <w:rFonts w:hint="eastAsia" w:ascii="宋体" w:hAnsi="宋体" w:eastAsia="宋体" w:cs="宋体"/>
          <w:sz w:val="24"/>
          <w:szCs w:val="24"/>
        </w:rPr>
        <w:t>】</w:t>
      </w:r>
      <w:r>
        <w:rPr>
          <w:rFonts w:hint="eastAsia" w:ascii="宋体" w:hAnsi="宋体" w:eastAsia="宋体" w:cs="宋体"/>
          <w:sz w:val="24"/>
          <w:szCs w:val="24"/>
          <w:lang w:val="en-US" w:eastAsia="zh-CN"/>
        </w:rPr>
        <w:t>34</w:t>
      </w:r>
      <w:r>
        <w:rPr>
          <w:rFonts w:hint="eastAsia" w:ascii="宋体" w:hAnsi="宋体" w:eastAsia="宋体" w:cs="宋体"/>
          <w:sz w:val="24"/>
          <w:szCs w:val="24"/>
        </w:rPr>
        <w:t>号）文件的规定计取。</w:t>
      </w:r>
    </w:p>
    <w:p w14:paraId="402E3682">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1.6保密：参与招标投标活动的各方应对招标文件和投标文件中的商业和技术等秘密保密，违者应对由此造成的后果承担法律责任。</w:t>
      </w:r>
    </w:p>
    <w:p w14:paraId="533878C4">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1.7语言文字：除专用术语外，与招标投标有关的语言均使用简体中文。必要时专用术语应附有中文注释。</w:t>
      </w:r>
    </w:p>
    <w:p w14:paraId="1F101554">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bCs/>
          <w:sz w:val="24"/>
          <w:szCs w:val="24"/>
        </w:rPr>
        <w:t>1.8计量单位：</w:t>
      </w:r>
      <w:r>
        <w:rPr>
          <w:rFonts w:hint="eastAsia" w:ascii="宋体" w:hAnsi="宋体" w:eastAsia="宋体" w:cs="宋体"/>
          <w:sz w:val="24"/>
          <w:szCs w:val="24"/>
        </w:rPr>
        <w:t>除在招标文件的技术规范中有规定外，投标书使用的度量衡单位应采用中华人民共和国法定计量单位。</w:t>
      </w:r>
    </w:p>
    <w:p w14:paraId="6F77AC46">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1.9投标币种：</w:t>
      </w:r>
      <w:r>
        <w:rPr>
          <w:rFonts w:hint="eastAsia" w:ascii="宋体" w:hAnsi="宋体" w:eastAsia="宋体" w:cs="宋体"/>
          <w:sz w:val="24"/>
          <w:szCs w:val="24"/>
        </w:rPr>
        <w:t>投标人应以人民币填报投标报价，以元为单位，合同实施时以人民币支付工程款。</w:t>
      </w:r>
    </w:p>
    <w:p w14:paraId="26C05E48">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1.10踏勘现场：见投标人须知前附表。</w:t>
      </w:r>
    </w:p>
    <w:p w14:paraId="3278AAD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1.10.1</w:t>
      </w:r>
      <w:r>
        <w:rPr>
          <w:rFonts w:hint="eastAsia" w:ascii="宋体" w:hAnsi="宋体" w:eastAsia="宋体" w:cs="宋体"/>
          <w:sz w:val="24"/>
          <w:szCs w:val="24"/>
        </w:rPr>
        <w:t>招标人及其代理机构不统一组织现场踏勘，投标人可以自行或与招标人联系对工程施工现场和周围环境自行勘察，以获取投标人自己负责的有关编制投标文件和签署实施工程的合同所需的各项资料，投标人应承担相应考察的责任和风险。</w:t>
      </w:r>
    </w:p>
    <w:p w14:paraId="5418360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1.10.2投标人踏勘现场发生的费用自理。</w:t>
      </w:r>
    </w:p>
    <w:p w14:paraId="2456D2D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1.10.3除招标人的原因外，投标人自行负责在踏勘现场中所发生的人员伤亡和财产损失。</w:t>
      </w:r>
    </w:p>
    <w:p w14:paraId="10B676D1">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1.10.4招标人在踏勘现场中介绍的工程场地和相关的周边环境情况，供投标人在编制投标文件时参考，招标人不对投标人据此作出的判断和决策负责。</w:t>
      </w:r>
    </w:p>
    <w:p w14:paraId="0CAB502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1.11投标预备会：见投标人须知前附表。</w:t>
      </w:r>
    </w:p>
    <w:p w14:paraId="31255AED">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1.12分包：见投标人须知前附表。</w:t>
      </w:r>
    </w:p>
    <w:p w14:paraId="3687A280">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1.13偏离：见投标人须知前附表。</w:t>
      </w:r>
    </w:p>
    <w:p w14:paraId="5923185C">
      <w:pPr>
        <w:pageBreakBefore w:val="0"/>
        <w:wordWrap/>
        <w:topLinePunct w:val="0"/>
        <w:bidi w:val="0"/>
        <w:spacing w:before="0" w:after="0" w:line="430" w:lineRule="exact"/>
        <w:textAlignment w:val="auto"/>
        <w:outlineLvl w:val="9"/>
        <w:rPr>
          <w:rFonts w:hint="eastAsia" w:ascii="宋体" w:hAnsi="宋体" w:eastAsia="宋体" w:cs="宋体"/>
          <w:b/>
          <w:bCs/>
          <w:sz w:val="24"/>
          <w:szCs w:val="24"/>
        </w:rPr>
      </w:pPr>
      <w:bookmarkStart w:id="6" w:name="_Toc18549"/>
      <w:bookmarkStart w:id="7" w:name="_Toc23815"/>
      <w:bookmarkStart w:id="8" w:name="_Toc13451"/>
      <w:bookmarkStart w:id="9" w:name="_Toc21593"/>
      <w:bookmarkStart w:id="10" w:name="_Toc26985"/>
      <w:r>
        <w:rPr>
          <w:rFonts w:hint="eastAsia" w:ascii="宋体" w:hAnsi="宋体" w:eastAsia="宋体" w:cs="宋体"/>
          <w:b/>
          <w:bCs/>
          <w:sz w:val="24"/>
          <w:szCs w:val="24"/>
        </w:rPr>
        <w:t>2、招标文件</w:t>
      </w:r>
      <w:bookmarkEnd w:id="6"/>
      <w:bookmarkEnd w:id="7"/>
      <w:bookmarkEnd w:id="8"/>
      <w:bookmarkEnd w:id="9"/>
      <w:bookmarkEnd w:id="10"/>
    </w:p>
    <w:p w14:paraId="54A6F0C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2.1招标文件的组成：</w:t>
      </w:r>
    </w:p>
    <w:p w14:paraId="7D69F98B">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本招标文件包括：</w:t>
      </w:r>
    </w:p>
    <w:p w14:paraId="5D267454">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第一章  招标公告；</w:t>
      </w:r>
    </w:p>
    <w:p w14:paraId="661B4FC9">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第二章  投标人须知；</w:t>
      </w:r>
    </w:p>
    <w:p w14:paraId="14BCEEA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第三章  评标办法；</w:t>
      </w:r>
    </w:p>
    <w:p w14:paraId="12C1C4B2">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第四章  合同条款及格式；</w:t>
      </w:r>
    </w:p>
    <w:p w14:paraId="6F6A74FE">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第五章  技术标准和要求；</w:t>
      </w:r>
    </w:p>
    <w:p w14:paraId="1E5BD918">
      <w:pPr>
        <w:pageBreakBefore w:val="0"/>
        <w:wordWrap/>
        <w:topLinePunct w:val="0"/>
        <w:bidi w:val="0"/>
        <w:spacing w:line="430" w:lineRule="exact"/>
        <w:ind w:firstLine="420"/>
        <w:textAlignment w:val="auto"/>
        <w:outlineLvl w:val="9"/>
        <w:rPr>
          <w:rFonts w:hint="eastAsia"/>
        </w:rPr>
      </w:pPr>
      <w:r>
        <w:rPr>
          <w:rFonts w:hint="eastAsia" w:ascii="宋体" w:hAnsi="宋体" w:eastAsia="宋体" w:cs="宋体"/>
          <w:kern w:val="0"/>
          <w:sz w:val="24"/>
          <w:szCs w:val="24"/>
        </w:rPr>
        <w:t>第六章  工程量清单；</w:t>
      </w:r>
    </w:p>
    <w:p w14:paraId="63486E5F">
      <w:pPr>
        <w:pageBreakBefore w:val="0"/>
        <w:wordWrap/>
        <w:topLinePunct w:val="0"/>
        <w:bidi w:val="0"/>
        <w:spacing w:line="430" w:lineRule="exact"/>
        <w:ind w:firstLine="420"/>
        <w:textAlignment w:val="auto"/>
        <w:outlineLvl w:val="9"/>
        <w:rPr>
          <w:rFonts w:hint="eastAsia" w:ascii="宋体" w:hAnsi="宋体" w:cs="宋体"/>
          <w:kern w:val="0"/>
          <w:sz w:val="24"/>
          <w:szCs w:val="24"/>
          <w:lang w:val="en-US" w:eastAsia="zh-CN"/>
        </w:rPr>
      </w:pPr>
      <w:r>
        <w:rPr>
          <w:rFonts w:hint="eastAsia" w:ascii="宋体" w:hAnsi="宋体" w:eastAsia="宋体" w:cs="宋体"/>
          <w:kern w:val="0"/>
          <w:sz w:val="24"/>
          <w:szCs w:val="24"/>
        </w:rPr>
        <w:t xml:space="preserve">第七章  </w:t>
      </w:r>
      <w:r>
        <w:rPr>
          <w:rFonts w:hint="eastAsia" w:ascii="宋体" w:hAnsi="宋体" w:cs="宋体"/>
          <w:kern w:val="0"/>
          <w:sz w:val="24"/>
          <w:szCs w:val="24"/>
          <w:lang w:val="en-US" w:eastAsia="zh-CN"/>
        </w:rPr>
        <w:t>图纸；</w:t>
      </w:r>
    </w:p>
    <w:p w14:paraId="58D62C8F">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cs="宋体"/>
          <w:kern w:val="0"/>
          <w:sz w:val="24"/>
          <w:szCs w:val="24"/>
          <w:lang w:val="en-US" w:eastAsia="zh-CN"/>
        </w:rPr>
        <w:t xml:space="preserve">第八章  </w:t>
      </w:r>
      <w:r>
        <w:rPr>
          <w:rFonts w:hint="eastAsia" w:ascii="宋体" w:hAnsi="宋体" w:eastAsia="宋体" w:cs="宋体"/>
          <w:kern w:val="0"/>
          <w:sz w:val="24"/>
          <w:szCs w:val="24"/>
        </w:rPr>
        <w:t>投标文件格式。</w:t>
      </w:r>
    </w:p>
    <w:p w14:paraId="3AB205DE">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根据第2.2款对招标文件所作的澄清、修改，构成招标文件的组成部分。</w:t>
      </w:r>
    </w:p>
    <w:p w14:paraId="602FB2A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2.2招标文件的澄清</w:t>
      </w:r>
      <w:r>
        <w:rPr>
          <w:rFonts w:hint="eastAsia" w:ascii="宋体" w:hAnsi="宋体" w:eastAsia="宋体" w:cs="宋体"/>
          <w:bCs/>
          <w:sz w:val="24"/>
          <w:szCs w:val="24"/>
        </w:rPr>
        <w:t>、修改、答疑</w:t>
      </w:r>
      <w:r>
        <w:rPr>
          <w:rFonts w:hint="eastAsia" w:ascii="宋体" w:hAnsi="宋体" w:eastAsia="宋体" w:cs="宋体"/>
          <w:kern w:val="0"/>
          <w:sz w:val="24"/>
          <w:szCs w:val="24"/>
        </w:rPr>
        <w:t>：</w:t>
      </w:r>
    </w:p>
    <w:p w14:paraId="706E2EC1">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2.2.1投标截止时间：见投标人须知前附表。</w:t>
      </w:r>
    </w:p>
    <w:p w14:paraId="7CD872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2.2.2招标人澄清、修改、答疑的时间：</w:t>
      </w:r>
      <w:r>
        <w:rPr>
          <w:rFonts w:hint="eastAsia" w:ascii="宋体" w:hAnsi="宋体"/>
          <w:sz w:val="24"/>
          <w:szCs w:val="24"/>
        </w:rPr>
        <w:t>在投标截止时间十五日前，在</w:t>
      </w:r>
      <w:r>
        <w:rPr>
          <w:rFonts w:hint="eastAsia" w:ascii="宋体" w:hAnsi="宋体" w:cs="宋体"/>
          <w:kern w:val="0"/>
          <w:sz w:val="24"/>
          <w:szCs w:val="24"/>
          <w:lang w:eastAsia="zh-CN"/>
        </w:rPr>
        <w:t>内蒙古自治区公共资源交易网</w:t>
      </w:r>
      <w:r>
        <w:rPr>
          <w:rFonts w:hint="eastAsia" w:ascii="宋体" w:hAnsi="宋体"/>
          <w:sz w:val="24"/>
          <w:szCs w:val="24"/>
        </w:rPr>
        <w:t>上交易系统内的“答疑文件下载”栏目以电子澄清答疑文件形式通知所有招标文件收受人。如果澄清发出的时间距投标截止时间不足十五天，相应延长投标截止时间。</w:t>
      </w:r>
    </w:p>
    <w:p w14:paraId="05ABD14F">
      <w:pPr>
        <w:pageBreakBefore w:val="0"/>
        <w:wordWrap/>
        <w:topLinePunct w:val="0"/>
        <w:bidi w:val="0"/>
        <w:spacing w:line="43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cs="宋体"/>
          <w:sz w:val="24"/>
          <w:szCs w:val="24"/>
          <w:lang w:val="en-US" w:eastAsia="zh-CN"/>
        </w:rPr>
        <w:t>3</w:t>
      </w:r>
      <w:r>
        <w:rPr>
          <w:rFonts w:hint="eastAsia" w:ascii="宋体" w:hAnsi="宋体" w:eastAsia="宋体" w:cs="宋体"/>
          <w:sz w:val="24"/>
          <w:szCs w:val="24"/>
        </w:rPr>
        <w:t>投标人对招标文件提出异议的截止时间：投标人应仔细阅读和检查招标文件的全部内容，如有异议，应在投标截止时间十日前，</w:t>
      </w:r>
      <w:r>
        <w:rPr>
          <w:rFonts w:hint="eastAsia" w:ascii="宋体" w:hAnsi="宋体" w:cs="宋体"/>
          <w:sz w:val="24"/>
          <w:szCs w:val="24"/>
          <w:lang w:val="en-US" w:eastAsia="zh-CN"/>
        </w:rPr>
        <w:t>登录</w:t>
      </w:r>
      <w:r>
        <w:rPr>
          <w:rFonts w:hint="eastAsia" w:ascii="宋体" w:hAnsi="宋体" w:cs="宋体"/>
          <w:kern w:val="0"/>
          <w:sz w:val="24"/>
          <w:szCs w:val="24"/>
          <w:lang w:eastAsia="zh-CN"/>
        </w:rPr>
        <w:t>内蒙古自治区公共资源交易网</w:t>
      </w:r>
      <w:r>
        <w:rPr>
          <w:rFonts w:hint="eastAsia" w:ascii="宋体" w:hAnsi="宋体" w:eastAsia="宋体" w:cs="宋体"/>
          <w:sz w:val="24"/>
          <w:szCs w:val="24"/>
        </w:rPr>
        <w:t>上交易系统内的“网上答疑”栏目以网上提问的形式通知招标人或招标代理机构对招标文件予以澄清，代理机构所做出的答复投标人可查看。</w:t>
      </w:r>
    </w:p>
    <w:p w14:paraId="054CBB9A">
      <w:pPr>
        <w:pageBreakBefore w:val="0"/>
        <w:wordWrap/>
        <w:topLinePunct w:val="0"/>
        <w:bidi w:val="0"/>
        <w:spacing w:before="0" w:after="0" w:line="430" w:lineRule="exact"/>
        <w:textAlignment w:val="auto"/>
        <w:outlineLvl w:val="9"/>
        <w:rPr>
          <w:rFonts w:hint="eastAsia" w:ascii="宋体" w:hAnsi="宋体" w:eastAsia="宋体" w:cs="宋体"/>
          <w:b/>
          <w:bCs/>
          <w:sz w:val="24"/>
          <w:szCs w:val="24"/>
        </w:rPr>
      </w:pPr>
      <w:bookmarkStart w:id="11" w:name="_Toc32694"/>
      <w:bookmarkStart w:id="12" w:name="_Toc1649"/>
      <w:bookmarkStart w:id="13" w:name="_Toc25107"/>
      <w:bookmarkStart w:id="14" w:name="_Toc31483"/>
      <w:bookmarkStart w:id="15" w:name="_Toc289"/>
      <w:r>
        <w:rPr>
          <w:rFonts w:hint="eastAsia" w:ascii="宋体" w:hAnsi="宋体" w:eastAsia="宋体" w:cs="宋体"/>
          <w:b/>
          <w:bCs/>
          <w:sz w:val="24"/>
          <w:szCs w:val="24"/>
        </w:rPr>
        <w:t>3、投标文件</w:t>
      </w:r>
      <w:bookmarkEnd w:id="11"/>
      <w:bookmarkEnd w:id="12"/>
      <w:bookmarkEnd w:id="13"/>
      <w:bookmarkEnd w:id="14"/>
      <w:bookmarkEnd w:id="15"/>
    </w:p>
    <w:p w14:paraId="54B727D3">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3.1投标文件的组成：</w:t>
      </w:r>
    </w:p>
    <w:p w14:paraId="293BB80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投标文件应包括下列内容：</w:t>
      </w:r>
    </w:p>
    <w:p w14:paraId="74841995">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sz w:val="24"/>
          <w:szCs w:val="24"/>
        </w:rPr>
        <w:t>投标函</w:t>
      </w:r>
      <w:r>
        <w:rPr>
          <w:rFonts w:hint="eastAsia" w:ascii="宋体" w:hAnsi="宋体" w:eastAsia="宋体" w:cs="宋体"/>
          <w:kern w:val="0"/>
          <w:sz w:val="24"/>
          <w:szCs w:val="24"/>
        </w:rPr>
        <w:t>；</w:t>
      </w:r>
    </w:p>
    <w:p w14:paraId="28B502C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sz w:val="24"/>
          <w:szCs w:val="24"/>
        </w:rPr>
        <w:t>投标报价汇总表</w:t>
      </w:r>
      <w:r>
        <w:rPr>
          <w:rFonts w:hint="eastAsia" w:ascii="宋体" w:hAnsi="宋体" w:eastAsia="宋体" w:cs="宋体"/>
          <w:kern w:val="0"/>
          <w:sz w:val="24"/>
          <w:szCs w:val="24"/>
        </w:rPr>
        <w:t>；</w:t>
      </w:r>
    </w:p>
    <w:p w14:paraId="461EA35A">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color w:val="000000"/>
          <w:sz w:val="24"/>
          <w:szCs w:val="32"/>
        </w:rPr>
        <w:t>法定代表人身份证明</w:t>
      </w:r>
      <w:r>
        <w:rPr>
          <w:rFonts w:hint="eastAsia" w:ascii="宋体" w:hAnsi="宋体"/>
          <w:color w:val="000000"/>
          <w:sz w:val="24"/>
          <w:szCs w:val="32"/>
          <w:lang w:eastAsia="zh-CN"/>
        </w:rPr>
        <w:t>及授权委托书</w:t>
      </w:r>
      <w:r>
        <w:rPr>
          <w:rFonts w:hint="eastAsia" w:ascii="宋体" w:hAnsi="宋体" w:eastAsia="宋体" w:cs="宋体"/>
          <w:kern w:val="0"/>
          <w:sz w:val="24"/>
          <w:szCs w:val="24"/>
        </w:rPr>
        <w:t>；</w:t>
      </w:r>
    </w:p>
    <w:p w14:paraId="0502C2EE">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w:t>
      </w:r>
      <w:r>
        <w:rPr>
          <w:rFonts w:hint="eastAsia" w:ascii="宋体" w:hAnsi="宋体" w:cs="宋体"/>
          <w:sz w:val="24"/>
          <w:szCs w:val="24"/>
          <w:lang w:val="en-US" w:eastAsia="zh-CN"/>
        </w:rPr>
        <w:t>联合体协议书；</w:t>
      </w:r>
    </w:p>
    <w:p w14:paraId="2649C11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（5）</w:t>
      </w:r>
      <w:r>
        <w:rPr>
          <w:rFonts w:hint="eastAsia" w:ascii="宋体" w:hAnsi="宋体" w:eastAsia="宋体" w:cs="宋体"/>
          <w:sz w:val="24"/>
          <w:szCs w:val="24"/>
        </w:rPr>
        <w:t>投标保证金</w:t>
      </w:r>
      <w:r>
        <w:rPr>
          <w:rFonts w:hint="eastAsia" w:ascii="宋体" w:hAnsi="宋体" w:eastAsia="宋体" w:cs="宋体"/>
          <w:kern w:val="0"/>
          <w:sz w:val="24"/>
          <w:szCs w:val="24"/>
        </w:rPr>
        <w:t>；</w:t>
      </w:r>
    </w:p>
    <w:p w14:paraId="65808C7E">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（6）</w:t>
      </w:r>
      <w:r>
        <w:rPr>
          <w:rFonts w:hint="eastAsia" w:ascii="宋体" w:hAnsi="宋体" w:eastAsia="宋体" w:cs="宋体"/>
          <w:sz w:val="24"/>
          <w:szCs w:val="24"/>
        </w:rPr>
        <w:t>已标价工程量清单</w:t>
      </w:r>
      <w:r>
        <w:rPr>
          <w:rFonts w:hint="eastAsia" w:ascii="宋体" w:hAnsi="宋体" w:eastAsia="宋体" w:cs="宋体"/>
          <w:kern w:val="0"/>
          <w:sz w:val="24"/>
          <w:szCs w:val="24"/>
        </w:rPr>
        <w:t>；</w:t>
      </w:r>
    </w:p>
    <w:p w14:paraId="4DC1E638">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（7）</w:t>
      </w:r>
      <w:r>
        <w:rPr>
          <w:rFonts w:hint="eastAsia" w:ascii="宋体" w:hAnsi="宋体" w:eastAsia="宋体" w:cs="宋体"/>
          <w:sz w:val="24"/>
          <w:szCs w:val="24"/>
        </w:rPr>
        <w:t>施工组织设计</w:t>
      </w:r>
      <w:r>
        <w:rPr>
          <w:rFonts w:hint="eastAsia" w:ascii="宋体" w:hAnsi="宋体" w:eastAsia="宋体" w:cs="宋体"/>
          <w:kern w:val="0"/>
          <w:sz w:val="24"/>
          <w:szCs w:val="24"/>
        </w:rPr>
        <w:t>；</w:t>
      </w:r>
    </w:p>
    <w:p w14:paraId="13EF0200">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（8）</w:t>
      </w:r>
      <w:r>
        <w:rPr>
          <w:rFonts w:hint="eastAsia" w:ascii="宋体" w:hAnsi="宋体" w:eastAsia="宋体" w:cs="宋体"/>
          <w:sz w:val="24"/>
          <w:szCs w:val="24"/>
        </w:rPr>
        <w:t>项目管理机构</w:t>
      </w:r>
      <w:r>
        <w:rPr>
          <w:rFonts w:hint="eastAsia" w:ascii="宋体" w:hAnsi="宋体" w:eastAsia="宋体" w:cs="宋体"/>
          <w:kern w:val="0"/>
          <w:sz w:val="24"/>
          <w:szCs w:val="24"/>
        </w:rPr>
        <w:t>；</w:t>
      </w:r>
    </w:p>
    <w:p w14:paraId="7AFB8EBB">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（9）</w:t>
      </w:r>
      <w:r>
        <w:rPr>
          <w:rFonts w:hint="eastAsia" w:ascii="宋体" w:hAnsi="宋体" w:eastAsia="宋体" w:cs="宋体"/>
          <w:sz w:val="24"/>
          <w:szCs w:val="24"/>
        </w:rPr>
        <w:t>符合性审查资料</w:t>
      </w:r>
      <w:r>
        <w:rPr>
          <w:rFonts w:hint="eastAsia" w:ascii="宋体" w:hAnsi="宋体" w:eastAsia="宋体" w:cs="宋体"/>
          <w:kern w:val="0"/>
          <w:sz w:val="24"/>
          <w:szCs w:val="24"/>
        </w:rPr>
        <w:t>。</w:t>
      </w:r>
    </w:p>
    <w:p w14:paraId="5EBAF4B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3.2投标报价：</w:t>
      </w:r>
    </w:p>
    <w:p w14:paraId="0EA35246">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3.2.1报价方式：见投标人须知前附表3.2.1，本工程采用工程量清单报价。</w:t>
      </w:r>
    </w:p>
    <w:p w14:paraId="0C344CF5">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3.2.2</w:t>
      </w:r>
      <w:r>
        <w:rPr>
          <w:rFonts w:hint="eastAsia" w:ascii="宋体" w:hAnsi="宋体" w:eastAsia="宋体" w:cs="宋体"/>
          <w:sz w:val="24"/>
          <w:szCs w:val="24"/>
          <w:highlight w:val="none"/>
        </w:rPr>
        <w:t>投标人在投标截止时间前修改投标函中的投标总报价，应同时修改第六章“工程量清单”中的相应报价。此修改须符合本章第4.</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款的有关要求。</w:t>
      </w:r>
    </w:p>
    <w:p w14:paraId="70A80C7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highlight w:val="none"/>
        </w:rPr>
        <w:t>3.2.3</w:t>
      </w:r>
      <w:r>
        <w:rPr>
          <w:rFonts w:hint="eastAsia" w:ascii="宋体" w:hAnsi="宋体" w:eastAsia="宋体" w:cs="宋体"/>
          <w:sz w:val="24"/>
          <w:szCs w:val="24"/>
          <w:highlight w:val="none"/>
        </w:rPr>
        <w:t>工程量清单</w:t>
      </w:r>
      <w:r>
        <w:rPr>
          <w:rFonts w:hint="eastAsia" w:ascii="宋体" w:hAnsi="宋体" w:cs="宋体"/>
          <w:sz w:val="24"/>
          <w:szCs w:val="24"/>
          <w:highlight w:val="none"/>
          <w:lang w:val="en-US" w:eastAsia="zh-CN"/>
        </w:rPr>
        <w:t>和图纸</w:t>
      </w:r>
      <w:r>
        <w:rPr>
          <w:rFonts w:hint="eastAsia" w:ascii="宋体" w:hAnsi="宋体" w:eastAsia="宋体" w:cs="宋体"/>
          <w:sz w:val="24"/>
          <w:szCs w:val="24"/>
          <w:highlight w:val="none"/>
        </w:rPr>
        <w:t>（如有）从交易平台</w:t>
      </w:r>
      <w:r>
        <w:rPr>
          <w:rFonts w:hint="eastAsia" w:ascii="宋体" w:hAnsi="宋体" w:cs="宋体"/>
          <w:color w:val="auto"/>
          <w:sz w:val="24"/>
          <w:szCs w:val="24"/>
          <w:highlight w:val="none"/>
        </w:rPr>
        <w:t>（</w:t>
      </w:r>
      <w:r>
        <w:rPr>
          <w:rFonts w:hint="eastAsia" w:ascii="宋体" w:hAnsi="宋体" w:eastAsia="宋体" w:cs="宋体"/>
          <w:i w:val="0"/>
          <w:iCs w:val="0"/>
          <w:caps w:val="0"/>
          <w:color w:val="000000"/>
          <w:spacing w:val="0"/>
          <w:sz w:val="24"/>
          <w:szCs w:val="24"/>
          <w:highlight w:val="none"/>
          <w:shd w:val="clear" w:fill="FFFFFF"/>
        </w:rPr>
        <w:t>https://219.148.175.179:9443/tpbidder</w:t>
      </w:r>
      <w:r>
        <w:rPr>
          <w:rFonts w:hint="eastAsia" w:ascii="宋体" w:hAnsi="宋体" w:cs="宋体"/>
          <w:color w:val="auto"/>
          <w:sz w:val="24"/>
          <w:szCs w:val="24"/>
          <w:highlight w:val="none"/>
        </w:rPr>
        <w:t>）</w:t>
      </w:r>
      <w:r>
        <w:rPr>
          <w:rFonts w:hint="eastAsia" w:ascii="宋体" w:hAnsi="宋体" w:eastAsia="宋体" w:cs="宋体"/>
          <w:sz w:val="24"/>
          <w:szCs w:val="24"/>
          <w:highlight w:val="none"/>
        </w:rPr>
        <w:t>中下载</w:t>
      </w:r>
      <w:r>
        <w:rPr>
          <w:rFonts w:hint="eastAsia" w:ascii="宋体" w:hAnsi="宋体"/>
          <w:color w:val="auto"/>
          <w:sz w:val="24"/>
          <w:highlight w:val="none"/>
          <w:lang w:val="zh-CN" w:eastAsia="zh-CN"/>
        </w:rPr>
        <w:t>。</w:t>
      </w:r>
    </w:p>
    <w:p w14:paraId="1A5F5939">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3.3投标有效期：</w:t>
      </w:r>
    </w:p>
    <w:p w14:paraId="42D03F54">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3.3.1在投标人须知前附表规定的投标有效期内，投标人不得要求撤销或修改其投标文件。</w:t>
      </w:r>
    </w:p>
    <w:p w14:paraId="3CF76E50">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1458D122">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3.4投标保证金：</w:t>
      </w:r>
    </w:p>
    <w:p w14:paraId="336BBF7F">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3.4.1投标人应按投标人须知前附表规定的金额、方式递交投标保证金。</w:t>
      </w:r>
    </w:p>
    <w:p w14:paraId="114EFF1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3.4.2</w:t>
      </w:r>
      <w:r>
        <w:rPr>
          <w:rFonts w:hint="eastAsia" w:ascii="宋体" w:hAnsi="宋体" w:eastAsia="宋体" w:cs="宋体"/>
          <w:sz w:val="24"/>
          <w:szCs w:val="24"/>
        </w:rPr>
        <w:t>公共资源交易中心</w:t>
      </w:r>
      <w:r>
        <w:rPr>
          <w:rFonts w:hint="eastAsia" w:ascii="宋体" w:hAnsi="宋体" w:eastAsia="宋体" w:cs="宋体"/>
          <w:kern w:val="0"/>
          <w:sz w:val="24"/>
          <w:szCs w:val="24"/>
        </w:rPr>
        <w:t>最迟应当在评标结果公示结束后5日内，向未进入中标候选人范围的投标人退还投标保证金及银行同期存款利息；公共资源交易机构最迟应当在签订施工合同后5日内，向中标人及中标候选人退还投标保证金及银行同期存款利息。</w:t>
      </w:r>
    </w:p>
    <w:p w14:paraId="7BE083A0">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3.4.3有下列情形之一的，投标保证金将不予退还：</w:t>
      </w:r>
    </w:p>
    <w:p w14:paraId="3CEF741B">
      <w:pPr>
        <w:pageBreakBefore w:val="0"/>
        <w:wordWrap/>
        <w:topLinePunct w:val="0"/>
        <w:autoSpaceDE w:val="0"/>
        <w:autoSpaceDN w:val="0"/>
        <w:bidi w:val="0"/>
        <w:adjustRightInd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lang w:val="zh-CN"/>
        </w:rPr>
        <w:t>（</w:t>
      </w:r>
      <w:r>
        <w:rPr>
          <w:rFonts w:hint="eastAsia" w:ascii="宋体" w:hAnsi="宋体" w:eastAsia="宋体" w:cs="宋体"/>
          <w:sz w:val="24"/>
          <w:szCs w:val="24"/>
        </w:rPr>
        <w:t>1</w:t>
      </w:r>
      <w:r>
        <w:rPr>
          <w:rFonts w:hint="eastAsia" w:ascii="宋体" w:hAnsi="宋体" w:eastAsia="宋体" w:cs="宋体"/>
          <w:sz w:val="24"/>
          <w:szCs w:val="24"/>
          <w:lang w:val="zh-CN"/>
        </w:rPr>
        <w:t>）投标截止后投标人撤销投标文件的，招标人可以不退还投标保证金。</w:t>
      </w:r>
    </w:p>
    <w:p w14:paraId="53B52AB5">
      <w:pPr>
        <w:pageBreakBefore w:val="0"/>
        <w:wordWrap/>
        <w:topLinePunct w:val="0"/>
        <w:bidi w:val="0"/>
        <w:spacing w:line="430" w:lineRule="exact"/>
        <w:ind w:firstLine="42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2</w:t>
      </w:r>
      <w:r>
        <w:rPr>
          <w:rFonts w:hint="eastAsia" w:ascii="宋体" w:hAnsi="宋体" w:eastAsia="宋体" w:cs="宋体"/>
          <w:sz w:val="24"/>
          <w:szCs w:val="24"/>
          <w:lang w:val="zh-CN"/>
        </w:rPr>
        <w:t>）中标人无正当理由不与招标人订立合同的，在签订合同时向招标人提出附加条件，或者不按照招标文件要求提交履约保证金的，取消其中标资格，投标保证金不予退还。</w:t>
      </w:r>
    </w:p>
    <w:p w14:paraId="1AE74FF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bookmarkStart w:id="16" w:name="_Toc246996939"/>
      <w:bookmarkStart w:id="17" w:name="_Toc349634061"/>
      <w:bookmarkStart w:id="18" w:name="_Toc517421532"/>
      <w:bookmarkStart w:id="19" w:name="_Toc347645594"/>
      <w:bookmarkStart w:id="20" w:name="_Toc347645009"/>
      <w:bookmarkStart w:id="21" w:name="_Toc179632570"/>
      <w:bookmarkStart w:id="22" w:name="_Toc152042328"/>
      <w:bookmarkStart w:id="23" w:name="_Toc246996196"/>
      <w:bookmarkStart w:id="24" w:name="_Toc152045552"/>
      <w:bookmarkStart w:id="25" w:name="_Toc24989_WPSOffice_Level3"/>
      <w:bookmarkStart w:id="26" w:name="_Toc144974520"/>
      <w:bookmarkStart w:id="27" w:name="_Toc247085710"/>
      <w:r>
        <w:rPr>
          <w:rFonts w:hint="eastAsia" w:ascii="宋体" w:hAnsi="宋体" w:eastAsia="宋体" w:cs="宋体"/>
          <w:kern w:val="0"/>
          <w:sz w:val="24"/>
          <w:szCs w:val="24"/>
        </w:rPr>
        <w:t>3.5资格审查资料</w:t>
      </w:r>
      <w:bookmarkEnd w:id="16"/>
      <w:bookmarkEnd w:id="17"/>
      <w:bookmarkEnd w:id="18"/>
      <w:bookmarkEnd w:id="19"/>
      <w:bookmarkEnd w:id="20"/>
      <w:bookmarkEnd w:id="21"/>
      <w:bookmarkEnd w:id="22"/>
      <w:bookmarkEnd w:id="23"/>
      <w:bookmarkEnd w:id="24"/>
      <w:bookmarkEnd w:id="25"/>
      <w:bookmarkEnd w:id="26"/>
      <w:bookmarkEnd w:id="27"/>
    </w:p>
    <w:p w14:paraId="5166538A">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highlight w:val="yellow"/>
        </w:rPr>
      </w:pPr>
      <w:r>
        <w:rPr>
          <w:rFonts w:hint="eastAsia" w:ascii="宋体" w:hAnsi="宋体" w:eastAsia="宋体" w:cs="宋体"/>
          <w:kern w:val="0"/>
          <w:sz w:val="24"/>
          <w:szCs w:val="24"/>
        </w:rPr>
        <w:t>3.5.1“投标人基本情况表”后附营业执照、资质证书、安全生产许可证、开户许可证或基本存款账户信息等相关证明材料复印件。</w:t>
      </w:r>
    </w:p>
    <w:p w14:paraId="1948CDDD">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3.5.2“近年财务状况表”应附经会计师事务所或审计机构审计的财务会计报表，包括资产负债表、现金流量表、利润表的复印件，具体年份要求见投标人须知前附表。</w:t>
      </w:r>
    </w:p>
    <w:p w14:paraId="6D3E9559">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3.5.3“近年完成项目情况表”应附中标通知书</w:t>
      </w:r>
      <w:r>
        <w:rPr>
          <w:rFonts w:hint="eastAsia" w:ascii="宋体" w:hAnsi="宋体" w:cs="宋体"/>
          <w:kern w:val="0"/>
          <w:sz w:val="24"/>
          <w:szCs w:val="24"/>
          <w:lang w:val="en-US" w:eastAsia="zh-CN"/>
        </w:rPr>
        <w:t>或</w:t>
      </w:r>
      <w:r>
        <w:rPr>
          <w:rFonts w:hint="eastAsia" w:ascii="宋体" w:hAnsi="宋体" w:cs="宋体"/>
          <w:kern w:val="0"/>
          <w:sz w:val="24"/>
          <w:szCs w:val="24"/>
          <w:lang w:eastAsia="zh-CN"/>
        </w:rPr>
        <w:t>施工合同</w:t>
      </w:r>
      <w:r>
        <w:rPr>
          <w:rFonts w:hint="eastAsia" w:ascii="宋体" w:hAnsi="宋体" w:eastAsia="宋体" w:cs="宋体"/>
          <w:kern w:val="0"/>
          <w:sz w:val="24"/>
          <w:szCs w:val="24"/>
        </w:rPr>
        <w:t>的复印件，具体年份要求见投标人须知前附表。每张表格只填写一个项目，并标明序号。</w:t>
      </w:r>
    </w:p>
    <w:p w14:paraId="2A6A9D28">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3.5.4“正在施工和新承接的项目情况表”应附中标通知书</w:t>
      </w:r>
      <w:r>
        <w:rPr>
          <w:rFonts w:hint="eastAsia" w:ascii="宋体" w:hAnsi="宋体" w:cs="宋体"/>
          <w:kern w:val="0"/>
          <w:sz w:val="24"/>
          <w:szCs w:val="24"/>
          <w:lang w:val="en-US" w:eastAsia="zh-CN"/>
        </w:rPr>
        <w:t>或</w:t>
      </w:r>
      <w:r>
        <w:rPr>
          <w:rFonts w:hint="eastAsia" w:ascii="宋体" w:hAnsi="宋体" w:cs="宋体"/>
          <w:kern w:val="0"/>
          <w:sz w:val="24"/>
          <w:szCs w:val="24"/>
          <w:lang w:eastAsia="zh-CN"/>
        </w:rPr>
        <w:t>施工合同</w:t>
      </w:r>
      <w:r>
        <w:rPr>
          <w:rFonts w:hint="eastAsia" w:ascii="宋体" w:hAnsi="宋体" w:eastAsia="宋体" w:cs="宋体"/>
          <w:kern w:val="0"/>
          <w:sz w:val="24"/>
          <w:szCs w:val="24"/>
        </w:rPr>
        <w:t>的复印件。每张表格只填写一个项目，并标明序号。</w:t>
      </w:r>
    </w:p>
    <w:p w14:paraId="4467FBCA">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3.5.5“近年发生的诉讼及仲裁情况”应简要说明诉讼及仲裁情况，并附法院或仲裁机构作出的判决、裁决等有关法律文书复印件，具体年份要求见投标人须知前附表。</w:t>
      </w:r>
    </w:p>
    <w:p w14:paraId="020C38B0">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3.6是否允许递交备选投标方案：见投标人须知前附表。</w:t>
      </w:r>
    </w:p>
    <w:p w14:paraId="5F541F6D">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3.7签字和盖章要求：见投标人须知前附表。</w:t>
      </w:r>
    </w:p>
    <w:p w14:paraId="51160D98">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3.8投标文件份数：见投标人须知前附表。</w:t>
      </w:r>
    </w:p>
    <w:p w14:paraId="3A3BF670">
      <w:pPr>
        <w:pageBreakBefore w:val="0"/>
        <w:wordWrap/>
        <w:topLinePunct w:val="0"/>
        <w:bidi w:val="0"/>
        <w:spacing w:before="0" w:after="0" w:line="430" w:lineRule="exact"/>
        <w:textAlignment w:val="auto"/>
        <w:outlineLvl w:val="9"/>
        <w:rPr>
          <w:rFonts w:hint="eastAsia" w:ascii="宋体" w:hAnsi="宋体" w:eastAsia="宋体" w:cs="宋体"/>
          <w:b/>
          <w:bCs/>
          <w:sz w:val="24"/>
          <w:szCs w:val="24"/>
        </w:rPr>
      </w:pPr>
      <w:bookmarkStart w:id="28" w:name="_Toc12505"/>
      <w:bookmarkStart w:id="29" w:name="_Toc30822"/>
      <w:bookmarkStart w:id="30" w:name="_Toc19087"/>
      <w:bookmarkStart w:id="31" w:name="_Toc12163"/>
      <w:bookmarkStart w:id="32" w:name="_Toc17555"/>
      <w:r>
        <w:rPr>
          <w:rFonts w:hint="eastAsia" w:ascii="宋体" w:hAnsi="宋体" w:eastAsia="宋体" w:cs="宋体"/>
          <w:b/>
          <w:bCs/>
          <w:sz w:val="24"/>
          <w:szCs w:val="24"/>
        </w:rPr>
        <w:t>4、投标</w:t>
      </w:r>
      <w:bookmarkEnd w:id="28"/>
      <w:bookmarkEnd w:id="29"/>
      <w:bookmarkEnd w:id="30"/>
      <w:bookmarkEnd w:id="31"/>
      <w:bookmarkEnd w:id="32"/>
    </w:p>
    <w:p w14:paraId="46568CFB">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4.1投标文件的递交：</w:t>
      </w:r>
    </w:p>
    <w:p w14:paraId="0B1D6F4F">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4.1.1投标人应在本章第2.2.1项规定的投标截止时间前递交投标文件。</w:t>
      </w:r>
    </w:p>
    <w:p w14:paraId="7161443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4.1.2</w:t>
      </w:r>
      <w:r>
        <w:rPr>
          <w:rFonts w:hint="eastAsia" w:ascii="宋体" w:hAnsi="宋体" w:cs="宋体"/>
          <w:sz w:val="24"/>
          <w:szCs w:val="24"/>
        </w:rPr>
        <w:t>递交投标文件方式及地点</w:t>
      </w:r>
      <w:r>
        <w:rPr>
          <w:rFonts w:hint="eastAsia" w:ascii="宋体" w:hAnsi="宋体" w:eastAsia="宋体" w:cs="宋体"/>
          <w:kern w:val="0"/>
          <w:sz w:val="24"/>
          <w:szCs w:val="24"/>
        </w:rPr>
        <w:t>：见投标人须知前附表。</w:t>
      </w:r>
    </w:p>
    <w:p w14:paraId="2ABF7B76">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4.1.3除投标人须知前附表另有规定外，投标人所递交的投标文件不予退还。</w:t>
      </w:r>
    </w:p>
    <w:p w14:paraId="559A3CBE">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w:t>
      </w:r>
      <w:r>
        <w:rPr>
          <w:rFonts w:hint="eastAsia" w:ascii="宋体" w:hAnsi="宋体" w:cs="宋体"/>
          <w:kern w:val="0"/>
          <w:sz w:val="24"/>
          <w:szCs w:val="24"/>
          <w:lang w:val="en-US" w:eastAsia="zh-CN"/>
        </w:rPr>
        <w:t>2</w:t>
      </w:r>
      <w:r>
        <w:rPr>
          <w:rFonts w:hint="eastAsia" w:ascii="宋体" w:hAnsi="宋体" w:eastAsia="宋体" w:cs="宋体"/>
          <w:kern w:val="0"/>
          <w:sz w:val="24"/>
          <w:szCs w:val="24"/>
        </w:rPr>
        <w:t xml:space="preserve"> 投标文件的修改与撤回</w:t>
      </w:r>
    </w:p>
    <w:p w14:paraId="34BB3460">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kern w:val="0"/>
          <w:sz w:val="24"/>
          <w:szCs w:val="24"/>
        </w:rPr>
        <w:t>在本章第2.2.1项规定的投标截止时间前，投标人可以修改或撤回已递交的投标文件，如果撤回后不再上传电子投标文件或撤回后重新上传电子投标文件，投标人不需要以书面形式通知招标人。</w:t>
      </w:r>
    </w:p>
    <w:p w14:paraId="5486028A">
      <w:pPr>
        <w:pageBreakBefore w:val="0"/>
        <w:wordWrap/>
        <w:topLinePunct w:val="0"/>
        <w:bidi w:val="0"/>
        <w:spacing w:before="0" w:after="0" w:line="430" w:lineRule="exact"/>
        <w:textAlignment w:val="auto"/>
        <w:outlineLvl w:val="9"/>
        <w:rPr>
          <w:rFonts w:hint="eastAsia" w:ascii="宋体" w:hAnsi="宋体" w:eastAsia="宋体" w:cs="宋体"/>
          <w:b/>
          <w:bCs/>
          <w:sz w:val="24"/>
          <w:szCs w:val="24"/>
        </w:rPr>
      </w:pPr>
      <w:bookmarkStart w:id="33" w:name="_Toc30000"/>
      <w:bookmarkStart w:id="34" w:name="_Toc10147"/>
      <w:bookmarkStart w:id="35" w:name="_Toc10093"/>
      <w:bookmarkStart w:id="36" w:name="_Toc17507"/>
      <w:bookmarkStart w:id="37" w:name="_Toc30889"/>
      <w:r>
        <w:rPr>
          <w:rFonts w:hint="eastAsia" w:ascii="宋体" w:hAnsi="宋体" w:eastAsia="宋体" w:cs="宋体"/>
          <w:b/>
          <w:bCs/>
          <w:sz w:val="24"/>
          <w:szCs w:val="24"/>
        </w:rPr>
        <w:t>5、开标</w:t>
      </w:r>
      <w:bookmarkEnd w:id="33"/>
      <w:bookmarkEnd w:id="34"/>
      <w:bookmarkEnd w:id="35"/>
      <w:bookmarkEnd w:id="36"/>
      <w:bookmarkEnd w:id="37"/>
    </w:p>
    <w:p w14:paraId="30713BE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5.1开标时间和地点：见投标人须知前附表。</w:t>
      </w:r>
    </w:p>
    <w:p w14:paraId="0F2F19CD">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5.1.1</w:t>
      </w:r>
      <w:r>
        <w:rPr>
          <w:rFonts w:hint="eastAsia" w:ascii="宋体" w:hAnsi="宋体" w:cs="宋体"/>
          <w:sz w:val="24"/>
          <w:szCs w:val="24"/>
          <w:lang w:val="en-US" w:eastAsia="zh-CN"/>
        </w:rPr>
        <w:t>解密时间及方式：</w:t>
      </w:r>
      <w:r>
        <w:rPr>
          <w:rFonts w:hint="eastAsia" w:ascii="宋体" w:hAnsi="宋体" w:eastAsia="宋体" w:cs="宋体"/>
          <w:kern w:val="0"/>
          <w:sz w:val="24"/>
          <w:szCs w:val="24"/>
        </w:rPr>
        <w:t>见投标人须知前附表</w:t>
      </w:r>
      <w:r>
        <w:rPr>
          <w:rFonts w:hint="eastAsia" w:ascii="宋体" w:hAnsi="宋体" w:cs="宋体"/>
          <w:kern w:val="0"/>
          <w:sz w:val="24"/>
          <w:szCs w:val="24"/>
          <w:lang w:eastAsia="zh-CN"/>
        </w:rPr>
        <w:t>。</w:t>
      </w:r>
    </w:p>
    <w:p w14:paraId="70D9DF2D">
      <w:pPr>
        <w:pageBreakBefore w:val="0"/>
        <w:wordWrap/>
        <w:topLinePunct w:val="0"/>
        <w:bidi w:val="0"/>
        <w:spacing w:line="430" w:lineRule="exact"/>
        <w:ind w:firstLine="420"/>
        <w:textAlignment w:val="auto"/>
        <w:outlineLvl w:val="9"/>
        <w:rPr>
          <w:rFonts w:hint="eastAsia" w:ascii="宋体" w:hAnsi="宋体" w:eastAsia="宋体" w:cs="宋体"/>
          <w:b/>
          <w:bCs/>
          <w:sz w:val="24"/>
          <w:szCs w:val="24"/>
        </w:rPr>
      </w:pPr>
      <w:r>
        <w:rPr>
          <w:rFonts w:hint="eastAsia" w:ascii="宋体" w:hAnsi="宋体" w:cs="宋体"/>
          <w:kern w:val="0"/>
          <w:sz w:val="24"/>
          <w:szCs w:val="24"/>
          <w:lang w:val="en-US" w:eastAsia="zh-CN"/>
        </w:rPr>
        <w:t>5.1.2</w:t>
      </w:r>
      <w:r>
        <w:rPr>
          <w:rFonts w:hint="eastAsia" w:ascii="宋体" w:hAnsi="宋体" w:eastAsia="宋体" w:cs="宋体"/>
          <w:kern w:val="0"/>
          <w:sz w:val="24"/>
          <w:szCs w:val="24"/>
        </w:rPr>
        <w:t>开标所需携带原件：见投标人须知前附表。</w:t>
      </w:r>
    </w:p>
    <w:p w14:paraId="5794BD70">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5.2开标程序：</w:t>
      </w:r>
    </w:p>
    <w:p w14:paraId="2C3816E0">
      <w:pPr>
        <w:keepNext w:val="0"/>
        <w:keepLines w:val="0"/>
        <w:pageBreakBefore w:val="0"/>
        <w:kinsoku/>
        <w:wordWrap/>
        <w:overflowPunct/>
        <w:topLinePunct w:val="0"/>
        <w:autoSpaceDE/>
        <w:autoSpaceDN/>
        <w:bidi w:val="0"/>
        <w:adjustRightInd/>
        <w:snapToGrid/>
        <w:spacing w:line="430" w:lineRule="exact"/>
        <w:ind w:firstLine="480" w:firstLineChars="200"/>
        <w:jc w:val="both"/>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5.2.1等待开标：各交易主体登录</w:t>
      </w:r>
      <w:r>
        <w:rPr>
          <w:rFonts w:hint="eastAsia" w:ascii="宋体" w:hAnsi="宋体" w:cs="宋体"/>
          <w:sz w:val="24"/>
          <w:szCs w:val="24"/>
        </w:rPr>
        <w:t>内蒙古自治区</w:t>
      </w:r>
      <w:r>
        <w:rPr>
          <w:rFonts w:hint="eastAsia" w:ascii="宋体" w:hAnsi="宋体" w:cs="宋体"/>
          <w:sz w:val="24"/>
          <w:szCs w:val="24"/>
          <w:lang w:val="en-US" w:eastAsia="zh-CN"/>
        </w:rPr>
        <w:t>建设</w:t>
      </w:r>
      <w:r>
        <w:rPr>
          <w:rFonts w:hint="eastAsia" w:ascii="宋体" w:hAnsi="宋体" w:cs="宋体"/>
          <w:sz w:val="24"/>
          <w:szCs w:val="24"/>
        </w:rPr>
        <w:t>工程不见面开标大厅（https://219.148.175.179:9443/BidOpening）</w:t>
      </w:r>
      <w:r>
        <w:rPr>
          <w:rFonts w:hint="eastAsia" w:ascii="宋体" w:hAnsi="宋体" w:cs="宋体"/>
          <w:sz w:val="24"/>
          <w:szCs w:val="24"/>
          <w:lang w:val="en-US" w:eastAsia="zh-CN"/>
        </w:rPr>
        <w:t>等待开标。</w:t>
      </w:r>
    </w:p>
    <w:p w14:paraId="7823E135">
      <w:pPr>
        <w:keepNext w:val="0"/>
        <w:keepLines w:val="0"/>
        <w:pageBreakBefore w:val="0"/>
        <w:kinsoku/>
        <w:wordWrap/>
        <w:overflowPunct/>
        <w:topLinePunct w:val="0"/>
        <w:autoSpaceDE/>
        <w:autoSpaceDN/>
        <w:bidi w:val="0"/>
        <w:adjustRightInd/>
        <w:snapToGrid/>
        <w:spacing w:line="430" w:lineRule="exact"/>
        <w:ind w:firstLine="480" w:firstLineChars="200"/>
        <w:jc w:val="left"/>
        <w:textAlignment w:val="auto"/>
        <w:outlineLvl w:val="9"/>
        <w:rPr>
          <w:rFonts w:hint="default" w:ascii="宋体" w:hAnsi="宋体" w:cs="宋体"/>
          <w:sz w:val="24"/>
          <w:szCs w:val="24"/>
          <w:lang w:val="en-US" w:eastAsia="zh-CN"/>
        </w:rPr>
      </w:pPr>
      <w:r>
        <w:rPr>
          <w:rFonts w:hint="eastAsia" w:ascii="宋体" w:hAnsi="宋体" w:cs="宋体"/>
          <w:sz w:val="24"/>
          <w:szCs w:val="24"/>
          <w:lang w:val="en-US" w:eastAsia="zh-CN"/>
        </w:rPr>
        <w:t>5.2.2查看投标人：</w:t>
      </w:r>
      <w:r>
        <w:rPr>
          <w:rFonts w:hint="eastAsia" w:ascii="宋体" w:hAnsi="宋体" w:cs="宋体"/>
          <w:sz w:val="24"/>
          <w:szCs w:val="24"/>
        </w:rPr>
        <w:t>开标时间（与投标截止时间一致）</w:t>
      </w:r>
      <w:r>
        <w:rPr>
          <w:rFonts w:hint="eastAsia" w:ascii="宋体" w:hAnsi="宋体" w:cs="宋体"/>
          <w:sz w:val="24"/>
          <w:szCs w:val="24"/>
          <w:lang w:val="en-US" w:eastAsia="zh-CN"/>
        </w:rPr>
        <w:t>已到</w:t>
      </w:r>
      <w:r>
        <w:rPr>
          <w:rFonts w:hint="eastAsia" w:ascii="宋体" w:hAnsi="宋体" w:cs="宋体"/>
          <w:sz w:val="24"/>
          <w:szCs w:val="24"/>
        </w:rPr>
        <w:t>，</w:t>
      </w:r>
      <w:r>
        <w:rPr>
          <w:rFonts w:hint="eastAsia" w:ascii="宋体" w:hAnsi="宋体" w:cs="宋体"/>
          <w:sz w:val="24"/>
          <w:szCs w:val="24"/>
          <w:lang w:val="en-US" w:eastAsia="zh-CN"/>
        </w:rPr>
        <w:t>开标大厅</w:t>
      </w:r>
      <w:r>
        <w:rPr>
          <w:rFonts w:hint="eastAsia" w:ascii="宋体" w:hAnsi="宋体" w:cs="宋体"/>
          <w:sz w:val="24"/>
          <w:szCs w:val="24"/>
        </w:rPr>
        <w:t>自动提取所有在投标截止时间前成功投递的投标文件。公布投标人名单。</w:t>
      </w:r>
    </w:p>
    <w:p w14:paraId="51E61F4A">
      <w:pPr>
        <w:keepNext w:val="0"/>
        <w:keepLines w:val="0"/>
        <w:pageBreakBefore w:val="0"/>
        <w:kinsoku/>
        <w:wordWrap/>
        <w:overflowPunct/>
        <w:topLinePunct w:val="0"/>
        <w:autoSpaceDE/>
        <w:autoSpaceDN/>
        <w:bidi w:val="0"/>
        <w:adjustRightInd/>
        <w:snapToGrid/>
        <w:spacing w:line="430" w:lineRule="exact"/>
        <w:ind w:firstLine="480" w:firstLineChars="200"/>
        <w:jc w:val="left"/>
        <w:textAlignment w:val="auto"/>
        <w:outlineLvl w:val="9"/>
        <w:rPr>
          <w:rFonts w:hint="default" w:ascii="宋体" w:hAnsi="宋体" w:cs="宋体"/>
          <w:sz w:val="24"/>
          <w:szCs w:val="24"/>
          <w:lang w:val="en-US" w:eastAsia="zh-CN"/>
        </w:rPr>
      </w:pPr>
      <w:r>
        <w:rPr>
          <w:rFonts w:hint="eastAsia" w:ascii="宋体" w:hAnsi="宋体" w:cs="宋体"/>
          <w:sz w:val="24"/>
          <w:szCs w:val="24"/>
          <w:lang w:val="en-US" w:eastAsia="zh-CN"/>
        </w:rPr>
        <w:t>5.2.3标书解密：按照</w:t>
      </w:r>
      <w:r>
        <w:rPr>
          <w:rFonts w:hint="eastAsia" w:ascii="宋体" w:hAnsi="宋体" w:cs="宋体"/>
          <w:sz w:val="24"/>
          <w:szCs w:val="24"/>
        </w:rPr>
        <w:t>系统提示</w:t>
      </w:r>
      <w:r>
        <w:rPr>
          <w:rFonts w:hint="eastAsia" w:ascii="宋体" w:hAnsi="宋体" w:cs="宋体"/>
          <w:sz w:val="24"/>
          <w:szCs w:val="24"/>
          <w:lang w:eastAsia="zh-CN"/>
        </w:rPr>
        <w:t>，</w:t>
      </w:r>
      <w:r>
        <w:rPr>
          <w:rFonts w:hint="eastAsia" w:ascii="宋体" w:hAnsi="宋体" w:cs="宋体"/>
          <w:sz w:val="24"/>
          <w:szCs w:val="24"/>
        </w:rPr>
        <w:t>投标人在招标文件规定的时间内自行解密其经加密的电子投标文件。</w:t>
      </w:r>
    </w:p>
    <w:p w14:paraId="0755906D">
      <w:pPr>
        <w:keepNext w:val="0"/>
        <w:keepLines w:val="0"/>
        <w:pageBreakBefore w:val="0"/>
        <w:kinsoku/>
        <w:wordWrap/>
        <w:overflowPunct/>
        <w:topLinePunct w:val="0"/>
        <w:autoSpaceDE/>
        <w:autoSpaceDN/>
        <w:bidi w:val="0"/>
        <w:adjustRightInd/>
        <w:snapToGrid/>
        <w:spacing w:line="430" w:lineRule="exact"/>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lang w:val="en-US" w:eastAsia="zh-CN"/>
        </w:rPr>
        <w:t>5.2.4</w:t>
      </w:r>
      <w:r>
        <w:rPr>
          <w:rFonts w:hint="eastAsia" w:ascii="宋体" w:hAnsi="宋体" w:cs="宋体"/>
          <w:sz w:val="24"/>
          <w:szCs w:val="24"/>
        </w:rPr>
        <w:t>在规定的时间内未成功解密的投标文件处理方式：</w:t>
      </w:r>
    </w:p>
    <w:p w14:paraId="15AF5FE5">
      <w:pPr>
        <w:keepNext w:val="0"/>
        <w:keepLines w:val="0"/>
        <w:pageBreakBefore w:val="0"/>
        <w:numPr>
          <w:ilvl w:val="0"/>
          <w:numId w:val="0"/>
        </w:numPr>
        <w:kinsoku/>
        <w:wordWrap/>
        <w:overflowPunct/>
        <w:topLinePunct w:val="0"/>
        <w:autoSpaceDE/>
        <w:autoSpaceDN/>
        <w:bidi w:val="0"/>
        <w:adjustRightInd/>
        <w:snapToGrid/>
        <w:spacing w:line="430" w:lineRule="exact"/>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rPr>
        <w:t>因</w:t>
      </w:r>
      <w:r>
        <w:rPr>
          <w:rFonts w:hint="eastAsia" w:ascii="宋体" w:hAnsi="宋体" w:cs="宋体"/>
          <w:sz w:val="24"/>
          <w:szCs w:val="24"/>
          <w:lang w:val="en-US" w:eastAsia="zh-CN"/>
        </w:rPr>
        <w:t>不见面开标大厅</w:t>
      </w:r>
      <w:r>
        <w:rPr>
          <w:rFonts w:hint="eastAsia" w:ascii="宋体" w:hAnsi="宋体" w:cs="宋体"/>
          <w:sz w:val="24"/>
          <w:szCs w:val="24"/>
        </w:rPr>
        <w:t>等原因影响解密进程时，招标人可根据现场投标情况延长解密时间；</w:t>
      </w:r>
    </w:p>
    <w:p w14:paraId="2CAF1108">
      <w:pPr>
        <w:keepNext w:val="0"/>
        <w:keepLines w:val="0"/>
        <w:pageBreakBefore w:val="0"/>
        <w:numPr>
          <w:ilvl w:val="0"/>
          <w:numId w:val="0"/>
        </w:numPr>
        <w:kinsoku/>
        <w:wordWrap/>
        <w:overflowPunct/>
        <w:topLinePunct w:val="0"/>
        <w:autoSpaceDE/>
        <w:autoSpaceDN/>
        <w:bidi w:val="0"/>
        <w:adjustRightInd/>
        <w:snapToGrid/>
        <w:spacing w:line="430" w:lineRule="exact"/>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cs="宋体"/>
          <w:sz w:val="24"/>
          <w:szCs w:val="24"/>
        </w:rPr>
        <w:t>因投标人原因未完成解密工作的，视为撤销其投标文件。</w:t>
      </w:r>
    </w:p>
    <w:p w14:paraId="41307AAF">
      <w:pPr>
        <w:keepNext w:val="0"/>
        <w:keepLines w:val="0"/>
        <w:pageBreakBefore w:val="0"/>
        <w:numPr>
          <w:ilvl w:val="0"/>
          <w:numId w:val="0"/>
        </w:numPr>
        <w:kinsoku/>
        <w:wordWrap/>
        <w:overflowPunct/>
        <w:topLinePunct w:val="0"/>
        <w:autoSpaceDE/>
        <w:autoSpaceDN/>
        <w:bidi w:val="0"/>
        <w:adjustRightInd/>
        <w:snapToGrid/>
        <w:spacing w:line="430" w:lineRule="exact"/>
        <w:ind w:firstLine="480" w:firstLineChars="200"/>
        <w:jc w:val="left"/>
        <w:textAlignment w:val="auto"/>
        <w:outlineLvl w:val="9"/>
        <w:rPr>
          <w:rFonts w:hint="default" w:ascii="宋体" w:hAnsi="宋体" w:cs="宋体"/>
          <w:sz w:val="24"/>
          <w:szCs w:val="24"/>
          <w:lang w:val="en-US" w:eastAsia="zh-CN"/>
        </w:rPr>
      </w:pPr>
      <w:r>
        <w:rPr>
          <w:rFonts w:hint="eastAsia" w:ascii="宋体" w:hAnsi="宋体" w:cs="宋体"/>
          <w:sz w:val="24"/>
          <w:szCs w:val="24"/>
          <w:lang w:val="en-US" w:eastAsia="zh-CN"/>
        </w:rPr>
        <w:t>（3）其他解密异常情况按照应急处理办法执行；</w:t>
      </w:r>
    </w:p>
    <w:p w14:paraId="0C99B57A">
      <w:pPr>
        <w:keepNext w:val="0"/>
        <w:keepLines w:val="0"/>
        <w:pageBreakBefore w:val="0"/>
        <w:kinsoku/>
        <w:wordWrap/>
        <w:overflowPunct/>
        <w:topLinePunct w:val="0"/>
        <w:autoSpaceDE/>
        <w:autoSpaceDN/>
        <w:bidi w:val="0"/>
        <w:adjustRightInd/>
        <w:snapToGrid/>
        <w:spacing w:line="430" w:lineRule="exact"/>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lang w:val="en-US" w:eastAsia="zh-CN"/>
        </w:rPr>
        <w:t>5.2.5标书导入：</w:t>
      </w:r>
      <w:r>
        <w:rPr>
          <w:rFonts w:hint="eastAsia" w:ascii="宋体" w:hAnsi="宋体" w:cs="宋体"/>
          <w:sz w:val="24"/>
          <w:szCs w:val="24"/>
        </w:rPr>
        <w:t>解密全部完成或招标文件规定的解密时间截止后，进入</w:t>
      </w:r>
      <w:r>
        <w:rPr>
          <w:rFonts w:hint="eastAsia" w:ascii="宋体" w:hAnsi="宋体" w:cs="宋体"/>
          <w:sz w:val="24"/>
          <w:szCs w:val="24"/>
          <w:lang w:val="en-US" w:eastAsia="zh-CN"/>
        </w:rPr>
        <w:t>标书导入</w:t>
      </w:r>
      <w:r>
        <w:rPr>
          <w:rFonts w:hint="eastAsia" w:ascii="宋体" w:hAnsi="宋体" w:cs="宋体"/>
          <w:sz w:val="24"/>
          <w:szCs w:val="24"/>
        </w:rPr>
        <w:t>环节。</w:t>
      </w:r>
      <w:r>
        <w:rPr>
          <w:rFonts w:hint="eastAsia" w:ascii="宋体" w:hAnsi="宋体" w:cs="宋体"/>
          <w:sz w:val="24"/>
          <w:szCs w:val="24"/>
          <w:lang w:val="en-US" w:eastAsia="zh-CN"/>
        </w:rPr>
        <w:t>开标大厅</w:t>
      </w:r>
      <w:r>
        <w:rPr>
          <w:rFonts w:hint="eastAsia" w:ascii="宋体" w:hAnsi="宋体" w:cs="宋体"/>
          <w:sz w:val="24"/>
          <w:szCs w:val="24"/>
        </w:rPr>
        <w:t>展示最终解密结果，公布成功解密投标人名单，并备注投标文件未成功解密的原因（若有）。</w:t>
      </w:r>
    </w:p>
    <w:p w14:paraId="2C98B585">
      <w:pPr>
        <w:keepNext w:val="0"/>
        <w:keepLines w:val="0"/>
        <w:pageBreakBefore w:val="0"/>
        <w:kinsoku/>
        <w:wordWrap/>
        <w:overflowPunct/>
        <w:topLinePunct w:val="0"/>
        <w:autoSpaceDE/>
        <w:autoSpaceDN/>
        <w:bidi w:val="0"/>
        <w:adjustRightInd/>
        <w:snapToGrid/>
        <w:spacing w:line="430" w:lineRule="exact"/>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lang w:val="en-US" w:eastAsia="zh-CN"/>
        </w:rPr>
        <w:t>5.2.6唱标：</w:t>
      </w:r>
      <w:r>
        <w:rPr>
          <w:rFonts w:hint="eastAsia" w:ascii="宋体" w:hAnsi="宋体" w:cs="宋体"/>
          <w:sz w:val="24"/>
          <w:szCs w:val="24"/>
        </w:rPr>
        <w:t>公布投标人名称、投标报价、质量目标、工期及其他内容。</w:t>
      </w:r>
    </w:p>
    <w:p w14:paraId="1212B837">
      <w:pPr>
        <w:keepNext w:val="0"/>
        <w:keepLines w:val="0"/>
        <w:pageBreakBefore w:val="0"/>
        <w:kinsoku/>
        <w:wordWrap/>
        <w:overflowPunct/>
        <w:topLinePunct w:val="0"/>
        <w:autoSpaceDE/>
        <w:autoSpaceDN/>
        <w:bidi w:val="0"/>
        <w:adjustRightInd/>
        <w:snapToGrid/>
        <w:spacing w:line="430" w:lineRule="exact"/>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lang w:val="en-US" w:eastAsia="zh-CN"/>
        </w:rPr>
        <w:t>5.2.7</w:t>
      </w:r>
      <w:r>
        <w:rPr>
          <w:rFonts w:hint="eastAsia" w:ascii="宋体" w:hAnsi="宋体" w:cs="宋体"/>
          <w:sz w:val="24"/>
          <w:szCs w:val="24"/>
        </w:rPr>
        <w:t>投标人对开标有异议的，应在</w:t>
      </w:r>
      <w:r>
        <w:rPr>
          <w:rFonts w:hint="eastAsia" w:ascii="宋体" w:hAnsi="宋体" w:cs="宋体"/>
          <w:sz w:val="24"/>
          <w:szCs w:val="24"/>
          <w:lang w:val="en-US" w:eastAsia="zh-CN"/>
        </w:rPr>
        <w:t>开标期间在</w:t>
      </w:r>
      <w:r>
        <w:rPr>
          <w:rFonts w:hint="eastAsia" w:ascii="宋体" w:hAnsi="宋体" w:cs="宋体"/>
          <w:sz w:val="24"/>
          <w:szCs w:val="24"/>
        </w:rPr>
        <w:t>线提出，由招标人或代理机构在线答复。</w:t>
      </w:r>
    </w:p>
    <w:p w14:paraId="1F3D2F56">
      <w:pPr>
        <w:pageBreakBefore w:val="0"/>
        <w:wordWrap/>
        <w:topLinePunct w:val="0"/>
        <w:bidi w:val="0"/>
        <w:spacing w:line="430" w:lineRule="exact"/>
        <w:ind w:firstLine="482"/>
        <w:textAlignment w:val="auto"/>
        <w:outlineLvl w:val="9"/>
        <w:rPr>
          <w:rFonts w:hint="eastAsia" w:ascii="宋体" w:hAnsi="宋体" w:cs="宋体"/>
          <w:sz w:val="24"/>
          <w:szCs w:val="24"/>
        </w:rPr>
      </w:pPr>
      <w:r>
        <w:rPr>
          <w:rFonts w:hint="eastAsia" w:ascii="宋体" w:hAnsi="宋体" w:cs="宋体"/>
          <w:sz w:val="24"/>
          <w:szCs w:val="24"/>
          <w:lang w:val="en-US" w:eastAsia="zh-CN"/>
        </w:rPr>
        <w:t>5.2.8</w:t>
      </w:r>
      <w:r>
        <w:rPr>
          <w:rFonts w:hint="eastAsia" w:ascii="宋体" w:hAnsi="宋体" w:cs="宋体"/>
          <w:sz w:val="24"/>
          <w:szCs w:val="24"/>
        </w:rPr>
        <w:t>开标结束。</w:t>
      </w:r>
    </w:p>
    <w:p w14:paraId="3F968C88">
      <w:pPr>
        <w:pageBreakBefore w:val="0"/>
        <w:wordWrap/>
        <w:topLinePunct w:val="0"/>
        <w:bidi w:val="0"/>
        <w:spacing w:line="430" w:lineRule="exact"/>
        <w:ind w:firstLine="482"/>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5.3有下列情形之一的，应当否决其投标：</w:t>
      </w:r>
    </w:p>
    <w:p w14:paraId="168B7832">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（1）投标人未按招标文件规定的方式及时间上传投标文件的；</w:t>
      </w:r>
    </w:p>
    <w:p w14:paraId="4B36C144">
      <w:pPr>
        <w:pageBreakBefore w:val="0"/>
        <w:wordWrap/>
        <w:topLinePunct w:val="0"/>
        <w:bidi w:val="0"/>
        <w:spacing w:line="430" w:lineRule="exact"/>
        <w:ind w:firstLine="42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（2）投标人未按招标文件规定的时间内解密投标文件的；</w:t>
      </w:r>
    </w:p>
    <w:p w14:paraId="73E57CB0">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（3）投标文件未按招标文件规定的要求加盖本单位（电子）公章以及未经法定代表人或者法定代表人委托的代理人签字或盖章的；</w:t>
      </w:r>
    </w:p>
    <w:p w14:paraId="7A08DB0A">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（4）同一投标人提交两个以上不同的投标文件或者投标报价，未书面声明哪一个有效的，但招标文件要求提交备选投标的除外；</w:t>
      </w:r>
    </w:p>
    <w:p w14:paraId="6CA6AB9D">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（5）投标人未能按照招标文件规定的要求提交投标保证金的；</w:t>
      </w:r>
    </w:p>
    <w:p w14:paraId="20EB0FCB">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（6）投标联合体没有提交共同投标协议的；</w:t>
      </w:r>
    </w:p>
    <w:p w14:paraId="6EC9E7C8">
      <w:pPr>
        <w:pageBreakBefore w:val="0"/>
        <w:wordWrap/>
        <w:topLinePunct w:val="0"/>
        <w:bidi w:val="0"/>
        <w:spacing w:line="430" w:lineRule="exact"/>
        <w:ind w:firstLine="420"/>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rPr>
        <w:t>（7）投标人不符合国家、自治区或者招标文件规定的资格条件（投标人资格审查未通过）的；</w:t>
      </w:r>
      <w:r>
        <w:rPr>
          <w:rFonts w:hint="eastAsia" w:ascii="宋体" w:hAnsi="宋体" w:cs="宋体"/>
          <w:sz w:val="24"/>
          <w:szCs w:val="24"/>
          <w:lang w:val="en-US" w:eastAsia="zh-CN"/>
        </w:rPr>
        <w:tab/>
      </w:r>
      <w:r>
        <w:rPr>
          <w:rFonts w:hint="eastAsia" w:ascii="宋体" w:hAnsi="宋体" w:cs="宋体"/>
          <w:sz w:val="24"/>
          <w:szCs w:val="24"/>
          <w:lang w:val="en-US" w:eastAsia="zh-CN"/>
        </w:rPr>
        <w:tab/>
      </w:r>
    </w:p>
    <w:p w14:paraId="3D31FB32">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（8）投标报价高于招标文件设定的最高投标限价的；</w:t>
      </w:r>
    </w:p>
    <w:p w14:paraId="1A8A68D5">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9）评标委员会判断投标人的投标报价是否低于其成本，所参考的评审依据包括：（1、招标文件；（2、招标控制价（如果有）；（3、施工组织设计；（4、投标人已标价的工程量清单；（5、工程所在地工程造价管理部门颁布的工程造价信息（如果有）；（6、工程所在地市场价格水平；（7、工程所在地工程造价管理部门颁布的定额或投标人企业定额；（8、经审计的企业近三年财务报表；（9、投标人所附其他证明资料；（10、工程所在地工程造价管理部门关于印发《乌兰察布市建设工程造价管理办法》(修订版)的通知（乌政办字【2016】220号）及相关的地方法律法规；（11、法律法规允许的和招标文件规定的参考依据等。 </w:t>
      </w:r>
    </w:p>
    <w:p w14:paraId="2549EDCA">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（10）投标文件没有对招标文件的实质性要求和条件作出响应的；</w:t>
      </w:r>
    </w:p>
    <w:p w14:paraId="3B00ED18">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（11）投标人有串通投标、弄虚作假、行贿等违法行为的；</w:t>
      </w:r>
    </w:p>
    <w:p w14:paraId="621415AD">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（12）其他不符合有关法律、法规规定情形的。</w:t>
      </w:r>
    </w:p>
    <w:p w14:paraId="0D14E862">
      <w:pPr>
        <w:pageBreakBefore w:val="0"/>
        <w:wordWrap/>
        <w:topLinePunct w:val="0"/>
        <w:bidi w:val="0"/>
        <w:spacing w:before="0" w:after="0" w:line="430" w:lineRule="exact"/>
        <w:textAlignment w:val="auto"/>
        <w:outlineLvl w:val="9"/>
        <w:rPr>
          <w:rFonts w:hint="eastAsia" w:ascii="宋体" w:hAnsi="宋体" w:eastAsia="宋体" w:cs="宋体"/>
          <w:b/>
          <w:bCs/>
          <w:sz w:val="24"/>
          <w:szCs w:val="24"/>
        </w:rPr>
      </w:pPr>
      <w:bookmarkStart w:id="38" w:name="_Toc5098"/>
      <w:bookmarkStart w:id="39" w:name="_Toc834"/>
      <w:bookmarkStart w:id="40" w:name="_Toc10629"/>
      <w:bookmarkStart w:id="41" w:name="_Toc4799"/>
      <w:bookmarkStart w:id="42" w:name="_Toc5723"/>
      <w:r>
        <w:rPr>
          <w:rFonts w:hint="eastAsia" w:ascii="宋体" w:hAnsi="宋体" w:eastAsia="宋体" w:cs="宋体"/>
          <w:b/>
          <w:bCs/>
          <w:sz w:val="24"/>
          <w:szCs w:val="24"/>
        </w:rPr>
        <w:t>6、评标</w:t>
      </w:r>
      <w:bookmarkEnd w:id="38"/>
      <w:bookmarkEnd w:id="39"/>
      <w:bookmarkEnd w:id="40"/>
      <w:bookmarkEnd w:id="41"/>
      <w:bookmarkEnd w:id="42"/>
    </w:p>
    <w:p w14:paraId="14214C6A">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6.1评标委员会：</w:t>
      </w:r>
    </w:p>
    <w:p w14:paraId="7E824576">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6.1.1评标由招标人依法组建的评标委员会负责。评标委员会</w:t>
      </w:r>
      <w:r>
        <w:rPr>
          <w:rFonts w:hint="eastAsia" w:ascii="宋体" w:hAnsi="宋体" w:eastAsia="宋体" w:cs="宋体"/>
          <w:sz w:val="24"/>
          <w:szCs w:val="24"/>
        </w:rPr>
        <w:t>由招标人代表和公共资源交易中心评标专家库随机抽取的经济、技术专家组成</w:t>
      </w:r>
      <w:r>
        <w:rPr>
          <w:rFonts w:hint="eastAsia" w:ascii="宋体" w:hAnsi="宋体" w:eastAsia="宋体" w:cs="宋体"/>
          <w:kern w:val="0"/>
          <w:sz w:val="24"/>
          <w:szCs w:val="24"/>
        </w:rPr>
        <w:t>。评标委员会成员人数以及技术、经济等方面专家的确定方式见投标人须知前附表。</w:t>
      </w:r>
    </w:p>
    <w:p w14:paraId="5CFD3179">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6.1.2评标委员会成员有下列情形之一的，应当回避：</w:t>
      </w:r>
    </w:p>
    <w:p w14:paraId="1D20823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（1）投标人或投标人的主要负责人的近亲属；</w:t>
      </w:r>
    </w:p>
    <w:p w14:paraId="2BC0B8F2">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（2）项目主管部门或者行政监督部门的人员；</w:t>
      </w:r>
    </w:p>
    <w:p w14:paraId="1C711304">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（3）与投标人有经济利益关系，可能影响对投标公正评审的；</w:t>
      </w:r>
    </w:p>
    <w:p w14:paraId="6541BBAD">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（4）曾因在招标、评标以及其他与招标投标有关活动中从事违法行为而受过行政处罚或刑事处罚的。</w:t>
      </w:r>
    </w:p>
    <w:p w14:paraId="5E5253C6">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6.2评标原则：评标活动遵循公平、公正、科学和择优的原则。</w:t>
      </w:r>
    </w:p>
    <w:p w14:paraId="54FE0353">
      <w:pPr>
        <w:pageBreakBefore w:val="0"/>
        <w:wordWrap/>
        <w:topLinePunct w:val="0"/>
        <w:bidi w:val="0"/>
        <w:spacing w:line="430" w:lineRule="exact"/>
        <w:ind w:firstLine="420"/>
        <w:textAlignment w:val="auto"/>
        <w:outlineLvl w:val="9"/>
        <w:rPr>
          <w:rFonts w:hint="eastAsia" w:ascii="宋体" w:hAnsi="宋体" w:eastAsia="宋体" w:cs="宋体"/>
          <w:spacing w:val="-2"/>
          <w:kern w:val="0"/>
          <w:sz w:val="24"/>
          <w:szCs w:val="24"/>
        </w:rPr>
      </w:pPr>
      <w:r>
        <w:rPr>
          <w:rFonts w:hint="eastAsia" w:ascii="宋体" w:hAnsi="宋体" w:eastAsia="宋体" w:cs="宋体"/>
          <w:kern w:val="0"/>
          <w:sz w:val="24"/>
          <w:szCs w:val="24"/>
        </w:rPr>
        <w:t>6.3</w:t>
      </w:r>
      <w:r>
        <w:rPr>
          <w:rFonts w:hint="eastAsia" w:ascii="宋体" w:hAnsi="宋体" w:eastAsia="宋体" w:cs="宋体"/>
          <w:spacing w:val="-2"/>
          <w:kern w:val="0"/>
          <w:sz w:val="24"/>
          <w:szCs w:val="24"/>
        </w:rPr>
        <w:t>评标：评标委员会按照第三章“评标办法”规定的方法、评审因素、标准和程序对投标文件进行评审。第三章“评标办法”没有规定的方法、评审因素和标准，不作为评标依据。</w:t>
      </w:r>
    </w:p>
    <w:p w14:paraId="10D69CAE">
      <w:pPr>
        <w:pageBreakBefore w:val="0"/>
        <w:wordWrap/>
        <w:topLinePunct w:val="0"/>
        <w:bidi w:val="0"/>
        <w:spacing w:before="0" w:after="0" w:line="430" w:lineRule="exact"/>
        <w:textAlignment w:val="auto"/>
        <w:outlineLvl w:val="9"/>
        <w:rPr>
          <w:rFonts w:hint="eastAsia" w:ascii="宋体" w:hAnsi="宋体" w:eastAsia="宋体" w:cs="宋体"/>
          <w:b/>
          <w:bCs/>
          <w:kern w:val="0"/>
          <w:sz w:val="24"/>
          <w:szCs w:val="24"/>
        </w:rPr>
      </w:pPr>
      <w:bookmarkStart w:id="43" w:name="_Toc4685"/>
      <w:bookmarkStart w:id="44" w:name="_Toc15380"/>
      <w:bookmarkStart w:id="45" w:name="_Toc23424"/>
      <w:bookmarkStart w:id="46" w:name="_Toc30081"/>
      <w:bookmarkStart w:id="47" w:name="_Toc20477"/>
      <w:r>
        <w:rPr>
          <w:rFonts w:hint="eastAsia" w:ascii="宋体" w:hAnsi="宋体" w:eastAsia="宋体" w:cs="宋体"/>
          <w:b/>
          <w:bCs/>
          <w:sz w:val="24"/>
          <w:szCs w:val="24"/>
        </w:rPr>
        <w:t>7、合同授予</w:t>
      </w:r>
      <w:bookmarkEnd w:id="43"/>
      <w:bookmarkEnd w:id="44"/>
      <w:bookmarkEnd w:id="45"/>
      <w:bookmarkEnd w:id="46"/>
      <w:bookmarkEnd w:id="47"/>
    </w:p>
    <w:p w14:paraId="02B7761C">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7.1定标方式：除投标人须知前附表规定评标委员会直接确定中标人外，招标人依据评标委员会推荐的中标候选人确定中标人，评标委员会推荐中标候选人的人数见投标人须知前附表。</w:t>
      </w:r>
    </w:p>
    <w:p w14:paraId="5DDF9C75">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7.2中标通知：在第二章第3.3款规定的投标有效期内，招标人以书面形式向中标人发出中标通知书，同时将中标结果通知未中标的投标人。</w:t>
      </w:r>
    </w:p>
    <w:p w14:paraId="07A72EA5">
      <w:pPr>
        <w:pageBreakBefore w:val="0"/>
        <w:wordWrap/>
        <w:topLinePunct w:val="0"/>
        <w:bidi w:val="0"/>
        <w:spacing w:line="430" w:lineRule="exact"/>
        <w:ind w:firstLine="412"/>
        <w:textAlignment w:val="auto"/>
        <w:outlineLvl w:val="9"/>
        <w:rPr>
          <w:rFonts w:hint="eastAsia" w:ascii="宋体" w:hAnsi="宋体" w:eastAsia="宋体" w:cs="宋体"/>
          <w:spacing w:val="-2"/>
          <w:sz w:val="24"/>
          <w:szCs w:val="24"/>
        </w:rPr>
      </w:pPr>
      <w:r>
        <w:rPr>
          <w:rFonts w:hint="eastAsia" w:ascii="宋体" w:hAnsi="宋体" w:eastAsia="宋体" w:cs="宋体"/>
          <w:spacing w:val="-2"/>
          <w:sz w:val="24"/>
          <w:szCs w:val="24"/>
        </w:rPr>
        <w:t>7.3公示与投诉</w:t>
      </w:r>
    </w:p>
    <w:p w14:paraId="31942824">
      <w:pPr>
        <w:pageBreakBefore w:val="0"/>
        <w:wordWrap/>
        <w:topLinePunct w:val="0"/>
        <w:bidi w:val="0"/>
        <w:spacing w:line="430" w:lineRule="exact"/>
        <w:ind w:firstLine="412"/>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7.3.1招标人应当自收到评标报告之日起3日内公示中标候选人，公示期不得少于3日</w:t>
      </w:r>
      <w:r>
        <w:rPr>
          <w:rFonts w:hint="eastAsia" w:ascii="宋体" w:hAnsi="宋体" w:eastAsia="宋体" w:cs="宋体"/>
          <w:sz w:val="24"/>
          <w:szCs w:val="24"/>
        </w:rPr>
        <w:t>。</w:t>
      </w:r>
    </w:p>
    <w:p w14:paraId="1EF5234E">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7.3.2公示媒介：</w:t>
      </w:r>
    </w:p>
    <w:p w14:paraId="6E4F679F">
      <w:pPr>
        <w:pageBreakBefore w:val="0"/>
        <w:kinsoku w:val="0"/>
        <w:wordWrap/>
        <w:overflowPunct w:val="0"/>
        <w:topLinePunct w:val="0"/>
        <w:autoSpaceDE w:val="0"/>
        <w:autoSpaceDN w:val="0"/>
        <w:bidi w:val="0"/>
        <w:adjustRightInd w:val="0"/>
        <w:snapToGrid w:val="0"/>
        <w:spacing w:line="43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同时在内蒙古自治区公共资源交易网（http://ggzyjy.nmg.gov.cn）、</w:t>
      </w:r>
    </w:p>
    <w:p w14:paraId="129E9B75">
      <w:pPr>
        <w:pageBreakBefore w:val="0"/>
        <w:kinsoku w:val="0"/>
        <w:wordWrap/>
        <w:overflowPunct w:val="0"/>
        <w:topLinePunct w:val="0"/>
        <w:autoSpaceDE w:val="0"/>
        <w:autoSpaceDN w:val="0"/>
        <w:bidi w:val="0"/>
        <w:adjustRightInd w:val="0"/>
        <w:snapToGrid w:val="0"/>
        <w:spacing w:line="43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中国招标投标公共服务平台（http://www.cebpubservice.com）、</w:t>
      </w:r>
    </w:p>
    <w:p w14:paraId="46988E80">
      <w:pPr>
        <w:pageBreakBefore w:val="0"/>
        <w:kinsoku w:val="0"/>
        <w:wordWrap/>
        <w:overflowPunct w:val="0"/>
        <w:topLinePunct w:val="0"/>
        <w:autoSpaceDE w:val="0"/>
        <w:autoSpaceDN w:val="0"/>
        <w:bidi w:val="0"/>
        <w:adjustRightInd w:val="0"/>
        <w:snapToGrid w:val="0"/>
        <w:spacing w:line="43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内蒙古招标投标公共服务平台（http://www.nmgztb.com.cn）上发布。</w:t>
      </w:r>
    </w:p>
    <w:p w14:paraId="568AF668">
      <w:pPr>
        <w:keepNext w:val="0"/>
        <w:keepLines w:val="0"/>
        <w:pageBreakBefore w:val="0"/>
        <w:widowControl w:val="0"/>
        <w:kinsoku/>
        <w:wordWrap/>
        <w:overflowPunct w:val="0"/>
        <w:topLinePunct w:val="0"/>
        <w:autoSpaceDE w:val="0"/>
        <w:autoSpaceDN w:val="0"/>
        <w:bidi w:val="0"/>
        <w:adjustRightInd w:val="0"/>
        <w:snapToGrid w:val="0"/>
        <w:spacing w:line="43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7.3.</w:t>
      </w:r>
      <w:r>
        <w:rPr>
          <w:rFonts w:hint="eastAsia" w:ascii="宋体" w:hAnsi="宋体" w:eastAsia="宋体" w:cs="宋体"/>
          <w:spacing w:val="-2"/>
          <w:sz w:val="24"/>
          <w:szCs w:val="24"/>
        </w:rPr>
        <w:t>3投标人如对中标公示内容产生异议，应当在中标候选人公示期间先向招标人提出。招标人应当自收到异议之日起3日内作出答复，若投标人对招标人的答复不满意，可以</w:t>
      </w:r>
      <w:r>
        <w:rPr>
          <w:rFonts w:hint="eastAsia" w:ascii="宋体" w:hAnsi="宋体" w:eastAsia="宋体" w:cs="宋体"/>
          <w:sz w:val="24"/>
          <w:szCs w:val="24"/>
        </w:rPr>
        <w:t>自知道或者应当知道其权益受到侵害之日起十日内</w:t>
      </w:r>
      <w:r>
        <w:rPr>
          <w:rFonts w:hint="eastAsia" w:ascii="宋体" w:hAnsi="宋体" w:eastAsia="宋体" w:cs="宋体"/>
          <w:spacing w:val="-2"/>
          <w:sz w:val="24"/>
          <w:szCs w:val="24"/>
        </w:rPr>
        <w:t>向有关行政监督部门</w:t>
      </w:r>
      <w:r>
        <w:rPr>
          <w:rFonts w:hint="eastAsia" w:ascii="宋体" w:hAnsi="宋体" w:eastAsia="宋体" w:cs="宋体"/>
          <w:sz w:val="24"/>
          <w:szCs w:val="24"/>
        </w:rPr>
        <w:t>提出书面投诉</w:t>
      </w:r>
      <w:r>
        <w:rPr>
          <w:rFonts w:hint="eastAsia" w:ascii="宋体" w:hAnsi="宋体" w:eastAsia="宋体" w:cs="宋体"/>
          <w:spacing w:val="-2"/>
          <w:sz w:val="24"/>
          <w:szCs w:val="24"/>
        </w:rPr>
        <w:t>，投诉书应当包括下列内容：</w:t>
      </w:r>
    </w:p>
    <w:p w14:paraId="2AEAAD55">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（1）投诉人的名称、地址及有效联系方式；</w:t>
      </w:r>
    </w:p>
    <w:p w14:paraId="1C608C23">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（2）被投诉人的名称、地址及有效联系方式；</w:t>
      </w:r>
    </w:p>
    <w:p w14:paraId="3458D36B">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（3）投诉事项的基本事实；</w:t>
      </w:r>
    </w:p>
    <w:p w14:paraId="2DC042A3">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（4）相关请求及主张；</w:t>
      </w:r>
    </w:p>
    <w:p w14:paraId="7F32587A">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（5）有效线索和相关证明材料。</w:t>
      </w:r>
    </w:p>
    <w:p w14:paraId="24EBCB2F">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7.3.4投诉人是法人的，投诉书必须由其法定代表人或者授权代表签字；其他组织或者个人投诉的，投诉书必须由其主要负责人或者投诉人本人签字，并附有效身份证明复印件。</w:t>
      </w:r>
    </w:p>
    <w:p w14:paraId="7B34E1DA">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7.3.5招投标行政监督部门自收到投诉书之日起3个工作日内进行审查，视情况分别做出以下处理决定。</w:t>
      </w:r>
    </w:p>
    <w:p w14:paraId="553155D2">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（1）不符合投诉处理条件的，决定不予受理，并将不予受理的理由书面告知投诉人；</w:t>
      </w:r>
    </w:p>
    <w:p w14:paraId="1819099B">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（2）对符合投诉处理条件，但不属于本部门受理的投诉，书面告知投诉人向其他行政监督部门提出投诉；</w:t>
      </w:r>
    </w:p>
    <w:p w14:paraId="0659B37D">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（3）对于符合投诉处理条件并决定受理的，收到投诉书之日即为正式受理。</w:t>
      </w:r>
    </w:p>
    <w:p w14:paraId="7D67149B">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7.3.6有下列情形之一的投诉，不予受理：</w:t>
      </w:r>
    </w:p>
    <w:p w14:paraId="543C0BFF">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（1）投诉人不是所投诉招标投标活动的参与者，或者与投诉项目无任何利害关系；</w:t>
      </w:r>
    </w:p>
    <w:p w14:paraId="464DF0B0">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（2）投诉事项不具体，且未提供有效线索，难以查证的；</w:t>
      </w:r>
    </w:p>
    <w:p w14:paraId="119F3DE5">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（3）投诉书未署具投诉人真实姓名、签字和有效联系方式的；以法人名义投诉的，投诉书未经法定代表人签字并加盖公章的；</w:t>
      </w:r>
    </w:p>
    <w:p w14:paraId="2E85500D">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（4）超过投诉时效的；</w:t>
      </w:r>
    </w:p>
    <w:p w14:paraId="541B1879">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（5）已经做出处理决定，并且投诉人没有提出新的证据；</w:t>
      </w:r>
    </w:p>
    <w:p w14:paraId="18468866">
      <w:pPr>
        <w:pageBreakBefore w:val="0"/>
        <w:wordWrap/>
        <w:topLinePunct w:val="0"/>
        <w:bidi w:val="0"/>
        <w:spacing w:line="430" w:lineRule="exact"/>
        <w:ind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（6）投诉事项已进入行政复议或者行政诉讼程序的。</w:t>
      </w:r>
    </w:p>
    <w:p w14:paraId="204FE490">
      <w:pPr>
        <w:pageBreakBefore w:val="0"/>
        <w:wordWrap/>
        <w:topLinePunct w:val="0"/>
        <w:bidi w:val="0"/>
        <w:spacing w:line="430" w:lineRule="exact"/>
        <w:ind w:firstLine="420"/>
        <w:textAlignment w:val="auto"/>
        <w:outlineLvl w:val="9"/>
        <w:rPr>
          <w:rFonts w:hint="eastAsia" w:ascii="宋体" w:hAnsi="宋体" w:eastAsia="宋体" w:cs="宋体"/>
          <w:b/>
          <w:bCs/>
          <w:sz w:val="24"/>
          <w:szCs w:val="24"/>
        </w:rPr>
      </w:pPr>
      <w:r>
        <w:rPr>
          <w:rFonts w:hint="eastAsia" w:ascii="宋体" w:hAnsi="宋体" w:eastAsia="宋体" w:cs="宋体"/>
          <w:bCs/>
          <w:sz w:val="24"/>
          <w:szCs w:val="24"/>
        </w:rPr>
        <w:t>7.3.7</w:t>
      </w:r>
      <w:r>
        <w:rPr>
          <w:rFonts w:hint="eastAsia" w:ascii="宋体" w:hAnsi="宋体" w:eastAsia="宋体" w:cs="宋体"/>
          <w:sz w:val="24"/>
          <w:szCs w:val="24"/>
        </w:rPr>
        <w:t>对情况复杂、涉及面广的重大投诉事项，有权受理投诉的行政监督部门可以会同其他有关的行政监督部门进行联合调查，共同研究后由受理部门做出处理决定。</w:t>
      </w:r>
    </w:p>
    <w:p w14:paraId="0FB10A6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bCs/>
          <w:sz w:val="24"/>
          <w:szCs w:val="24"/>
        </w:rPr>
        <w:t>7.3.8</w:t>
      </w:r>
      <w:r>
        <w:rPr>
          <w:rFonts w:hint="eastAsia" w:ascii="宋体" w:hAnsi="宋体" w:eastAsia="宋体" w:cs="宋体"/>
          <w:sz w:val="24"/>
          <w:szCs w:val="24"/>
        </w:rPr>
        <w:t>负责受理投诉的行政监督部门应当自受理投诉之日起三十日内，对投诉事项做出处理决定，并以书面形式通知投诉人、被投诉人和其他与投诉处理结果有关的当事人。</w:t>
      </w:r>
    </w:p>
    <w:p w14:paraId="134F4FC6">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7.4履约保证金：见投标人须知前附表。</w:t>
      </w:r>
    </w:p>
    <w:p w14:paraId="13C0D18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7.5签订合同：</w:t>
      </w:r>
    </w:p>
    <w:p w14:paraId="0D9FFC32">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7.5.1招标人和中标人应当在投标有效期内以及中标通知书发出之日起30日之内，根据招标文件和中标人的投标文件订立书面合同。中标人无正当理由不与招标人订立合同，在签订合同时向招标人提出附加条件，或者不按照招标文件要求提交履约保证金的，取消其中标资格，投标保证金不予退还；给招标人造成的损失超过投标保证金数额的，中标人还应当对超过部分予以赔偿。</w:t>
      </w:r>
    </w:p>
    <w:p w14:paraId="56114462">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7.5.2发出中标通知书后，招标人无正当理由拒签合同的，招标人向中标人退还投标保证金；给中标人造成损失的，还应当赔偿损失。</w:t>
      </w:r>
    </w:p>
    <w:p w14:paraId="1C0015F5">
      <w:pPr>
        <w:pageBreakBefore w:val="0"/>
        <w:wordWrap/>
        <w:topLinePunct w:val="0"/>
        <w:bidi w:val="0"/>
        <w:spacing w:before="0" w:after="0" w:line="430" w:lineRule="exact"/>
        <w:textAlignment w:val="auto"/>
        <w:outlineLvl w:val="9"/>
        <w:rPr>
          <w:rFonts w:hint="eastAsia" w:ascii="宋体" w:hAnsi="宋体" w:eastAsia="宋体" w:cs="宋体"/>
          <w:b/>
          <w:bCs/>
          <w:sz w:val="24"/>
          <w:szCs w:val="24"/>
        </w:rPr>
      </w:pPr>
      <w:bookmarkStart w:id="48" w:name="_Toc14624"/>
      <w:bookmarkStart w:id="49" w:name="_Toc32699"/>
      <w:bookmarkStart w:id="50" w:name="_Toc13920"/>
      <w:bookmarkStart w:id="51" w:name="_Toc31647"/>
      <w:bookmarkStart w:id="52" w:name="_Toc24328"/>
      <w:r>
        <w:rPr>
          <w:rFonts w:hint="eastAsia" w:ascii="宋体" w:hAnsi="宋体" w:eastAsia="宋体" w:cs="宋体"/>
          <w:b/>
          <w:bCs/>
          <w:sz w:val="24"/>
          <w:szCs w:val="24"/>
        </w:rPr>
        <w:t>8、重新招标和不再招标</w:t>
      </w:r>
      <w:bookmarkEnd w:id="48"/>
      <w:bookmarkEnd w:id="49"/>
      <w:bookmarkEnd w:id="50"/>
      <w:bookmarkEnd w:id="51"/>
      <w:bookmarkEnd w:id="52"/>
    </w:p>
    <w:p w14:paraId="5D1AE62B">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8.1重新招标：</w:t>
      </w:r>
    </w:p>
    <w:p w14:paraId="23098171">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有下列情形之一的，招标人将重新招标：</w:t>
      </w:r>
    </w:p>
    <w:p w14:paraId="12FAE089">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（1）投标截止时间止，投标人少于3个的；</w:t>
      </w:r>
    </w:p>
    <w:p w14:paraId="57689E1E">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（2）经评标委员会评审后否决所有投标的。</w:t>
      </w:r>
    </w:p>
    <w:p w14:paraId="64BF31D5">
      <w:pPr>
        <w:pageBreakBefore w:val="0"/>
        <w:wordWrap/>
        <w:topLinePunct w:val="0"/>
        <w:bidi w:val="0"/>
        <w:spacing w:line="430" w:lineRule="exact"/>
        <w:ind w:firstLine="480" w:firstLineChars="20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8.2不再招标：重新招标后投标人仍少于3个或者所有投标被否决的，属于必须审批或核准的工程建设项目，经原审批或核准部门批准后不再进行招标。</w:t>
      </w:r>
    </w:p>
    <w:p w14:paraId="17552781">
      <w:pPr>
        <w:pageBreakBefore w:val="0"/>
        <w:wordWrap/>
        <w:topLinePunct w:val="0"/>
        <w:bidi w:val="0"/>
        <w:spacing w:before="0" w:after="0" w:line="430" w:lineRule="exact"/>
        <w:textAlignment w:val="auto"/>
        <w:outlineLvl w:val="9"/>
        <w:rPr>
          <w:rFonts w:hint="eastAsia" w:ascii="宋体" w:hAnsi="宋体" w:eastAsia="宋体" w:cs="宋体"/>
          <w:b/>
          <w:bCs/>
          <w:sz w:val="24"/>
          <w:szCs w:val="24"/>
        </w:rPr>
      </w:pPr>
      <w:bookmarkStart w:id="53" w:name="_Toc89"/>
      <w:bookmarkStart w:id="54" w:name="_Toc25605"/>
      <w:bookmarkStart w:id="55" w:name="_Toc9938"/>
      <w:bookmarkStart w:id="56" w:name="_Toc32010"/>
      <w:bookmarkStart w:id="57" w:name="_Toc26720"/>
      <w:r>
        <w:rPr>
          <w:rFonts w:hint="eastAsia" w:ascii="宋体" w:hAnsi="宋体" w:eastAsia="宋体" w:cs="宋体"/>
          <w:b/>
          <w:bCs/>
          <w:sz w:val="24"/>
          <w:szCs w:val="24"/>
        </w:rPr>
        <w:t>9、纪律和监督</w:t>
      </w:r>
      <w:bookmarkEnd w:id="53"/>
      <w:bookmarkEnd w:id="54"/>
      <w:bookmarkEnd w:id="55"/>
      <w:bookmarkEnd w:id="56"/>
      <w:bookmarkEnd w:id="57"/>
    </w:p>
    <w:p w14:paraId="54CB778C">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9.1对招标人的纪律要求：招标人不得泄漏招标投标活动中应当保密的情况和资料，不得与投标人串通损害国家利益、社会公共利益或者他人合法权益。</w:t>
      </w:r>
    </w:p>
    <w:p w14:paraId="48B7B2CB">
      <w:pPr>
        <w:pageBreakBefore w:val="0"/>
        <w:wordWrap/>
        <w:topLinePunct w:val="0"/>
        <w:bidi w:val="0"/>
        <w:spacing w:line="430" w:lineRule="exact"/>
        <w:ind w:firstLine="420"/>
        <w:textAlignment w:val="auto"/>
        <w:outlineLvl w:val="9"/>
        <w:rPr>
          <w:rFonts w:hint="eastAsia" w:ascii="宋体" w:hAnsi="宋体" w:eastAsia="宋体" w:cs="宋体"/>
          <w:bCs/>
          <w:sz w:val="24"/>
          <w:szCs w:val="24"/>
        </w:rPr>
      </w:pPr>
      <w:r>
        <w:rPr>
          <w:rFonts w:hint="eastAsia" w:ascii="宋体" w:hAnsi="宋体" w:eastAsia="宋体" w:cs="宋体"/>
          <w:kern w:val="0"/>
          <w:sz w:val="24"/>
          <w:szCs w:val="24"/>
        </w:rPr>
        <w:t>9.2对投标人的纪律要求：投标人不得相互串通投标或者与招标人串通投标，不得向招标人或者评标委员会成员行贿谋取中标，不得以他人名义投标或者以其他方式弄虚作假骗取中标；投标人不得以任何方式干扰、影响评标工作。</w:t>
      </w:r>
    </w:p>
    <w:p w14:paraId="3A0EB4A7">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9.3对评标委员会成员的纪律要求：评标委员会成员不得收受他人的财物或者其他好处，不得向他人</w:t>
      </w:r>
      <w:r>
        <w:rPr>
          <w:rFonts w:hint="eastAsia" w:ascii="宋体" w:hAnsi="宋体" w:cs="宋体"/>
          <w:kern w:val="0"/>
          <w:sz w:val="24"/>
          <w:szCs w:val="24"/>
          <w:lang w:val="en-US" w:eastAsia="zh-CN"/>
        </w:rPr>
        <w:t>透露</w:t>
      </w:r>
      <w:r>
        <w:rPr>
          <w:rFonts w:hint="eastAsia" w:ascii="宋体" w:hAnsi="宋体" w:eastAsia="宋体" w:cs="宋体"/>
          <w:kern w:val="0"/>
          <w:sz w:val="24"/>
          <w:szCs w:val="24"/>
        </w:rPr>
        <w:t>对投标文件的评审和比较、中标候选人的推荐情况以及评标有关的其他情况。在评标活动中，评标委员会成员不得擅离职守，影响评标程序正常进行，不得使用第</w:t>
      </w:r>
      <w:r>
        <w:rPr>
          <w:rFonts w:hint="eastAsia" w:ascii="宋体" w:hAnsi="宋体" w:cs="宋体"/>
          <w:kern w:val="0"/>
          <w:sz w:val="24"/>
          <w:szCs w:val="24"/>
          <w:lang w:val="en-US" w:eastAsia="zh-CN"/>
        </w:rPr>
        <w:t>三</w:t>
      </w:r>
      <w:r>
        <w:rPr>
          <w:rFonts w:hint="eastAsia" w:ascii="宋体" w:hAnsi="宋体" w:eastAsia="宋体" w:cs="宋体"/>
          <w:kern w:val="0"/>
          <w:sz w:val="24"/>
          <w:szCs w:val="24"/>
        </w:rPr>
        <w:t>章"评标办法"没有规定的评审因素和标准进行评标。</w:t>
      </w:r>
    </w:p>
    <w:p w14:paraId="33746DF9">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9.4对与评标活动有关的工作人员的纪律要求：与评标活动有关的工作人员不得收受他人的财物或者其他好处，不得向他人</w:t>
      </w:r>
      <w:r>
        <w:rPr>
          <w:rFonts w:hint="eastAsia" w:ascii="宋体" w:hAnsi="宋体" w:cs="宋体"/>
          <w:kern w:val="0"/>
          <w:sz w:val="24"/>
          <w:szCs w:val="24"/>
          <w:lang w:val="en-US" w:eastAsia="zh-CN"/>
        </w:rPr>
        <w:t>透露</w:t>
      </w:r>
      <w:r>
        <w:rPr>
          <w:rFonts w:hint="eastAsia" w:ascii="宋体" w:hAnsi="宋体" w:eastAsia="宋体" w:cs="宋体"/>
          <w:kern w:val="0"/>
          <w:sz w:val="24"/>
          <w:szCs w:val="24"/>
        </w:rPr>
        <w:t>对投标文件的评审和比较、中标候选人的推荐情况以及评标有关的其他情况。在评标活动中，与评标活动有关的工作人员不得擅离职守，影响评标程序正常进行。</w:t>
      </w:r>
    </w:p>
    <w:p w14:paraId="49AFA0D2">
      <w:pPr>
        <w:pageBreakBefore w:val="0"/>
        <w:wordWrap/>
        <w:topLinePunct w:val="0"/>
        <w:bidi w:val="0"/>
        <w:spacing w:line="430" w:lineRule="exact"/>
        <w:ind w:firstLine="42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9.5投诉：投标人和其他利害关系人认为本次招标活动违反法律、法规和规章规定的，有权向有关行政监督部门投诉。</w:t>
      </w:r>
    </w:p>
    <w:p w14:paraId="425B6948">
      <w:pPr>
        <w:pageBreakBefore w:val="0"/>
        <w:wordWrap/>
        <w:topLinePunct w:val="0"/>
        <w:bidi w:val="0"/>
        <w:spacing w:before="0" w:after="0" w:line="430" w:lineRule="exact"/>
        <w:textAlignment w:val="auto"/>
        <w:outlineLvl w:val="9"/>
        <w:rPr>
          <w:rFonts w:hint="eastAsia" w:ascii="宋体" w:hAnsi="宋体" w:eastAsia="宋体" w:cs="宋体"/>
          <w:b/>
          <w:bCs/>
          <w:kern w:val="0"/>
          <w:sz w:val="24"/>
          <w:szCs w:val="24"/>
        </w:rPr>
      </w:pPr>
      <w:bookmarkStart w:id="58" w:name="_Toc21742"/>
      <w:bookmarkStart w:id="59" w:name="_Toc1920"/>
      <w:bookmarkStart w:id="60" w:name="_Toc16990"/>
      <w:bookmarkStart w:id="61" w:name="_Toc13622"/>
      <w:bookmarkStart w:id="62" w:name="_Toc29919"/>
      <w:r>
        <w:rPr>
          <w:rFonts w:hint="eastAsia" w:ascii="宋体" w:hAnsi="宋体" w:eastAsia="宋体" w:cs="宋体"/>
          <w:b/>
          <w:bCs/>
          <w:sz w:val="24"/>
          <w:szCs w:val="24"/>
        </w:rPr>
        <w:t>10、要补充的其他内容</w:t>
      </w:r>
      <w:bookmarkEnd w:id="58"/>
      <w:bookmarkEnd w:id="59"/>
      <w:bookmarkEnd w:id="60"/>
      <w:bookmarkEnd w:id="61"/>
      <w:bookmarkEnd w:id="62"/>
    </w:p>
    <w:p w14:paraId="323343B1">
      <w:pPr>
        <w:pageBreakBefore w:val="0"/>
        <w:widowControl/>
        <w:wordWrap/>
        <w:topLinePunct w:val="0"/>
        <w:bidi w:val="0"/>
        <w:spacing w:line="430" w:lineRule="exact"/>
        <w:ind w:firstLine="480" w:firstLineChars="200"/>
        <w:textAlignment w:val="auto"/>
        <w:outlineLvl w:val="9"/>
        <w:rPr>
          <w:rFonts w:ascii="宋体" w:hAnsi="宋体" w:cs="宋体"/>
          <w:sz w:val="24"/>
          <w:szCs w:val="28"/>
        </w:rPr>
      </w:pPr>
      <w:r>
        <w:rPr>
          <w:rFonts w:hint="eastAsia" w:ascii="宋体" w:hAnsi="宋体" w:eastAsia="宋体" w:cs="宋体"/>
          <w:kern w:val="0"/>
          <w:sz w:val="24"/>
          <w:szCs w:val="24"/>
        </w:rPr>
        <w:t>需要补充的其他内容：见投标人须知前附表。</w:t>
      </w:r>
      <w:r>
        <w:rPr>
          <w:rFonts w:hint="eastAsia" w:ascii="宋体" w:hAnsi="宋体" w:cs="宋体"/>
          <w:kern w:val="0"/>
          <w:sz w:val="24"/>
          <w:szCs w:val="24"/>
        </w:rPr>
        <w:t xml:space="preserve"> </w:t>
      </w:r>
    </w:p>
    <w:p w14:paraId="4C0B1C2B">
      <w:pPr>
        <w:pStyle w:val="2"/>
        <w:pageBreakBefore w:val="0"/>
        <w:numPr>
          <w:ilvl w:val="0"/>
          <w:numId w:val="5"/>
        </w:numPr>
        <w:kinsoku/>
        <w:wordWrap/>
        <w:overflowPunct/>
        <w:topLinePunct w:val="0"/>
        <w:autoSpaceDE/>
        <w:autoSpaceDN/>
        <w:bidi w:val="0"/>
        <w:adjustRightInd/>
        <w:spacing w:before="0" w:after="0" w:line="380" w:lineRule="exact"/>
        <w:ind w:firstLine="1928" w:firstLineChars="600"/>
        <w:textAlignment w:val="auto"/>
        <w:rPr>
          <w:rFonts w:ascii="宋体" w:hAnsi="宋体" w:cs="宋体"/>
        </w:rPr>
      </w:pPr>
      <w:bookmarkStart w:id="63" w:name="_Toc8339"/>
      <w:r>
        <w:rPr>
          <w:rFonts w:hint="eastAsia" w:ascii="宋体" w:hAnsi="宋体" w:cs="宋体"/>
        </w:rPr>
        <w:br w:type="column"/>
      </w:r>
      <w:r>
        <w:rPr>
          <w:rFonts w:hint="eastAsia" w:ascii="宋体" w:hAnsi="宋体" w:cs="宋体"/>
        </w:rPr>
        <w:t xml:space="preserve"> 评标办法（综合评估法）</w:t>
      </w:r>
      <w:bookmarkEnd w:id="63"/>
    </w:p>
    <w:p w14:paraId="498B357D">
      <w:pPr>
        <w:pStyle w:val="25"/>
        <w:pageBreakBefore w:val="0"/>
        <w:kinsoku/>
        <w:wordWrap/>
        <w:overflowPunct/>
        <w:topLinePunct w:val="0"/>
        <w:autoSpaceDE/>
        <w:autoSpaceDN/>
        <w:bidi w:val="0"/>
        <w:adjustRightInd/>
        <w:spacing w:line="380" w:lineRule="exact"/>
        <w:jc w:val="center"/>
        <w:textAlignment w:val="auto"/>
        <w:rPr>
          <w:rFonts w:ascii="宋体" w:hAnsi="宋体" w:cs="宋体"/>
        </w:rPr>
      </w:pPr>
      <w:bookmarkStart w:id="64" w:name="_Toc14142"/>
      <w:r>
        <w:rPr>
          <w:rFonts w:hint="eastAsia" w:ascii="宋体" w:hAnsi="宋体" w:cs="宋体"/>
        </w:rPr>
        <w:t>评标办法前附表</w:t>
      </w:r>
      <w:bookmarkEnd w:id="64"/>
    </w:p>
    <w:tbl>
      <w:tblPr>
        <w:tblStyle w:val="34"/>
        <w:tblW w:w="9958"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926"/>
        <w:gridCol w:w="766"/>
        <w:gridCol w:w="1242"/>
        <w:gridCol w:w="1718"/>
        <w:gridCol w:w="5306"/>
      </w:tblGrid>
      <w:tr w14:paraId="6034E9B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28" w:hRule="atLeast"/>
          <w:jc w:val="center"/>
        </w:trPr>
        <w:tc>
          <w:tcPr>
            <w:tcW w:w="2934" w:type="dxa"/>
            <w:gridSpan w:val="3"/>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E2A35C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b/>
                <w:bCs/>
                <w:sz w:val="24"/>
                <w:szCs w:val="24"/>
              </w:rPr>
            </w:pPr>
            <w:r>
              <w:rPr>
                <w:rFonts w:hint="eastAsia" w:ascii="宋体" w:hAnsi="宋体" w:cs="宋体"/>
                <w:b/>
                <w:bCs/>
                <w:sz w:val="24"/>
                <w:szCs w:val="24"/>
              </w:rPr>
              <w:t>条款号</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14A6A8F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b/>
                <w:bCs/>
                <w:sz w:val="24"/>
                <w:szCs w:val="24"/>
              </w:rPr>
            </w:pPr>
            <w:r>
              <w:rPr>
                <w:rFonts w:hint="eastAsia" w:ascii="宋体" w:hAnsi="宋体" w:cs="宋体"/>
                <w:b/>
                <w:bCs/>
                <w:sz w:val="24"/>
                <w:szCs w:val="24"/>
              </w:rPr>
              <w:t>评审因素</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867E59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b/>
                <w:bCs/>
                <w:sz w:val="24"/>
                <w:szCs w:val="24"/>
              </w:rPr>
            </w:pPr>
            <w:r>
              <w:rPr>
                <w:rFonts w:hint="eastAsia" w:ascii="宋体" w:hAnsi="宋体" w:cs="宋体"/>
                <w:b/>
                <w:bCs/>
                <w:sz w:val="24"/>
                <w:szCs w:val="24"/>
              </w:rPr>
              <w:t>评审标准</w:t>
            </w:r>
          </w:p>
        </w:tc>
      </w:tr>
      <w:tr w14:paraId="3282AD2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486" w:hRule="atLeast"/>
          <w:jc w:val="center"/>
        </w:trPr>
        <w:tc>
          <w:tcPr>
            <w:tcW w:w="926" w:type="dxa"/>
            <w:vMerge w:val="restart"/>
            <w:tcBorders>
              <w:top w:val="single" w:color="auto" w:sz="6" w:space="0"/>
              <w:left w:val="single" w:color="auto" w:sz="6" w:space="0"/>
              <w:right w:val="single" w:color="auto" w:sz="6" w:space="0"/>
            </w:tcBorders>
            <w:tcMar>
              <w:top w:w="113" w:type="dxa"/>
              <w:left w:w="113" w:type="dxa"/>
              <w:bottom w:w="0" w:type="dxa"/>
              <w:right w:w="113" w:type="dxa"/>
            </w:tcMar>
            <w:vAlign w:val="center"/>
          </w:tcPr>
          <w:p w14:paraId="20B0E6F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2.1.1</w:t>
            </w:r>
          </w:p>
        </w:tc>
        <w:tc>
          <w:tcPr>
            <w:tcW w:w="2008" w:type="dxa"/>
            <w:gridSpan w:val="2"/>
            <w:vMerge w:val="restart"/>
            <w:tcBorders>
              <w:top w:val="single" w:color="auto" w:sz="6" w:space="0"/>
              <w:left w:val="single" w:color="auto" w:sz="6" w:space="0"/>
              <w:right w:val="single" w:color="auto" w:sz="6" w:space="0"/>
            </w:tcBorders>
            <w:tcMar>
              <w:top w:w="113" w:type="dxa"/>
              <w:left w:w="113" w:type="dxa"/>
              <w:bottom w:w="0" w:type="dxa"/>
              <w:right w:w="113" w:type="dxa"/>
            </w:tcMar>
            <w:vAlign w:val="center"/>
          </w:tcPr>
          <w:p w14:paraId="599D83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形式评审标准</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357E33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投标人名称</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AB9DF1C">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r>
              <w:rPr>
                <w:rFonts w:hint="eastAsia" w:ascii="宋体" w:hAnsi="宋体" w:cs="宋体"/>
                <w:sz w:val="24"/>
                <w:szCs w:val="24"/>
              </w:rPr>
              <w:t>与营业执照、资质证书、安全生产许可证一致；</w:t>
            </w:r>
          </w:p>
        </w:tc>
      </w:tr>
      <w:tr w14:paraId="4BFE7D5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669" w:hRule="atLeast"/>
          <w:jc w:val="center"/>
        </w:trPr>
        <w:tc>
          <w:tcPr>
            <w:tcW w:w="926" w:type="dxa"/>
            <w:vMerge w:val="continue"/>
            <w:tcBorders>
              <w:left w:val="single" w:color="auto" w:sz="6" w:space="0"/>
              <w:right w:val="single" w:color="auto" w:sz="6" w:space="0"/>
            </w:tcBorders>
            <w:tcMar>
              <w:top w:w="113" w:type="dxa"/>
              <w:left w:w="113" w:type="dxa"/>
              <w:bottom w:w="0" w:type="dxa"/>
              <w:right w:w="113" w:type="dxa"/>
            </w:tcMar>
            <w:vAlign w:val="center"/>
          </w:tcPr>
          <w:p w14:paraId="604A55C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left w:val="single" w:color="auto" w:sz="6" w:space="0"/>
              <w:right w:val="single" w:color="auto" w:sz="6" w:space="0"/>
            </w:tcBorders>
            <w:tcMar>
              <w:top w:w="113" w:type="dxa"/>
              <w:left w:w="113" w:type="dxa"/>
              <w:bottom w:w="0" w:type="dxa"/>
              <w:right w:w="113" w:type="dxa"/>
            </w:tcMar>
            <w:vAlign w:val="center"/>
          </w:tcPr>
          <w:p w14:paraId="5DB54D86">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D11A3E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投标函</w:t>
            </w:r>
          </w:p>
          <w:p w14:paraId="5C149F2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签字盖章</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D1AD137">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r>
              <w:rPr>
                <w:rFonts w:hint="eastAsia" w:ascii="宋体" w:hAnsi="宋体" w:cs="宋体"/>
                <w:sz w:val="24"/>
                <w:szCs w:val="24"/>
              </w:rPr>
              <w:t>有法定代表人或其委托代理人签字或盖章并且加盖（电子）单位公章；</w:t>
            </w:r>
          </w:p>
        </w:tc>
      </w:tr>
      <w:tr w14:paraId="02D320A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486" w:hRule="atLeast"/>
          <w:jc w:val="center"/>
        </w:trPr>
        <w:tc>
          <w:tcPr>
            <w:tcW w:w="926" w:type="dxa"/>
            <w:vMerge w:val="continue"/>
            <w:tcBorders>
              <w:left w:val="single" w:color="auto" w:sz="6" w:space="0"/>
              <w:right w:val="single" w:color="auto" w:sz="6" w:space="0"/>
            </w:tcBorders>
            <w:tcMar>
              <w:top w:w="113" w:type="dxa"/>
              <w:left w:w="113" w:type="dxa"/>
              <w:bottom w:w="0" w:type="dxa"/>
              <w:right w:w="113" w:type="dxa"/>
            </w:tcMar>
            <w:vAlign w:val="center"/>
          </w:tcPr>
          <w:p w14:paraId="0C92261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left w:val="single" w:color="auto" w:sz="6" w:space="0"/>
              <w:right w:val="single" w:color="auto" w:sz="6" w:space="0"/>
            </w:tcBorders>
            <w:tcMar>
              <w:top w:w="113" w:type="dxa"/>
              <w:left w:w="113" w:type="dxa"/>
              <w:bottom w:w="0" w:type="dxa"/>
              <w:right w:w="113" w:type="dxa"/>
            </w:tcMar>
            <w:vAlign w:val="center"/>
          </w:tcPr>
          <w:p w14:paraId="429503E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DA109C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报价唯一</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1A27D7A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r>
              <w:rPr>
                <w:rFonts w:hint="eastAsia" w:ascii="宋体" w:hAnsi="宋体" w:cs="宋体"/>
                <w:sz w:val="24"/>
                <w:szCs w:val="24"/>
              </w:rPr>
              <w:t>只能有一个有效报价；</w:t>
            </w:r>
          </w:p>
        </w:tc>
      </w:tr>
      <w:tr w14:paraId="42113B3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431" w:hRule="atLeast"/>
          <w:jc w:val="center"/>
        </w:trPr>
        <w:tc>
          <w:tcPr>
            <w:tcW w:w="926" w:type="dxa"/>
            <w:vMerge w:val="continue"/>
            <w:tcBorders>
              <w:left w:val="single" w:color="auto" w:sz="6" w:space="0"/>
              <w:bottom w:val="single" w:color="auto" w:sz="6" w:space="0"/>
              <w:right w:val="single" w:color="auto" w:sz="6" w:space="0"/>
            </w:tcBorders>
            <w:tcMar>
              <w:top w:w="113" w:type="dxa"/>
              <w:left w:w="113" w:type="dxa"/>
              <w:bottom w:w="0" w:type="dxa"/>
              <w:right w:w="113" w:type="dxa"/>
            </w:tcMar>
            <w:vAlign w:val="center"/>
          </w:tcPr>
          <w:p w14:paraId="534BF8C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left w:val="single" w:color="auto" w:sz="6" w:space="0"/>
              <w:bottom w:val="single" w:color="auto" w:sz="6" w:space="0"/>
              <w:right w:val="single" w:color="auto" w:sz="6" w:space="0"/>
            </w:tcBorders>
            <w:tcMar>
              <w:top w:w="113" w:type="dxa"/>
              <w:left w:w="113" w:type="dxa"/>
              <w:bottom w:w="0" w:type="dxa"/>
              <w:right w:w="113" w:type="dxa"/>
            </w:tcMar>
            <w:vAlign w:val="center"/>
          </w:tcPr>
          <w:p w14:paraId="02B589F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D2E1FA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cs="宋体"/>
                <w:sz w:val="24"/>
                <w:szCs w:val="24"/>
              </w:rPr>
            </w:pPr>
            <w:r>
              <w:rPr>
                <w:rFonts w:hint="eastAsia" w:ascii="宋体" w:hAnsi="宋体" w:cs="宋体"/>
                <w:sz w:val="24"/>
                <w:szCs w:val="24"/>
                <w:lang w:val="en-US" w:eastAsia="zh-CN"/>
              </w:rPr>
              <w:t>投标文件格式</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D549AE1">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hint="eastAsia" w:ascii="宋体" w:hAnsi="宋体" w:cs="宋体"/>
                <w:sz w:val="24"/>
                <w:szCs w:val="24"/>
              </w:rPr>
            </w:pPr>
            <w:r>
              <w:rPr>
                <w:rFonts w:hint="eastAsia" w:ascii="宋体" w:hAnsi="宋体" w:cs="宋体"/>
                <w:sz w:val="24"/>
                <w:szCs w:val="24"/>
                <w:lang w:eastAsia="zh-CN"/>
              </w:rPr>
              <w:t>符合第八章“</w:t>
            </w:r>
            <w:r>
              <w:rPr>
                <w:rFonts w:hint="eastAsia" w:ascii="宋体" w:hAnsi="宋体" w:cs="宋体"/>
                <w:sz w:val="24"/>
                <w:szCs w:val="24"/>
                <w:lang w:val="en-US" w:eastAsia="zh-CN"/>
              </w:rPr>
              <w:t>投标文件格式</w:t>
            </w:r>
            <w:r>
              <w:rPr>
                <w:rFonts w:hint="eastAsia" w:ascii="宋体" w:hAnsi="宋体" w:cs="宋体"/>
                <w:sz w:val="24"/>
                <w:szCs w:val="24"/>
                <w:lang w:eastAsia="zh-CN"/>
              </w:rPr>
              <w:t>”的要求；</w:t>
            </w:r>
          </w:p>
        </w:tc>
      </w:tr>
      <w:tr w14:paraId="425F3D8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478" w:hRule="atLeast"/>
          <w:jc w:val="center"/>
        </w:trPr>
        <w:tc>
          <w:tcPr>
            <w:tcW w:w="926" w:type="dxa"/>
            <w:vMerge w:val="restart"/>
            <w:tcBorders>
              <w:top w:val="single" w:color="auto" w:sz="6" w:space="0"/>
              <w:left w:val="single" w:color="auto" w:sz="6" w:space="0"/>
              <w:right w:val="single" w:color="auto" w:sz="6" w:space="0"/>
            </w:tcBorders>
            <w:tcMar>
              <w:top w:w="113" w:type="dxa"/>
              <w:left w:w="113" w:type="dxa"/>
              <w:bottom w:w="0" w:type="dxa"/>
              <w:right w:w="113" w:type="dxa"/>
            </w:tcMar>
            <w:vAlign w:val="center"/>
          </w:tcPr>
          <w:p w14:paraId="11CDAFE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2.1.2</w:t>
            </w:r>
          </w:p>
        </w:tc>
        <w:tc>
          <w:tcPr>
            <w:tcW w:w="2008" w:type="dxa"/>
            <w:gridSpan w:val="2"/>
            <w:vMerge w:val="restart"/>
            <w:tcBorders>
              <w:top w:val="single" w:color="auto" w:sz="6" w:space="0"/>
              <w:left w:val="single" w:color="auto" w:sz="6" w:space="0"/>
              <w:right w:val="single" w:color="auto" w:sz="6" w:space="0"/>
            </w:tcBorders>
            <w:tcMar>
              <w:top w:w="113" w:type="dxa"/>
              <w:left w:w="113" w:type="dxa"/>
              <w:bottom w:w="0" w:type="dxa"/>
              <w:right w:w="113" w:type="dxa"/>
            </w:tcMar>
            <w:vAlign w:val="center"/>
          </w:tcPr>
          <w:p w14:paraId="0B4B2D7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资格评审标准</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626207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营业执照</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5C6CB18">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r>
              <w:rPr>
                <w:rFonts w:hint="eastAsia" w:ascii="宋体" w:hAnsi="宋体" w:cs="宋体"/>
                <w:sz w:val="24"/>
                <w:szCs w:val="24"/>
              </w:rPr>
              <w:t>具备有效的营业执照；</w:t>
            </w:r>
          </w:p>
        </w:tc>
      </w:tr>
      <w:tr w14:paraId="4E0379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951" w:hRule="atLeast"/>
          <w:jc w:val="center"/>
        </w:trPr>
        <w:tc>
          <w:tcPr>
            <w:tcW w:w="926" w:type="dxa"/>
            <w:vMerge w:val="continue"/>
            <w:tcBorders>
              <w:left w:val="single" w:color="auto" w:sz="6" w:space="0"/>
              <w:right w:val="single" w:color="auto" w:sz="6" w:space="0"/>
            </w:tcBorders>
            <w:tcMar>
              <w:top w:w="113" w:type="dxa"/>
              <w:left w:w="113" w:type="dxa"/>
              <w:bottom w:w="0" w:type="dxa"/>
              <w:right w:w="113" w:type="dxa"/>
            </w:tcMar>
            <w:vAlign w:val="center"/>
          </w:tcPr>
          <w:p w14:paraId="2759D31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left w:val="single" w:color="auto" w:sz="6" w:space="0"/>
              <w:right w:val="single" w:color="auto" w:sz="6" w:space="0"/>
            </w:tcBorders>
            <w:tcMar>
              <w:top w:w="113" w:type="dxa"/>
              <w:left w:w="113" w:type="dxa"/>
              <w:bottom w:w="0" w:type="dxa"/>
              <w:right w:w="113" w:type="dxa"/>
            </w:tcMar>
            <w:vAlign w:val="center"/>
          </w:tcPr>
          <w:p w14:paraId="18E9BB9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28BC95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资质证书</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361192C">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s="宋体"/>
                <w:sz w:val="24"/>
                <w:szCs w:val="24"/>
                <w:highlight w:val="yellow"/>
              </w:rPr>
            </w:pPr>
            <w:r>
              <w:rPr>
                <w:rFonts w:hint="eastAsia" w:ascii="宋体" w:hAnsi="宋体" w:cs="宋体"/>
                <w:sz w:val="24"/>
                <w:szCs w:val="24"/>
              </w:rPr>
              <w:t>须具备建设行政主管部门核发的</w:t>
            </w:r>
            <w:r>
              <w:rPr>
                <w:rFonts w:hint="eastAsia" w:ascii="宋体" w:hAnsi="宋体" w:cs="宋体"/>
                <w:sz w:val="24"/>
                <w:szCs w:val="24"/>
                <w:lang w:val="en-US" w:eastAsia="zh-CN"/>
              </w:rPr>
              <w:t>建筑工程施工总承包叁级及以上资质</w:t>
            </w:r>
            <w:r>
              <w:rPr>
                <w:rFonts w:hint="eastAsia" w:ascii="宋体" w:hAnsi="宋体" w:cs="宋体"/>
                <w:sz w:val="24"/>
                <w:szCs w:val="24"/>
              </w:rPr>
              <w:t>(有效期内)并具有安全生产许可证(有效期内)</w:t>
            </w:r>
          </w:p>
        </w:tc>
      </w:tr>
      <w:tr w14:paraId="6D67F54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1232" w:hRule="atLeast"/>
          <w:jc w:val="center"/>
        </w:trPr>
        <w:tc>
          <w:tcPr>
            <w:tcW w:w="926" w:type="dxa"/>
            <w:vMerge w:val="continue"/>
            <w:tcBorders>
              <w:left w:val="single" w:color="auto" w:sz="6" w:space="0"/>
              <w:right w:val="single" w:color="auto" w:sz="6" w:space="0"/>
            </w:tcBorders>
            <w:tcMar>
              <w:top w:w="113" w:type="dxa"/>
              <w:left w:w="113" w:type="dxa"/>
              <w:bottom w:w="0" w:type="dxa"/>
              <w:right w:w="113" w:type="dxa"/>
            </w:tcMar>
            <w:vAlign w:val="center"/>
          </w:tcPr>
          <w:p w14:paraId="38BBD8E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left w:val="single" w:color="auto" w:sz="6" w:space="0"/>
              <w:right w:val="single" w:color="auto" w:sz="6" w:space="0"/>
            </w:tcBorders>
            <w:tcMar>
              <w:top w:w="113" w:type="dxa"/>
              <w:left w:w="113" w:type="dxa"/>
              <w:bottom w:w="0" w:type="dxa"/>
              <w:right w:w="113" w:type="dxa"/>
            </w:tcMar>
            <w:vAlign w:val="center"/>
          </w:tcPr>
          <w:p w14:paraId="0902470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79E847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项目经理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12BA3BA">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s="宋体"/>
                <w:sz w:val="24"/>
                <w:szCs w:val="24"/>
                <w:highlight w:val="yellow"/>
              </w:rPr>
            </w:pPr>
            <w:r>
              <w:rPr>
                <w:rFonts w:hint="eastAsia" w:asciiTheme="minorEastAsia" w:hAnsiTheme="minorEastAsia" w:eastAsiaTheme="minorEastAsia" w:cstheme="minorEastAsia"/>
                <w:sz w:val="24"/>
                <w:szCs w:val="24"/>
                <w:highlight w:val="none"/>
                <w:lang w:val="en-US" w:eastAsia="zh-CN"/>
              </w:rPr>
              <w:t>拟派项目经理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如为联合体，须牵头单位提供</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highlight w:val="none"/>
                <w:lang w:val="en-US" w:eastAsia="zh-CN"/>
              </w:rPr>
              <w:t>须为注册在本企业的建筑工程专业二级及以上注册建造师且具有B类安全生产考核合格证(有效期内)，</w:t>
            </w:r>
            <w:r>
              <w:rPr>
                <w:rFonts w:hint="eastAsia" w:ascii="宋体" w:hAnsi="宋体" w:eastAsia="宋体" w:cs="宋体"/>
                <w:i w:val="0"/>
                <w:iCs w:val="0"/>
                <w:caps w:val="0"/>
                <w:color w:val="000000"/>
                <w:spacing w:val="0"/>
                <w:sz w:val="24"/>
                <w:szCs w:val="24"/>
                <w:shd w:val="clear" w:fill="FFFFFF"/>
              </w:rPr>
              <w:t>未担任其他在建工程项目的项目</w:t>
            </w:r>
            <w:r>
              <w:rPr>
                <w:rFonts w:hint="eastAsia" w:ascii="宋体" w:hAnsi="宋体" w:eastAsia="宋体" w:cs="宋体"/>
                <w:i w:val="0"/>
                <w:iCs w:val="0"/>
                <w:caps w:val="0"/>
                <w:color w:val="000000"/>
                <w:spacing w:val="0"/>
                <w:sz w:val="24"/>
                <w:szCs w:val="24"/>
                <w:shd w:val="clear" w:fill="FFFFFF"/>
                <w:lang w:val="en-US" w:eastAsia="zh-CN"/>
              </w:rPr>
              <w:t>经理</w:t>
            </w:r>
            <w:r>
              <w:rPr>
                <w:rFonts w:hint="eastAsia" w:ascii="宋体" w:hAnsi="宋体" w:cs="宋体"/>
                <w:i w:val="0"/>
                <w:iCs w:val="0"/>
                <w:caps w:val="0"/>
                <w:color w:val="000000"/>
                <w:spacing w:val="0"/>
                <w:sz w:val="24"/>
                <w:szCs w:val="24"/>
                <w:shd w:val="clear" w:fill="FFFFFF"/>
                <w:lang w:val="en-US" w:eastAsia="zh-CN"/>
              </w:rPr>
              <w:t>（提供无在建承诺书）</w:t>
            </w:r>
            <w:r>
              <w:rPr>
                <w:rFonts w:hint="eastAsia" w:ascii="宋体" w:hAnsi="宋体" w:eastAsia="宋体" w:cs="宋体"/>
                <w:i w:val="0"/>
                <w:iCs w:val="0"/>
                <w:caps w:val="0"/>
                <w:color w:val="000000"/>
                <w:spacing w:val="0"/>
                <w:sz w:val="24"/>
                <w:szCs w:val="24"/>
                <w:shd w:val="clear" w:fill="FFFFFF"/>
                <w:lang w:eastAsia="zh-CN"/>
              </w:rPr>
              <w:t>；</w:t>
            </w:r>
          </w:p>
        </w:tc>
      </w:tr>
      <w:tr w14:paraId="37BB37C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669" w:hRule="atLeast"/>
          <w:jc w:val="center"/>
        </w:trPr>
        <w:tc>
          <w:tcPr>
            <w:tcW w:w="926" w:type="dxa"/>
            <w:vMerge w:val="continue"/>
            <w:tcBorders>
              <w:left w:val="single" w:color="auto" w:sz="6" w:space="0"/>
              <w:right w:val="single" w:color="auto" w:sz="6" w:space="0"/>
            </w:tcBorders>
            <w:tcMar>
              <w:top w:w="113" w:type="dxa"/>
              <w:left w:w="113" w:type="dxa"/>
              <w:bottom w:w="0" w:type="dxa"/>
              <w:right w:w="113" w:type="dxa"/>
            </w:tcMar>
            <w:vAlign w:val="center"/>
          </w:tcPr>
          <w:p w14:paraId="7F0D297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left w:val="single" w:color="auto" w:sz="6" w:space="0"/>
              <w:right w:val="single" w:color="auto" w:sz="6" w:space="0"/>
            </w:tcBorders>
            <w:tcMar>
              <w:top w:w="113" w:type="dxa"/>
              <w:left w:w="113" w:type="dxa"/>
              <w:bottom w:w="0" w:type="dxa"/>
              <w:right w:w="113" w:type="dxa"/>
            </w:tcMar>
            <w:vAlign w:val="center"/>
          </w:tcPr>
          <w:p w14:paraId="7233110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022445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无重大违法记录书面声明</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CB25C8A">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asciiTheme="minorEastAsia" w:hAnsiTheme="minorEastAsia" w:eastAsiaTheme="minorEastAsia" w:cstheme="minorEastAsia"/>
                <w:sz w:val="24"/>
                <w:szCs w:val="24"/>
              </w:rPr>
            </w:pPr>
            <w:bookmarkStart w:id="65" w:name="_Toc19331"/>
            <w:bookmarkStart w:id="66" w:name="_Toc4405"/>
            <w:bookmarkStart w:id="67" w:name="_Toc13290"/>
            <w:r>
              <w:rPr>
                <w:rFonts w:hint="eastAsia" w:asciiTheme="minorEastAsia" w:hAnsiTheme="minorEastAsia" w:eastAsiaTheme="minorEastAsia" w:cstheme="minorEastAsia"/>
                <w:b w:val="0"/>
                <w:bCs w:val="0"/>
                <w:sz w:val="24"/>
                <w:szCs w:val="24"/>
              </w:rPr>
              <w:t>投标人参加招投标近三年内在经营活动中无重大违法记录书面声明；</w:t>
            </w:r>
            <w:bookmarkEnd w:id="65"/>
            <w:bookmarkEnd w:id="66"/>
            <w:bookmarkEnd w:id="67"/>
          </w:p>
        </w:tc>
      </w:tr>
      <w:tr w14:paraId="1F429F5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669" w:hRule="atLeast"/>
          <w:jc w:val="center"/>
        </w:trPr>
        <w:tc>
          <w:tcPr>
            <w:tcW w:w="926" w:type="dxa"/>
            <w:vMerge w:val="continue"/>
            <w:tcBorders>
              <w:left w:val="single" w:color="auto" w:sz="6" w:space="0"/>
              <w:right w:val="single" w:color="auto" w:sz="6" w:space="0"/>
            </w:tcBorders>
            <w:tcMar>
              <w:top w:w="113" w:type="dxa"/>
              <w:left w:w="113" w:type="dxa"/>
              <w:bottom w:w="0" w:type="dxa"/>
              <w:right w:w="113" w:type="dxa"/>
            </w:tcMar>
            <w:vAlign w:val="center"/>
          </w:tcPr>
          <w:p w14:paraId="06103AE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left w:val="single" w:color="auto" w:sz="6" w:space="0"/>
              <w:right w:val="single" w:color="auto" w:sz="6" w:space="0"/>
            </w:tcBorders>
            <w:tcMar>
              <w:top w:w="113" w:type="dxa"/>
              <w:left w:w="113" w:type="dxa"/>
              <w:bottom w:w="0" w:type="dxa"/>
              <w:right w:w="113" w:type="dxa"/>
            </w:tcMar>
            <w:vAlign w:val="center"/>
          </w:tcPr>
          <w:p w14:paraId="7D18792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B094A2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cs="宋体"/>
                <w:sz w:val="24"/>
                <w:szCs w:val="24"/>
              </w:rPr>
            </w:pPr>
            <w:r>
              <w:rPr>
                <w:rFonts w:hint="eastAsia" w:ascii="宋体" w:hAnsi="宋体" w:eastAsia="宋体" w:cs="宋体"/>
                <w:color w:val="000000"/>
                <w:sz w:val="24"/>
                <w:szCs w:val="24"/>
              </w:rPr>
              <w:t>联合体</w:t>
            </w:r>
            <w:r>
              <w:rPr>
                <w:rFonts w:hint="eastAsia" w:ascii="宋体" w:hAnsi="宋体" w:eastAsia="宋体" w:cs="宋体"/>
                <w:color w:val="000000"/>
                <w:sz w:val="24"/>
                <w:szCs w:val="24"/>
                <w:lang w:val="en-US" w:eastAsia="zh-CN"/>
              </w:rPr>
              <w:t>协议书</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B16CDCF">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Theme="minorEastAsia" w:hAnsiTheme="minorEastAsia" w:eastAsiaTheme="minorEastAsia" w:cstheme="minorEastAsia"/>
                <w:b w:val="0"/>
                <w:bCs w:val="0"/>
                <w:sz w:val="24"/>
                <w:szCs w:val="24"/>
              </w:rPr>
            </w:pPr>
            <w:r>
              <w:rPr>
                <w:rFonts w:hint="eastAsia" w:ascii="宋体" w:hAnsi="宋体" w:eastAsia="宋体" w:cs="宋体"/>
                <w:color w:val="000000"/>
                <w:sz w:val="24"/>
                <w:lang w:val="en-US" w:eastAsia="zh-CN"/>
              </w:rPr>
              <w:t>如为联合体须提供且</w:t>
            </w:r>
            <w:r>
              <w:rPr>
                <w:rFonts w:hint="eastAsia" w:ascii="宋体" w:hAnsi="宋体" w:eastAsia="宋体" w:cs="宋体"/>
                <w:color w:val="000000"/>
                <w:sz w:val="24"/>
                <w:szCs w:val="24"/>
                <w:lang w:eastAsia="zh-CN"/>
              </w:rPr>
              <w:t>符合招标文件中对联合体的要求；</w:t>
            </w:r>
          </w:p>
        </w:tc>
      </w:tr>
      <w:tr w14:paraId="26EAC8F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425" w:hRule="atLeast"/>
          <w:jc w:val="center"/>
        </w:trPr>
        <w:tc>
          <w:tcPr>
            <w:tcW w:w="926" w:type="dxa"/>
            <w:vMerge w:val="restart"/>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EF881E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2.1.3</w:t>
            </w:r>
          </w:p>
        </w:tc>
        <w:tc>
          <w:tcPr>
            <w:tcW w:w="2008" w:type="dxa"/>
            <w:gridSpan w:val="2"/>
            <w:vMerge w:val="restart"/>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9E18A4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响应性评审标准</w:t>
            </w:r>
          </w:p>
        </w:tc>
        <w:tc>
          <w:tcPr>
            <w:tcW w:w="1718" w:type="dxa"/>
            <w:tcBorders>
              <w:top w:val="single" w:color="auto" w:sz="6" w:space="0"/>
              <w:left w:val="single" w:color="auto" w:sz="6" w:space="0"/>
              <w:right w:val="single" w:color="auto" w:sz="6" w:space="0"/>
            </w:tcBorders>
            <w:tcMar>
              <w:top w:w="113" w:type="dxa"/>
              <w:left w:w="113" w:type="dxa"/>
              <w:bottom w:w="0" w:type="dxa"/>
              <w:right w:w="113" w:type="dxa"/>
            </w:tcMar>
            <w:vAlign w:val="center"/>
          </w:tcPr>
          <w:p w14:paraId="03E0EF8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计划工期</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2F35DB7">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符合第二章“投标人须知”第1.3.2项规定</w:t>
            </w:r>
            <w:r>
              <w:rPr>
                <w:rFonts w:hint="eastAsia" w:ascii="宋体" w:hAnsi="宋体" w:cs="宋体"/>
                <w:sz w:val="24"/>
                <w:szCs w:val="24"/>
                <w:lang w:eastAsia="zh-CN"/>
              </w:rPr>
              <w:t>；</w:t>
            </w:r>
          </w:p>
        </w:tc>
      </w:tr>
      <w:tr w14:paraId="1999D89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471"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09D8BF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105773FC">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A54E4B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工程质量</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78D701AF">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符合国家质量验收标准</w:t>
            </w:r>
            <w:r>
              <w:rPr>
                <w:rFonts w:hint="eastAsia" w:ascii="宋体" w:hAnsi="宋体" w:cs="宋体"/>
                <w:sz w:val="24"/>
                <w:szCs w:val="24"/>
                <w:lang w:eastAsia="zh-CN"/>
              </w:rPr>
              <w:t>；</w:t>
            </w:r>
          </w:p>
        </w:tc>
      </w:tr>
      <w:tr w14:paraId="1A20CC2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514"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3DB531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1479AA04">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0CD8C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投标有效期</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39383F0">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90日历天（从投标截止之日算起）</w:t>
            </w:r>
            <w:r>
              <w:rPr>
                <w:rFonts w:hint="eastAsia" w:ascii="宋体" w:hAnsi="宋体" w:cs="宋体"/>
                <w:sz w:val="24"/>
                <w:szCs w:val="24"/>
                <w:lang w:eastAsia="zh-CN"/>
              </w:rPr>
              <w:t>；</w:t>
            </w:r>
          </w:p>
        </w:tc>
      </w:tr>
      <w:tr w14:paraId="44164DE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542"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191E1EB">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03CCC07">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8FE5186">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投标保证金</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F9DA5B1">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 w:val="24"/>
                <w:szCs w:val="24"/>
                <w:lang w:eastAsia="zh-CN"/>
              </w:rPr>
            </w:pPr>
            <w:r>
              <w:rPr>
                <w:rFonts w:hint="eastAsia" w:ascii="宋体" w:hAnsi="宋体" w:cs="宋体"/>
                <w:sz w:val="24"/>
                <w:szCs w:val="24"/>
              </w:rPr>
              <w:t>符合第二章“投标人须知”第3.4.1项规定</w:t>
            </w:r>
            <w:r>
              <w:rPr>
                <w:rFonts w:hint="eastAsia" w:ascii="宋体" w:hAnsi="宋体" w:cs="宋体"/>
                <w:sz w:val="24"/>
                <w:szCs w:val="24"/>
                <w:lang w:eastAsia="zh-CN"/>
              </w:rPr>
              <w:t>；</w:t>
            </w:r>
          </w:p>
        </w:tc>
      </w:tr>
      <w:tr w14:paraId="48C7A16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669"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CDAD71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631BB2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BE2410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已标价工程量清单</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6B6C2D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lang w:eastAsia="zh-CN"/>
              </w:rPr>
            </w:pPr>
            <w:r>
              <w:rPr>
                <w:rFonts w:hint="eastAsia" w:ascii="宋体" w:hAnsi="宋体" w:cs="宋体"/>
                <w:sz w:val="24"/>
                <w:szCs w:val="24"/>
              </w:rPr>
              <w:t>符合第六章“工程量清单”给出的范围及数量</w:t>
            </w:r>
            <w:r>
              <w:rPr>
                <w:rFonts w:hint="eastAsia" w:ascii="宋体" w:hAnsi="宋体" w:cs="宋体"/>
                <w:sz w:val="24"/>
                <w:szCs w:val="24"/>
                <w:lang w:eastAsia="zh-CN"/>
              </w:rPr>
              <w:t>；</w:t>
            </w:r>
          </w:p>
        </w:tc>
      </w:tr>
      <w:tr w14:paraId="0E7EE05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669"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78AF490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2008" w:type="dxa"/>
            <w:gridSpan w:val="2"/>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16B3266">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C6E5B3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投标价格</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116ABD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lang w:eastAsia="zh-CN"/>
              </w:rPr>
            </w:pPr>
            <w:r>
              <w:rPr>
                <w:rFonts w:hint="eastAsia" w:ascii="宋体" w:hAnsi="宋体" w:cs="宋体"/>
                <w:sz w:val="24"/>
                <w:szCs w:val="24"/>
              </w:rPr>
              <w:t>低于（含等于）第二章“投标人须知”前附表第10.2款载明的招标控制价</w:t>
            </w:r>
            <w:r>
              <w:rPr>
                <w:rFonts w:hint="eastAsia" w:ascii="宋体" w:hAnsi="宋体" w:cs="宋体"/>
                <w:sz w:val="24"/>
                <w:szCs w:val="24"/>
                <w:lang w:eastAsia="zh-CN"/>
              </w:rPr>
              <w:t>；</w:t>
            </w:r>
          </w:p>
        </w:tc>
      </w:tr>
      <w:tr w14:paraId="240AC03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4" w:hRule="atLeast"/>
          <w:jc w:val="center"/>
        </w:trPr>
        <w:tc>
          <w:tcPr>
            <w:tcW w:w="2934" w:type="dxa"/>
            <w:gridSpan w:val="3"/>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594BA57">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b/>
                <w:bCs/>
                <w:sz w:val="24"/>
                <w:szCs w:val="24"/>
              </w:rPr>
            </w:pPr>
            <w:r>
              <w:rPr>
                <w:rFonts w:hint="eastAsia" w:ascii="宋体" w:hAnsi="宋体" w:cs="宋体"/>
                <w:b/>
                <w:bCs/>
                <w:sz w:val="24"/>
                <w:szCs w:val="24"/>
              </w:rPr>
              <w:t>条款号</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A51EA4F">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b/>
                <w:bCs/>
                <w:sz w:val="24"/>
                <w:szCs w:val="24"/>
              </w:rPr>
            </w:pPr>
            <w:r>
              <w:rPr>
                <w:rFonts w:hint="eastAsia" w:ascii="宋体" w:hAnsi="宋体" w:cs="宋体"/>
                <w:b/>
                <w:bCs/>
                <w:sz w:val="24"/>
                <w:szCs w:val="24"/>
              </w:rPr>
              <w:t>条款内容</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9D1A52B">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b/>
                <w:bCs/>
                <w:sz w:val="24"/>
                <w:szCs w:val="24"/>
              </w:rPr>
            </w:pPr>
            <w:r>
              <w:rPr>
                <w:rFonts w:hint="eastAsia" w:ascii="宋体" w:hAnsi="宋体" w:cs="宋体"/>
                <w:b/>
                <w:bCs/>
                <w:sz w:val="24"/>
                <w:szCs w:val="24"/>
              </w:rPr>
              <w:t>编列内容</w:t>
            </w:r>
          </w:p>
        </w:tc>
      </w:tr>
      <w:tr w14:paraId="607D68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48" w:hRule="atLeast"/>
          <w:jc w:val="center"/>
        </w:trPr>
        <w:tc>
          <w:tcPr>
            <w:tcW w:w="2934" w:type="dxa"/>
            <w:gridSpan w:val="3"/>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7C79F8B9">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2.2.1</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985826F">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分值构成</w:t>
            </w:r>
          </w:p>
          <w:p w14:paraId="61DADBDE">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(总分100分)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D5E117C">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r>
              <w:rPr>
                <w:rFonts w:hint="eastAsia" w:ascii="宋体" w:hAnsi="宋体" w:cs="宋体"/>
                <w:sz w:val="24"/>
                <w:szCs w:val="24"/>
              </w:rPr>
              <w:t>投标报价：</w:t>
            </w:r>
            <w:r>
              <w:rPr>
                <w:rFonts w:hint="eastAsia" w:ascii="宋体" w:hAnsi="宋体" w:cs="宋体"/>
                <w:sz w:val="24"/>
                <w:szCs w:val="24"/>
                <w:lang w:val="en-US" w:eastAsia="zh-CN"/>
              </w:rPr>
              <w:t>50</w:t>
            </w:r>
            <w:r>
              <w:rPr>
                <w:rFonts w:hint="eastAsia" w:ascii="宋体" w:hAnsi="宋体" w:cs="宋体"/>
                <w:sz w:val="24"/>
                <w:szCs w:val="24"/>
              </w:rPr>
              <w:t>分</w:t>
            </w:r>
          </w:p>
          <w:p w14:paraId="69368C1B">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r>
              <w:rPr>
                <w:rFonts w:hint="eastAsia" w:ascii="宋体" w:hAnsi="宋体" w:cs="宋体"/>
                <w:sz w:val="24"/>
                <w:szCs w:val="24"/>
              </w:rPr>
              <w:t>技术分：40分</w:t>
            </w:r>
          </w:p>
          <w:p w14:paraId="1D398AD9">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r>
              <w:rPr>
                <w:rFonts w:hint="eastAsia" w:ascii="宋体" w:hAnsi="宋体" w:cs="宋体"/>
                <w:sz w:val="24"/>
                <w:szCs w:val="24"/>
              </w:rPr>
              <w:t>商务分：1</w:t>
            </w:r>
            <w:r>
              <w:rPr>
                <w:rFonts w:hint="eastAsia" w:ascii="宋体" w:hAnsi="宋体" w:cs="宋体"/>
                <w:sz w:val="24"/>
                <w:szCs w:val="24"/>
                <w:lang w:val="en-US" w:eastAsia="zh-CN"/>
              </w:rPr>
              <w:t>0</w:t>
            </w:r>
            <w:r>
              <w:rPr>
                <w:rFonts w:hint="eastAsia" w:ascii="宋体" w:hAnsi="宋体" w:cs="宋体"/>
                <w:sz w:val="24"/>
                <w:szCs w:val="24"/>
              </w:rPr>
              <w:t>分</w:t>
            </w:r>
          </w:p>
        </w:tc>
      </w:tr>
      <w:tr w14:paraId="2F89E1A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931" w:hRule="atLeast"/>
          <w:jc w:val="center"/>
        </w:trPr>
        <w:tc>
          <w:tcPr>
            <w:tcW w:w="2934" w:type="dxa"/>
            <w:gridSpan w:val="3"/>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0C74AEC">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2.2.2</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1B213DD">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评标基准价计算方法</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2FBFA58">
            <w:pPr>
              <w:keepNext w:val="0"/>
              <w:keepLines w:val="0"/>
              <w:pageBreakBefore w:val="0"/>
              <w:numPr>
                <w:ilvl w:val="0"/>
                <w:numId w:val="0"/>
              </w:numPr>
              <w:kinsoku/>
              <w:wordWrap/>
              <w:overflowPunct/>
              <w:topLinePunct w:val="0"/>
              <w:autoSpaceDE/>
              <w:autoSpaceDN/>
              <w:bidi w:val="0"/>
              <w:adjustRightInd/>
              <w:spacing w:line="380" w:lineRule="exact"/>
              <w:textAlignment w:val="auto"/>
              <w:rPr>
                <w:rFonts w:hint="eastAsia" w:ascii="宋体" w:hAnsi="宋体" w:cs="宋体"/>
                <w:sz w:val="24"/>
                <w:szCs w:val="24"/>
              </w:rPr>
            </w:pPr>
            <w:r>
              <w:rPr>
                <w:rFonts w:hint="eastAsia" w:ascii="宋体" w:hAnsi="宋体" w:cs="宋体"/>
                <w:sz w:val="24"/>
                <w:szCs w:val="24"/>
              </w:rPr>
              <w:t>评标基准价=A×</w:t>
            </w:r>
            <w:r>
              <w:rPr>
                <w:rFonts w:hint="eastAsia" w:ascii="宋体" w:hAnsi="宋体" w:cs="宋体"/>
                <w:sz w:val="24"/>
                <w:szCs w:val="24"/>
                <w:lang w:val="en-US" w:eastAsia="zh-CN"/>
              </w:rPr>
              <w:t>70</w:t>
            </w:r>
            <w:r>
              <w:rPr>
                <w:rFonts w:hint="eastAsia" w:ascii="宋体" w:hAnsi="宋体" w:cs="宋体"/>
                <w:sz w:val="24"/>
                <w:szCs w:val="24"/>
              </w:rPr>
              <w:t>%+B×</w:t>
            </w:r>
            <w:r>
              <w:rPr>
                <w:rFonts w:hint="eastAsia" w:ascii="宋体" w:hAnsi="宋体" w:cs="宋体"/>
                <w:sz w:val="24"/>
                <w:szCs w:val="24"/>
                <w:lang w:val="en-US" w:eastAsia="zh-CN"/>
              </w:rPr>
              <w:t>30</w:t>
            </w:r>
            <w:r>
              <w:rPr>
                <w:rFonts w:hint="eastAsia" w:ascii="宋体" w:hAnsi="宋体" w:cs="宋体"/>
                <w:sz w:val="24"/>
                <w:szCs w:val="24"/>
              </w:rPr>
              <w:t>%,即评标基准价为招标控制价的</w:t>
            </w:r>
            <w:r>
              <w:rPr>
                <w:rFonts w:hint="eastAsia" w:ascii="宋体" w:hAnsi="宋体" w:cs="宋体"/>
                <w:sz w:val="24"/>
                <w:szCs w:val="24"/>
                <w:lang w:val="en-US" w:eastAsia="zh-CN"/>
              </w:rPr>
              <w:t>70</w:t>
            </w:r>
            <w:r>
              <w:rPr>
                <w:rFonts w:hint="eastAsia" w:ascii="宋体" w:hAnsi="宋体" w:cs="宋体"/>
                <w:sz w:val="24"/>
                <w:szCs w:val="24"/>
              </w:rPr>
              <w:t>%与投标人有效投标报价算数平均值的</w:t>
            </w:r>
            <w:r>
              <w:rPr>
                <w:rFonts w:hint="eastAsia" w:ascii="宋体" w:hAnsi="宋体" w:cs="宋体"/>
                <w:sz w:val="24"/>
                <w:szCs w:val="24"/>
                <w:lang w:val="en-US" w:eastAsia="zh-CN"/>
              </w:rPr>
              <w:t>30</w:t>
            </w:r>
            <w:r>
              <w:rPr>
                <w:rFonts w:hint="eastAsia" w:ascii="宋体" w:hAnsi="宋体" w:cs="宋体"/>
                <w:sz w:val="24"/>
                <w:szCs w:val="24"/>
              </w:rPr>
              <w:t>%之和，A为招标控制价，B为有效投标报价的算数平均值。</w:t>
            </w:r>
          </w:p>
          <w:p w14:paraId="6878CA41">
            <w:pPr>
              <w:keepNext w:val="0"/>
              <w:keepLines w:val="0"/>
              <w:pageBreakBefore w:val="0"/>
              <w:numPr>
                <w:ilvl w:val="0"/>
                <w:numId w:val="0"/>
              </w:numPr>
              <w:kinsoku/>
              <w:wordWrap/>
              <w:overflowPunct/>
              <w:topLinePunct w:val="0"/>
              <w:autoSpaceDE/>
              <w:autoSpaceDN/>
              <w:bidi w:val="0"/>
              <w:adjustRightInd/>
              <w:spacing w:line="380" w:lineRule="exact"/>
              <w:textAlignment w:val="auto"/>
              <w:rPr>
                <w:rFonts w:hint="eastAsia" w:ascii="宋体" w:hAnsi="宋体" w:cs="宋体"/>
                <w:sz w:val="24"/>
                <w:szCs w:val="24"/>
              </w:rPr>
            </w:pPr>
            <w:r>
              <w:rPr>
                <w:rFonts w:hint="eastAsia" w:ascii="宋体" w:hAnsi="宋体" w:cs="宋体"/>
                <w:sz w:val="24"/>
                <w:szCs w:val="24"/>
              </w:rPr>
              <w:t>投标人有效投标报价算数平均值为：</w:t>
            </w:r>
          </w:p>
          <w:p w14:paraId="268AE9D2">
            <w:pPr>
              <w:keepNext w:val="0"/>
              <w:keepLines w:val="0"/>
              <w:pageBreakBefore w:val="0"/>
              <w:numPr>
                <w:ilvl w:val="0"/>
                <w:numId w:val="0"/>
              </w:numPr>
              <w:kinsoku/>
              <w:wordWrap/>
              <w:overflowPunct/>
              <w:topLinePunct w:val="0"/>
              <w:autoSpaceDE/>
              <w:autoSpaceDN/>
              <w:bidi w:val="0"/>
              <w:adjustRightInd/>
              <w:spacing w:line="380" w:lineRule="exact"/>
              <w:textAlignment w:val="auto"/>
              <w:rPr>
                <w:rFonts w:hint="eastAsia" w:ascii="宋体" w:hAnsi="宋体" w:cs="宋体"/>
                <w:sz w:val="24"/>
                <w:szCs w:val="24"/>
              </w:rPr>
            </w:pPr>
            <w:r>
              <w:rPr>
                <w:rFonts w:hint="eastAsia" w:ascii="宋体" w:hAnsi="宋体" w:cs="宋体"/>
                <w:sz w:val="24"/>
                <w:szCs w:val="24"/>
              </w:rPr>
              <w:t>1.当n（投标人个数，下同）≤5时，所有投标人的有效投标报价的算术平均值；</w:t>
            </w:r>
          </w:p>
          <w:p w14:paraId="0F724ADE">
            <w:pPr>
              <w:keepNext w:val="0"/>
              <w:keepLines w:val="0"/>
              <w:pageBreakBefore w:val="0"/>
              <w:numPr>
                <w:ilvl w:val="0"/>
                <w:numId w:val="0"/>
              </w:numPr>
              <w:kinsoku/>
              <w:wordWrap/>
              <w:overflowPunct/>
              <w:topLinePunct w:val="0"/>
              <w:autoSpaceDE/>
              <w:autoSpaceDN/>
              <w:bidi w:val="0"/>
              <w:adjustRightInd/>
              <w:spacing w:line="380" w:lineRule="exact"/>
              <w:textAlignment w:val="auto"/>
              <w:rPr>
                <w:rFonts w:hint="eastAsia" w:ascii="宋体" w:hAnsi="宋体" w:cs="宋体"/>
                <w:sz w:val="24"/>
                <w:szCs w:val="24"/>
              </w:rPr>
            </w:pPr>
            <w:r>
              <w:rPr>
                <w:rFonts w:hint="eastAsia" w:ascii="宋体" w:hAnsi="宋体" w:cs="宋体"/>
                <w:sz w:val="24"/>
                <w:szCs w:val="24"/>
              </w:rPr>
              <w:t>2.当5＜n≤9时，所有投标人的有效投标报价去掉1个最高、1个最低后的算术平均值；</w:t>
            </w:r>
          </w:p>
          <w:p w14:paraId="0ADB1B76">
            <w:pPr>
              <w:keepNext w:val="0"/>
              <w:keepLines w:val="0"/>
              <w:pageBreakBefore w:val="0"/>
              <w:numPr>
                <w:ilvl w:val="0"/>
                <w:numId w:val="0"/>
              </w:numPr>
              <w:kinsoku/>
              <w:wordWrap/>
              <w:overflowPunct/>
              <w:topLinePunct w:val="0"/>
              <w:autoSpaceDE/>
              <w:autoSpaceDN/>
              <w:bidi w:val="0"/>
              <w:adjustRightInd/>
              <w:spacing w:line="380" w:lineRule="exact"/>
              <w:textAlignment w:val="auto"/>
              <w:rPr>
                <w:rFonts w:hint="eastAsia" w:ascii="宋体" w:hAnsi="宋体" w:cs="宋体"/>
                <w:sz w:val="24"/>
                <w:szCs w:val="24"/>
              </w:rPr>
            </w:pPr>
            <w:r>
              <w:rPr>
                <w:rFonts w:hint="eastAsia" w:ascii="宋体" w:hAnsi="宋体" w:cs="宋体"/>
                <w:sz w:val="24"/>
                <w:szCs w:val="24"/>
              </w:rPr>
              <w:t>3.当9＜n≤13时，所有投标人的有效投标报价去掉2个最高、2个最低后的算术平均值。</w:t>
            </w:r>
          </w:p>
          <w:p w14:paraId="3FA3C83D">
            <w:pPr>
              <w:keepNext w:val="0"/>
              <w:keepLines w:val="0"/>
              <w:pageBreakBefore w:val="0"/>
              <w:numPr>
                <w:ilvl w:val="0"/>
                <w:numId w:val="0"/>
              </w:numPr>
              <w:kinsoku/>
              <w:wordWrap/>
              <w:overflowPunct/>
              <w:topLinePunct w:val="0"/>
              <w:autoSpaceDE/>
              <w:autoSpaceDN/>
              <w:bidi w:val="0"/>
              <w:adjustRightInd/>
              <w:spacing w:line="380" w:lineRule="exact"/>
              <w:textAlignment w:val="auto"/>
              <w:rPr>
                <w:rFonts w:ascii="宋体" w:hAnsi="宋体" w:cs="宋体"/>
                <w:sz w:val="24"/>
                <w:szCs w:val="24"/>
              </w:rPr>
            </w:pPr>
            <w:r>
              <w:rPr>
                <w:rFonts w:hint="eastAsia" w:ascii="宋体" w:hAnsi="宋体" w:cs="宋体"/>
                <w:sz w:val="24"/>
                <w:szCs w:val="24"/>
              </w:rPr>
              <w:t>以此类推</w:t>
            </w:r>
          </w:p>
        </w:tc>
      </w:tr>
      <w:tr w14:paraId="4D423FC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934" w:type="dxa"/>
            <w:gridSpan w:val="3"/>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A19C838">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2.2.3</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CDE0ADD">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投标报价的偏差率计算公式</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79498164">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r>
              <w:rPr>
                <w:rFonts w:hint="eastAsia" w:ascii="宋体" w:hAnsi="宋体" w:cs="宋体"/>
                <w:sz w:val="24"/>
                <w:szCs w:val="24"/>
              </w:rPr>
              <w:t>偏差率=100%×（投标人报价－评标基准价）/评标基准价</w:t>
            </w:r>
          </w:p>
        </w:tc>
      </w:tr>
      <w:tr w14:paraId="14B65B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97" w:hRule="atLeast"/>
          <w:jc w:val="center"/>
        </w:trPr>
        <w:tc>
          <w:tcPr>
            <w:tcW w:w="2934" w:type="dxa"/>
            <w:gridSpan w:val="3"/>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83C5E57">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b/>
                <w:bCs/>
                <w:sz w:val="24"/>
                <w:szCs w:val="24"/>
              </w:rPr>
            </w:pPr>
            <w:r>
              <w:rPr>
                <w:rFonts w:hint="eastAsia" w:ascii="宋体" w:hAnsi="宋体" w:cs="宋体"/>
                <w:b/>
                <w:bCs/>
                <w:sz w:val="24"/>
                <w:szCs w:val="24"/>
              </w:rPr>
              <w:t>条款号</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481A5B2">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b/>
                <w:bCs/>
                <w:sz w:val="24"/>
                <w:szCs w:val="24"/>
              </w:rPr>
            </w:pPr>
            <w:r>
              <w:rPr>
                <w:rFonts w:hint="eastAsia" w:ascii="宋体" w:hAnsi="宋体" w:cs="宋体"/>
                <w:b/>
                <w:bCs/>
                <w:sz w:val="24"/>
                <w:szCs w:val="24"/>
              </w:rPr>
              <w:t>评分因素</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3E6A743">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b/>
                <w:bCs/>
                <w:sz w:val="24"/>
                <w:szCs w:val="24"/>
              </w:rPr>
            </w:pPr>
            <w:r>
              <w:rPr>
                <w:rFonts w:hint="eastAsia" w:ascii="宋体" w:hAnsi="宋体" w:cs="宋体"/>
                <w:b/>
                <w:bCs/>
                <w:sz w:val="24"/>
                <w:szCs w:val="24"/>
              </w:rPr>
              <w:t>评分标准</w:t>
            </w:r>
          </w:p>
        </w:tc>
      </w:tr>
      <w:tr w14:paraId="4BD06C0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004" w:hRule="atLeast"/>
          <w:jc w:val="center"/>
        </w:trPr>
        <w:tc>
          <w:tcPr>
            <w:tcW w:w="926" w:type="dxa"/>
            <w:tcBorders>
              <w:top w:val="single" w:color="auto" w:sz="6" w:space="0"/>
              <w:left w:val="single" w:color="auto" w:sz="6" w:space="0"/>
              <w:bottom w:val="single" w:color="auto" w:sz="6" w:space="0"/>
              <w:right w:val="single" w:color="auto" w:sz="4" w:space="0"/>
            </w:tcBorders>
            <w:tcMar>
              <w:top w:w="113" w:type="dxa"/>
              <w:left w:w="113" w:type="dxa"/>
              <w:bottom w:w="0" w:type="dxa"/>
              <w:right w:w="113" w:type="dxa"/>
            </w:tcMar>
            <w:vAlign w:val="center"/>
          </w:tcPr>
          <w:p w14:paraId="17DD486A">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2.2.4(1)</w:t>
            </w:r>
          </w:p>
        </w:tc>
        <w:tc>
          <w:tcPr>
            <w:tcW w:w="2008" w:type="dxa"/>
            <w:gridSpan w:val="2"/>
            <w:tcBorders>
              <w:top w:val="single" w:color="auto" w:sz="6" w:space="0"/>
              <w:left w:val="single" w:color="auto" w:sz="4" w:space="0"/>
              <w:bottom w:val="single" w:color="auto" w:sz="6" w:space="0"/>
              <w:right w:val="single" w:color="auto" w:sz="6" w:space="0"/>
            </w:tcBorders>
            <w:tcMar>
              <w:top w:w="113" w:type="dxa"/>
              <w:left w:w="113" w:type="dxa"/>
              <w:bottom w:w="0" w:type="dxa"/>
              <w:right w:w="113" w:type="dxa"/>
            </w:tcMar>
            <w:vAlign w:val="center"/>
          </w:tcPr>
          <w:p w14:paraId="691B1895">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投标报价评分</w:t>
            </w:r>
          </w:p>
          <w:p w14:paraId="53CC2D00">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标准(</w:t>
            </w:r>
            <w:r>
              <w:rPr>
                <w:rFonts w:hint="eastAsia" w:ascii="宋体" w:hAnsi="宋体" w:cs="宋体"/>
                <w:sz w:val="24"/>
                <w:szCs w:val="24"/>
                <w:lang w:val="en-US" w:eastAsia="zh-CN"/>
              </w:rPr>
              <w:t>5</w:t>
            </w:r>
            <w:r>
              <w:rPr>
                <w:rFonts w:hint="eastAsia" w:ascii="宋体" w:hAnsi="宋体" w:cs="宋体"/>
                <w:sz w:val="24"/>
                <w:szCs w:val="24"/>
              </w:rPr>
              <w:t>0分)</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4757F3D">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投标报价</w:t>
            </w:r>
          </w:p>
          <w:p w14:paraId="1B7928F6">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40-50</w:t>
            </w:r>
            <w:r>
              <w:rPr>
                <w:rFonts w:hint="eastAsia" w:ascii="宋体" w:hAnsi="宋体" w:cs="宋体"/>
                <w:sz w:val="24"/>
                <w:szCs w:val="24"/>
              </w:rPr>
              <w:t>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D63A924">
            <w:pPr>
              <w:keepNext w:val="0"/>
              <w:keepLines w:val="0"/>
              <w:pageBreakBefore w:val="0"/>
              <w:kinsoku/>
              <w:wordWrap/>
              <w:overflowPunct/>
              <w:topLinePunct w:val="0"/>
              <w:autoSpaceDE/>
              <w:autoSpaceDN/>
              <w:bidi w:val="0"/>
              <w:adjustRightInd/>
              <w:snapToGrid/>
              <w:spacing w:line="380" w:lineRule="exact"/>
              <w:jc w:val="both"/>
              <w:textAlignment w:val="auto"/>
              <w:rPr>
                <w:rFonts w:ascii="宋体" w:hAnsi="宋体" w:cs="宋体"/>
                <w:sz w:val="24"/>
                <w:szCs w:val="24"/>
              </w:rPr>
            </w:pPr>
            <w:r>
              <w:rPr>
                <w:rFonts w:hint="eastAsia" w:ascii="宋体" w:hAnsi="宋体" w:cs="宋体"/>
                <w:sz w:val="24"/>
                <w:szCs w:val="24"/>
              </w:rPr>
              <w:t>以评标基准价为准，投标报价每高于评标基准价的1%扣1分；每低于评标基准价的1%扣0.5分；最多扣10分。</w:t>
            </w:r>
          </w:p>
        </w:tc>
      </w:tr>
      <w:tr w14:paraId="7A35189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1015" w:hRule="atLeast"/>
          <w:jc w:val="center"/>
        </w:trPr>
        <w:tc>
          <w:tcPr>
            <w:tcW w:w="926" w:type="dxa"/>
            <w:vMerge w:val="restart"/>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F452DA3">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2.2.4(2)</w:t>
            </w:r>
          </w:p>
        </w:tc>
        <w:tc>
          <w:tcPr>
            <w:tcW w:w="766" w:type="dxa"/>
            <w:vMerge w:val="restart"/>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9190C81">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技术</w:t>
            </w:r>
          </w:p>
          <w:p w14:paraId="2CEAA151">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分</w:t>
            </w:r>
          </w:p>
          <w:p w14:paraId="67069EB0">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（满分40分）</w:t>
            </w:r>
          </w:p>
        </w:tc>
        <w:tc>
          <w:tcPr>
            <w:tcW w:w="1242" w:type="dxa"/>
            <w:vMerge w:val="restart"/>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94A84EB">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施工组织</w:t>
            </w:r>
          </w:p>
          <w:p w14:paraId="78D06F6B">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设计评分标准</w:t>
            </w:r>
          </w:p>
          <w:p w14:paraId="76F7F141">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(40分)</w:t>
            </w: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8312118">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内容完整性和编制水平</w:t>
            </w:r>
          </w:p>
          <w:p w14:paraId="3DFC386E">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（8分）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2DE7D36">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r>
              <w:rPr>
                <w:rFonts w:hint="eastAsia" w:ascii="宋体" w:hAnsi="宋体" w:cs="宋体"/>
                <w:sz w:val="24"/>
                <w:szCs w:val="24"/>
              </w:rPr>
              <w:t>施工组织设计内容完整、针对性</w:t>
            </w:r>
            <w:r>
              <w:rPr>
                <w:rFonts w:hint="eastAsia" w:ascii="宋体" w:hAnsi="宋体" w:cs="宋体"/>
                <w:sz w:val="24"/>
                <w:szCs w:val="24"/>
                <w:lang w:val="en-US" w:eastAsia="zh-CN"/>
              </w:rPr>
              <w:t>强</w:t>
            </w:r>
            <w:r>
              <w:rPr>
                <w:rFonts w:hint="eastAsia" w:ascii="宋体" w:hAnsi="宋体" w:cs="宋体"/>
                <w:sz w:val="24"/>
                <w:szCs w:val="24"/>
              </w:rPr>
              <w:t>、编制合理得5（含）-8分；内容基本完整、针对性一般、编制欠合理得0-5分。</w:t>
            </w:r>
          </w:p>
        </w:tc>
      </w:tr>
      <w:tr w14:paraId="5A2778E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1086"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9A4588B">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2EA19AF">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E8588FC">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3E47E03">
            <w:pPr>
              <w:pStyle w:val="9"/>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Cs w:val="24"/>
              </w:rPr>
            </w:pPr>
            <w:r>
              <w:rPr>
                <w:rFonts w:hint="eastAsia" w:ascii="宋体" w:hAnsi="宋体" w:cs="宋体"/>
                <w:szCs w:val="24"/>
              </w:rPr>
              <w:t>施工方案与技术措施</w:t>
            </w:r>
          </w:p>
          <w:p w14:paraId="7FD54776">
            <w:pPr>
              <w:keepNext w:val="0"/>
              <w:keepLines w:val="0"/>
              <w:pageBreakBefore w:val="0"/>
              <w:kinsoku/>
              <w:wordWrap/>
              <w:overflowPunct/>
              <w:topLinePunct w:val="0"/>
              <w:autoSpaceDE/>
              <w:autoSpaceDN/>
              <w:bidi w:val="0"/>
              <w:adjustRightInd/>
              <w:snapToGrid w:val="0"/>
              <w:spacing w:line="380" w:lineRule="exact"/>
              <w:jc w:val="center"/>
              <w:textAlignment w:val="auto"/>
              <w:rPr>
                <w:rFonts w:ascii="宋体" w:hAnsi="宋体" w:cs="宋体"/>
                <w:sz w:val="24"/>
                <w:szCs w:val="24"/>
              </w:rPr>
            </w:pPr>
            <w:r>
              <w:rPr>
                <w:rFonts w:hint="eastAsia" w:ascii="宋体" w:hAnsi="宋体" w:cs="宋体"/>
                <w:sz w:val="24"/>
                <w:szCs w:val="24"/>
              </w:rPr>
              <w:t>（7分）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FA26F5D">
            <w:pPr>
              <w:keepNext w:val="0"/>
              <w:keepLines w:val="0"/>
              <w:pageBreakBefore w:val="0"/>
              <w:kinsoku/>
              <w:wordWrap/>
              <w:overflowPunct/>
              <w:topLinePunct w:val="0"/>
              <w:autoSpaceDE/>
              <w:autoSpaceDN/>
              <w:bidi w:val="0"/>
              <w:adjustRightInd/>
              <w:snapToGrid w:val="0"/>
              <w:spacing w:line="380" w:lineRule="exact"/>
              <w:textAlignment w:val="auto"/>
              <w:rPr>
                <w:rFonts w:ascii="宋体" w:hAnsi="宋体" w:cs="宋体"/>
                <w:sz w:val="24"/>
                <w:szCs w:val="24"/>
              </w:rPr>
            </w:pPr>
            <w:r>
              <w:rPr>
                <w:rFonts w:hint="eastAsia" w:ascii="宋体" w:hAnsi="宋体" w:cs="宋体"/>
                <w:sz w:val="24"/>
                <w:szCs w:val="24"/>
              </w:rPr>
              <w:t>施工方案合理可行，技术措施对工程质量、工期和施工安全有充分保障得4（含）-7分；施工方案基本可行，技术措施对工程质量、工期和施工安全有基本保障得0-4分。</w:t>
            </w:r>
          </w:p>
        </w:tc>
      </w:tr>
      <w:tr w14:paraId="2C56E32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90"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71D8AF75">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13CE8BCB">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AE817EA">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02944DC">
            <w:pPr>
              <w:pStyle w:val="9"/>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Cs w:val="24"/>
              </w:rPr>
            </w:pPr>
            <w:r>
              <w:rPr>
                <w:rFonts w:hint="eastAsia" w:ascii="宋体" w:hAnsi="宋体" w:cs="宋体"/>
                <w:szCs w:val="24"/>
              </w:rPr>
              <w:t>安全管理体系与措施</w:t>
            </w:r>
          </w:p>
          <w:p w14:paraId="40E385C0">
            <w:pPr>
              <w:pStyle w:val="9"/>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Cs w:val="24"/>
              </w:rPr>
            </w:pPr>
            <w:r>
              <w:rPr>
                <w:rFonts w:hint="eastAsia" w:ascii="宋体" w:hAnsi="宋体" w:cs="宋体"/>
                <w:szCs w:val="24"/>
              </w:rPr>
              <w:t>（5分）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31499D3">
            <w:pPr>
              <w:keepNext w:val="0"/>
              <w:keepLines w:val="0"/>
              <w:pageBreakBefore w:val="0"/>
              <w:kinsoku/>
              <w:wordWrap/>
              <w:overflowPunct/>
              <w:topLinePunct w:val="0"/>
              <w:autoSpaceDE/>
              <w:autoSpaceDN/>
              <w:bidi w:val="0"/>
              <w:adjustRightInd/>
              <w:snapToGrid w:val="0"/>
              <w:spacing w:line="380" w:lineRule="exact"/>
              <w:textAlignment w:val="auto"/>
              <w:rPr>
                <w:rFonts w:ascii="宋体" w:hAnsi="宋体" w:cs="宋体"/>
                <w:sz w:val="24"/>
                <w:szCs w:val="24"/>
              </w:rPr>
            </w:pPr>
            <w:r>
              <w:rPr>
                <w:rFonts w:hint="eastAsia" w:ascii="宋体" w:hAnsi="宋体" w:cs="宋体"/>
                <w:sz w:val="24"/>
                <w:szCs w:val="24"/>
              </w:rPr>
              <w:t>安全管理体系与措施合理、可靠、完善得3（含）-5分；安全管理体系与措施基本合理、基本完善得0-3分。</w:t>
            </w:r>
          </w:p>
        </w:tc>
      </w:tr>
      <w:tr w14:paraId="5E60988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90"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A743252">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1EAEC50E">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0B8D98B">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AAFD847">
            <w:pPr>
              <w:pStyle w:val="9"/>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Cs w:val="24"/>
              </w:rPr>
            </w:pPr>
            <w:r>
              <w:rPr>
                <w:rFonts w:hint="eastAsia" w:ascii="宋体" w:hAnsi="宋体" w:cs="宋体"/>
                <w:szCs w:val="24"/>
              </w:rPr>
              <w:t>工程进度计划与措施</w:t>
            </w:r>
          </w:p>
          <w:p w14:paraId="6D1346C5">
            <w:pPr>
              <w:keepNext w:val="0"/>
              <w:keepLines w:val="0"/>
              <w:pageBreakBefore w:val="0"/>
              <w:kinsoku/>
              <w:wordWrap/>
              <w:overflowPunct/>
              <w:topLinePunct w:val="0"/>
              <w:autoSpaceDE/>
              <w:autoSpaceDN/>
              <w:bidi w:val="0"/>
              <w:adjustRightInd/>
              <w:snapToGrid w:val="0"/>
              <w:spacing w:line="380" w:lineRule="exact"/>
              <w:jc w:val="center"/>
              <w:textAlignment w:val="auto"/>
              <w:rPr>
                <w:rFonts w:ascii="宋体" w:hAnsi="宋体" w:cs="宋体"/>
                <w:sz w:val="24"/>
                <w:szCs w:val="24"/>
              </w:rPr>
            </w:pPr>
            <w:r>
              <w:rPr>
                <w:rFonts w:hint="eastAsia" w:ascii="宋体" w:hAnsi="宋体" w:cs="宋体"/>
                <w:sz w:val="24"/>
                <w:szCs w:val="24"/>
              </w:rPr>
              <w:t>（4分）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84CDBBC">
            <w:pPr>
              <w:keepNext w:val="0"/>
              <w:keepLines w:val="0"/>
              <w:pageBreakBefore w:val="0"/>
              <w:kinsoku/>
              <w:wordWrap/>
              <w:overflowPunct/>
              <w:topLinePunct w:val="0"/>
              <w:autoSpaceDE/>
              <w:autoSpaceDN/>
              <w:bidi w:val="0"/>
              <w:adjustRightInd/>
              <w:snapToGrid w:val="0"/>
              <w:spacing w:line="380" w:lineRule="exact"/>
              <w:textAlignment w:val="auto"/>
              <w:rPr>
                <w:rFonts w:ascii="宋体" w:hAnsi="宋体" w:cs="宋体"/>
                <w:sz w:val="24"/>
                <w:szCs w:val="24"/>
              </w:rPr>
            </w:pPr>
            <w:r>
              <w:rPr>
                <w:rFonts w:hint="eastAsia" w:ascii="宋体" w:hAnsi="宋体" w:cs="宋体"/>
                <w:sz w:val="24"/>
                <w:szCs w:val="24"/>
              </w:rPr>
              <w:t>工程进度计划与措施合理可行得2（含）-4分；工程进度计划与措施基本合理可行得0-2分。</w:t>
            </w:r>
          </w:p>
        </w:tc>
      </w:tr>
      <w:tr w14:paraId="7F24D20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90"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DAE869D">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17B18B50">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0E16CC1C">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5008CC2">
            <w:pPr>
              <w:pStyle w:val="9"/>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Cs w:val="24"/>
              </w:rPr>
            </w:pPr>
            <w:r>
              <w:rPr>
                <w:rFonts w:hint="eastAsia" w:ascii="宋体" w:hAnsi="宋体" w:cs="宋体"/>
                <w:szCs w:val="24"/>
              </w:rPr>
              <w:t>施工准备与资源配备计划</w:t>
            </w:r>
          </w:p>
          <w:p w14:paraId="3A04590E">
            <w:pPr>
              <w:keepNext w:val="0"/>
              <w:keepLines w:val="0"/>
              <w:pageBreakBefore w:val="0"/>
              <w:kinsoku/>
              <w:wordWrap/>
              <w:overflowPunct/>
              <w:topLinePunct w:val="0"/>
              <w:autoSpaceDE/>
              <w:autoSpaceDN/>
              <w:bidi w:val="0"/>
              <w:adjustRightInd/>
              <w:snapToGrid w:val="0"/>
              <w:spacing w:line="380" w:lineRule="exact"/>
              <w:jc w:val="center"/>
              <w:textAlignment w:val="auto"/>
              <w:rPr>
                <w:rFonts w:ascii="宋体" w:hAnsi="宋体" w:cs="宋体"/>
                <w:sz w:val="24"/>
                <w:szCs w:val="24"/>
              </w:rPr>
            </w:pPr>
            <w:r>
              <w:rPr>
                <w:rFonts w:hint="eastAsia" w:ascii="宋体" w:hAnsi="宋体" w:cs="宋体"/>
                <w:sz w:val="24"/>
                <w:szCs w:val="24"/>
              </w:rPr>
              <w:t>（4分）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3553816E">
            <w:pPr>
              <w:keepNext w:val="0"/>
              <w:keepLines w:val="0"/>
              <w:pageBreakBefore w:val="0"/>
              <w:kinsoku/>
              <w:wordWrap/>
              <w:overflowPunct/>
              <w:topLinePunct w:val="0"/>
              <w:autoSpaceDE/>
              <w:autoSpaceDN/>
              <w:bidi w:val="0"/>
              <w:adjustRightInd/>
              <w:snapToGrid w:val="0"/>
              <w:spacing w:line="380" w:lineRule="exact"/>
              <w:textAlignment w:val="auto"/>
              <w:rPr>
                <w:rFonts w:ascii="宋体" w:hAnsi="宋体" w:cs="宋体"/>
                <w:sz w:val="24"/>
                <w:szCs w:val="24"/>
              </w:rPr>
            </w:pPr>
            <w:r>
              <w:rPr>
                <w:rFonts w:hint="eastAsia" w:ascii="宋体" w:hAnsi="宋体" w:cs="宋体"/>
                <w:sz w:val="24"/>
                <w:szCs w:val="24"/>
              </w:rPr>
              <w:t>技术准备、现场准备和管理组织机构的人员配备、素质及劳动力配备满足施工要求得2（含）-4分；基本满足要求得0-2分。</w:t>
            </w:r>
          </w:p>
        </w:tc>
      </w:tr>
      <w:tr w14:paraId="62C727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1100"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8AA6602">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BFED361">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1021FBDD">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9101A70">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r>
              <w:rPr>
                <w:rFonts w:hint="eastAsia" w:ascii="宋体" w:hAnsi="宋体" w:cs="宋体"/>
                <w:sz w:val="24"/>
                <w:szCs w:val="24"/>
              </w:rPr>
              <w:t>季节性及特殊环境施工措施</w:t>
            </w:r>
          </w:p>
          <w:p w14:paraId="00382857">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（3分）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3316314">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r>
              <w:rPr>
                <w:rFonts w:hint="eastAsia" w:ascii="宋体" w:hAnsi="宋体" w:cs="宋体"/>
                <w:sz w:val="24"/>
                <w:szCs w:val="24"/>
              </w:rPr>
              <w:t>工程措施及预案安排合理、针对性</w:t>
            </w:r>
            <w:r>
              <w:rPr>
                <w:rFonts w:hint="eastAsia" w:ascii="宋体" w:hAnsi="宋体" w:cs="宋体"/>
                <w:sz w:val="24"/>
                <w:szCs w:val="24"/>
                <w:lang w:val="en-US" w:eastAsia="zh-CN"/>
              </w:rPr>
              <w:t>强</w:t>
            </w:r>
            <w:r>
              <w:rPr>
                <w:rFonts w:hint="eastAsia" w:ascii="宋体" w:hAnsi="宋体" w:cs="宋体"/>
                <w:sz w:val="24"/>
                <w:szCs w:val="24"/>
              </w:rPr>
              <w:t>得2（含）-3分；工程措施及预案安排基本合理、针对性一般得0-2分。</w:t>
            </w:r>
          </w:p>
        </w:tc>
      </w:tr>
      <w:tr w14:paraId="518B7C0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1100" w:hRule="atLeast"/>
          <w:jc w:val="center"/>
        </w:trPr>
        <w:tc>
          <w:tcPr>
            <w:tcW w:w="92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37D8B59">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648E410">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continue"/>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1886EDE">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8C11529">
            <w:pPr>
              <w:pStyle w:val="9"/>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Cs w:val="24"/>
              </w:rPr>
            </w:pPr>
            <w:r>
              <w:rPr>
                <w:rFonts w:hint="eastAsia" w:ascii="宋体" w:hAnsi="宋体" w:cs="宋体"/>
                <w:szCs w:val="24"/>
              </w:rPr>
              <w:t>质量管理体系与措施</w:t>
            </w:r>
          </w:p>
          <w:p w14:paraId="03EE4505">
            <w:pPr>
              <w:keepNext w:val="0"/>
              <w:keepLines w:val="0"/>
              <w:pageBreakBefore w:val="0"/>
              <w:kinsoku/>
              <w:wordWrap/>
              <w:overflowPunct/>
              <w:topLinePunct w:val="0"/>
              <w:autoSpaceDE/>
              <w:autoSpaceDN/>
              <w:bidi w:val="0"/>
              <w:adjustRightInd/>
              <w:snapToGrid w:val="0"/>
              <w:spacing w:line="380" w:lineRule="exact"/>
              <w:jc w:val="center"/>
              <w:textAlignment w:val="auto"/>
              <w:rPr>
                <w:rFonts w:ascii="宋体" w:hAnsi="宋体" w:cs="宋体"/>
                <w:sz w:val="24"/>
                <w:szCs w:val="24"/>
              </w:rPr>
            </w:pPr>
            <w:r>
              <w:rPr>
                <w:rFonts w:hint="eastAsia" w:ascii="宋体" w:hAnsi="宋体" w:cs="宋体"/>
                <w:sz w:val="24"/>
                <w:szCs w:val="24"/>
              </w:rPr>
              <w:t>（5分）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D4F7BFB">
            <w:pPr>
              <w:keepNext w:val="0"/>
              <w:keepLines w:val="0"/>
              <w:pageBreakBefore w:val="0"/>
              <w:kinsoku/>
              <w:wordWrap/>
              <w:overflowPunct/>
              <w:topLinePunct w:val="0"/>
              <w:autoSpaceDE/>
              <w:autoSpaceDN/>
              <w:bidi w:val="0"/>
              <w:adjustRightInd/>
              <w:snapToGrid w:val="0"/>
              <w:spacing w:line="380" w:lineRule="exact"/>
              <w:textAlignment w:val="auto"/>
              <w:rPr>
                <w:rFonts w:ascii="宋体" w:hAnsi="宋体" w:cs="宋体"/>
                <w:sz w:val="24"/>
                <w:szCs w:val="24"/>
              </w:rPr>
            </w:pPr>
            <w:r>
              <w:rPr>
                <w:rFonts w:hint="eastAsia" w:ascii="宋体" w:hAnsi="宋体" w:cs="宋体"/>
                <w:sz w:val="24"/>
                <w:szCs w:val="24"/>
              </w:rPr>
              <w:t>质量管理体系与措施合理、可靠、完善得3（含）-5分；质量管理体系与措施基本合理、基本完善得0-3分。</w:t>
            </w:r>
          </w:p>
        </w:tc>
      </w:tr>
      <w:tr w14:paraId="121C545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90" w:hRule="atLeast"/>
          <w:jc w:val="center"/>
        </w:trPr>
        <w:tc>
          <w:tcPr>
            <w:tcW w:w="926" w:type="dxa"/>
            <w:vMerge w:val="continue"/>
            <w:tcBorders>
              <w:top w:val="single" w:color="auto" w:sz="6" w:space="0"/>
              <w:left w:val="single" w:color="auto" w:sz="6" w:space="0"/>
              <w:bottom w:val="single" w:color="auto" w:sz="4" w:space="0"/>
              <w:right w:val="single" w:color="auto" w:sz="6" w:space="0"/>
            </w:tcBorders>
            <w:tcMar>
              <w:top w:w="113" w:type="dxa"/>
              <w:left w:w="113" w:type="dxa"/>
              <w:bottom w:w="0" w:type="dxa"/>
              <w:right w:w="113" w:type="dxa"/>
            </w:tcMar>
            <w:vAlign w:val="center"/>
          </w:tcPr>
          <w:p w14:paraId="0FD8E118">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6" w:space="0"/>
              <w:left w:val="single" w:color="auto" w:sz="6" w:space="0"/>
              <w:bottom w:val="single" w:color="auto" w:sz="4" w:space="0"/>
              <w:right w:val="single" w:color="auto" w:sz="6" w:space="0"/>
            </w:tcBorders>
            <w:tcMar>
              <w:top w:w="113" w:type="dxa"/>
              <w:left w:w="113" w:type="dxa"/>
              <w:bottom w:w="0" w:type="dxa"/>
              <w:right w:w="113" w:type="dxa"/>
            </w:tcMar>
            <w:vAlign w:val="center"/>
          </w:tcPr>
          <w:p w14:paraId="6FEBC966">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continue"/>
            <w:tcBorders>
              <w:top w:val="single" w:color="auto" w:sz="6" w:space="0"/>
              <w:left w:val="single" w:color="auto" w:sz="6" w:space="0"/>
              <w:bottom w:val="single" w:color="auto" w:sz="4" w:space="0"/>
              <w:right w:val="single" w:color="auto" w:sz="6" w:space="0"/>
            </w:tcBorders>
            <w:tcMar>
              <w:top w:w="113" w:type="dxa"/>
              <w:left w:w="113" w:type="dxa"/>
              <w:bottom w:w="0" w:type="dxa"/>
              <w:right w:w="113" w:type="dxa"/>
            </w:tcMar>
            <w:vAlign w:val="center"/>
          </w:tcPr>
          <w:p w14:paraId="5AEF62B5">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718"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FC6B23A">
            <w:pPr>
              <w:pStyle w:val="9"/>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Cs w:val="24"/>
              </w:rPr>
            </w:pPr>
            <w:r>
              <w:rPr>
                <w:rFonts w:hint="eastAsia" w:ascii="宋体" w:hAnsi="宋体" w:cs="宋体"/>
                <w:szCs w:val="24"/>
              </w:rPr>
              <w:t>环境保护管理体系与措施</w:t>
            </w:r>
          </w:p>
          <w:p w14:paraId="52C8419B">
            <w:pPr>
              <w:keepNext w:val="0"/>
              <w:keepLines w:val="0"/>
              <w:pageBreakBefore w:val="0"/>
              <w:kinsoku/>
              <w:wordWrap/>
              <w:overflowPunct/>
              <w:topLinePunct w:val="0"/>
              <w:autoSpaceDE/>
              <w:autoSpaceDN/>
              <w:bidi w:val="0"/>
              <w:adjustRightInd/>
              <w:snapToGrid w:val="0"/>
              <w:spacing w:line="380" w:lineRule="exact"/>
              <w:jc w:val="center"/>
              <w:textAlignment w:val="auto"/>
              <w:rPr>
                <w:rFonts w:ascii="宋体" w:hAnsi="宋体" w:cs="宋体"/>
                <w:sz w:val="24"/>
                <w:szCs w:val="24"/>
              </w:rPr>
            </w:pPr>
            <w:r>
              <w:rPr>
                <w:rFonts w:hint="eastAsia" w:ascii="宋体" w:hAnsi="宋体" w:cs="宋体"/>
                <w:sz w:val="24"/>
                <w:szCs w:val="24"/>
              </w:rPr>
              <w:t>（4分）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4B76C879">
            <w:pPr>
              <w:keepNext w:val="0"/>
              <w:keepLines w:val="0"/>
              <w:pageBreakBefore w:val="0"/>
              <w:kinsoku/>
              <w:wordWrap/>
              <w:overflowPunct/>
              <w:topLinePunct w:val="0"/>
              <w:autoSpaceDE/>
              <w:autoSpaceDN/>
              <w:bidi w:val="0"/>
              <w:adjustRightInd/>
              <w:snapToGrid w:val="0"/>
              <w:spacing w:line="380" w:lineRule="exact"/>
              <w:textAlignment w:val="auto"/>
              <w:rPr>
                <w:rFonts w:ascii="宋体" w:hAnsi="宋体" w:cs="宋体"/>
                <w:sz w:val="24"/>
                <w:szCs w:val="24"/>
              </w:rPr>
            </w:pPr>
            <w:r>
              <w:rPr>
                <w:rFonts w:hint="eastAsia" w:ascii="宋体" w:hAnsi="宋体" w:cs="宋体"/>
                <w:sz w:val="24"/>
                <w:szCs w:val="24"/>
              </w:rPr>
              <w:t>环境保护管理体系与措施合理、可靠、完善得2（含）-4分；环境保护管理体系与措施基本合理、基本完善得0-2分。</w:t>
            </w:r>
          </w:p>
        </w:tc>
      </w:tr>
      <w:tr w14:paraId="073059F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1694" w:hRule="atLeast"/>
          <w:jc w:val="center"/>
        </w:trPr>
        <w:tc>
          <w:tcPr>
            <w:tcW w:w="926" w:type="dxa"/>
            <w:vMerge w:val="restart"/>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4FC75C12">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2.2.4(3)</w:t>
            </w:r>
          </w:p>
        </w:tc>
        <w:tc>
          <w:tcPr>
            <w:tcW w:w="766" w:type="dxa"/>
            <w:vMerge w:val="restart"/>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51590FD5">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商务</w:t>
            </w:r>
          </w:p>
          <w:p w14:paraId="0765142F">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分</w:t>
            </w:r>
          </w:p>
          <w:p w14:paraId="79794A70">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r>
              <w:rPr>
                <w:rFonts w:hint="eastAsia" w:ascii="宋体" w:hAnsi="宋体" w:cs="宋体"/>
                <w:sz w:val="24"/>
                <w:szCs w:val="24"/>
              </w:rPr>
              <w:t>（满分1</w:t>
            </w:r>
            <w:r>
              <w:rPr>
                <w:rFonts w:hint="eastAsia" w:ascii="宋体" w:hAnsi="宋体" w:cs="宋体"/>
                <w:sz w:val="24"/>
                <w:szCs w:val="24"/>
                <w:lang w:val="en-US" w:eastAsia="zh-CN"/>
              </w:rPr>
              <w:t>0</w:t>
            </w:r>
            <w:r>
              <w:rPr>
                <w:rFonts w:hint="eastAsia" w:ascii="宋体" w:hAnsi="宋体" w:cs="宋体"/>
                <w:sz w:val="24"/>
                <w:szCs w:val="24"/>
              </w:rPr>
              <w:t>分）</w:t>
            </w:r>
          </w:p>
        </w:tc>
        <w:tc>
          <w:tcPr>
            <w:tcW w:w="1242" w:type="dxa"/>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65843051">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项目管理机构评分标准</w:t>
            </w:r>
          </w:p>
          <w:p w14:paraId="76CCBBED">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分)</w:t>
            </w:r>
          </w:p>
        </w:tc>
        <w:tc>
          <w:tcPr>
            <w:tcW w:w="1718" w:type="dxa"/>
            <w:tcBorders>
              <w:top w:val="single" w:color="auto" w:sz="6" w:space="0"/>
              <w:left w:val="single" w:color="auto" w:sz="4" w:space="0"/>
              <w:bottom w:val="single" w:color="auto" w:sz="6" w:space="0"/>
              <w:right w:val="single" w:color="auto" w:sz="6" w:space="0"/>
            </w:tcBorders>
            <w:tcMar>
              <w:top w:w="113" w:type="dxa"/>
              <w:left w:w="113" w:type="dxa"/>
              <w:bottom w:w="0" w:type="dxa"/>
              <w:right w:w="113" w:type="dxa"/>
            </w:tcMar>
            <w:vAlign w:val="center"/>
          </w:tcPr>
          <w:p w14:paraId="38CB79E4">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highlight w:val="none"/>
              </w:rPr>
              <w:t>项目管理机构设置(0-</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6C500549">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r>
              <w:rPr>
                <w:rFonts w:hint="eastAsia" w:ascii="宋体" w:hAnsi="宋体" w:cs="宋体"/>
                <w:sz w:val="24"/>
                <w:szCs w:val="24"/>
                <w:highlight w:val="none"/>
              </w:rPr>
              <w:t>拟派项目管理班子人员结构合理、专业配备齐全（需提供相应的证书）最多得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分，每缺少一项（施工员、资料员、安全员、材料员、质量员、预算员或造价员）扣</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分，扣完为止。</w:t>
            </w:r>
          </w:p>
        </w:tc>
      </w:tr>
      <w:tr w14:paraId="7C78CBD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1055" w:hRule="atLeast"/>
          <w:jc w:val="center"/>
        </w:trPr>
        <w:tc>
          <w:tcPr>
            <w:tcW w:w="926" w:type="dxa"/>
            <w:vMerge w:val="continue"/>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0C4D9C4E">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715B2C35">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restart"/>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3FDAC395">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其他因素评分标准(</w:t>
            </w:r>
            <w:r>
              <w:rPr>
                <w:rFonts w:hint="eastAsia" w:ascii="宋体" w:hAnsi="宋体" w:cs="宋体"/>
                <w:sz w:val="24"/>
                <w:szCs w:val="24"/>
                <w:lang w:val="en-US" w:eastAsia="zh-CN"/>
              </w:rPr>
              <w:t>7</w:t>
            </w:r>
            <w:r>
              <w:rPr>
                <w:rFonts w:hint="eastAsia" w:ascii="宋体" w:hAnsi="宋体" w:cs="宋体"/>
                <w:sz w:val="24"/>
                <w:szCs w:val="24"/>
              </w:rPr>
              <w:t>分)</w:t>
            </w:r>
          </w:p>
        </w:tc>
        <w:tc>
          <w:tcPr>
            <w:tcW w:w="1718" w:type="dxa"/>
            <w:tcBorders>
              <w:top w:val="single" w:color="auto" w:sz="6" w:space="0"/>
              <w:left w:val="single" w:color="auto" w:sz="4" w:space="0"/>
              <w:bottom w:val="single" w:color="auto" w:sz="6" w:space="0"/>
              <w:right w:val="single" w:color="auto" w:sz="6" w:space="0"/>
            </w:tcBorders>
            <w:tcMar>
              <w:top w:w="113" w:type="dxa"/>
              <w:left w:w="113" w:type="dxa"/>
              <w:bottom w:w="0" w:type="dxa"/>
              <w:right w:w="113" w:type="dxa"/>
            </w:tcMar>
            <w:vAlign w:val="center"/>
          </w:tcPr>
          <w:p w14:paraId="4FAC1232">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企业业绩</w:t>
            </w:r>
          </w:p>
          <w:p w14:paraId="1D153B57">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r>
              <w:rPr>
                <w:rFonts w:hint="eastAsia" w:ascii="宋体" w:hAnsi="宋体" w:cs="宋体"/>
                <w:sz w:val="24"/>
                <w:szCs w:val="24"/>
              </w:rPr>
              <w:t>(0-</w:t>
            </w:r>
            <w:r>
              <w:rPr>
                <w:rFonts w:hint="eastAsia" w:ascii="宋体" w:hAnsi="宋体" w:cs="宋体"/>
                <w:sz w:val="24"/>
                <w:szCs w:val="24"/>
                <w:lang w:val="en-US" w:eastAsia="zh-CN"/>
              </w:rPr>
              <w:t>4</w:t>
            </w:r>
            <w:r>
              <w:rPr>
                <w:rFonts w:hint="eastAsia" w:ascii="宋体" w:hAnsi="宋体" w:cs="宋体"/>
                <w:sz w:val="24"/>
                <w:szCs w:val="24"/>
              </w:rPr>
              <w:t>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547A635A">
            <w:pPr>
              <w:keepNext w:val="0"/>
              <w:keepLines w:val="0"/>
              <w:pageBreakBefore w:val="0"/>
              <w:kinsoku/>
              <w:wordWrap/>
              <w:overflowPunct/>
              <w:topLinePunct w:val="0"/>
              <w:autoSpaceDE/>
              <w:autoSpaceDN/>
              <w:bidi w:val="0"/>
              <w:adjustRightInd/>
              <w:spacing w:line="380" w:lineRule="exact"/>
              <w:textAlignment w:val="auto"/>
              <w:rPr>
                <w:rFonts w:ascii="宋体" w:hAnsi="宋体" w:cs="宋体"/>
                <w:sz w:val="24"/>
                <w:szCs w:val="24"/>
              </w:rPr>
            </w:pPr>
            <w:r>
              <w:rPr>
                <w:rFonts w:hint="eastAsia" w:ascii="宋体" w:hAnsi="宋体" w:cs="宋体"/>
                <w:sz w:val="24"/>
                <w:szCs w:val="24"/>
                <w:highlight w:val="none"/>
              </w:rPr>
              <w:t>企业近三年（20</w:t>
            </w:r>
            <w:r>
              <w:rPr>
                <w:rFonts w:hint="eastAsia" w:ascii="宋体" w:hAnsi="宋体" w:cs="宋体"/>
                <w:sz w:val="24"/>
                <w:szCs w:val="24"/>
                <w:highlight w:val="none"/>
                <w:lang w:val="en-US" w:eastAsia="zh-CN"/>
              </w:rPr>
              <w:t>23</w:t>
            </w:r>
            <w:r>
              <w:rPr>
                <w:rFonts w:hint="eastAsia" w:ascii="宋体" w:hAnsi="宋体" w:cs="宋体"/>
                <w:sz w:val="24"/>
                <w:szCs w:val="24"/>
                <w:highlight w:val="none"/>
              </w:rPr>
              <w:t>年</w:t>
            </w:r>
            <w:r>
              <w:rPr>
                <w:rFonts w:hint="eastAsia" w:ascii="宋体" w:hAnsi="宋体" w:cs="宋体"/>
                <w:sz w:val="24"/>
                <w:szCs w:val="24"/>
                <w:highlight w:val="none"/>
                <w:lang w:val="en-US" w:eastAsia="zh-CN"/>
              </w:rPr>
              <w:t>0</w:t>
            </w:r>
            <w:r>
              <w:rPr>
                <w:rFonts w:hint="eastAsia" w:ascii="宋体" w:hAnsi="宋体" w:cs="宋体"/>
                <w:sz w:val="24"/>
                <w:szCs w:val="24"/>
                <w:highlight w:val="none"/>
              </w:rPr>
              <w:t>1月</w:t>
            </w:r>
            <w:r>
              <w:rPr>
                <w:rFonts w:hint="eastAsia" w:ascii="宋体" w:hAnsi="宋体" w:cs="宋体"/>
                <w:sz w:val="24"/>
                <w:szCs w:val="24"/>
                <w:highlight w:val="none"/>
                <w:lang w:val="en-US" w:eastAsia="zh-CN"/>
              </w:rPr>
              <w:t>0</w:t>
            </w:r>
            <w:r>
              <w:rPr>
                <w:rFonts w:hint="eastAsia" w:ascii="宋体" w:hAnsi="宋体" w:cs="宋体"/>
                <w:sz w:val="24"/>
                <w:szCs w:val="24"/>
                <w:highlight w:val="none"/>
              </w:rPr>
              <w:t>1日至投标截止之日）所承揽的</w:t>
            </w:r>
            <w:r>
              <w:rPr>
                <w:rFonts w:hint="eastAsia" w:ascii="宋体" w:hAnsi="宋体" w:cs="宋体"/>
                <w:sz w:val="24"/>
                <w:szCs w:val="24"/>
                <w:highlight w:val="none"/>
                <w:lang w:val="en-US" w:eastAsia="zh-CN"/>
              </w:rPr>
              <w:t>建筑</w:t>
            </w:r>
            <w:r>
              <w:rPr>
                <w:rFonts w:hint="eastAsia" w:ascii="宋体" w:hAnsi="宋体" w:cs="宋体"/>
                <w:sz w:val="24"/>
                <w:szCs w:val="24"/>
                <w:highlight w:val="none"/>
              </w:rPr>
              <w:t>工程业绩，每有一项得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分，最高得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分。注：以中标通知书</w:t>
            </w:r>
            <w:r>
              <w:rPr>
                <w:rFonts w:hint="eastAsia" w:ascii="宋体" w:hAnsi="宋体" w:cs="宋体"/>
                <w:sz w:val="24"/>
                <w:szCs w:val="24"/>
                <w:highlight w:val="none"/>
                <w:lang w:val="en-US" w:eastAsia="zh-CN"/>
              </w:rPr>
              <w:t>或</w:t>
            </w:r>
            <w:r>
              <w:rPr>
                <w:rFonts w:hint="eastAsia" w:ascii="宋体" w:hAnsi="宋体" w:cs="宋体"/>
                <w:sz w:val="24"/>
                <w:szCs w:val="24"/>
                <w:highlight w:val="none"/>
              </w:rPr>
              <w:t>施工合同为依据。</w:t>
            </w:r>
          </w:p>
        </w:tc>
      </w:tr>
      <w:tr w14:paraId="59E1A2C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cantSplit/>
          <w:trHeight w:val="949" w:hRule="atLeast"/>
          <w:jc w:val="center"/>
        </w:trPr>
        <w:tc>
          <w:tcPr>
            <w:tcW w:w="926" w:type="dxa"/>
            <w:vMerge w:val="continue"/>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36301081">
            <w:pPr>
              <w:keepNext w:val="0"/>
              <w:keepLines w:val="0"/>
              <w:pageBreakBefore w:val="0"/>
              <w:kinsoku/>
              <w:wordWrap/>
              <w:overflowPunct/>
              <w:topLinePunct w:val="0"/>
              <w:autoSpaceDE/>
              <w:autoSpaceDN/>
              <w:bidi w:val="0"/>
              <w:adjustRightInd/>
              <w:spacing w:line="380" w:lineRule="exact"/>
              <w:jc w:val="center"/>
              <w:textAlignment w:val="auto"/>
              <w:rPr>
                <w:rFonts w:ascii="宋体" w:hAnsi="宋体" w:cs="宋体"/>
                <w:sz w:val="24"/>
                <w:szCs w:val="24"/>
              </w:rPr>
            </w:pPr>
          </w:p>
        </w:tc>
        <w:tc>
          <w:tcPr>
            <w:tcW w:w="766" w:type="dxa"/>
            <w:vMerge w:val="continue"/>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4404B9F1">
            <w:pPr>
              <w:keepNext w:val="0"/>
              <w:keepLines w:val="0"/>
              <w:pageBreakBefore w:val="0"/>
              <w:kinsoku/>
              <w:wordWrap/>
              <w:overflowPunct/>
              <w:topLinePunct w:val="0"/>
              <w:autoSpaceDE/>
              <w:autoSpaceDN/>
              <w:bidi w:val="0"/>
              <w:adjustRightInd/>
              <w:spacing w:line="380" w:lineRule="exact"/>
              <w:jc w:val="left"/>
              <w:textAlignment w:val="auto"/>
              <w:rPr>
                <w:rFonts w:ascii="宋体" w:hAnsi="宋体" w:cs="宋体"/>
                <w:sz w:val="24"/>
                <w:szCs w:val="24"/>
              </w:rPr>
            </w:pPr>
          </w:p>
        </w:tc>
        <w:tc>
          <w:tcPr>
            <w:tcW w:w="1242" w:type="dxa"/>
            <w:vMerge w:val="continue"/>
            <w:tcBorders>
              <w:top w:val="single" w:color="auto" w:sz="4" w:space="0"/>
              <w:left w:val="single" w:color="auto" w:sz="4" w:space="0"/>
              <w:bottom w:val="single" w:color="auto" w:sz="4" w:space="0"/>
              <w:right w:val="single" w:color="auto" w:sz="4" w:space="0"/>
            </w:tcBorders>
            <w:tcMar>
              <w:top w:w="113" w:type="dxa"/>
              <w:left w:w="113" w:type="dxa"/>
              <w:bottom w:w="0" w:type="dxa"/>
              <w:right w:w="113" w:type="dxa"/>
            </w:tcMar>
            <w:vAlign w:val="center"/>
          </w:tcPr>
          <w:p w14:paraId="48D94505">
            <w:pPr>
              <w:keepNext w:val="0"/>
              <w:keepLines w:val="0"/>
              <w:pageBreakBefore w:val="0"/>
              <w:kinsoku/>
              <w:wordWrap/>
              <w:overflowPunct/>
              <w:topLinePunct w:val="0"/>
              <w:autoSpaceDE/>
              <w:autoSpaceDN/>
              <w:bidi w:val="0"/>
              <w:adjustRightInd/>
              <w:snapToGrid/>
              <w:spacing w:line="380" w:lineRule="exact"/>
              <w:jc w:val="center"/>
              <w:textAlignment w:val="auto"/>
              <w:rPr>
                <w:rFonts w:ascii="宋体" w:hAnsi="宋体" w:cs="宋体"/>
                <w:sz w:val="24"/>
                <w:szCs w:val="24"/>
              </w:rPr>
            </w:pPr>
          </w:p>
        </w:tc>
        <w:tc>
          <w:tcPr>
            <w:tcW w:w="1718" w:type="dxa"/>
            <w:tcBorders>
              <w:top w:val="single" w:color="auto" w:sz="6" w:space="0"/>
              <w:left w:val="single" w:color="auto" w:sz="4" w:space="0"/>
              <w:bottom w:val="single" w:color="auto" w:sz="6" w:space="0"/>
              <w:right w:val="single" w:color="auto" w:sz="6" w:space="0"/>
            </w:tcBorders>
            <w:tcMar>
              <w:top w:w="113" w:type="dxa"/>
              <w:left w:w="113" w:type="dxa"/>
              <w:bottom w:w="0" w:type="dxa"/>
              <w:right w:w="113" w:type="dxa"/>
            </w:tcMar>
            <w:vAlign w:val="center"/>
          </w:tcPr>
          <w:p w14:paraId="138A9606">
            <w:pPr>
              <w:keepNext w:val="0"/>
              <w:keepLines w:val="0"/>
              <w:pageBreakBefore w:val="0"/>
              <w:kinsoku/>
              <w:wordWrap/>
              <w:overflowPunct/>
              <w:topLinePunct w:val="0"/>
              <w:autoSpaceDE/>
              <w:autoSpaceDN/>
              <w:bidi w:val="0"/>
              <w:adjustRightInd/>
              <w:spacing w:line="380" w:lineRule="exact"/>
              <w:jc w:val="center"/>
              <w:textAlignment w:val="auto"/>
              <w:rPr>
                <w:rFonts w:hint="eastAsia"/>
                <w:highlight w:val="none"/>
              </w:rPr>
            </w:pPr>
            <w:r>
              <w:rPr>
                <w:rFonts w:hint="eastAsia" w:ascii="宋体" w:hAnsi="宋体" w:eastAsia="宋体" w:cs="宋体"/>
                <w:sz w:val="24"/>
                <w:szCs w:val="24"/>
                <w:highlight w:val="none"/>
              </w:rPr>
              <w:t>企业财务状况</w:t>
            </w:r>
          </w:p>
          <w:p w14:paraId="45B11EC3">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(0-</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tc>
        <w:tc>
          <w:tcPr>
            <w:tcW w:w="5306" w:type="dxa"/>
            <w:tcBorders>
              <w:top w:val="single" w:color="auto" w:sz="6" w:space="0"/>
              <w:left w:val="single" w:color="auto" w:sz="6" w:space="0"/>
              <w:bottom w:val="single" w:color="auto" w:sz="6" w:space="0"/>
              <w:right w:val="single" w:color="auto" w:sz="6" w:space="0"/>
            </w:tcBorders>
            <w:tcMar>
              <w:top w:w="113" w:type="dxa"/>
              <w:left w:w="113" w:type="dxa"/>
              <w:bottom w:w="0" w:type="dxa"/>
              <w:right w:w="113" w:type="dxa"/>
            </w:tcMar>
            <w:vAlign w:val="center"/>
          </w:tcPr>
          <w:p w14:paraId="26E19CA2">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宋体" w:hAnsi="宋体" w:cs="宋体"/>
                <w:sz w:val="24"/>
                <w:szCs w:val="24"/>
                <w:highlight w:val="none"/>
              </w:rPr>
            </w:pPr>
            <w:r>
              <w:rPr>
                <w:rFonts w:hint="eastAsia" w:ascii="宋体" w:hAnsi="宋体" w:cs="宋体"/>
                <w:sz w:val="24"/>
                <w:szCs w:val="24"/>
                <w:highlight w:val="none"/>
              </w:rPr>
              <w:t>企业近三年（202</w:t>
            </w:r>
            <w:r>
              <w:rPr>
                <w:rFonts w:hint="eastAsia" w:ascii="宋体" w:hAnsi="宋体" w:cs="宋体"/>
                <w:sz w:val="24"/>
                <w:szCs w:val="24"/>
                <w:highlight w:val="none"/>
                <w:lang w:val="en-US" w:eastAsia="zh-CN"/>
              </w:rPr>
              <w:t>3</w:t>
            </w:r>
            <w:r>
              <w:rPr>
                <w:rFonts w:hint="eastAsia" w:ascii="宋体" w:hAnsi="宋体" w:cs="宋体"/>
                <w:sz w:val="24"/>
                <w:szCs w:val="24"/>
                <w:highlight w:val="none"/>
              </w:rPr>
              <w:t>年、202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年）经有资质的审计部门审计的财务审计报告，每提供一年得1分，本项最多得3分。</w:t>
            </w:r>
          </w:p>
          <w:p w14:paraId="1FAC2E34">
            <w:pPr>
              <w:keepNext w:val="0"/>
              <w:keepLines w:val="0"/>
              <w:pageBreakBefore w:val="0"/>
              <w:widowControl/>
              <w:kinsoku/>
              <w:wordWrap/>
              <w:overflowPunct/>
              <w:topLinePunct w:val="0"/>
              <w:autoSpaceDE/>
              <w:autoSpaceDN/>
              <w:bidi w:val="0"/>
              <w:adjustRightInd/>
              <w:snapToGrid/>
              <w:spacing w:line="380" w:lineRule="exact"/>
              <w:textAlignment w:val="auto"/>
              <w:rPr>
                <w:rFonts w:hint="default" w:eastAsia="宋体"/>
                <w:lang w:val="en-US" w:eastAsia="zh-CN"/>
              </w:rPr>
            </w:pPr>
            <w:r>
              <w:rPr>
                <w:rFonts w:hint="eastAsia" w:ascii="宋体" w:hAnsi="宋体" w:cs="宋体"/>
                <w:sz w:val="24"/>
                <w:szCs w:val="24"/>
                <w:highlight w:val="none"/>
              </w:rPr>
              <w:t>注：公司成立不满三年的，提供自成立以来年份的审计报告得3分，缺一年扣1分。</w:t>
            </w:r>
          </w:p>
        </w:tc>
      </w:tr>
    </w:tbl>
    <w:p w14:paraId="1CCC7EC0">
      <w:pPr>
        <w:keepNext w:val="0"/>
        <w:keepLines w:val="0"/>
        <w:pageBreakBefore w:val="0"/>
        <w:kinsoku/>
        <w:wordWrap/>
        <w:overflowPunct/>
        <w:topLinePunct w:val="0"/>
        <w:autoSpaceDE/>
        <w:autoSpaceDN/>
        <w:bidi w:val="0"/>
        <w:adjustRightInd/>
        <w:spacing w:line="380" w:lineRule="exact"/>
        <w:textAlignment w:val="auto"/>
        <w:rPr>
          <w:rFonts w:hint="eastAsia"/>
          <w:b/>
          <w:bCs/>
          <w:sz w:val="24"/>
          <w:szCs w:val="24"/>
          <w:highlight w:val="none"/>
        </w:rPr>
      </w:pPr>
      <w:bookmarkStart w:id="68" w:name="_Toc6211"/>
      <w:bookmarkStart w:id="69" w:name="_Toc31949"/>
      <w:bookmarkStart w:id="70" w:name="_Toc27886"/>
      <w:bookmarkStart w:id="71" w:name="_Toc464143411"/>
      <w:bookmarkStart w:id="72" w:name="_Toc15622"/>
      <w:bookmarkStart w:id="73" w:name="_Toc247527625"/>
      <w:bookmarkStart w:id="74" w:name="_Toc300835010"/>
      <w:bookmarkStart w:id="75" w:name="_Toc144974567"/>
      <w:bookmarkStart w:id="76" w:name="_Toc152042377"/>
      <w:bookmarkStart w:id="77" w:name="_Toc152045600"/>
      <w:bookmarkStart w:id="78" w:name="_Toc247514024"/>
      <w:bookmarkStart w:id="79" w:name="_Toc7618"/>
    </w:p>
    <w:p w14:paraId="3DF8DE28">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b/>
          <w:bCs/>
          <w:color w:val="000000"/>
          <w:sz w:val="24"/>
          <w:szCs w:val="24"/>
        </w:rPr>
      </w:pPr>
      <w:r>
        <w:rPr>
          <w:rFonts w:hint="eastAsia"/>
          <w:b/>
          <w:bCs/>
          <w:sz w:val="24"/>
          <w:szCs w:val="24"/>
          <w:highlight w:val="none"/>
        </w:rPr>
        <w:t>注：以上评分项涉及财务、业绩、人员的评分项均以上传的投标文件为准，否则不得分</w:t>
      </w:r>
      <w:r>
        <w:rPr>
          <w:rFonts w:hint="eastAsia"/>
          <w:b/>
          <w:bCs/>
          <w:sz w:val="24"/>
          <w:szCs w:val="24"/>
          <w:highlight w:val="none"/>
          <w:lang w:eastAsia="zh-CN"/>
        </w:rPr>
        <w:t>，</w:t>
      </w:r>
      <w:r>
        <w:rPr>
          <w:rFonts w:hint="eastAsia" w:ascii="宋体" w:hAnsi="宋体" w:eastAsia="宋体" w:cs="宋体"/>
          <w:b/>
          <w:bCs/>
          <w:color w:val="000000"/>
          <w:sz w:val="24"/>
          <w:lang w:val="en-US" w:eastAsia="zh-CN"/>
        </w:rPr>
        <w:t>如联合体投标，只需牵头单位提供。</w:t>
      </w:r>
    </w:p>
    <w:p w14:paraId="10CDBA3B">
      <w:pPr>
        <w:pageBreakBefore w:val="0"/>
        <w:kinsoku/>
        <w:wordWrap/>
        <w:overflowPunct/>
        <w:topLinePunct w:val="0"/>
        <w:autoSpaceDE/>
        <w:autoSpaceDN/>
        <w:bidi w:val="0"/>
        <w:adjustRightInd/>
        <w:snapToGrid/>
        <w:spacing w:before="0" w:after="0" w:line="420" w:lineRule="exact"/>
        <w:textAlignment w:val="auto"/>
        <w:outlineLvl w:val="9"/>
        <w:rPr>
          <w:b/>
          <w:bCs/>
          <w:color w:val="000000"/>
          <w:sz w:val="24"/>
          <w:szCs w:val="24"/>
        </w:rPr>
      </w:pPr>
      <w:r>
        <w:rPr>
          <w:rFonts w:hint="eastAsia" w:ascii="宋体" w:hAnsi="宋体"/>
          <w:b/>
          <w:bCs/>
          <w:color w:val="000000"/>
          <w:sz w:val="24"/>
          <w:szCs w:val="24"/>
        </w:rPr>
        <w:t>1. 评标方法</w:t>
      </w:r>
      <w:bookmarkEnd w:id="68"/>
      <w:bookmarkEnd w:id="69"/>
      <w:bookmarkEnd w:id="70"/>
      <w:bookmarkEnd w:id="71"/>
      <w:bookmarkEnd w:id="72"/>
      <w:bookmarkEnd w:id="73"/>
      <w:bookmarkEnd w:id="74"/>
      <w:bookmarkEnd w:id="75"/>
      <w:bookmarkEnd w:id="76"/>
      <w:bookmarkEnd w:id="77"/>
      <w:bookmarkEnd w:id="78"/>
      <w:bookmarkEnd w:id="79"/>
    </w:p>
    <w:p w14:paraId="18B5C241">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本次评标采用综合评估法。评标委员会对满足招标文件实质性要求的投标文件，按照本章第2.2款规定的评分标准进行打分，并按得分由高到低顺序推荐中标候选人，但投标报价低于其成本的除外。综合评分相等时，以投标报价低的优先；投标报价也相等的，由招标人或者经招标人授权评标委员会自行确定。</w:t>
      </w:r>
    </w:p>
    <w:p w14:paraId="5E6BCC2B">
      <w:pPr>
        <w:pageBreakBefore w:val="0"/>
        <w:kinsoku/>
        <w:wordWrap/>
        <w:overflowPunct/>
        <w:topLinePunct w:val="0"/>
        <w:autoSpaceDE/>
        <w:autoSpaceDN/>
        <w:bidi w:val="0"/>
        <w:adjustRightInd/>
        <w:snapToGrid/>
        <w:spacing w:before="0" w:after="0" w:line="420" w:lineRule="exact"/>
        <w:textAlignment w:val="auto"/>
        <w:outlineLvl w:val="9"/>
        <w:rPr>
          <w:rFonts w:ascii="宋体" w:hAnsi="宋体"/>
          <w:b/>
          <w:bCs/>
          <w:color w:val="000000"/>
          <w:sz w:val="24"/>
          <w:szCs w:val="24"/>
        </w:rPr>
      </w:pPr>
      <w:bookmarkStart w:id="80" w:name="_Toc25544"/>
      <w:bookmarkStart w:id="81" w:name="_Toc464143412"/>
      <w:bookmarkStart w:id="82" w:name="_Toc152045601"/>
      <w:bookmarkStart w:id="83" w:name="_Toc9444"/>
      <w:bookmarkStart w:id="84" w:name="_Toc144974568"/>
      <w:bookmarkStart w:id="85" w:name="_Toc25562"/>
      <w:bookmarkStart w:id="86" w:name="_Toc554"/>
      <w:bookmarkStart w:id="87" w:name="_Toc152042378"/>
      <w:bookmarkStart w:id="88" w:name="_Toc247527626"/>
      <w:bookmarkStart w:id="89" w:name="_Toc9127"/>
      <w:bookmarkStart w:id="90" w:name="_Toc300835011"/>
      <w:bookmarkStart w:id="91" w:name="_Toc247514025"/>
      <w:r>
        <w:rPr>
          <w:rFonts w:hint="eastAsia" w:ascii="宋体" w:hAnsi="宋体"/>
          <w:b/>
          <w:bCs/>
          <w:color w:val="000000"/>
          <w:sz w:val="24"/>
          <w:szCs w:val="24"/>
        </w:rPr>
        <w:t>2. 评审标准</w:t>
      </w:r>
      <w:bookmarkEnd w:id="80"/>
      <w:bookmarkEnd w:id="81"/>
      <w:bookmarkEnd w:id="82"/>
      <w:bookmarkEnd w:id="83"/>
      <w:bookmarkEnd w:id="84"/>
      <w:bookmarkEnd w:id="85"/>
      <w:bookmarkEnd w:id="86"/>
      <w:bookmarkEnd w:id="87"/>
      <w:bookmarkEnd w:id="88"/>
      <w:bookmarkEnd w:id="89"/>
      <w:bookmarkEnd w:id="90"/>
      <w:bookmarkEnd w:id="91"/>
    </w:p>
    <w:p w14:paraId="0C6B5EA3">
      <w:pPr>
        <w:pageBreakBefore w:val="0"/>
        <w:kinsoku/>
        <w:wordWrap/>
        <w:overflowPunct/>
        <w:topLinePunct w:val="0"/>
        <w:autoSpaceDE/>
        <w:autoSpaceDN/>
        <w:bidi w:val="0"/>
        <w:adjustRightInd/>
        <w:snapToGrid/>
        <w:spacing w:before="0" w:after="0" w:line="420" w:lineRule="exact"/>
        <w:ind w:firstLine="480" w:firstLineChars="200"/>
        <w:textAlignment w:val="auto"/>
        <w:outlineLvl w:val="9"/>
        <w:rPr>
          <w:rFonts w:ascii="宋体"/>
          <w:b w:val="0"/>
          <w:bCs w:val="0"/>
          <w:color w:val="000000"/>
          <w:sz w:val="24"/>
          <w:szCs w:val="24"/>
        </w:rPr>
      </w:pPr>
      <w:bookmarkStart w:id="92" w:name="_Toc144974569"/>
      <w:bookmarkStart w:id="93" w:name="_Toc6079"/>
      <w:bookmarkStart w:id="94" w:name="_Toc464143413"/>
      <w:bookmarkStart w:id="95" w:name="_Toc152042379"/>
      <w:bookmarkStart w:id="96" w:name="_Toc9900"/>
      <w:bookmarkStart w:id="97" w:name="_Toc300835012"/>
      <w:bookmarkStart w:id="98" w:name="_Toc24001"/>
      <w:bookmarkStart w:id="99" w:name="_Toc12051"/>
      <w:bookmarkStart w:id="100" w:name="_Toc247514026"/>
      <w:bookmarkStart w:id="101" w:name="_Toc152045602"/>
      <w:bookmarkStart w:id="102" w:name="_Toc27014"/>
      <w:bookmarkStart w:id="103" w:name="_Toc247527627"/>
      <w:r>
        <w:rPr>
          <w:rFonts w:hint="eastAsia" w:ascii="宋体"/>
          <w:b w:val="0"/>
          <w:bCs w:val="0"/>
          <w:color w:val="000000"/>
          <w:sz w:val="24"/>
          <w:szCs w:val="24"/>
        </w:rPr>
        <w:t>2.1 初步评审标准</w:t>
      </w:r>
      <w:bookmarkEnd w:id="92"/>
      <w:bookmarkEnd w:id="93"/>
      <w:bookmarkEnd w:id="94"/>
      <w:bookmarkEnd w:id="95"/>
      <w:bookmarkEnd w:id="96"/>
      <w:bookmarkEnd w:id="97"/>
      <w:bookmarkEnd w:id="98"/>
      <w:bookmarkEnd w:id="99"/>
      <w:bookmarkEnd w:id="100"/>
      <w:bookmarkEnd w:id="101"/>
      <w:bookmarkEnd w:id="102"/>
      <w:bookmarkEnd w:id="103"/>
    </w:p>
    <w:p w14:paraId="564F2A31">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2.1.1 形式评审标准：见评标办法前附表。</w:t>
      </w:r>
    </w:p>
    <w:p w14:paraId="6AE4ED02">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2.1.2 资格评审标准：见评标办法前附表。</w:t>
      </w:r>
    </w:p>
    <w:p w14:paraId="01C63817">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2.1.3 响应性评审标准：见评标办法前附表。</w:t>
      </w:r>
    </w:p>
    <w:p w14:paraId="74BB42C4">
      <w:pPr>
        <w:pageBreakBefore w:val="0"/>
        <w:kinsoku/>
        <w:wordWrap/>
        <w:overflowPunct/>
        <w:topLinePunct w:val="0"/>
        <w:autoSpaceDE/>
        <w:autoSpaceDN/>
        <w:bidi w:val="0"/>
        <w:adjustRightInd/>
        <w:snapToGrid/>
        <w:spacing w:before="0" w:after="0" w:line="420" w:lineRule="exact"/>
        <w:ind w:firstLine="480" w:firstLineChars="200"/>
        <w:textAlignment w:val="auto"/>
        <w:outlineLvl w:val="9"/>
        <w:rPr>
          <w:rFonts w:ascii="宋体"/>
          <w:b w:val="0"/>
          <w:bCs w:val="0"/>
          <w:color w:val="000000"/>
          <w:sz w:val="24"/>
          <w:szCs w:val="24"/>
        </w:rPr>
      </w:pPr>
      <w:bookmarkStart w:id="104" w:name="_Toc300835013"/>
      <w:bookmarkStart w:id="105" w:name="_Toc464143414"/>
      <w:bookmarkStart w:id="106" w:name="_Toc17084"/>
      <w:bookmarkStart w:id="107" w:name="_Toc17271"/>
      <w:bookmarkStart w:id="108" w:name="_Toc247514027"/>
      <w:bookmarkStart w:id="109" w:name="_Toc20202"/>
      <w:bookmarkStart w:id="110" w:name="_Toc152042380"/>
      <w:bookmarkStart w:id="111" w:name="_Toc144974570"/>
      <w:bookmarkStart w:id="112" w:name="_Toc20706"/>
      <w:bookmarkStart w:id="113" w:name="_Toc247527628"/>
      <w:bookmarkStart w:id="114" w:name="_Toc152045603"/>
      <w:bookmarkStart w:id="115" w:name="_Toc18059"/>
      <w:r>
        <w:rPr>
          <w:rFonts w:hint="eastAsia" w:ascii="宋体"/>
          <w:b w:val="0"/>
          <w:bCs w:val="0"/>
          <w:color w:val="000000"/>
          <w:sz w:val="24"/>
          <w:szCs w:val="24"/>
        </w:rPr>
        <w:t>2.2 分值构成与评分标准</w:t>
      </w:r>
      <w:bookmarkEnd w:id="104"/>
      <w:bookmarkEnd w:id="105"/>
      <w:bookmarkEnd w:id="106"/>
      <w:bookmarkEnd w:id="107"/>
      <w:bookmarkEnd w:id="108"/>
      <w:bookmarkEnd w:id="109"/>
      <w:bookmarkEnd w:id="110"/>
      <w:bookmarkEnd w:id="111"/>
      <w:bookmarkEnd w:id="112"/>
      <w:bookmarkEnd w:id="113"/>
      <w:bookmarkEnd w:id="114"/>
      <w:bookmarkEnd w:id="115"/>
    </w:p>
    <w:p w14:paraId="7FBFE8F2">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2.2.1 分值构成</w:t>
      </w:r>
    </w:p>
    <w:p w14:paraId="64C94245">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s="宋体"/>
          <w:sz w:val="24"/>
          <w:szCs w:val="24"/>
        </w:rPr>
      </w:pPr>
      <w:r>
        <w:rPr>
          <w:rFonts w:hint="eastAsia" w:ascii="宋体" w:hAnsi="宋体" w:cs="宋体"/>
          <w:sz w:val="24"/>
          <w:szCs w:val="24"/>
        </w:rPr>
        <w:t>（1）投标报价：见评标办法前附表；</w:t>
      </w:r>
    </w:p>
    <w:p w14:paraId="0A4FAEDD">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s="宋体"/>
          <w:sz w:val="24"/>
          <w:szCs w:val="24"/>
        </w:rPr>
      </w:pPr>
      <w:r>
        <w:rPr>
          <w:rFonts w:hint="eastAsia" w:ascii="宋体" w:hAnsi="宋体" w:cs="宋体"/>
          <w:sz w:val="24"/>
          <w:szCs w:val="24"/>
        </w:rPr>
        <w:t>（2）技术部分：见评标办法前附表；</w:t>
      </w:r>
    </w:p>
    <w:p w14:paraId="4B15CEB2">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s="宋体"/>
          <w:sz w:val="24"/>
          <w:szCs w:val="24"/>
        </w:rPr>
        <w:t>（3）商务部分：见评标办法前附表。</w:t>
      </w:r>
    </w:p>
    <w:p w14:paraId="05B8E4C5">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2.2.2 评标基准价计算</w:t>
      </w:r>
    </w:p>
    <w:p w14:paraId="4030EAE3">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评标基准价计算方法：见评标办法前附表。</w:t>
      </w:r>
    </w:p>
    <w:p w14:paraId="3C7BC65C">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2.2.3 投标报价的偏差率计算</w:t>
      </w:r>
    </w:p>
    <w:p w14:paraId="3786784B">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投标报价的偏差率计算公式：见评标办法前附表。</w:t>
      </w:r>
    </w:p>
    <w:p w14:paraId="4A89B3E4">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2.2.4 评分标准</w:t>
      </w:r>
    </w:p>
    <w:p w14:paraId="3A1AD392">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s="宋体"/>
          <w:sz w:val="24"/>
          <w:szCs w:val="24"/>
        </w:rPr>
      </w:pPr>
      <w:bookmarkStart w:id="116" w:name="_Toc247527629"/>
      <w:bookmarkStart w:id="117" w:name="_Toc247514028"/>
      <w:bookmarkStart w:id="118" w:name="_Toc300835014"/>
      <w:bookmarkStart w:id="119" w:name="_Toc144974571"/>
      <w:bookmarkStart w:id="120" w:name="_Toc152042381"/>
      <w:bookmarkStart w:id="121" w:name="_Toc152045604"/>
      <w:bookmarkStart w:id="122" w:name="_Toc464143415"/>
      <w:r>
        <w:rPr>
          <w:rFonts w:hint="eastAsia" w:ascii="宋体" w:hAnsi="宋体" w:cs="宋体"/>
          <w:sz w:val="24"/>
          <w:szCs w:val="24"/>
        </w:rPr>
        <w:t>（1）投标报价：见评标办法前附表；</w:t>
      </w:r>
    </w:p>
    <w:p w14:paraId="31AA77EF">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s="宋体"/>
          <w:sz w:val="24"/>
          <w:szCs w:val="24"/>
        </w:rPr>
      </w:pPr>
      <w:r>
        <w:rPr>
          <w:rFonts w:hint="eastAsia" w:ascii="宋体" w:hAnsi="宋体" w:cs="宋体"/>
          <w:sz w:val="24"/>
          <w:szCs w:val="24"/>
        </w:rPr>
        <w:t>（2）技术部分：见评标办法前附表；</w:t>
      </w:r>
    </w:p>
    <w:p w14:paraId="3E773928">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s="宋体"/>
          <w:sz w:val="24"/>
          <w:szCs w:val="24"/>
        </w:rPr>
        <w:t>（3）商务部分：见评标办法前附表。</w:t>
      </w:r>
    </w:p>
    <w:p w14:paraId="748D0300">
      <w:pPr>
        <w:pageBreakBefore w:val="0"/>
        <w:kinsoku/>
        <w:wordWrap/>
        <w:overflowPunct/>
        <w:topLinePunct w:val="0"/>
        <w:autoSpaceDE/>
        <w:autoSpaceDN/>
        <w:bidi w:val="0"/>
        <w:adjustRightInd/>
        <w:snapToGrid/>
        <w:spacing w:before="0" w:after="0" w:line="420" w:lineRule="exact"/>
        <w:textAlignment w:val="auto"/>
        <w:outlineLvl w:val="9"/>
        <w:rPr>
          <w:rFonts w:ascii="宋体" w:hAnsi="宋体"/>
          <w:b/>
          <w:bCs/>
          <w:color w:val="000000"/>
          <w:sz w:val="24"/>
          <w:szCs w:val="24"/>
        </w:rPr>
      </w:pPr>
      <w:bookmarkStart w:id="123" w:name="_Toc2728"/>
      <w:bookmarkStart w:id="124" w:name="_Toc7102"/>
      <w:bookmarkStart w:id="125" w:name="_Toc4062"/>
      <w:bookmarkStart w:id="126" w:name="_Toc5505"/>
      <w:bookmarkStart w:id="127" w:name="_Toc8944"/>
      <w:r>
        <w:rPr>
          <w:rFonts w:hint="eastAsia" w:ascii="宋体" w:hAnsi="宋体"/>
          <w:b/>
          <w:bCs/>
          <w:color w:val="000000"/>
          <w:sz w:val="24"/>
          <w:szCs w:val="24"/>
        </w:rPr>
        <w:t>3. 评标程序</w:t>
      </w:r>
      <w:bookmarkEnd w:id="116"/>
      <w:bookmarkEnd w:id="117"/>
      <w:bookmarkEnd w:id="118"/>
      <w:bookmarkEnd w:id="119"/>
      <w:bookmarkEnd w:id="120"/>
      <w:bookmarkEnd w:id="121"/>
      <w:bookmarkEnd w:id="122"/>
      <w:bookmarkEnd w:id="123"/>
      <w:bookmarkEnd w:id="124"/>
      <w:bookmarkEnd w:id="125"/>
      <w:bookmarkEnd w:id="126"/>
      <w:bookmarkEnd w:id="127"/>
    </w:p>
    <w:p w14:paraId="53EF1C31">
      <w:pPr>
        <w:pageBreakBefore w:val="0"/>
        <w:kinsoku/>
        <w:wordWrap/>
        <w:overflowPunct/>
        <w:topLinePunct w:val="0"/>
        <w:autoSpaceDE/>
        <w:autoSpaceDN/>
        <w:bidi w:val="0"/>
        <w:adjustRightInd/>
        <w:snapToGrid/>
        <w:spacing w:before="0" w:after="0" w:line="420" w:lineRule="exact"/>
        <w:ind w:firstLine="480" w:firstLineChars="200"/>
        <w:textAlignment w:val="auto"/>
        <w:outlineLvl w:val="9"/>
        <w:rPr>
          <w:rFonts w:ascii="宋体"/>
          <w:b w:val="0"/>
          <w:bCs w:val="0"/>
          <w:color w:val="000000"/>
          <w:sz w:val="24"/>
          <w:szCs w:val="24"/>
        </w:rPr>
      </w:pPr>
      <w:bookmarkStart w:id="128" w:name="_Toc8745"/>
      <w:bookmarkStart w:id="129" w:name="_Toc11168"/>
      <w:bookmarkStart w:id="130" w:name="_Toc464143416"/>
      <w:bookmarkStart w:id="131" w:name="_Toc18117"/>
      <w:bookmarkStart w:id="132" w:name="_Toc32117"/>
      <w:bookmarkStart w:id="133" w:name="_Toc144974572"/>
      <w:bookmarkStart w:id="134" w:name="_Toc300835015"/>
      <w:bookmarkStart w:id="135" w:name="_Toc152042382"/>
      <w:bookmarkStart w:id="136" w:name="_Toc247527630"/>
      <w:bookmarkStart w:id="137" w:name="_Toc1460"/>
      <w:bookmarkStart w:id="138" w:name="_Toc152045605"/>
      <w:bookmarkStart w:id="139" w:name="_Toc247514029"/>
      <w:r>
        <w:rPr>
          <w:rFonts w:hint="eastAsia" w:ascii="宋体"/>
          <w:b w:val="0"/>
          <w:bCs w:val="0"/>
          <w:color w:val="000000"/>
          <w:sz w:val="24"/>
          <w:szCs w:val="24"/>
        </w:rPr>
        <w:t>3.1 初步评审</w:t>
      </w:r>
      <w:bookmarkEnd w:id="128"/>
      <w:bookmarkEnd w:id="129"/>
      <w:bookmarkEnd w:id="130"/>
      <w:bookmarkEnd w:id="131"/>
      <w:bookmarkEnd w:id="132"/>
      <w:bookmarkEnd w:id="133"/>
      <w:bookmarkEnd w:id="134"/>
      <w:bookmarkEnd w:id="135"/>
      <w:bookmarkEnd w:id="136"/>
      <w:bookmarkEnd w:id="137"/>
      <w:bookmarkEnd w:id="138"/>
      <w:bookmarkEnd w:id="139"/>
    </w:p>
    <w:p w14:paraId="3C9ED1AD">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 xml:space="preserve">3.1.1 </w:t>
      </w:r>
      <w:r>
        <w:rPr>
          <w:rFonts w:hint="eastAsia" w:ascii="宋体" w:hAnsi="宋体"/>
          <w:color w:val="000000"/>
          <w:sz w:val="24"/>
        </w:rPr>
        <w:t>评标委员会依据本章规定的标准对投标文件进行初步评审。有一项不符合评审标准的，评标委员会应当否决其投标。</w:t>
      </w:r>
    </w:p>
    <w:p w14:paraId="628AF29F">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3.1.2 投标人有以下情形之一的，评标委员会应当否决其投标：</w:t>
      </w:r>
    </w:p>
    <w:p w14:paraId="2E830499">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（1）第二章“投标人须知”第5.3项规定的任何一种情形的；</w:t>
      </w:r>
    </w:p>
    <w:p w14:paraId="06C80A5E">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（2）串通投标或弄虚作假或有其他违法行为的；</w:t>
      </w:r>
    </w:p>
    <w:p w14:paraId="0674B01B">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（3）不按评标委员会要求澄清、说明或补正的；</w:t>
      </w:r>
    </w:p>
    <w:p w14:paraId="42B561A7">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（4）法律、法规规定的其他情形。</w:t>
      </w:r>
    </w:p>
    <w:p w14:paraId="1D09C4CA">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3.1.3 投标报价有算术错误的，评标委员会按以下原则对投标报价进行修正，修正的价格经投标人书面确认后具有约束力。投标人不接受修正价格的，评标委员会应当否决其投标。</w:t>
      </w:r>
    </w:p>
    <w:p w14:paraId="029B7E04">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bookmarkStart w:id="140" w:name="_Toc152042383"/>
      <w:r>
        <w:rPr>
          <w:rFonts w:hint="eastAsia" w:ascii="宋体" w:hAnsi="宋体"/>
          <w:color w:val="000000"/>
          <w:sz w:val="24"/>
          <w:szCs w:val="24"/>
        </w:rPr>
        <w:t>（1）投标文件中的大写金额与小写金额不一致的，以大写金额为准；</w:t>
      </w:r>
      <w:bookmarkEnd w:id="140"/>
    </w:p>
    <w:p w14:paraId="7E8F9C1E">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（2）总价金额与依据单价计算出的结果不一致的，以单价金额为准修正总价，但单价金额小数点有明显错误的除外。</w:t>
      </w:r>
    </w:p>
    <w:p w14:paraId="5C7BCEED">
      <w:pPr>
        <w:pageBreakBefore w:val="0"/>
        <w:kinsoku/>
        <w:wordWrap/>
        <w:overflowPunct/>
        <w:topLinePunct w:val="0"/>
        <w:autoSpaceDE/>
        <w:autoSpaceDN/>
        <w:bidi w:val="0"/>
        <w:adjustRightInd/>
        <w:snapToGrid/>
        <w:spacing w:before="0" w:after="0" w:line="420" w:lineRule="exact"/>
        <w:ind w:firstLine="480" w:firstLineChars="200"/>
        <w:textAlignment w:val="auto"/>
        <w:outlineLvl w:val="9"/>
        <w:rPr>
          <w:rFonts w:ascii="宋体"/>
          <w:b w:val="0"/>
          <w:bCs w:val="0"/>
          <w:color w:val="000000"/>
          <w:sz w:val="24"/>
          <w:szCs w:val="24"/>
        </w:rPr>
      </w:pPr>
      <w:bookmarkStart w:id="141" w:name="_Toc12498"/>
      <w:bookmarkStart w:id="142" w:name="_Toc247514030"/>
      <w:bookmarkStart w:id="143" w:name="_Toc21254"/>
      <w:bookmarkStart w:id="144" w:name="_Toc152045606"/>
      <w:bookmarkStart w:id="145" w:name="_Toc247527631"/>
      <w:bookmarkStart w:id="146" w:name="_Toc144974573"/>
      <w:bookmarkStart w:id="147" w:name="_Toc464143417"/>
      <w:bookmarkStart w:id="148" w:name="_Toc6901"/>
      <w:bookmarkStart w:id="149" w:name="_Toc5617"/>
      <w:bookmarkStart w:id="150" w:name="_Toc5536"/>
      <w:bookmarkStart w:id="151" w:name="_Toc152042384"/>
      <w:bookmarkStart w:id="152" w:name="_Toc300835016"/>
      <w:r>
        <w:rPr>
          <w:rFonts w:hint="eastAsia" w:ascii="宋体"/>
          <w:b w:val="0"/>
          <w:bCs w:val="0"/>
          <w:color w:val="000000"/>
          <w:sz w:val="24"/>
          <w:szCs w:val="24"/>
        </w:rPr>
        <w:t>3.2 详细评审</w:t>
      </w:r>
      <w:bookmarkEnd w:id="141"/>
      <w:bookmarkEnd w:id="142"/>
      <w:bookmarkEnd w:id="143"/>
      <w:bookmarkEnd w:id="144"/>
      <w:bookmarkEnd w:id="145"/>
      <w:bookmarkEnd w:id="146"/>
      <w:bookmarkEnd w:id="147"/>
      <w:bookmarkEnd w:id="148"/>
      <w:bookmarkEnd w:id="149"/>
      <w:bookmarkEnd w:id="150"/>
      <w:bookmarkEnd w:id="151"/>
      <w:bookmarkEnd w:id="152"/>
    </w:p>
    <w:p w14:paraId="2800763C">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3.2.1 评标委员会按本章第2.2款规定的量化因素和分值进行打分，并计算出综合评估得分。</w:t>
      </w:r>
    </w:p>
    <w:p w14:paraId="23B4A22C">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s="宋体"/>
          <w:sz w:val="24"/>
          <w:szCs w:val="24"/>
        </w:rPr>
      </w:pPr>
      <w:r>
        <w:rPr>
          <w:rFonts w:hint="eastAsia" w:ascii="宋体" w:hAnsi="宋体" w:cs="宋体"/>
          <w:sz w:val="24"/>
          <w:szCs w:val="24"/>
        </w:rPr>
        <w:t>（1）按本章第2.2.4（1）目规定的评审因素和分值对投标报价计算出得分A；</w:t>
      </w:r>
    </w:p>
    <w:p w14:paraId="30EF3A7F">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s="宋体"/>
          <w:sz w:val="24"/>
          <w:szCs w:val="24"/>
        </w:rPr>
      </w:pPr>
      <w:r>
        <w:rPr>
          <w:rFonts w:hint="eastAsia" w:ascii="宋体" w:hAnsi="宋体" w:cs="宋体"/>
          <w:sz w:val="24"/>
          <w:szCs w:val="24"/>
        </w:rPr>
        <w:t>（2）按本章第2.2.4（2）目规定的评审因素和分值对技术部分计算出得分B；（</w:t>
      </w:r>
      <w:r>
        <w:rPr>
          <w:rFonts w:hint="eastAsia" w:ascii="宋体" w:hAnsi="宋体"/>
          <w:color w:val="000000"/>
          <w:sz w:val="24"/>
          <w:szCs w:val="24"/>
        </w:rPr>
        <w:t>评标委员会各评委评分的算术平均值即为投标人的最终得分</w:t>
      </w:r>
      <w:r>
        <w:rPr>
          <w:rFonts w:hint="eastAsia" w:ascii="宋体" w:hAnsi="宋体" w:cs="宋体"/>
          <w:sz w:val="24"/>
          <w:szCs w:val="24"/>
        </w:rPr>
        <w:t>）</w:t>
      </w:r>
    </w:p>
    <w:p w14:paraId="5E0846BB">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s="宋体"/>
          <w:sz w:val="24"/>
          <w:szCs w:val="24"/>
        </w:rPr>
      </w:pPr>
      <w:r>
        <w:rPr>
          <w:rFonts w:hint="eastAsia" w:ascii="宋体" w:hAnsi="宋体" w:cs="宋体"/>
          <w:sz w:val="24"/>
          <w:szCs w:val="24"/>
        </w:rPr>
        <w:t>（3）按本章第2.2.4（3）目规定的评审因素和分值对商务部分计算出得分C；（</w:t>
      </w:r>
      <w:r>
        <w:rPr>
          <w:rFonts w:hint="eastAsia" w:ascii="宋体" w:hAnsi="宋体"/>
          <w:color w:val="000000"/>
          <w:sz w:val="24"/>
          <w:szCs w:val="24"/>
        </w:rPr>
        <w:t>评标委员会各评委评分的算术平均值即为投标人的最终得分</w:t>
      </w:r>
      <w:r>
        <w:rPr>
          <w:rFonts w:hint="eastAsia" w:ascii="宋体" w:hAnsi="宋体" w:cs="宋体"/>
          <w:sz w:val="24"/>
          <w:szCs w:val="24"/>
        </w:rPr>
        <w:t>）</w:t>
      </w:r>
    </w:p>
    <w:p w14:paraId="683CF645">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3.2.2 评分分值计算保留小数点后两位，小数点后第三位“四舍五入”。</w:t>
      </w:r>
    </w:p>
    <w:p w14:paraId="4DBC95FD">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3.2.3 投标人得分=A+B+C。</w:t>
      </w:r>
    </w:p>
    <w:p w14:paraId="6633601E">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3.2.4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6678E016">
      <w:pPr>
        <w:pageBreakBefore w:val="0"/>
        <w:kinsoku/>
        <w:wordWrap/>
        <w:overflowPunct/>
        <w:topLinePunct w:val="0"/>
        <w:autoSpaceDE/>
        <w:autoSpaceDN/>
        <w:bidi w:val="0"/>
        <w:adjustRightInd/>
        <w:snapToGrid/>
        <w:spacing w:before="0" w:after="0" w:line="420" w:lineRule="exact"/>
        <w:ind w:firstLine="480" w:firstLineChars="200"/>
        <w:textAlignment w:val="auto"/>
        <w:outlineLvl w:val="9"/>
        <w:rPr>
          <w:rFonts w:ascii="宋体"/>
          <w:b w:val="0"/>
          <w:bCs w:val="0"/>
          <w:color w:val="000000"/>
          <w:sz w:val="24"/>
          <w:szCs w:val="24"/>
        </w:rPr>
      </w:pPr>
      <w:bookmarkStart w:id="153" w:name="_Toc144974575"/>
      <w:bookmarkStart w:id="154" w:name="_Toc9550"/>
      <w:bookmarkStart w:id="155" w:name="_Toc464143418"/>
      <w:bookmarkStart w:id="156" w:name="_Toc152042385"/>
      <w:bookmarkStart w:id="157" w:name="_Toc6763"/>
      <w:bookmarkStart w:id="158" w:name="_Toc18587"/>
      <w:bookmarkStart w:id="159" w:name="_Toc247514031"/>
      <w:bookmarkStart w:id="160" w:name="_Toc247527632"/>
      <w:bookmarkStart w:id="161" w:name="_Toc30818"/>
      <w:bookmarkStart w:id="162" w:name="_Toc152045607"/>
      <w:bookmarkStart w:id="163" w:name="_Toc300835017"/>
      <w:bookmarkStart w:id="164" w:name="_Toc13344"/>
      <w:r>
        <w:rPr>
          <w:rFonts w:hint="eastAsia" w:ascii="宋体"/>
          <w:b w:val="0"/>
          <w:bCs w:val="0"/>
          <w:color w:val="000000"/>
          <w:sz w:val="24"/>
          <w:szCs w:val="24"/>
        </w:rPr>
        <w:t>3.3 投标文件的澄清</w:t>
      </w:r>
      <w:bookmarkEnd w:id="153"/>
      <w:r>
        <w:rPr>
          <w:rFonts w:hint="eastAsia" w:ascii="宋体"/>
          <w:b w:val="0"/>
          <w:bCs w:val="0"/>
          <w:color w:val="000000"/>
          <w:sz w:val="24"/>
          <w:szCs w:val="24"/>
        </w:rPr>
        <w:t>和补正</w:t>
      </w:r>
      <w:bookmarkEnd w:id="154"/>
      <w:bookmarkEnd w:id="155"/>
      <w:bookmarkEnd w:id="156"/>
      <w:bookmarkEnd w:id="157"/>
      <w:bookmarkEnd w:id="158"/>
      <w:bookmarkEnd w:id="159"/>
      <w:bookmarkEnd w:id="160"/>
      <w:bookmarkEnd w:id="161"/>
      <w:bookmarkEnd w:id="162"/>
      <w:bookmarkEnd w:id="163"/>
      <w:bookmarkEnd w:id="164"/>
    </w:p>
    <w:p w14:paraId="02207703">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3.3.1 在评标过程中，评标委员会可以书面形式要求投标人对所提交投标文件中不明确的内容进行书面澄清或说明，或者对细微偏差进行补正。评标委员会不接受投标人主动提出的澄清、说明或补正。</w:t>
      </w:r>
    </w:p>
    <w:p w14:paraId="4DA97E84">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3.3.2 澄清、说明和补正不得改变投标文件的实质性内容。投标人的书面澄清、说明和补正属于投标文件的组成部分。</w:t>
      </w:r>
    </w:p>
    <w:p w14:paraId="07797F44">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b w:val="0"/>
          <w:bCs w:val="0"/>
          <w:color w:val="000000"/>
          <w:sz w:val="24"/>
          <w:szCs w:val="24"/>
        </w:rPr>
      </w:pPr>
      <w:r>
        <w:rPr>
          <w:rFonts w:hint="eastAsia" w:ascii="宋体" w:hAnsi="宋体"/>
          <w:color w:val="000000"/>
          <w:sz w:val="24"/>
          <w:szCs w:val="24"/>
        </w:rPr>
        <w:t>3.3.3 评标委员会对投标人提交的澄清、说明或补正有疑问的，可以要求投标人</w:t>
      </w:r>
      <w:r>
        <w:rPr>
          <w:rFonts w:hint="eastAsia" w:ascii="宋体" w:hAnsi="宋体"/>
          <w:b w:val="0"/>
          <w:bCs w:val="0"/>
          <w:color w:val="000000"/>
          <w:sz w:val="24"/>
          <w:szCs w:val="24"/>
        </w:rPr>
        <w:t>进一步澄清、说明或补正，直至满足评标委员会的要求。</w:t>
      </w:r>
    </w:p>
    <w:p w14:paraId="3D359A08">
      <w:pPr>
        <w:pageBreakBefore w:val="0"/>
        <w:kinsoku/>
        <w:wordWrap/>
        <w:overflowPunct/>
        <w:topLinePunct w:val="0"/>
        <w:autoSpaceDE/>
        <w:autoSpaceDN/>
        <w:bidi w:val="0"/>
        <w:adjustRightInd/>
        <w:snapToGrid/>
        <w:spacing w:before="0" w:after="0" w:line="420" w:lineRule="exact"/>
        <w:ind w:firstLine="480" w:firstLineChars="200"/>
        <w:textAlignment w:val="auto"/>
        <w:outlineLvl w:val="9"/>
        <w:rPr>
          <w:rFonts w:ascii="宋体"/>
          <w:b w:val="0"/>
          <w:bCs w:val="0"/>
          <w:color w:val="000000"/>
          <w:sz w:val="24"/>
          <w:szCs w:val="24"/>
        </w:rPr>
      </w:pPr>
      <w:bookmarkStart w:id="165" w:name="_Toc23636"/>
      <w:bookmarkStart w:id="166" w:name="_Toc144974576"/>
      <w:bookmarkStart w:id="167" w:name="_Toc247527633"/>
      <w:bookmarkStart w:id="168" w:name="_Toc5542"/>
      <w:bookmarkStart w:id="169" w:name="_Toc152042386"/>
      <w:bookmarkStart w:id="170" w:name="_Toc464143419"/>
      <w:bookmarkStart w:id="171" w:name="_Toc22050"/>
      <w:bookmarkStart w:id="172" w:name="_Toc3612"/>
      <w:bookmarkStart w:id="173" w:name="_Toc13729"/>
      <w:bookmarkStart w:id="174" w:name="_Toc152045608"/>
      <w:bookmarkStart w:id="175" w:name="_Toc300835018"/>
      <w:bookmarkStart w:id="176" w:name="_Toc247514032"/>
      <w:r>
        <w:rPr>
          <w:rFonts w:hint="eastAsia" w:ascii="宋体"/>
          <w:b w:val="0"/>
          <w:bCs w:val="0"/>
          <w:color w:val="000000"/>
          <w:sz w:val="24"/>
          <w:szCs w:val="24"/>
        </w:rPr>
        <w:t>3.4 评标结果</w:t>
      </w:r>
      <w:bookmarkEnd w:id="165"/>
      <w:bookmarkEnd w:id="166"/>
      <w:bookmarkEnd w:id="167"/>
      <w:bookmarkEnd w:id="168"/>
      <w:bookmarkEnd w:id="169"/>
      <w:bookmarkEnd w:id="170"/>
      <w:bookmarkEnd w:id="171"/>
      <w:bookmarkEnd w:id="172"/>
      <w:bookmarkEnd w:id="173"/>
      <w:bookmarkEnd w:id="174"/>
      <w:bookmarkEnd w:id="175"/>
      <w:bookmarkEnd w:id="176"/>
    </w:p>
    <w:p w14:paraId="31EEAECF">
      <w:pPr>
        <w:pageBreakBefore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color w:val="000000"/>
          <w:sz w:val="24"/>
          <w:szCs w:val="24"/>
        </w:rPr>
      </w:pPr>
      <w:r>
        <w:rPr>
          <w:rFonts w:hint="eastAsia" w:ascii="宋体" w:hAnsi="宋体"/>
          <w:color w:val="000000"/>
          <w:sz w:val="24"/>
          <w:szCs w:val="24"/>
        </w:rPr>
        <w:t>3.4.1 除第二章“投标人须知”前附表授权直接确定中标人外，评标委员会按照得分由高到低的顺序推荐中标候选人。</w:t>
      </w:r>
    </w:p>
    <w:p w14:paraId="1A05F2AE">
      <w:pPr>
        <w:pageBreakBefore w:val="0"/>
        <w:widowControl/>
        <w:kinsoku/>
        <w:wordWrap/>
        <w:overflowPunct/>
        <w:topLinePunct w:val="0"/>
        <w:autoSpaceDE/>
        <w:autoSpaceDN/>
        <w:bidi w:val="0"/>
        <w:adjustRightInd/>
        <w:snapToGrid/>
        <w:spacing w:line="420" w:lineRule="exact"/>
        <w:ind w:firstLine="480" w:firstLineChars="200"/>
        <w:jc w:val="left"/>
        <w:textAlignment w:val="auto"/>
        <w:outlineLvl w:val="9"/>
        <w:rPr>
          <w:rFonts w:ascii="Cambria" w:hAnsi="Cambria"/>
          <w:b/>
          <w:bCs/>
          <w:sz w:val="32"/>
          <w:szCs w:val="32"/>
        </w:rPr>
      </w:pPr>
      <w:r>
        <w:rPr>
          <w:rFonts w:hint="eastAsia" w:ascii="宋体" w:hAnsi="宋体"/>
          <w:color w:val="000000"/>
          <w:sz w:val="24"/>
          <w:szCs w:val="24"/>
        </w:rPr>
        <w:t>3.4.2 评标委员会完成评标后，应当向招标人提交书面评标报告。</w:t>
      </w:r>
      <w:r>
        <w:rPr>
          <w:rFonts w:ascii="Cambria" w:hAnsi="Cambria"/>
          <w:szCs w:val="32"/>
        </w:rPr>
        <w:br w:type="page"/>
      </w:r>
    </w:p>
    <w:p w14:paraId="65E0C6AD">
      <w:pPr>
        <w:pStyle w:val="2"/>
        <w:spacing w:before="0" w:after="0"/>
        <w:jc w:val="center"/>
        <w:rPr>
          <w:rFonts w:ascii="宋体" w:hAnsi="宋体" w:cs="宋体"/>
        </w:rPr>
      </w:pPr>
      <w:bookmarkStart w:id="177" w:name="_Toc5578"/>
      <w:r>
        <w:rPr>
          <w:rFonts w:hint="eastAsia" w:ascii="宋体" w:hAnsi="宋体" w:cs="宋体"/>
        </w:rPr>
        <w:t>第四章合同条款及格式</w:t>
      </w:r>
      <w:bookmarkEnd w:id="177"/>
    </w:p>
    <w:p w14:paraId="1465B7BD">
      <w:pPr>
        <w:rPr>
          <w:rFonts w:ascii="宋体" w:hAnsi="宋体" w:cs="宋体"/>
        </w:rPr>
      </w:pPr>
    </w:p>
    <w:p w14:paraId="525C771A">
      <w:pPr>
        <w:jc w:val="center"/>
        <w:rPr>
          <w:rFonts w:hint="eastAsia"/>
          <w:b/>
          <w:bCs/>
          <w:sz w:val="28"/>
          <w:szCs w:val="28"/>
        </w:rPr>
      </w:pPr>
      <w:r>
        <w:rPr>
          <w:rFonts w:hint="eastAsia"/>
          <w:b/>
          <w:bCs/>
          <w:sz w:val="28"/>
          <w:szCs w:val="28"/>
        </w:rPr>
        <w:t>本合同仅供参考，具体合同内容投标人在中标后与招标人协商签订。</w:t>
      </w:r>
    </w:p>
    <w:p w14:paraId="169555A4">
      <w:pPr>
        <w:rPr>
          <w:rFonts w:ascii="宋体" w:hAnsi="宋体" w:cs="宋体"/>
          <w:bCs/>
          <w:color w:val="000000"/>
          <w:sz w:val="32"/>
          <w:szCs w:val="32"/>
        </w:rPr>
      </w:pPr>
      <w:r>
        <w:rPr>
          <w:rFonts w:hint="eastAsia" w:ascii="宋体" w:hAnsi="宋体" w:cs="宋体"/>
          <w:bCs/>
          <w:color w:val="000000"/>
          <w:sz w:val="32"/>
          <w:szCs w:val="32"/>
        </w:rPr>
        <w:t>（GF—2017—0201）</w:t>
      </w:r>
    </w:p>
    <w:p w14:paraId="59FDE5FA">
      <w:pPr>
        <w:jc w:val="center"/>
        <w:rPr>
          <w:rFonts w:ascii="宋体" w:hAnsi="宋体" w:cs="宋体"/>
          <w:b/>
          <w:color w:val="000000"/>
          <w:sz w:val="52"/>
          <w:szCs w:val="52"/>
        </w:rPr>
      </w:pPr>
    </w:p>
    <w:p w14:paraId="2E694690">
      <w:pPr>
        <w:jc w:val="center"/>
        <w:rPr>
          <w:rFonts w:ascii="宋体" w:hAnsi="宋体" w:cs="宋体"/>
          <w:b/>
          <w:color w:val="000000"/>
          <w:sz w:val="52"/>
          <w:szCs w:val="52"/>
        </w:rPr>
      </w:pPr>
    </w:p>
    <w:p w14:paraId="2AF8174B">
      <w:pPr>
        <w:jc w:val="both"/>
        <w:rPr>
          <w:rFonts w:ascii="宋体" w:hAnsi="宋体" w:cs="宋体"/>
          <w:b/>
          <w:color w:val="000000"/>
          <w:sz w:val="52"/>
          <w:szCs w:val="52"/>
        </w:rPr>
      </w:pPr>
    </w:p>
    <w:p w14:paraId="032FEA54">
      <w:pPr>
        <w:jc w:val="center"/>
        <w:rPr>
          <w:rFonts w:ascii="宋体" w:hAnsi="宋体" w:cs="宋体"/>
          <w:b/>
          <w:color w:val="000000"/>
          <w:sz w:val="72"/>
          <w:szCs w:val="52"/>
        </w:rPr>
      </w:pPr>
      <w:r>
        <w:rPr>
          <w:rFonts w:hint="eastAsia" w:ascii="宋体" w:hAnsi="宋体" w:cs="宋体"/>
          <w:b/>
          <w:color w:val="000000"/>
          <w:sz w:val="72"/>
          <w:szCs w:val="52"/>
        </w:rPr>
        <w:t>建设工程施工合同</w:t>
      </w:r>
    </w:p>
    <w:p w14:paraId="612A2056">
      <w:pPr>
        <w:jc w:val="center"/>
        <w:rPr>
          <w:rFonts w:ascii="宋体" w:hAnsi="宋体" w:cs="宋体"/>
          <w:b/>
          <w:color w:val="000000"/>
          <w:sz w:val="52"/>
          <w:szCs w:val="52"/>
        </w:rPr>
      </w:pPr>
      <w:r>
        <w:rPr>
          <w:rFonts w:hint="eastAsia" w:ascii="宋体" w:hAnsi="宋体" w:cs="宋体"/>
          <w:b/>
          <w:color w:val="000000"/>
          <w:sz w:val="52"/>
          <w:szCs w:val="52"/>
        </w:rPr>
        <w:t>（示范文本）</w:t>
      </w:r>
    </w:p>
    <w:p w14:paraId="65659E13">
      <w:pPr>
        <w:jc w:val="center"/>
        <w:rPr>
          <w:rFonts w:ascii="宋体" w:hAnsi="宋体" w:cs="宋体"/>
          <w:b/>
          <w:color w:val="000000"/>
          <w:sz w:val="52"/>
          <w:szCs w:val="52"/>
        </w:rPr>
      </w:pPr>
    </w:p>
    <w:p w14:paraId="1151E542">
      <w:pPr>
        <w:jc w:val="center"/>
        <w:rPr>
          <w:rFonts w:ascii="宋体" w:hAnsi="宋体" w:cs="宋体"/>
          <w:b/>
          <w:color w:val="000000"/>
          <w:sz w:val="72"/>
          <w:szCs w:val="72"/>
        </w:rPr>
      </w:pPr>
    </w:p>
    <w:p w14:paraId="0D84B7D1">
      <w:pPr>
        <w:jc w:val="center"/>
        <w:rPr>
          <w:rFonts w:ascii="宋体" w:hAnsi="宋体" w:cs="宋体"/>
          <w:b/>
          <w:color w:val="000000"/>
          <w:sz w:val="72"/>
          <w:szCs w:val="72"/>
        </w:rPr>
      </w:pPr>
    </w:p>
    <w:p w14:paraId="720E5620">
      <w:pPr>
        <w:jc w:val="center"/>
        <w:rPr>
          <w:rFonts w:ascii="宋体" w:hAnsi="宋体" w:cs="宋体"/>
          <w:b/>
          <w:color w:val="000000"/>
          <w:sz w:val="52"/>
          <w:szCs w:val="52"/>
        </w:rPr>
      </w:pPr>
    </w:p>
    <w:p w14:paraId="0CD43767">
      <w:pPr>
        <w:rPr>
          <w:rFonts w:ascii="宋体" w:hAnsi="宋体" w:cs="宋体"/>
          <w:b/>
          <w:color w:val="000000"/>
          <w:sz w:val="28"/>
          <w:szCs w:val="28"/>
        </w:rPr>
      </w:pPr>
    </w:p>
    <w:p w14:paraId="1127A85C">
      <w:pPr>
        <w:rPr>
          <w:rFonts w:ascii="宋体" w:hAnsi="宋体" w:cs="宋体"/>
          <w:b/>
          <w:color w:val="000000"/>
          <w:sz w:val="28"/>
          <w:szCs w:val="28"/>
        </w:rPr>
      </w:pPr>
    </w:p>
    <w:p w14:paraId="51E03C99">
      <w:pPr>
        <w:ind w:right="2719" w:rightChars="1295" w:firstLine="2738" w:firstLineChars="1304"/>
        <w:jc w:val="distribute"/>
        <w:rPr>
          <w:rFonts w:ascii="宋体" w:hAnsi="宋体" w:cs="宋体"/>
          <w:b/>
          <w:color w:val="000000"/>
          <w:sz w:val="32"/>
          <w:szCs w:val="28"/>
        </w:rPr>
      </w:pPr>
      <w:r>
        <w:rPr>
          <w:rFonts w:hint="eastAsia" w:ascii="宋体" w:hAnsi="宋体" w:cs="宋体"/>
        </w:rPr>
        <mc:AlternateContent>
          <mc:Choice Requires="wps">
            <w:drawing>
              <wp:anchor distT="0" distB="0" distL="114300" distR="114300" simplePos="0" relativeHeight="251667456"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8" name="文本框 8"/>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3F4DF54D">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7456;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&#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HNLXHYAAAACQEAAA8AAAAAAAAAAQAgAAAAIgAAAGRy&#10;cy9kb3ducmV2LnhtbFBLAQIUABQAAAAIAIdO4kCVSg8EBQIAAAwEAAAOAAAAAAAAAAEAIAAAACcB&#10;AABkcnMvZTJvRG9jLnhtbFBLBQYAAAAABgAGAFkBAACeBQAAAAA=&#10;">
                <v:fill on="f" focussize="0,0"/>
                <v:stroke color="#FFFFFF" joinstyle="miter"/>
                <v:imagedata o:title=""/>
                <o:lock v:ext="edit" aspectratio="f"/>
                <v:textbox>
                  <w:txbxContent>
                    <w:p w14:paraId="3F4DF54D">
                      <w:pPr>
                        <w:rPr>
                          <w:b/>
                          <w:bCs/>
                          <w:sz w:val="32"/>
                        </w:rPr>
                      </w:pPr>
                      <w:r>
                        <w:rPr>
                          <w:rFonts w:hint="eastAsia"/>
                          <w:b/>
                          <w:bCs/>
                          <w:sz w:val="32"/>
                        </w:rPr>
                        <w:t>制定</w:t>
                      </w:r>
                    </w:p>
                  </w:txbxContent>
                </v:textbox>
              </v:shape>
            </w:pict>
          </mc:Fallback>
        </mc:AlternateContent>
      </w:r>
      <w:r>
        <w:rPr>
          <w:rFonts w:hint="eastAsia" w:ascii="宋体" w:hAnsi="宋体" w:cs="宋体"/>
          <w:b/>
          <w:color w:val="000000"/>
          <w:sz w:val="32"/>
          <w:szCs w:val="28"/>
        </w:rPr>
        <w:t>住房城乡建设部</w:t>
      </w:r>
    </w:p>
    <w:p w14:paraId="50E2F180">
      <w:pPr>
        <w:spacing w:line="360" w:lineRule="exact"/>
        <w:ind w:firstLine="643" w:firstLineChars="200"/>
        <w:rPr>
          <w:rFonts w:ascii="宋体" w:hAnsi="宋体" w:cs="宋体"/>
          <w:sz w:val="24"/>
          <w:szCs w:val="24"/>
        </w:rPr>
      </w:pPr>
      <w:r>
        <w:rPr>
          <w:rFonts w:hint="eastAsia" w:ascii="宋体" w:hAnsi="宋体" w:cs="宋体"/>
          <w:b/>
          <w:color w:val="000000"/>
          <w:sz w:val="32"/>
          <w:szCs w:val="28"/>
        </w:rPr>
        <w:t xml:space="preserve">              国家工商行政管理总局</w:t>
      </w:r>
      <w:r>
        <w:rPr>
          <w:rFonts w:hint="eastAsia" w:ascii="宋体" w:hAnsi="宋体" w:cs="宋体"/>
          <w:color w:val="000000"/>
        </w:rPr>
        <w:br w:type="page"/>
      </w:r>
      <w:bookmarkStart w:id="178" w:name="_Toc296503025"/>
      <w:bookmarkStart w:id="179" w:name="_Toc296890982"/>
    </w:p>
    <w:bookmarkEnd w:id="178"/>
    <w:bookmarkEnd w:id="179"/>
    <w:p w14:paraId="03839307">
      <w:pPr>
        <w:spacing w:line="360" w:lineRule="auto"/>
        <w:jc w:val="center"/>
        <w:rPr>
          <w:rFonts w:ascii="宋体" w:hAnsi="宋体" w:cs="宋体"/>
          <w:color w:val="000000"/>
          <w:sz w:val="28"/>
          <w:szCs w:val="32"/>
        </w:rPr>
      </w:pPr>
      <w:bookmarkStart w:id="180" w:name="_Toc21358"/>
      <w:bookmarkStart w:id="181" w:name="_Toc2538"/>
      <w:bookmarkStart w:id="182" w:name="_Toc11961"/>
      <w:bookmarkStart w:id="183" w:name="_Toc10534"/>
      <w:bookmarkStart w:id="184" w:name="_Toc518573517"/>
      <w:bookmarkStart w:id="185" w:name="_Toc21923"/>
      <w:bookmarkStart w:id="186" w:name="_Toc518573633"/>
      <w:bookmarkStart w:id="187" w:name="_Toc24639"/>
      <w:bookmarkStart w:id="188" w:name="_Toc18861"/>
      <w:bookmarkStart w:id="189" w:name="_Toc518240081"/>
      <w:bookmarkStart w:id="190" w:name="_Toc1215"/>
      <w:bookmarkStart w:id="191" w:name="_Toc27185"/>
      <w:r>
        <w:rPr>
          <w:rFonts w:hint="eastAsia" w:ascii="宋体" w:hAnsi="宋体" w:cs="宋体"/>
          <w:sz w:val="28"/>
          <w:szCs w:val="32"/>
        </w:rPr>
        <w:t>第一部分 合同协议书</w:t>
      </w:r>
      <w:bookmarkEnd w:id="180"/>
      <w:bookmarkEnd w:id="181"/>
      <w:bookmarkEnd w:id="182"/>
      <w:bookmarkEnd w:id="183"/>
      <w:bookmarkEnd w:id="184"/>
      <w:bookmarkEnd w:id="185"/>
      <w:bookmarkEnd w:id="186"/>
      <w:bookmarkEnd w:id="187"/>
      <w:bookmarkEnd w:id="188"/>
      <w:bookmarkEnd w:id="189"/>
      <w:bookmarkEnd w:id="190"/>
      <w:bookmarkEnd w:id="191"/>
    </w:p>
    <w:p w14:paraId="442943AD">
      <w:pPr>
        <w:spacing w:line="360" w:lineRule="auto"/>
        <w:rPr>
          <w:rFonts w:ascii="宋体" w:hAnsi="宋体" w:cs="宋体"/>
          <w:b/>
          <w:color w:val="000000"/>
          <w:sz w:val="24"/>
          <w:szCs w:val="24"/>
          <w:u w:val="single"/>
        </w:rPr>
      </w:pPr>
      <w:r>
        <w:rPr>
          <w:rFonts w:hint="eastAsia" w:ascii="宋体" w:hAnsi="宋体" w:cs="宋体"/>
          <w:b/>
          <w:color w:val="000000"/>
          <w:sz w:val="24"/>
          <w:szCs w:val="24"/>
        </w:rPr>
        <w:t>发包人（全称）：</w:t>
      </w:r>
      <w:r>
        <w:rPr>
          <w:rFonts w:hint="eastAsia" w:ascii="宋体" w:hAnsi="宋体" w:cs="宋体"/>
          <w:b/>
          <w:color w:val="000000"/>
          <w:sz w:val="24"/>
          <w:szCs w:val="24"/>
          <w:u w:val="single"/>
        </w:rPr>
        <w:t>                       </w:t>
      </w:r>
    </w:p>
    <w:p w14:paraId="67C54439">
      <w:pPr>
        <w:spacing w:line="360" w:lineRule="auto"/>
        <w:rPr>
          <w:rFonts w:ascii="宋体" w:hAnsi="宋体" w:cs="宋体"/>
          <w:b/>
          <w:color w:val="000000"/>
          <w:sz w:val="24"/>
          <w:szCs w:val="24"/>
          <w:u w:val="single"/>
        </w:rPr>
      </w:pPr>
      <w:r>
        <w:rPr>
          <w:rFonts w:hint="eastAsia" w:ascii="宋体" w:hAnsi="宋体" w:cs="宋体"/>
          <w:b/>
          <w:color w:val="000000"/>
          <w:sz w:val="24"/>
          <w:szCs w:val="24"/>
        </w:rPr>
        <w:t>承包人（全称）：</w:t>
      </w:r>
      <w:r>
        <w:rPr>
          <w:rFonts w:hint="eastAsia" w:ascii="宋体" w:hAnsi="宋体" w:cs="宋体"/>
          <w:b/>
          <w:color w:val="000000"/>
          <w:sz w:val="24"/>
          <w:szCs w:val="24"/>
          <w:u w:val="single"/>
        </w:rPr>
        <w:t>                       </w:t>
      </w:r>
    </w:p>
    <w:p w14:paraId="10A660E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根据《中华人民共和国</w:t>
      </w:r>
      <w:r>
        <w:rPr>
          <w:rFonts w:hint="eastAsia" w:ascii="宋体" w:hAnsi="宋体" w:cs="宋体"/>
          <w:color w:val="000000"/>
          <w:sz w:val="24"/>
          <w:szCs w:val="24"/>
          <w:lang w:val="en-US" w:eastAsia="zh-CN"/>
        </w:rPr>
        <w:t>民法典</w:t>
      </w:r>
      <w:r>
        <w:rPr>
          <w:rFonts w:hint="eastAsia" w:ascii="宋体" w:hAnsi="宋体" w:cs="宋体"/>
          <w:color w:val="000000"/>
          <w:sz w:val="24"/>
          <w:szCs w:val="24"/>
        </w:rPr>
        <w:t>》、《中华人民共和国建筑法》及有关法律规定，遵循平等、自愿、公平和诚实信用的原则，双方就</w:t>
      </w:r>
      <w:r>
        <w:rPr>
          <w:rFonts w:hint="eastAsia" w:ascii="宋体" w:hAnsi="宋体" w:cs="宋体"/>
          <w:color w:val="000000"/>
          <w:sz w:val="24"/>
          <w:szCs w:val="24"/>
          <w:u w:val="single"/>
        </w:rPr>
        <w:t xml:space="preserve">                 </w:t>
      </w:r>
      <w:r>
        <w:rPr>
          <w:rFonts w:hint="eastAsia" w:ascii="宋体" w:hAnsi="宋体" w:cs="宋体"/>
          <w:color w:val="000000"/>
          <w:sz w:val="24"/>
          <w:szCs w:val="24"/>
        </w:rPr>
        <w:t>工程施工及有关事项协商一致，共同达成如下协议：</w:t>
      </w:r>
    </w:p>
    <w:p w14:paraId="6F586757">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192" w:name="_Toc6085"/>
      <w:r>
        <w:rPr>
          <w:rFonts w:hint="eastAsia" w:ascii="宋体" w:hAnsi="宋体" w:cs="宋体"/>
          <w:color w:val="000000"/>
          <w:sz w:val="24"/>
          <w:szCs w:val="24"/>
        </w:rPr>
        <w:t>一、工程概况</w:t>
      </w:r>
      <w:bookmarkEnd w:id="192"/>
    </w:p>
    <w:p w14:paraId="30BF873D">
      <w:pPr>
        <w:spacing w:line="360" w:lineRule="auto"/>
        <w:ind w:firstLine="470" w:firstLineChars="196"/>
        <w:rPr>
          <w:rFonts w:ascii="宋体" w:hAnsi="宋体" w:cs="宋体"/>
          <w:color w:val="000000"/>
          <w:sz w:val="24"/>
          <w:szCs w:val="24"/>
          <w:u w:val="single"/>
        </w:rPr>
      </w:pPr>
      <w:r>
        <w:rPr>
          <w:rFonts w:hint="eastAsia" w:ascii="宋体" w:hAnsi="宋体" w:cs="宋体"/>
          <w:bCs/>
          <w:color w:val="000000"/>
          <w:sz w:val="24"/>
          <w:szCs w:val="24"/>
        </w:rPr>
        <w:t>1.工程名称</w:t>
      </w:r>
      <w:r>
        <w:rPr>
          <w:rFonts w:hint="eastAsia" w:ascii="宋体" w:hAnsi="宋体" w:cs="宋体"/>
          <w:color w:val="000000"/>
          <w:sz w:val="24"/>
          <w:szCs w:val="24"/>
        </w:rPr>
        <w:t>：</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1C4138D5">
      <w:pPr>
        <w:spacing w:line="360" w:lineRule="auto"/>
        <w:ind w:firstLine="470" w:firstLineChars="196"/>
        <w:rPr>
          <w:rFonts w:ascii="宋体" w:hAnsi="宋体" w:cs="宋体"/>
          <w:bCs/>
          <w:color w:val="000000"/>
          <w:sz w:val="24"/>
          <w:szCs w:val="24"/>
        </w:rPr>
      </w:pPr>
      <w:r>
        <w:rPr>
          <w:rFonts w:hint="eastAsia" w:ascii="宋体" w:hAnsi="宋体" w:cs="宋体"/>
          <w:bCs/>
          <w:color w:val="000000"/>
          <w:sz w:val="24"/>
          <w:szCs w:val="24"/>
        </w:rPr>
        <w:t>2.工程地点：</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515748C6">
      <w:pPr>
        <w:spacing w:line="360" w:lineRule="auto"/>
        <w:ind w:firstLine="470" w:firstLineChars="196"/>
        <w:rPr>
          <w:rFonts w:ascii="宋体" w:hAnsi="宋体" w:cs="宋体"/>
          <w:bCs/>
          <w:color w:val="000000"/>
          <w:sz w:val="24"/>
          <w:szCs w:val="24"/>
        </w:rPr>
      </w:pPr>
      <w:r>
        <w:rPr>
          <w:rFonts w:hint="eastAsia" w:ascii="宋体" w:hAnsi="宋体" w:cs="宋体"/>
          <w:bCs/>
          <w:color w:val="000000"/>
          <w:sz w:val="24"/>
          <w:szCs w:val="24"/>
        </w:rPr>
        <w:t>3.工程立项批准文号：</w:t>
      </w:r>
      <w:r>
        <w:rPr>
          <w:rFonts w:hint="eastAsia" w:ascii="宋体" w:hAnsi="宋体" w:cs="宋体"/>
          <w:color w:val="000000"/>
          <w:sz w:val="24"/>
          <w:szCs w:val="24"/>
          <w:u w:val="single"/>
        </w:rPr>
        <w:t xml:space="preserve">       </w:t>
      </w:r>
      <w:r>
        <w:rPr>
          <w:rFonts w:hint="eastAsia" w:ascii="宋体" w:hAnsi="宋体" w:cs="宋体"/>
          <w:bCs/>
          <w:color w:val="000000"/>
          <w:sz w:val="24"/>
          <w:szCs w:val="24"/>
        </w:rPr>
        <w:t>。</w:t>
      </w:r>
    </w:p>
    <w:p w14:paraId="232DBB1A">
      <w:pPr>
        <w:spacing w:line="360" w:lineRule="auto"/>
        <w:ind w:firstLine="470" w:firstLineChars="196"/>
        <w:rPr>
          <w:rFonts w:ascii="宋体" w:hAnsi="宋体" w:cs="宋体"/>
          <w:bCs/>
          <w:color w:val="000000"/>
          <w:sz w:val="24"/>
          <w:szCs w:val="24"/>
        </w:rPr>
      </w:pPr>
      <w:r>
        <w:rPr>
          <w:rFonts w:hint="eastAsia" w:ascii="宋体" w:hAnsi="宋体" w:cs="宋体"/>
          <w:bCs/>
          <w:color w:val="000000"/>
          <w:sz w:val="24"/>
          <w:szCs w:val="24"/>
        </w:rPr>
        <w:t>4.资金来源：</w:t>
      </w:r>
      <w:r>
        <w:rPr>
          <w:rFonts w:hint="eastAsia" w:ascii="宋体" w:hAnsi="宋体" w:cs="宋体"/>
          <w:color w:val="000000"/>
          <w:sz w:val="24"/>
          <w:szCs w:val="24"/>
          <w:u w:val="single"/>
        </w:rPr>
        <w:t xml:space="preserve">       </w:t>
      </w:r>
      <w:r>
        <w:rPr>
          <w:rFonts w:hint="eastAsia" w:ascii="宋体" w:hAnsi="宋体" w:cs="宋体"/>
          <w:bCs/>
          <w:color w:val="000000"/>
          <w:sz w:val="24"/>
          <w:szCs w:val="24"/>
        </w:rPr>
        <w:t>。</w:t>
      </w:r>
    </w:p>
    <w:p w14:paraId="0D4AD30C">
      <w:pPr>
        <w:spacing w:line="360" w:lineRule="auto"/>
        <w:ind w:firstLine="470" w:firstLineChars="196"/>
        <w:rPr>
          <w:rFonts w:ascii="宋体" w:hAnsi="宋体" w:cs="宋体"/>
          <w:bCs/>
          <w:color w:val="000000"/>
          <w:sz w:val="24"/>
          <w:szCs w:val="24"/>
        </w:rPr>
      </w:pPr>
      <w:r>
        <w:rPr>
          <w:rFonts w:hint="eastAsia" w:ascii="宋体" w:hAnsi="宋体" w:cs="宋体"/>
          <w:bCs/>
          <w:color w:val="000000"/>
          <w:sz w:val="24"/>
          <w:szCs w:val="24"/>
        </w:rPr>
        <w:t>5.工程内容：</w:t>
      </w:r>
      <w:r>
        <w:rPr>
          <w:rFonts w:hint="eastAsia" w:ascii="宋体" w:hAnsi="宋体" w:cs="宋体"/>
          <w:color w:val="000000"/>
          <w:sz w:val="24"/>
          <w:szCs w:val="24"/>
          <w:u w:val="single"/>
        </w:rPr>
        <w:t xml:space="preserve">       </w:t>
      </w:r>
      <w:r>
        <w:rPr>
          <w:rFonts w:hint="eastAsia" w:ascii="宋体" w:hAnsi="宋体" w:cs="宋体"/>
          <w:bCs/>
          <w:color w:val="000000"/>
          <w:sz w:val="24"/>
          <w:szCs w:val="24"/>
        </w:rPr>
        <w:t>。</w:t>
      </w:r>
    </w:p>
    <w:p w14:paraId="0467B5CA">
      <w:pPr>
        <w:spacing w:line="360" w:lineRule="auto"/>
        <w:ind w:firstLine="470" w:firstLineChars="196"/>
        <w:rPr>
          <w:rFonts w:ascii="宋体" w:hAnsi="宋体" w:cs="宋体"/>
          <w:bCs/>
          <w:color w:val="000000"/>
          <w:sz w:val="24"/>
          <w:szCs w:val="24"/>
        </w:rPr>
      </w:pPr>
      <w:r>
        <w:rPr>
          <w:rFonts w:hint="eastAsia" w:ascii="宋体" w:hAnsi="宋体" w:cs="宋体"/>
          <w:color w:val="000000"/>
          <w:sz w:val="24"/>
          <w:szCs w:val="24"/>
        </w:rPr>
        <w:t>群体工程应附《承包人承揽工程项目一览表》（附件1）。</w:t>
      </w:r>
    </w:p>
    <w:p w14:paraId="2874796D">
      <w:pPr>
        <w:spacing w:line="360" w:lineRule="auto"/>
        <w:ind w:firstLine="470" w:firstLineChars="196"/>
        <w:rPr>
          <w:rFonts w:ascii="宋体" w:hAnsi="宋体" w:cs="宋体"/>
          <w:color w:val="000000"/>
          <w:sz w:val="24"/>
          <w:szCs w:val="24"/>
        </w:rPr>
      </w:pPr>
      <w:r>
        <w:rPr>
          <w:rFonts w:hint="eastAsia" w:ascii="宋体" w:hAnsi="宋体" w:cs="宋体"/>
          <w:bCs/>
          <w:color w:val="000000"/>
          <w:sz w:val="24"/>
          <w:szCs w:val="24"/>
        </w:rPr>
        <w:t>6.工程承包范围：</w:t>
      </w:r>
      <w:r>
        <w:rPr>
          <w:rFonts w:hint="eastAsia" w:ascii="宋体" w:hAnsi="宋体" w:cs="宋体"/>
          <w:color w:val="000000"/>
          <w:sz w:val="24"/>
          <w:szCs w:val="24"/>
          <w:u w:val="single"/>
        </w:rPr>
        <w:t></w:t>
      </w:r>
      <w:r>
        <w:rPr>
          <w:rFonts w:hint="eastAsia" w:ascii="宋体" w:hAnsi="宋体" w:cs="宋体"/>
          <w:color w:val="000000"/>
          <w:sz w:val="24"/>
          <w:szCs w:val="24"/>
        </w:rPr>
        <w:t>。</w:t>
      </w:r>
    </w:p>
    <w:p w14:paraId="2C8AF2F8">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193" w:name="_Toc26110"/>
      <w:r>
        <w:rPr>
          <w:rFonts w:hint="eastAsia" w:ascii="宋体" w:hAnsi="宋体" w:cs="宋体"/>
          <w:color w:val="000000"/>
          <w:sz w:val="24"/>
          <w:szCs w:val="24"/>
        </w:rPr>
        <w:t>二、合同工期</w:t>
      </w:r>
      <w:bookmarkEnd w:id="193"/>
    </w:p>
    <w:p w14:paraId="7B240A9A">
      <w:pPr>
        <w:spacing w:line="360" w:lineRule="auto"/>
        <w:ind w:firstLine="459"/>
        <w:rPr>
          <w:rFonts w:ascii="宋体" w:hAnsi="宋体" w:cs="宋体"/>
          <w:color w:val="000000"/>
          <w:sz w:val="24"/>
          <w:szCs w:val="24"/>
        </w:rPr>
      </w:pPr>
      <w:r>
        <w:rPr>
          <w:rFonts w:hint="eastAsia" w:ascii="宋体" w:hAnsi="宋体" w:cs="宋体"/>
          <w:color w:val="000000"/>
          <w:sz w:val="24"/>
          <w:szCs w:val="24"/>
        </w:rPr>
        <w:t>计划开工日期：</w:t>
      </w:r>
      <w:r>
        <w:rPr>
          <w:rFonts w:hint="eastAsia" w:ascii="宋体" w:hAnsi="宋体" w:cs="宋体"/>
          <w:color w:val="000000"/>
          <w:sz w:val="24"/>
          <w:szCs w:val="24"/>
          <w:u w:val="single"/>
        </w:rPr>
        <w:t></w:t>
      </w:r>
      <w:r>
        <w:rPr>
          <w:rFonts w:hint="eastAsia" w:ascii="宋体" w:hAnsi="宋体" w:cs="宋体"/>
          <w:color w:val="000000"/>
          <w:sz w:val="24"/>
          <w:szCs w:val="24"/>
        </w:rPr>
        <w:t>年</w:t>
      </w:r>
      <w:r>
        <w:rPr>
          <w:rFonts w:hint="eastAsia" w:ascii="宋体" w:hAnsi="宋体" w:cs="宋体"/>
          <w:color w:val="000000"/>
          <w:sz w:val="24"/>
          <w:szCs w:val="24"/>
          <w:u w:val="single"/>
        </w:rPr>
        <w:t></w:t>
      </w:r>
      <w:r>
        <w:rPr>
          <w:rFonts w:hint="eastAsia" w:ascii="宋体" w:hAnsi="宋体" w:cs="宋体"/>
          <w:color w:val="000000"/>
          <w:sz w:val="24"/>
          <w:szCs w:val="24"/>
        </w:rPr>
        <w:t>月</w:t>
      </w:r>
      <w:r>
        <w:rPr>
          <w:rFonts w:hint="eastAsia" w:ascii="宋体" w:hAnsi="宋体" w:cs="宋体"/>
          <w:color w:val="000000"/>
          <w:sz w:val="24"/>
          <w:szCs w:val="24"/>
          <w:u w:val="single"/>
        </w:rPr>
        <w:t></w:t>
      </w:r>
      <w:r>
        <w:rPr>
          <w:rFonts w:hint="eastAsia" w:ascii="宋体" w:hAnsi="宋体" w:cs="宋体"/>
          <w:color w:val="000000"/>
          <w:sz w:val="24"/>
          <w:szCs w:val="24"/>
        </w:rPr>
        <w:t>日。</w:t>
      </w:r>
    </w:p>
    <w:p w14:paraId="7CFFCEFB">
      <w:pPr>
        <w:spacing w:line="360" w:lineRule="auto"/>
        <w:ind w:firstLine="459"/>
        <w:rPr>
          <w:rFonts w:ascii="宋体" w:hAnsi="宋体" w:cs="宋体"/>
          <w:color w:val="000000"/>
          <w:sz w:val="24"/>
          <w:szCs w:val="24"/>
        </w:rPr>
      </w:pPr>
      <w:r>
        <w:rPr>
          <w:rFonts w:hint="eastAsia" w:ascii="宋体" w:hAnsi="宋体" w:cs="宋体"/>
          <w:color w:val="000000"/>
          <w:sz w:val="24"/>
          <w:szCs w:val="24"/>
        </w:rPr>
        <w:t>计划竣工日期：</w:t>
      </w:r>
      <w:r>
        <w:rPr>
          <w:rFonts w:hint="eastAsia" w:ascii="宋体" w:hAnsi="宋体" w:cs="宋体"/>
          <w:color w:val="000000"/>
          <w:sz w:val="24"/>
          <w:szCs w:val="24"/>
          <w:u w:val="single"/>
        </w:rPr>
        <w:t></w:t>
      </w:r>
      <w:r>
        <w:rPr>
          <w:rFonts w:hint="eastAsia" w:ascii="宋体" w:hAnsi="宋体" w:cs="宋体"/>
          <w:color w:val="000000"/>
          <w:sz w:val="24"/>
          <w:szCs w:val="24"/>
        </w:rPr>
        <w:t>年</w:t>
      </w:r>
      <w:r>
        <w:rPr>
          <w:rFonts w:hint="eastAsia" w:ascii="宋体" w:hAnsi="宋体" w:cs="宋体"/>
          <w:color w:val="000000"/>
          <w:sz w:val="24"/>
          <w:szCs w:val="24"/>
          <w:u w:val="single"/>
        </w:rPr>
        <w:t></w:t>
      </w:r>
      <w:r>
        <w:rPr>
          <w:rFonts w:hint="eastAsia" w:ascii="宋体" w:hAnsi="宋体" w:cs="宋体"/>
          <w:color w:val="000000"/>
          <w:sz w:val="24"/>
          <w:szCs w:val="24"/>
        </w:rPr>
        <w:t>月</w:t>
      </w:r>
      <w:r>
        <w:rPr>
          <w:rFonts w:hint="eastAsia" w:ascii="宋体" w:hAnsi="宋体" w:cs="宋体"/>
          <w:color w:val="000000"/>
          <w:sz w:val="24"/>
          <w:szCs w:val="24"/>
          <w:u w:val="single"/>
        </w:rPr>
        <w:t></w:t>
      </w:r>
      <w:r>
        <w:rPr>
          <w:rFonts w:hint="eastAsia" w:ascii="宋体" w:hAnsi="宋体" w:cs="宋体"/>
          <w:color w:val="000000"/>
          <w:sz w:val="24"/>
          <w:szCs w:val="24"/>
        </w:rPr>
        <w:t>日。</w:t>
      </w:r>
    </w:p>
    <w:p w14:paraId="62CD8D81">
      <w:pPr>
        <w:spacing w:line="360" w:lineRule="auto"/>
        <w:ind w:firstLine="459"/>
        <w:rPr>
          <w:rFonts w:ascii="宋体" w:hAnsi="宋体" w:cs="宋体"/>
          <w:color w:val="000000"/>
          <w:sz w:val="24"/>
          <w:szCs w:val="24"/>
        </w:rPr>
      </w:pPr>
      <w:r>
        <w:rPr>
          <w:rFonts w:hint="eastAsia" w:ascii="宋体" w:hAnsi="宋体" w:cs="宋体"/>
          <w:color w:val="000000"/>
          <w:sz w:val="24"/>
          <w:szCs w:val="24"/>
        </w:rPr>
        <w:t>工期总日历天数：</w:t>
      </w:r>
      <w:r>
        <w:rPr>
          <w:rFonts w:hint="eastAsia" w:ascii="宋体" w:hAnsi="宋体" w:cs="宋体"/>
          <w:color w:val="000000"/>
          <w:sz w:val="24"/>
          <w:szCs w:val="24"/>
          <w:u w:val="single"/>
        </w:rPr>
        <w:t></w:t>
      </w:r>
      <w:r>
        <w:rPr>
          <w:rFonts w:hint="eastAsia" w:ascii="宋体" w:hAnsi="宋体" w:cs="宋体"/>
          <w:color w:val="000000"/>
          <w:sz w:val="24"/>
          <w:szCs w:val="24"/>
        </w:rPr>
        <w:t>天。工期总日历天数与根据前述计划开竣工日期计算的工期天数不一致的，以工期总日历天数为准。</w:t>
      </w:r>
    </w:p>
    <w:p w14:paraId="51784525">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194" w:name="_Toc23398"/>
      <w:r>
        <w:rPr>
          <w:rFonts w:hint="eastAsia" w:ascii="宋体" w:hAnsi="宋体" w:cs="宋体"/>
          <w:color w:val="000000"/>
          <w:sz w:val="24"/>
          <w:szCs w:val="24"/>
        </w:rPr>
        <w:t>三、质量标准</w:t>
      </w:r>
      <w:bookmarkEnd w:id="194"/>
    </w:p>
    <w:p w14:paraId="5FDDEFF5">
      <w:pPr>
        <w:spacing w:line="360" w:lineRule="auto"/>
        <w:ind w:firstLine="459"/>
        <w:rPr>
          <w:rFonts w:ascii="宋体" w:hAnsi="宋体" w:cs="宋体"/>
          <w:color w:val="000000"/>
          <w:sz w:val="24"/>
          <w:szCs w:val="24"/>
        </w:rPr>
      </w:pPr>
      <w:r>
        <w:rPr>
          <w:rFonts w:hint="eastAsia" w:ascii="宋体" w:hAnsi="宋体" w:cs="宋体"/>
          <w:color w:val="000000"/>
          <w:sz w:val="24"/>
          <w:szCs w:val="24"/>
        </w:rPr>
        <w:t>工程质量符合</w:t>
      </w:r>
      <w:r>
        <w:rPr>
          <w:rFonts w:hint="eastAsia" w:ascii="宋体" w:hAnsi="宋体" w:cs="宋体"/>
          <w:color w:val="000000"/>
          <w:sz w:val="24"/>
          <w:szCs w:val="24"/>
          <w:u w:val="single"/>
        </w:rPr>
        <w:t></w:t>
      </w:r>
      <w:r>
        <w:rPr>
          <w:rFonts w:hint="eastAsia" w:ascii="宋体" w:hAnsi="宋体" w:cs="宋体"/>
          <w:color w:val="000000"/>
          <w:sz w:val="24"/>
          <w:szCs w:val="24"/>
        </w:rPr>
        <w:t>标准。</w:t>
      </w:r>
    </w:p>
    <w:p w14:paraId="0A5F4277">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195" w:name="_Toc27687"/>
      <w:r>
        <w:rPr>
          <w:rFonts w:hint="eastAsia" w:ascii="宋体" w:hAnsi="宋体" w:cs="宋体"/>
          <w:color w:val="000000"/>
          <w:sz w:val="24"/>
          <w:szCs w:val="24"/>
        </w:rPr>
        <w:t>四、签约合同价与合同价格形式</w:t>
      </w:r>
      <w:bookmarkEnd w:id="195"/>
      <w:r>
        <w:rPr>
          <w:rFonts w:hint="eastAsia" w:ascii="宋体" w:hAnsi="宋体" w:cs="宋体"/>
          <w:color w:val="000000"/>
          <w:sz w:val="24"/>
          <w:szCs w:val="24"/>
        </w:rPr>
        <w:tab/>
      </w:r>
    </w:p>
    <w:p w14:paraId="6DAF8E2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1.签约合同价为：</w:t>
      </w:r>
    </w:p>
    <w:p w14:paraId="540F95E1">
      <w:pPr>
        <w:spacing w:line="360" w:lineRule="auto"/>
        <w:ind w:firstLine="600" w:firstLineChars="250"/>
        <w:rPr>
          <w:rFonts w:ascii="宋体" w:hAnsi="宋体" w:cs="宋体"/>
          <w:color w:val="000000"/>
          <w:sz w:val="24"/>
          <w:szCs w:val="24"/>
        </w:rPr>
      </w:pPr>
      <w:r>
        <w:rPr>
          <w:rFonts w:hint="eastAsia" w:ascii="宋体" w:hAnsi="宋体" w:cs="宋体"/>
          <w:color w:val="000000"/>
          <w:sz w:val="24"/>
          <w:szCs w:val="24"/>
        </w:rPr>
        <w:t>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color w:val="000000"/>
          <w:sz w:val="24"/>
          <w:szCs w:val="24"/>
        </w:rPr>
        <w:t>元)；</w:t>
      </w:r>
    </w:p>
    <w:p w14:paraId="7C8E15B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其中：</w:t>
      </w:r>
    </w:p>
    <w:p w14:paraId="627FE3C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（1）安全文明施工费：</w:t>
      </w:r>
    </w:p>
    <w:p w14:paraId="2675524A">
      <w:pPr>
        <w:spacing w:line="360" w:lineRule="auto"/>
        <w:ind w:firstLine="1080" w:firstLineChars="450"/>
        <w:rPr>
          <w:rFonts w:ascii="宋体" w:hAnsi="宋体" w:cs="宋体"/>
          <w:color w:val="000000"/>
          <w:sz w:val="24"/>
          <w:szCs w:val="24"/>
        </w:rPr>
      </w:pPr>
      <w:r>
        <w:rPr>
          <w:rFonts w:hint="eastAsia" w:ascii="宋体" w:hAnsi="宋体" w:cs="宋体"/>
          <w:color w:val="000000"/>
          <w:sz w:val="24"/>
          <w:szCs w:val="24"/>
        </w:rPr>
        <w:t>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元)；</w:t>
      </w:r>
    </w:p>
    <w:p w14:paraId="7C702D5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（2）材料和工程设备暂估价金额：</w:t>
      </w:r>
    </w:p>
    <w:p w14:paraId="67DA58B5">
      <w:pPr>
        <w:spacing w:line="360" w:lineRule="auto"/>
        <w:ind w:firstLine="1080" w:firstLineChars="450"/>
        <w:rPr>
          <w:rFonts w:ascii="宋体" w:hAnsi="宋体" w:cs="宋体"/>
          <w:color w:val="000000"/>
          <w:sz w:val="24"/>
          <w:szCs w:val="24"/>
        </w:rPr>
      </w:pPr>
      <w:r>
        <w:rPr>
          <w:rFonts w:hint="eastAsia" w:ascii="宋体" w:hAnsi="宋体" w:cs="宋体"/>
          <w:color w:val="000000"/>
          <w:sz w:val="24"/>
          <w:szCs w:val="24"/>
        </w:rPr>
        <w:t>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元)；</w:t>
      </w:r>
    </w:p>
    <w:p w14:paraId="608DDC6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（3）专业工程暂估价金额：</w:t>
      </w:r>
    </w:p>
    <w:p w14:paraId="50C1BF41">
      <w:pPr>
        <w:spacing w:line="360" w:lineRule="auto"/>
        <w:ind w:firstLine="1080" w:firstLineChars="450"/>
        <w:rPr>
          <w:rFonts w:ascii="宋体" w:hAnsi="宋体" w:cs="宋体"/>
          <w:color w:val="000000"/>
          <w:sz w:val="24"/>
          <w:szCs w:val="24"/>
        </w:rPr>
      </w:pPr>
      <w:r>
        <w:rPr>
          <w:rFonts w:hint="eastAsia" w:ascii="宋体" w:hAnsi="宋体" w:cs="宋体"/>
          <w:color w:val="000000"/>
          <w:sz w:val="24"/>
          <w:szCs w:val="24"/>
        </w:rPr>
        <w:t>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元)；</w:t>
      </w:r>
    </w:p>
    <w:p w14:paraId="4892D83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（4）暂列金额：</w:t>
      </w:r>
    </w:p>
    <w:p w14:paraId="2EAD5DBA">
      <w:pPr>
        <w:spacing w:line="360" w:lineRule="auto"/>
        <w:ind w:firstLine="1080" w:firstLineChars="450"/>
        <w:rPr>
          <w:rFonts w:ascii="宋体" w:hAnsi="宋体" w:cs="宋体"/>
          <w:color w:val="000000"/>
          <w:sz w:val="24"/>
          <w:szCs w:val="24"/>
        </w:rPr>
      </w:pPr>
      <w:r>
        <w:rPr>
          <w:rFonts w:hint="eastAsia" w:ascii="宋体" w:hAnsi="宋体" w:cs="宋体"/>
          <w:color w:val="000000"/>
          <w:sz w:val="24"/>
          <w:szCs w:val="24"/>
        </w:rPr>
        <w:t>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元)。</w:t>
      </w:r>
    </w:p>
    <w:p w14:paraId="4DEB342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2.合同价格形式：</w:t>
      </w:r>
      <w:r>
        <w:rPr>
          <w:rFonts w:hint="eastAsia" w:ascii="宋体" w:hAnsi="宋体" w:cs="宋体"/>
          <w:color w:val="000000"/>
          <w:sz w:val="24"/>
          <w:szCs w:val="24"/>
          <w:u w:val="single"/>
        </w:rPr>
        <w:t>                      </w:t>
      </w:r>
      <w:r>
        <w:rPr>
          <w:rFonts w:hint="eastAsia" w:ascii="宋体" w:hAnsi="宋体" w:cs="宋体"/>
          <w:color w:val="000000"/>
          <w:sz w:val="24"/>
          <w:szCs w:val="24"/>
        </w:rPr>
        <w:t>。</w:t>
      </w:r>
    </w:p>
    <w:p w14:paraId="6A5EED4D">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196" w:name="_Toc29547"/>
      <w:r>
        <w:rPr>
          <w:rFonts w:hint="eastAsia" w:ascii="宋体" w:hAnsi="宋体" w:cs="宋体"/>
          <w:color w:val="000000"/>
          <w:sz w:val="24"/>
          <w:szCs w:val="24"/>
        </w:rPr>
        <w:t>五、项目经理</w:t>
      </w:r>
      <w:bookmarkEnd w:id="196"/>
    </w:p>
    <w:p w14:paraId="0CA3EBF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承包人项目经理：</w:t>
      </w:r>
      <w:r>
        <w:rPr>
          <w:rFonts w:hint="eastAsia" w:ascii="宋体" w:hAnsi="宋体" w:cs="宋体"/>
          <w:color w:val="000000"/>
          <w:sz w:val="24"/>
          <w:szCs w:val="24"/>
          <w:u w:val="single"/>
        </w:rPr>
        <w:t>                     </w:t>
      </w:r>
      <w:r>
        <w:rPr>
          <w:rFonts w:hint="eastAsia" w:ascii="宋体" w:hAnsi="宋体" w:cs="宋体"/>
          <w:color w:val="000000"/>
          <w:sz w:val="24"/>
          <w:szCs w:val="24"/>
        </w:rPr>
        <w:t>。</w:t>
      </w:r>
    </w:p>
    <w:p w14:paraId="46978B0D">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197" w:name="_Toc19386"/>
      <w:r>
        <w:rPr>
          <w:rFonts w:hint="eastAsia" w:ascii="宋体" w:hAnsi="宋体" w:cs="宋体"/>
          <w:color w:val="000000"/>
          <w:sz w:val="24"/>
          <w:szCs w:val="24"/>
        </w:rPr>
        <w:t>六、合同文件构成</w:t>
      </w:r>
      <w:bookmarkEnd w:id="197"/>
    </w:p>
    <w:p w14:paraId="12F57482">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本协议书与下列文件一起构成合同文件：</w:t>
      </w:r>
    </w:p>
    <w:p w14:paraId="7738A57E">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（1）中标通知书（如果有）；</w:t>
      </w:r>
    </w:p>
    <w:p w14:paraId="587E3972">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 xml:space="preserve">（2）投标函及其附录（如果有）； </w:t>
      </w:r>
    </w:p>
    <w:p w14:paraId="7BCE72B9">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（3）专用合同条款及其附件；</w:t>
      </w:r>
    </w:p>
    <w:p w14:paraId="4CF81520">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（4）通用合同条款；</w:t>
      </w:r>
    </w:p>
    <w:p w14:paraId="4B64D37A">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（5）技术标准和要求；</w:t>
      </w:r>
    </w:p>
    <w:p w14:paraId="102F8089">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（6）图纸；</w:t>
      </w:r>
    </w:p>
    <w:p w14:paraId="228E7A02">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（7）已标价工程量清单或预算书；</w:t>
      </w:r>
    </w:p>
    <w:p w14:paraId="309B5327">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（8）其他合同文件。</w:t>
      </w:r>
    </w:p>
    <w:p w14:paraId="67163336">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在合同订立及履行过程中形成的与合同有关的文件均构成合同文件组成部分。</w:t>
      </w:r>
    </w:p>
    <w:p w14:paraId="38C01BD7">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26658BAE">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198" w:name="_Toc26730"/>
      <w:r>
        <w:rPr>
          <w:rFonts w:hint="eastAsia" w:ascii="宋体" w:hAnsi="宋体" w:cs="宋体"/>
          <w:color w:val="000000"/>
          <w:sz w:val="24"/>
          <w:szCs w:val="24"/>
        </w:rPr>
        <w:t>七、承诺</w:t>
      </w:r>
      <w:bookmarkEnd w:id="198"/>
    </w:p>
    <w:p w14:paraId="7AD3A66F">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1.发包人承诺按照法律规定履行项目审批手续、筹集工程建设资金并按照合同约定的期限和方式支付合同价款。</w:t>
      </w:r>
    </w:p>
    <w:p w14:paraId="50BAEFE0">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6A6B5866">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3.发包人和承包人通过招投标形式签订合同的，双方理解并承诺不再就同一工程另行签订与合同实质性内容相背离的协议。</w:t>
      </w:r>
    </w:p>
    <w:p w14:paraId="571977C1">
      <w:pPr>
        <w:spacing w:line="360" w:lineRule="auto"/>
        <w:rPr>
          <w:rFonts w:ascii="宋体" w:hAnsi="宋体" w:cs="宋体"/>
          <w:bCs/>
          <w:color w:val="000000"/>
          <w:sz w:val="24"/>
          <w:szCs w:val="24"/>
        </w:rPr>
      </w:pPr>
      <w:r>
        <w:rPr>
          <w:rFonts w:hint="eastAsia" w:ascii="宋体" w:hAnsi="宋体" w:cs="宋体"/>
          <w:b/>
          <w:color w:val="000000"/>
          <w:sz w:val="24"/>
          <w:szCs w:val="24"/>
        </w:rPr>
        <w:t xml:space="preserve">    </w:t>
      </w:r>
      <w:r>
        <w:rPr>
          <w:rFonts w:hint="eastAsia" w:ascii="宋体" w:hAnsi="宋体" w:cs="宋体"/>
          <w:bCs/>
          <w:color w:val="000000"/>
          <w:sz w:val="24"/>
          <w:szCs w:val="24"/>
        </w:rPr>
        <w:t>八、词语含义</w:t>
      </w:r>
    </w:p>
    <w:p w14:paraId="7B25CFEB">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本协议书中词语含义与第二部分通用合同条款中赋予的含义相同。</w:t>
      </w:r>
    </w:p>
    <w:p w14:paraId="67437E2F">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199" w:name="_Toc4527"/>
      <w:r>
        <w:rPr>
          <w:rFonts w:hint="eastAsia" w:ascii="宋体" w:hAnsi="宋体" w:cs="宋体"/>
          <w:color w:val="000000"/>
          <w:sz w:val="24"/>
          <w:szCs w:val="24"/>
        </w:rPr>
        <w:t>九、签订时间</w:t>
      </w:r>
      <w:bookmarkEnd w:id="199"/>
    </w:p>
    <w:p w14:paraId="51079B3D">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本合同于</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日签订。</w:t>
      </w:r>
    </w:p>
    <w:p w14:paraId="23992455">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200" w:name="_Toc1874"/>
      <w:r>
        <w:rPr>
          <w:rFonts w:hint="eastAsia" w:ascii="宋体" w:hAnsi="宋体" w:cs="宋体"/>
          <w:color w:val="000000"/>
          <w:sz w:val="24"/>
          <w:szCs w:val="24"/>
        </w:rPr>
        <w:t>十、签订地点</w:t>
      </w:r>
      <w:bookmarkEnd w:id="200"/>
    </w:p>
    <w:p w14:paraId="36758623">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本合同在</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签订。</w:t>
      </w:r>
    </w:p>
    <w:p w14:paraId="59F5FF57">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201" w:name="_Toc17350"/>
      <w:r>
        <w:rPr>
          <w:rFonts w:hint="eastAsia" w:ascii="宋体" w:hAnsi="宋体" w:cs="宋体"/>
          <w:color w:val="000000"/>
          <w:sz w:val="24"/>
          <w:szCs w:val="24"/>
        </w:rPr>
        <w:t>十一、补充协议</w:t>
      </w:r>
      <w:bookmarkEnd w:id="201"/>
    </w:p>
    <w:p w14:paraId="5D82A96A">
      <w:pPr>
        <w:spacing w:line="360" w:lineRule="auto"/>
        <w:ind w:firstLine="480" w:firstLineChars="200"/>
        <w:rPr>
          <w:rFonts w:ascii="宋体" w:hAnsi="宋体" w:cs="宋体"/>
          <w:b/>
          <w:bCs/>
          <w:color w:val="000000"/>
          <w:sz w:val="24"/>
          <w:szCs w:val="24"/>
        </w:rPr>
      </w:pPr>
      <w:r>
        <w:rPr>
          <w:rFonts w:hint="eastAsia" w:ascii="宋体" w:hAnsi="宋体" w:cs="宋体"/>
          <w:bCs/>
          <w:color w:val="000000"/>
          <w:sz w:val="24"/>
          <w:szCs w:val="24"/>
        </w:rPr>
        <w:t>合同未尽事宜，合同当事人另行签订补充协议，补充协议是合同的组成部分。</w:t>
      </w:r>
    </w:p>
    <w:p w14:paraId="3AB878F0">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202" w:name="_Toc8513"/>
      <w:r>
        <w:rPr>
          <w:rFonts w:hint="eastAsia" w:ascii="宋体" w:hAnsi="宋体" w:cs="宋体"/>
          <w:color w:val="000000"/>
          <w:sz w:val="24"/>
          <w:szCs w:val="24"/>
        </w:rPr>
        <w:t>十二、合同生效</w:t>
      </w:r>
      <w:bookmarkEnd w:id="202"/>
    </w:p>
    <w:p w14:paraId="17D13947">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本合同自</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生效。</w:t>
      </w:r>
    </w:p>
    <w:p w14:paraId="4CFEF071">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203" w:name="_Toc20350"/>
      <w:r>
        <w:rPr>
          <w:rFonts w:hint="eastAsia" w:ascii="宋体" w:hAnsi="宋体" w:cs="宋体"/>
          <w:color w:val="000000"/>
          <w:sz w:val="24"/>
          <w:szCs w:val="24"/>
        </w:rPr>
        <w:t>十三、合同份数</w:t>
      </w:r>
      <w:bookmarkEnd w:id="203"/>
    </w:p>
    <w:p w14:paraId="546CBE83">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本合同一式</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份，均具有同等法律效力，发包人执</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份，承包人执</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份。</w:t>
      </w:r>
    </w:p>
    <w:p w14:paraId="0CCC8113">
      <w:pPr>
        <w:spacing w:line="360" w:lineRule="auto"/>
        <w:rPr>
          <w:rFonts w:ascii="宋体" w:hAnsi="宋体" w:cs="宋体"/>
          <w:color w:val="000000"/>
          <w:sz w:val="24"/>
          <w:szCs w:val="24"/>
        </w:rPr>
      </w:pPr>
    </w:p>
    <w:p w14:paraId="7723D2C0">
      <w:pPr>
        <w:spacing w:line="360" w:lineRule="auto"/>
        <w:rPr>
          <w:rFonts w:ascii="宋体" w:hAnsi="宋体" w:cs="宋体"/>
          <w:color w:val="000000"/>
          <w:sz w:val="24"/>
          <w:szCs w:val="24"/>
        </w:rPr>
      </w:pPr>
      <w:r>
        <w:rPr>
          <w:rFonts w:hint="eastAsia" w:ascii="宋体" w:hAnsi="宋体" w:cs="宋体"/>
          <w:color w:val="000000"/>
          <w:sz w:val="24"/>
          <w:szCs w:val="24"/>
        </w:rPr>
        <w:t>发包人：  (公章)             承包人：  (公章)</w:t>
      </w:r>
    </w:p>
    <w:p w14:paraId="097E30D6">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w:t>
      </w:r>
    </w:p>
    <w:p w14:paraId="6EE86D06">
      <w:pPr>
        <w:spacing w:line="360" w:lineRule="auto"/>
        <w:rPr>
          <w:rFonts w:ascii="宋体" w:hAnsi="宋体" w:cs="宋体"/>
          <w:color w:val="000000"/>
          <w:sz w:val="24"/>
          <w:szCs w:val="24"/>
        </w:rPr>
      </w:pPr>
      <w:r>
        <w:rPr>
          <w:rFonts w:hint="eastAsia" w:ascii="宋体" w:hAnsi="宋体" w:cs="宋体"/>
          <w:color w:val="000000"/>
          <w:sz w:val="24"/>
          <w:szCs w:val="24"/>
        </w:rPr>
        <w:t>法定代表人或其委托代理人：  法定代表人或其委托代理人：</w:t>
      </w:r>
    </w:p>
    <w:p w14:paraId="312DF198">
      <w:pPr>
        <w:spacing w:line="360" w:lineRule="auto"/>
        <w:rPr>
          <w:rFonts w:ascii="宋体" w:hAnsi="宋体" w:cs="宋体"/>
          <w:color w:val="000000"/>
          <w:sz w:val="24"/>
          <w:szCs w:val="24"/>
        </w:rPr>
      </w:pPr>
      <w:r>
        <w:rPr>
          <w:rFonts w:hint="eastAsia" w:ascii="宋体" w:hAnsi="宋体" w:cs="宋体"/>
          <w:color w:val="000000"/>
          <w:sz w:val="24"/>
          <w:szCs w:val="24"/>
        </w:rPr>
        <w:t>（签字）                    （签字）</w:t>
      </w:r>
    </w:p>
    <w:p w14:paraId="26F83926">
      <w:pPr>
        <w:spacing w:line="360" w:lineRule="auto"/>
        <w:rPr>
          <w:rFonts w:ascii="宋体" w:hAnsi="宋体" w:cs="宋体"/>
          <w:color w:val="000000"/>
          <w:sz w:val="24"/>
          <w:szCs w:val="24"/>
          <w:u w:val="single"/>
        </w:rPr>
      </w:pPr>
    </w:p>
    <w:p w14:paraId="2DC12792">
      <w:pPr>
        <w:tabs>
          <w:tab w:val="left" w:pos="4410"/>
        </w:tabs>
        <w:spacing w:line="360" w:lineRule="auto"/>
        <w:rPr>
          <w:rFonts w:ascii="宋体" w:hAnsi="宋体" w:cs="宋体"/>
          <w:color w:val="000000"/>
          <w:sz w:val="24"/>
          <w:szCs w:val="24"/>
        </w:rPr>
      </w:pPr>
      <w:r>
        <w:rPr>
          <w:rFonts w:hint="eastAsia" w:ascii="宋体" w:hAnsi="宋体" w:cs="宋体"/>
          <w:color w:val="000000"/>
          <w:sz w:val="24"/>
          <w:szCs w:val="24"/>
        </w:rPr>
        <w:t>组织机构代码：</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组织机构代码：</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p>
    <w:p w14:paraId="20F5A074">
      <w:pPr>
        <w:spacing w:line="360" w:lineRule="auto"/>
        <w:rPr>
          <w:rFonts w:ascii="宋体" w:hAnsi="宋体" w:cs="宋体"/>
          <w:color w:val="000000"/>
          <w:sz w:val="24"/>
          <w:szCs w:val="24"/>
        </w:rPr>
      </w:pPr>
      <w:r>
        <w:rPr>
          <w:rFonts w:hint="eastAsia" w:ascii="宋体" w:hAnsi="宋体" w:cs="宋体"/>
          <w:color w:val="000000"/>
          <w:sz w:val="24"/>
          <w:szCs w:val="24"/>
        </w:rPr>
        <w:t>地  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地  址：</w:t>
      </w:r>
      <w:r>
        <w:rPr>
          <w:rFonts w:hint="eastAsia" w:ascii="宋体" w:hAnsi="宋体" w:cs="宋体"/>
          <w:color w:val="000000"/>
          <w:sz w:val="24"/>
          <w:szCs w:val="24"/>
          <w:u w:val="single"/>
        </w:rPr>
        <w:t xml:space="preserve">            </w:t>
      </w:r>
    </w:p>
    <w:p w14:paraId="7C64A635">
      <w:pPr>
        <w:spacing w:line="360" w:lineRule="auto"/>
        <w:rPr>
          <w:rFonts w:ascii="宋体" w:hAnsi="宋体" w:cs="宋体"/>
          <w:color w:val="000000"/>
          <w:sz w:val="24"/>
          <w:szCs w:val="24"/>
        </w:rPr>
      </w:pPr>
      <w:r>
        <w:rPr>
          <w:rFonts w:hint="eastAsia" w:ascii="宋体" w:hAnsi="宋体" w:cs="宋体"/>
          <w:color w:val="000000"/>
          <w:sz w:val="24"/>
          <w:szCs w:val="24"/>
        </w:rPr>
        <w:t>邮政编码：</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  邮政编码：</w:t>
      </w:r>
      <w:r>
        <w:rPr>
          <w:rFonts w:hint="eastAsia" w:ascii="宋体" w:hAnsi="宋体" w:cs="宋体"/>
          <w:color w:val="000000"/>
          <w:sz w:val="24"/>
          <w:szCs w:val="24"/>
          <w:u w:val="single"/>
        </w:rPr>
        <w:t xml:space="preserve">         </w:t>
      </w:r>
    </w:p>
    <w:p w14:paraId="7F38685D">
      <w:pPr>
        <w:spacing w:line="360" w:lineRule="auto"/>
        <w:rPr>
          <w:rFonts w:ascii="宋体" w:hAnsi="宋体" w:cs="宋体"/>
          <w:color w:val="000000"/>
          <w:sz w:val="24"/>
          <w:szCs w:val="24"/>
        </w:rPr>
      </w:pPr>
      <w:r>
        <w:rPr>
          <w:rFonts w:hint="eastAsia" w:ascii="宋体" w:hAnsi="宋体" w:cs="宋体"/>
          <w:color w:val="000000"/>
          <w:sz w:val="24"/>
          <w:szCs w:val="24"/>
        </w:rPr>
        <w:t>法定代表人：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法定代表人：</w:t>
      </w:r>
      <w:r>
        <w:rPr>
          <w:rFonts w:hint="eastAsia" w:ascii="宋体" w:hAnsi="宋体" w:cs="宋体"/>
          <w:color w:val="000000"/>
          <w:sz w:val="24"/>
          <w:szCs w:val="24"/>
          <w:u w:val="single"/>
        </w:rPr>
        <w:t xml:space="preserve">                   </w:t>
      </w:r>
    </w:p>
    <w:p w14:paraId="3BA184C8">
      <w:pPr>
        <w:spacing w:line="360" w:lineRule="auto"/>
        <w:rPr>
          <w:rFonts w:ascii="宋体" w:hAnsi="宋体" w:cs="宋体"/>
          <w:color w:val="000000"/>
          <w:sz w:val="24"/>
          <w:szCs w:val="24"/>
        </w:rPr>
      </w:pPr>
      <w:r>
        <w:rPr>
          <w:rFonts w:hint="eastAsia" w:ascii="宋体" w:hAnsi="宋体" w:cs="宋体"/>
          <w:color w:val="000000"/>
          <w:sz w:val="24"/>
          <w:szCs w:val="24"/>
        </w:rPr>
        <w:t>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w:t>
      </w:r>
      <w:r>
        <w:rPr>
          <w:rFonts w:hint="eastAsia" w:ascii="宋体" w:hAnsi="宋体" w:cs="宋体"/>
          <w:color w:val="000000"/>
          <w:sz w:val="24"/>
          <w:szCs w:val="24"/>
          <w:u w:val="single"/>
        </w:rPr>
        <w:t xml:space="preserve">                   </w:t>
      </w:r>
    </w:p>
    <w:p w14:paraId="745018D1">
      <w:pPr>
        <w:spacing w:line="360" w:lineRule="auto"/>
        <w:rPr>
          <w:rFonts w:ascii="宋体" w:hAnsi="宋体" w:cs="宋体"/>
          <w:color w:val="000000"/>
          <w:sz w:val="24"/>
          <w:szCs w:val="24"/>
        </w:rPr>
      </w:pPr>
      <w:r>
        <w:rPr>
          <w:rFonts w:hint="eastAsia" w:ascii="宋体" w:hAnsi="宋体" w:cs="宋体"/>
          <w:color w:val="000000"/>
          <w:sz w:val="24"/>
          <w:szCs w:val="24"/>
        </w:rPr>
        <w:t>电  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  话：</w:t>
      </w:r>
      <w:r>
        <w:rPr>
          <w:rFonts w:hint="eastAsia" w:ascii="宋体" w:hAnsi="宋体" w:cs="宋体"/>
          <w:color w:val="000000"/>
          <w:sz w:val="24"/>
          <w:szCs w:val="24"/>
          <w:u w:val="single"/>
        </w:rPr>
        <w:t xml:space="preserve">           </w:t>
      </w:r>
    </w:p>
    <w:p w14:paraId="4D8C4D98">
      <w:pPr>
        <w:spacing w:line="360" w:lineRule="auto"/>
        <w:rPr>
          <w:rFonts w:ascii="宋体" w:hAnsi="宋体" w:cs="宋体"/>
          <w:color w:val="000000"/>
          <w:sz w:val="24"/>
          <w:szCs w:val="24"/>
        </w:rPr>
      </w:pPr>
      <w:r>
        <w:rPr>
          <w:rFonts w:hint="eastAsia" w:ascii="宋体" w:hAnsi="宋体" w:cs="宋体"/>
          <w:color w:val="000000"/>
          <w:sz w:val="24"/>
          <w:szCs w:val="24"/>
        </w:rPr>
        <w:t>传  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传  真：</w:t>
      </w:r>
      <w:r>
        <w:rPr>
          <w:rFonts w:hint="eastAsia" w:ascii="宋体" w:hAnsi="宋体" w:cs="宋体"/>
          <w:color w:val="000000"/>
          <w:sz w:val="24"/>
          <w:szCs w:val="24"/>
          <w:u w:val="single"/>
        </w:rPr>
        <w:t xml:space="preserve">           </w:t>
      </w:r>
    </w:p>
    <w:p w14:paraId="6E6F7D12">
      <w:pPr>
        <w:spacing w:line="360" w:lineRule="auto"/>
        <w:rPr>
          <w:rFonts w:ascii="宋体" w:hAnsi="宋体" w:cs="宋体"/>
          <w:color w:val="000000"/>
          <w:sz w:val="24"/>
          <w:szCs w:val="24"/>
        </w:rPr>
      </w:pPr>
      <w:r>
        <w:rPr>
          <w:rFonts w:hint="eastAsia" w:ascii="宋体" w:hAnsi="宋体" w:cs="宋体"/>
          <w:color w:val="000000"/>
          <w:sz w:val="24"/>
          <w:szCs w:val="24"/>
        </w:rPr>
        <w:t>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电子信箱：</w:t>
      </w:r>
      <w:r>
        <w:rPr>
          <w:rFonts w:hint="eastAsia" w:ascii="宋体" w:hAnsi="宋体" w:cs="宋体"/>
          <w:color w:val="000000"/>
          <w:sz w:val="24"/>
          <w:szCs w:val="24"/>
          <w:u w:val="single"/>
        </w:rPr>
        <w:t xml:space="preserve">         </w:t>
      </w:r>
    </w:p>
    <w:p w14:paraId="4976CABA">
      <w:pPr>
        <w:spacing w:line="360" w:lineRule="auto"/>
        <w:rPr>
          <w:rFonts w:ascii="宋体" w:hAnsi="宋体" w:cs="宋体"/>
          <w:color w:val="000000"/>
          <w:sz w:val="24"/>
          <w:szCs w:val="24"/>
        </w:rPr>
      </w:pPr>
      <w:r>
        <w:rPr>
          <w:rFonts w:hint="eastAsia" w:ascii="宋体" w:hAnsi="宋体" w:cs="宋体"/>
          <w:color w:val="000000"/>
          <w:sz w:val="24"/>
          <w:szCs w:val="24"/>
        </w:rPr>
        <w:t>开户银行：</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   </w:t>
      </w:r>
    </w:p>
    <w:p w14:paraId="664734F1">
      <w:pPr>
        <w:spacing w:line="360" w:lineRule="auto"/>
        <w:rPr>
          <w:rFonts w:ascii="宋体" w:hAnsi="宋体" w:cs="宋体"/>
          <w:color w:val="000000"/>
          <w:sz w:val="24"/>
          <w:szCs w:val="24"/>
        </w:rPr>
      </w:pPr>
      <w:r>
        <w:rPr>
          <w:rFonts w:hint="eastAsia" w:ascii="宋体" w:hAnsi="宋体" w:cs="宋体"/>
          <w:color w:val="000000"/>
          <w:sz w:val="24"/>
          <w:szCs w:val="24"/>
        </w:rPr>
        <w:t>账  号：</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账  号：</w:t>
      </w:r>
      <w:r>
        <w:rPr>
          <w:rFonts w:hint="eastAsia" w:ascii="宋体" w:hAnsi="宋体" w:cs="宋体"/>
          <w:color w:val="000000"/>
          <w:sz w:val="24"/>
          <w:szCs w:val="24"/>
          <w:u w:val="single"/>
        </w:rPr>
        <w:t xml:space="preserve">          </w:t>
      </w:r>
    </w:p>
    <w:p w14:paraId="4A04781F">
      <w:pPr>
        <w:spacing w:line="360" w:lineRule="auto"/>
        <w:jc w:val="center"/>
        <w:rPr>
          <w:rFonts w:ascii="宋体" w:hAnsi="宋体" w:cs="宋体"/>
          <w:szCs w:val="24"/>
        </w:rPr>
      </w:pPr>
      <w:r>
        <w:rPr>
          <w:rFonts w:hint="eastAsia" w:ascii="宋体" w:hAnsi="宋体" w:cs="宋体"/>
          <w:szCs w:val="24"/>
        </w:rPr>
        <w:br w:type="page"/>
      </w:r>
      <w:bookmarkStart w:id="204" w:name="_Toc17988"/>
      <w:bookmarkStart w:id="205" w:name="_Toc12610"/>
      <w:bookmarkStart w:id="206" w:name="_Toc7891"/>
      <w:bookmarkStart w:id="207" w:name="_Toc28578"/>
      <w:bookmarkStart w:id="208" w:name="_Toc503364605"/>
      <w:bookmarkStart w:id="209" w:name="_Toc518573634"/>
      <w:bookmarkStart w:id="210" w:name="_Toc518240082"/>
      <w:bookmarkStart w:id="211" w:name="_Toc12675"/>
      <w:bookmarkStart w:id="212" w:name="_Toc13100"/>
      <w:bookmarkStart w:id="213" w:name="_Toc518573518"/>
      <w:bookmarkStart w:id="214" w:name="_Toc7978"/>
      <w:bookmarkStart w:id="215" w:name="_Toc5238"/>
      <w:bookmarkStart w:id="216" w:name="_Toc25908"/>
      <w:r>
        <w:rPr>
          <w:rFonts w:hint="eastAsia" w:ascii="宋体" w:hAnsi="宋体" w:cs="宋体"/>
          <w:sz w:val="28"/>
          <w:szCs w:val="32"/>
        </w:rPr>
        <w:t>第二部分 通用合同条款</w:t>
      </w:r>
      <w:bookmarkEnd w:id="204"/>
      <w:bookmarkEnd w:id="205"/>
      <w:bookmarkEnd w:id="206"/>
      <w:bookmarkEnd w:id="207"/>
      <w:bookmarkEnd w:id="208"/>
      <w:bookmarkEnd w:id="209"/>
      <w:bookmarkEnd w:id="210"/>
      <w:bookmarkEnd w:id="211"/>
      <w:bookmarkEnd w:id="212"/>
      <w:bookmarkEnd w:id="213"/>
      <w:bookmarkEnd w:id="214"/>
      <w:bookmarkEnd w:id="215"/>
      <w:bookmarkStart w:id="217" w:name="_Toc337558727"/>
    </w:p>
    <w:bookmarkEnd w:id="217"/>
    <w:p w14:paraId="1B2F2B90">
      <w:pPr>
        <w:spacing w:line="360" w:lineRule="auto"/>
        <w:ind w:firstLine="480" w:firstLineChars="200"/>
        <w:jc w:val="left"/>
        <w:rPr>
          <w:rFonts w:ascii="宋体" w:hAnsi="宋体" w:cs="宋体"/>
          <w:sz w:val="24"/>
          <w:szCs w:val="28"/>
        </w:rPr>
      </w:pPr>
      <w:r>
        <w:rPr>
          <w:rFonts w:hint="eastAsia" w:ascii="宋体" w:hAnsi="宋体" w:cs="宋体"/>
          <w:sz w:val="24"/>
          <w:szCs w:val="28"/>
        </w:rPr>
        <w:t>1. 一般约定</w:t>
      </w:r>
    </w:p>
    <w:p w14:paraId="0D487C2B">
      <w:pPr>
        <w:spacing w:line="360" w:lineRule="auto"/>
        <w:ind w:firstLine="480" w:firstLineChars="200"/>
        <w:jc w:val="left"/>
        <w:rPr>
          <w:rFonts w:ascii="宋体" w:hAnsi="宋体" w:cs="宋体"/>
          <w:sz w:val="24"/>
          <w:szCs w:val="28"/>
        </w:rPr>
      </w:pPr>
      <w:r>
        <w:rPr>
          <w:rFonts w:hint="eastAsia" w:ascii="宋体" w:hAnsi="宋体" w:cs="宋体"/>
          <w:sz w:val="24"/>
          <w:szCs w:val="28"/>
        </w:rPr>
        <w:t>1.1词语定义与解释</w:t>
      </w:r>
    </w:p>
    <w:p w14:paraId="01D91150">
      <w:pPr>
        <w:spacing w:line="360" w:lineRule="auto"/>
        <w:ind w:firstLine="480" w:firstLineChars="200"/>
        <w:jc w:val="left"/>
        <w:rPr>
          <w:rFonts w:ascii="宋体" w:hAnsi="宋体" w:cs="宋体"/>
          <w:sz w:val="24"/>
          <w:szCs w:val="28"/>
        </w:rPr>
      </w:pPr>
      <w:r>
        <w:rPr>
          <w:rFonts w:hint="eastAsia" w:ascii="宋体" w:hAnsi="宋体" w:cs="宋体"/>
          <w:sz w:val="24"/>
          <w:szCs w:val="28"/>
        </w:rPr>
        <w:t>合同协议书、通用合同条款、专用合同条款中的下列词语具有本款所赋予的含义：</w:t>
      </w:r>
    </w:p>
    <w:p w14:paraId="3881D252">
      <w:pPr>
        <w:spacing w:line="360" w:lineRule="auto"/>
        <w:ind w:firstLine="480" w:firstLineChars="200"/>
        <w:jc w:val="left"/>
        <w:rPr>
          <w:rFonts w:ascii="宋体" w:hAnsi="宋体" w:cs="宋体"/>
          <w:sz w:val="24"/>
          <w:szCs w:val="28"/>
        </w:rPr>
      </w:pPr>
      <w:r>
        <w:rPr>
          <w:rFonts w:hint="eastAsia" w:ascii="宋体" w:hAnsi="宋体" w:cs="宋体"/>
          <w:sz w:val="24"/>
          <w:szCs w:val="28"/>
        </w:rPr>
        <w:t>1.1.1 合同</w:t>
      </w:r>
    </w:p>
    <w:p w14:paraId="28C597EB">
      <w:pPr>
        <w:spacing w:line="360" w:lineRule="auto"/>
        <w:ind w:firstLine="480" w:firstLineChars="200"/>
        <w:jc w:val="left"/>
        <w:rPr>
          <w:rFonts w:ascii="宋体" w:hAnsi="宋体" w:cs="宋体"/>
          <w:sz w:val="24"/>
          <w:szCs w:val="28"/>
        </w:rPr>
      </w:pPr>
      <w:r>
        <w:rPr>
          <w:rFonts w:hint="eastAsia" w:ascii="宋体" w:hAnsi="宋体" w:cs="宋体"/>
          <w:sz w:val="24"/>
          <w:szCs w:val="28"/>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53B2EB14">
      <w:pPr>
        <w:spacing w:line="360" w:lineRule="auto"/>
        <w:ind w:firstLine="480" w:firstLineChars="200"/>
        <w:jc w:val="left"/>
        <w:rPr>
          <w:rFonts w:ascii="宋体" w:hAnsi="宋体" w:cs="宋体"/>
          <w:sz w:val="24"/>
          <w:szCs w:val="28"/>
        </w:rPr>
      </w:pPr>
      <w:r>
        <w:rPr>
          <w:rFonts w:hint="eastAsia" w:ascii="宋体" w:hAnsi="宋体" w:cs="宋体"/>
          <w:sz w:val="24"/>
          <w:szCs w:val="28"/>
        </w:rPr>
        <w:t>1.1.1.2 合同协议书：是指构成合同的由发包人和承包人共同签署的称为“合同协议书”的书面文件。</w:t>
      </w:r>
    </w:p>
    <w:p w14:paraId="4CD217EF">
      <w:pPr>
        <w:spacing w:line="360" w:lineRule="auto"/>
        <w:ind w:firstLine="480" w:firstLineChars="200"/>
        <w:jc w:val="left"/>
        <w:rPr>
          <w:rFonts w:ascii="宋体" w:hAnsi="宋体" w:cs="宋体"/>
          <w:sz w:val="24"/>
          <w:szCs w:val="28"/>
        </w:rPr>
      </w:pPr>
      <w:r>
        <w:rPr>
          <w:rFonts w:hint="eastAsia" w:ascii="宋体" w:hAnsi="宋体" w:cs="宋体"/>
          <w:sz w:val="24"/>
          <w:szCs w:val="28"/>
        </w:rPr>
        <w:t>1.1.1.3 中标通知书：是指构成合同的由发包人通知承包人中标的书面文件。</w:t>
      </w:r>
    </w:p>
    <w:p w14:paraId="327C090C">
      <w:pPr>
        <w:spacing w:line="360" w:lineRule="auto"/>
        <w:ind w:firstLine="480" w:firstLineChars="200"/>
        <w:jc w:val="left"/>
        <w:rPr>
          <w:rFonts w:ascii="宋体" w:hAnsi="宋体" w:cs="宋体"/>
          <w:sz w:val="24"/>
          <w:szCs w:val="28"/>
        </w:rPr>
      </w:pPr>
      <w:r>
        <w:rPr>
          <w:rFonts w:hint="eastAsia" w:ascii="宋体" w:hAnsi="宋体" w:cs="宋体"/>
          <w:sz w:val="24"/>
          <w:szCs w:val="28"/>
        </w:rPr>
        <w:t>1.1.1.4 投标函：是指构成合同的由承包人填写并签署的用于投标的称为“投标函”的文件。</w:t>
      </w:r>
    </w:p>
    <w:p w14:paraId="130C54B1">
      <w:pPr>
        <w:spacing w:line="360" w:lineRule="auto"/>
        <w:ind w:firstLine="480" w:firstLineChars="200"/>
        <w:jc w:val="left"/>
        <w:rPr>
          <w:rFonts w:ascii="宋体" w:hAnsi="宋体" w:cs="宋体"/>
          <w:sz w:val="24"/>
          <w:szCs w:val="28"/>
        </w:rPr>
      </w:pPr>
      <w:r>
        <w:rPr>
          <w:rFonts w:hint="eastAsia" w:ascii="宋体" w:hAnsi="宋体" w:cs="宋体"/>
          <w:sz w:val="24"/>
          <w:szCs w:val="28"/>
        </w:rPr>
        <w:t>1.1.1.5 投标函附录：是指构成合同的附在投标函后的称为“投标函附录”的文件。</w:t>
      </w:r>
    </w:p>
    <w:p w14:paraId="5F1DDCF6">
      <w:pPr>
        <w:spacing w:line="360" w:lineRule="auto"/>
        <w:ind w:firstLine="480" w:firstLineChars="200"/>
        <w:jc w:val="left"/>
        <w:rPr>
          <w:rFonts w:ascii="宋体" w:hAnsi="宋体" w:cs="宋体"/>
          <w:sz w:val="24"/>
          <w:szCs w:val="28"/>
        </w:rPr>
      </w:pPr>
      <w:r>
        <w:rPr>
          <w:rFonts w:hint="eastAsia" w:ascii="宋体" w:hAnsi="宋体" w:cs="宋体"/>
          <w:sz w:val="24"/>
          <w:szCs w:val="28"/>
        </w:rPr>
        <w:t>1.1.1.6 技术标准和要求：是指构成合同的施工应当遵守的或指导施工的国家、行业或地方的技术标准和要求，以及合同约定的技术标准和要求。</w:t>
      </w:r>
    </w:p>
    <w:p w14:paraId="49DFDFEF">
      <w:pPr>
        <w:spacing w:line="360" w:lineRule="auto"/>
        <w:ind w:firstLine="480" w:firstLineChars="200"/>
        <w:jc w:val="left"/>
        <w:rPr>
          <w:rFonts w:ascii="宋体" w:hAnsi="宋体" w:cs="宋体"/>
          <w:sz w:val="24"/>
          <w:szCs w:val="28"/>
        </w:rPr>
      </w:pPr>
      <w:r>
        <w:rPr>
          <w:rFonts w:hint="eastAsia" w:ascii="宋体" w:hAnsi="宋体" w:cs="宋体"/>
          <w:sz w:val="24"/>
          <w:szCs w:val="28"/>
        </w:rPr>
        <w:t>1.1.1.7 图纸：是指构成合同的图纸，包括由发包人按照合同约定提供或经发包人批准的设计文件、施工图、鸟瞰图及模型等，以及在合同履行过程中形成的图纸文件。图纸应当按照法律规定审查合格。</w:t>
      </w:r>
    </w:p>
    <w:p w14:paraId="0F1A24B1">
      <w:pPr>
        <w:spacing w:line="360" w:lineRule="auto"/>
        <w:ind w:firstLine="480" w:firstLineChars="200"/>
        <w:jc w:val="left"/>
        <w:rPr>
          <w:rFonts w:ascii="宋体" w:hAnsi="宋体" w:cs="宋体"/>
          <w:sz w:val="24"/>
          <w:szCs w:val="28"/>
        </w:rPr>
      </w:pPr>
      <w:r>
        <w:rPr>
          <w:rFonts w:hint="eastAsia" w:ascii="宋体" w:hAnsi="宋体" w:cs="宋体"/>
          <w:sz w:val="24"/>
          <w:szCs w:val="28"/>
        </w:rPr>
        <w:t>1.1.1.8 已标价工程量清单：是指构成合同的由承包人按照规定的格式和要求填写并标明价格的工程量清单，包括说明和表格。</w:t>
      </w:r>
    </w:p>
    <w:p w14:paraId="1AF70442">
      <w:pPr>
        <w:spacing w:line="360" w:lineRule="auto"/>
        <w:ind w:firstLine="480" w:firstLineChars="200"/>
        <w:jc w:val="left"/>
        <w:rPr>
          <w:rFonts w:ascii="宋体" w:hAnsi="宋体" w:cs="宋体"/>
          <w:sz w:val="24"/>
          <w:szCs w:val="28"/>
        </w:rPr>
      </w:pPr>
      <w:r>
        <w:rPr>
          <w:rFonts w:hint="eastAsia" w:ascii="宋体" w:hAnsi="宋体" w:cs="宋体"/>
          <w:sz w:val="24"/>
          <w:szCs w:val="28"/>
        </w:rPr>
        <w:t>1.1.1.9 预算书：是指构成合同的由承包人按照发包人规定的格式和要求编制的工程预算文件。</w:t>
      </w:r>
    </w:p>
    <w:p w14:paraId="503FFDFE">
      <w:pPr>
        <w:spacing w:line="360" w:lineRule="auto"/>
        <w:ind w:firstLine="480" w:firstLineChars="200"/>
        <w:jc w:val="left"/>
        <w:rPr>
          <w:rFonts w:ascii="宋体" w:hAnsi="宋体" w:cs="宋体"/>
          <w:sz w:val="24"/>
          <w:szCs w:val="28"/>
        </w:rPr>
      </w:pPr>
      <w:r>
        <w:rPr>
          <w:rFonts w:hint="eastAsia" w:ascii="宋体" w:hAnsi="宋体" w:cs="宋体"/>
          <w:sz w:val="24"/>
          <w:szCs w:val="28"/>
        </w:rPr>
        <w:t>1.1.1.10 其他合同文件：是指经合同当事人约定的与工程施工有关的具有合同约束力的文件或书面协议。合同当事人可以在专用合同条款中进行约定。</w:t>
      </w:r>
    </w:p>
    <w:p w14:paraId="18D97B95">
      <w:pPr>
        <w:spacing w:line="360" w:lineRule="auto"/>
        <w:ind w:firstLine="480" w:firstLineChars="200"/>
        <w:jc w:val="left"/>
        <w:rPr>
          <w:rFonts w:ascii="宋体" w:hAnsi="宋体" w:cs="宋体"/>
          <w:sz w:val="24"/>
          <w:szCs w:val="28"/>
        </w:rPr>
      </w:pPr>
      <w:r>
        <w:rPr>
          <w:rFonts w:hint="eastAsia" w:ascii="宋体" w:hAnsi="宋体" w:cs="宋体"/>
          <w:sz w:val="24"/>
          <w:szCs w:val="28"/>
        </w:rPr>
        <w:t>1.1.2 合同当事人及其他相关方</w:t>
      </w:r>
    </w:p>
    <w:p w14:paraId="21656DE0">
      <w:pPr>
        <w:spacing w:line="360" w:lineRule="auto"/>
        <w:ind w:firstLine="480" w:firstLineChars="200"/>
        <w:jc w:val="left"/>
        <w:rPr>
          <w:rFonts w:ascii="宋体" w:hAnsi="宋体" w:cs="宋体"/>
          <w:sz w:val="24"/>
          <w:szCs w:val="28"/>
        </w:rPr>
      </w:pPr>
      <w:r>
        <w:rPr>
          <w:rFonts w:hint="eastAsia" w:ascii="宋体" w:hAnsi="宋体" w:cs="宋体"/>
          <w:sz w:val="24"/>
          <w:szCs w:val="28"/>
        </w:rPr>
        <w:t>1.1.2.1 合同当事人：是指发包人和（或）承包人。</w:t>
      </w:r>
    </w:p>
    <w:p w14:paraId="7CA0E7DF">
      <w:pPr>
        <w:spacing w:line="360" w:lineRule="auto"/>
        <w:ind w:firstLine="480" w:firstLineChars="200"/>
        <w:jc w:val="left"/>
        <w:rPr>
          <w:rFonts w:ascii="宋体" w:hAnsi="宋体" w:cs="宋体"/>
          <w:sz w:val="24"/>
          <w:szCs w:val="28"/>
        </w:rPr>
      </w:pPr>
      <w:r>
        <w:rPr>
          <w:rFonts w:hint="eastAsia" w:ascii="宋体" w:hAnsi="宋体" w:cs="宋体"/>
          <w:sz w:val="24"/>
          <w:szCs w:val="28"/>
        </w:rPr>
        <w:t>1.1.2.2 发包人：是指与承包人签订合同协议书的当事人及取得该当事人资格的合法继承人。</w:t>
      </w:r>
    </w:p>
    <w:p w14:paraId="3E44DD88">
      <w:pPr>
        <w:spacing w:line="360" w:lineRule="auto"/>
        <w:ind w:firstLine="480" w:firstLineChars="200"/>
        <w:jc w:val="left"/>
        <w:rPr>
          <w:rFonts w:ascii="宋体" w:hAnsi="宋体" w:cs="宋体"/>
          <w:sz w:val="24"/>
          <w:szCs w:val="28"/>
        </w:rPr>
      </w:pPr>
      <w:r>
        <w:rPr>
          <w:rFonts w:hint="eastAsia" w:ascii="宋体" w:hAnsi="宋体" w:cs="宋体"/>
          <w:sz w:val="24"/>
          <w:szCs w:val="28"/>
        </w:rPr>
        <w:t>1.1.2.3 承包人：是指与发包人签订合同协议书的，具有相应工程施工承包资质的当事人及取得该当事人资格的合法继承人。</w:t>
      </w:r>
    </w:p>
    <w:p w14:paraId="15C6F240">
      <w:pPr>
        <w:spacing w:line="360" w:lineRule="auto"/>
        <w:ind w:firstLine="480" w:firstLineChars="200"/>
        <w:jc w:val="left"/>
        <w:rPr>
          <w:rFonts w:ascii="宋体" w:hAnsi="宋体" w:cs="宋体"/>
          <w:sz w:val="24"/>
          <w:szCs w:val="28"/>
        </w:rPr>
      </w:pPr>
      <w:r>
        <w:rPr>
          <w:rFonts w:hint="eastAsia" w:ascii="宋体" w:hAnsi="宋体" w:cs="宋体"/>
          <w:sz w:val="24"/>
          <w:szCs w:val="28"/>
        </w:rPr>
        <w:t>1.1.2.4 监理人：是指在专用合同条款中指明的，受发包人委托按照法律规定进行工程监督管理的法人或其他组织。</w:t>
      </w:r>
    </w:p>
    <w:p w14:paraId="69AC1CAA">
      <w:pPr>
        <w:spacing w:line="360" w:lineRule="auto"/>
        <w:ind w:firstLine="480" w:firstLineChars="200"/>
        <w:jc w:val="left"/>
        <w:rPr>
          <w:rFonts w:ascii="宋体" w:hAnsi="宋体" w:cs="宋体"/>
          <w:sz w:val="24"/>
          <w:szCs w:val="28"/>
        </w:rPr>
      </w:pPr>
      <w:r>
        <w:rPr>
          <w:rFonts w:hint="eastAsia" w:ascii="宋体" w:hAnsi="宋体" w:cs="宋体"/>
          <w:sz w:val="24"/>
          <w:szCs w:val="28"/>
        </w:rPr>
        <w:t>1.1.2.5 设计人：是指在专用合同条款中指明的，受发包人委托负责工程设计并具备相应工程设计资质的法人或其他组织。</w:t>
      </w:r>
    </w:p>
    <w:p w14:paraId="3C839819">
      <w:pPr>
        <w:spacing w:line="360" w:lineRule="auto"/>
        <w:ind w:firstLine="480" w:firstLineChars="200"/>
        <w:jc w:val="left"/>
        <w:rPr>
          <w:rFonts w:ascii="宋体" w:hAnsi="宋体" w:cs="宋体"/>
          <w:sz w:val="24"/>
          <w:szCs w:val="28"/>
        </w:rPr>
      </w:pPr>
      <w:r>
        <w:rPr>
          <w:rFonts w:hint="eastAsia" w:ascii="宋体" w:hAnsi="宋体" w:cs="宋体"/>
          <w:sz w:val="24"/>
          <w:szCs w:val="28"/>
        </w:rPr>
        <w:t>1.1.2.6 分包人：是指按照法律规定和合同约定，分包部分工程或工作，并与承包人签订分包合同的具有相应资质的法人。</w:t>
      </w:r>
    </w:p>
    <w:p w14:paraId="63489558">
      <w:pPr>
        <w:spacing w:line="360" w:lineRule="auto"/>
        <w:ind w:firstLine="480" w:firstLineChars="200"/>
        <w:jc w:val="left"/>
        <w:rPr>
          <w:rFonts w:ascii="宋体" w:hAnsi="宋体" w:cs="宋体"/>
          <w:sz w:val="24"/>
          <w:szCs w:val="28"/>
        </w:rPr>
      </w:pPr>
      <w:r>
        <w:rPr>
          <w:rFonts w:hint="eastAsia" w:ascii="宋体" w:hAnsi="宋体" w:cs="宋体"/>
          <w:sz w:val="24"/>
          <w:szCs w:val="28"/>
        </w:rPr>
        <w:t>1.1.2.7 发包人代表：是指由发包人任命并派驻施工现场在发包人授权范围内行使发包人权利的人。</w:t>
      </w:r>
    </w:p>
    <w:p w14:paraId="49E0FBD5">
      <w:pPr>
        <w:spacing w:line="360" w:lineRule="auto"/>
        <w:ind w:firstLine="480" w:firstLineChars="200"/>
        <w:jc w:val="left"/>
        <w:rPr>
          <w:rFonts w:ascii="宋体" w:hAnsi="宋体" w:cs="宋体"/>
          <w:sz w:val="24"/>
          <w:szCs w:val="28"/>
        </w:rPr>
      </w:pPr>
      <w:r>
        <w:rPr>
          <w:rFonts w:hint="eastAsia" w:ascii="宋体" w:hAnsi="宋体" w:cs="宋体"/>
          <w:sz w:val="24"/>
          <w:szCs w:val="28"/>
        </w:rPr>
        <w:t>1.1.2.8 项目经理：是指由承包人任命并派驻施工现场，在承包人授权范围内负责合同履行，且按照法律规定具有相应资格的项目负责人。</w:t>
      </w:r>
    </w:p>
    <w:p w14:paraId="2E4FBDEA">
      <w:pPr>
        <w:spacing w:line="360" w:lineRule="auto"/>
        <w:ind w:firstLine="480" w:firstLineChars="200"/>
        <w:jc w:val="left"/>
        <w:rPr>
          <w:rFonts w:ascii="宋体" w:hAnsi="宋体" w:cs="宋体"/>
          <w:sz w:val="24"/>
          <w:szCs w:val="28"/>
        </w:rPr>
      </w:pPr>
      <w:r>
        <w:rPr>
          <w:rFonts w:hint="eastAsia" w:ascii="宋体" w:hAnsi="宋体" w:cs="宋体"/>
          <w:sz w:val="24"/>
          <w:szCs w:val="28"/>
        </w:rPr>
        <w:t>1.1.2.9 总监理工程师：是指由监理人任命并派驻施工现场进行工程监理的总负责人。</w:t>
      </w:r>
    </w:p>
    <w:p w14:paraId="2B251E77">
      <w:pPr>
        <w:spacing w:line="360" w:lineRule="auto"/>
        <w:ind w:firstLine="480" w:firstLineChars="200"/>
        <w:jc w:val="left"/>
        <w:rPr>
          <w:rFonts w:ascii="宋体" w:hAnsi="宋体" w:cs="宋体"/>
          <w:sz w:val="24"/>
          <w:szCs w:val="28"/>
        </w:rPr>
      </w:pPr>
      <w:r>
        <w:rPr>
          <w:rFonts w:hint="eastAsia" w:ascii="宋体" w:hAnsi="宋体" w:cs="宋体"/>
          <w:sz w:val="24"/>
          <w:szCs w:val="28"/>
        </w:rPr>
        <w:t>1.1.3 工程和设备</w:t>
      </w:r>
    </w:p>
    <w:p w14:paraId="02F45777">
      <w:pPr>
        <w:spacing w:line="360" w:lineRule="auto"/>
        <w:ind w:firstLine="480" w:firstLineChars="200"/>
        <w:jc w:val="left"/>
        <w:rPr>
          <w:rFonts w:ascii="宋体" w:hAnsi="宋体" w:cs="宋体"/>
          <w:sz w:val="24"/>
          <w:szCs w:val="28"/>
        </w:rPr>
      </w:pPr>
      <w:r>
        <w:rPr>
          <w:rFonts w:hint="eastAsia" w:ascii="宋体" w:hAnsi="宋体" w:cs="宋体"/>
          <w:sz w:val="24"/>
          <w:szCs w:val="28"/>
        </w:rPr>
        <w:t>1.1.3.1 工程：是指与合同协议书中工程承包范围对应的永久工程和（或）临时工程。</w:t>
      </w:r>
    </w:p>
    <w:p w14:paraId="47E924AA">
      <w:pPr>
        <w:spacing w:line="360" w:lineRule="auto"/>
        <w:ind w:firstLine="480" w:firstLineChars="200"/>
        <w:jc w:val="left"/>
        <w:rPr>
          <w:rFonts w:ascii="宋体" w:hAnsi="宋体" w:cs="宋体"/>
          <w:sz w:val="24"/>
          <w:szCs w:val="28"/>
        </w:rPr>
      </w:pPr>
      <w:r>
        <w:rPr>
          <w:rFonts w:hint="eastAsia" w:ascii="宋体" w:hAnsi="宋体" w:cs="宋体"/>
          <w:sz w:val="24"/>
          <w:szCs w:val="28"/>
        </w:rPr>
        <w:t>1.1.3.2 永久工程：是指按合同约定建造并移交给发包人的工程，包括工程设备。</w:t>
      </w:r>
    </w:p>
    <w:p w14:paraId="54B70CDD">
      <w:pPr>
        <w:spacing w:line="360" w:lineRule="auto"/>
        <w:ind w:firstLine="480" w:firstLineChars="200"/>
        <w:jc w:val="left"/>
        <w:rPr>
          <w:rFonts w:ascii="宋体" w:hAnsi="宋体" w:cs="宋体"/>
          <w:sz w:val="24"/>
          <w:szCs w:val="28"/>
        </w:rPr>
      </w:pPr>
      <w:r>
        <w:rPr>
          <w:rFonts w:hint="eastAsia" w:ascii="宋体" w:hAnsi="宋体" w:cs="宋体"/>
          <w:sz w:val="24"/>
          <w:szCs w:val="28"/>
        </w:rPr>
        <w:t>1.1.3.3 临时工程：是指为完成合同约定的永久工程所修建的各类临时性工程，不包括施工设备。</w:t>
      </w:r>
    </w:p>
    <w:p w14:paraId="62F24E6C">
      <w:pPr>
        <w:spacing w:line="360" w:lineRule="auto"/>
        <w:ind w:firstLine="480" w:firstLineChars="200"/>
        <w:jc w:val="left"/>
        <w:rPr>
          <w:rFonts w:ascii="宋体" w:hAnsi="宋体" w:cs="宋体"/>
          <w:sz w:val="24"/>
          <w:szCs w:val="28"/>
        </w:rPr>
      </w:pPr>
      <w:r>
        <w:rPr>
          <w:rFonts w:hint="eastAsia" w:ascii="宋体" w:hAnsi="宋体" w:cs="宋体"/>
          <w:sz w:val="24"/>
          <w:szCs w:val="28"/>
        </w:rPr>
        <w:t>1.1.3.4 单位工程：是指在合同协议书中指明的，具备独立施工条件并能形成独立使用功能的永久工程。</w:t>
      </w:r>
    </w:p>
    <w:p w14:paraId="166547AC">
      <w:pPr>
        <w:spacing w:line="360" w:lineRule="auto"/>
        <w:ind w:firstLine="480" w:firstLineChars="200"/>
        <w:jc w:val="left"/>
        <w:rPr>
          <w:rFonts w:ascii="宋体" w:hAnsi="宋体" w:cs="宋体"/>
          <w:sz w:val="24"/>
          <w:szCs w:val="28"/>
        </w:rPr>
      </w:pPr>
      <w:r>
        <w:rPr>
          <w:rFonts w:hint="eastAsia" w:ascii="宋体" w:hAnsi="宋体" w:cs="宋体"/>
          <w:sz w:val="24"/>
          <w:szCs w:val="28"/>
        </w:rPr>
        <w:t>1.1.3.5 工程设备：是指构成永久工程的机电设备、金属结构设备、仪器及其他类似的设备和装置。</w:t>
      </w:r>
    </w:p>
    <w:p w14:paraId="64F46B40">
      <w:pPr>
        <w:spacing w:line="360" w:lineRule="auto"/>
        <w:ind w:firstLine="480" w:firstLineChars="200"/>
        <w:jc w:val="left"/>
        <w:rPr>
          <w:rFonts w:ascii="宋体" w:hAnsi="宋体" w:cs="宋体"/>
          <w:sz w:val="24"/>
          <w:szCs w:val="28"/>
        </w:rPr>
      </w:pPr>
      <w:r>
        <w:rPr>
          <w:rFonts w:hint="eastAsia" w:ascii="宋体" w:hAnsi="宋体" w:cs="宋体"/>
          <w:sz w:val="24"/>
          <w:szCs w:val="28"/>
        </w:rPr>
        <w:t>1.1.3.6 施工设备：是指为完成合同约定的各项工作所需的设备、器具和其他物品，但不包括工程设备、临时工程和材料。</w:t>
      </w:r>
    </w:p>
    <w:p w14:paraId="62CA5255">
      <w:pPr>
        <w:spacing w:line="360" w:lineRule="auto"/>
        <w:ind w:firstLine="480" w:firstLineChars="200"/>
        <w:jc w:val="left"/>
        <w:rPr>
          <w:rFonts w:ascii="宋体" w:hAnsi="宋体" w:cs="宋体"/>
          <w:sz w:val="24"/>
          <w:szCs w:val="28"/>
        </w:rPr>
      </w:pPr>
      <w:r>
        <w:rPr>
          <w:rFonts w:hint="eastAsia" w:ascii="宋体" w:hAnsi="宋体" w:cs="宋体"/>
          <w:sz w:val="24"/>
          <w:szCs w:val="28"/>
        </w:rPr>
        <w:t>1.1.3.7 施工现场：是指用于工程施工的场所，以及在专用合同条款中指明作为施工场所组成部分的其他场所，包括永久占地和临时占地。</w:t>
      </w:r>
    </w:p>
    <w:p w14:paraId="019B0031">
      <w:pPr>
        <w:spacing w:line="360" w:lineRule="auto"/>
        <w:ind w:firstLine="480" w:firstLineChars="200"/>
        <w:jc w:val="left"/>
        <w:rPr>
          <w:rFonts w:ascii="宋体" w:hAnsi="宋体" w:cs="宋体"/>
          <w:sz w:val="24"/>
          <w:szCs w:val="28"/>
        </w:rPr>
      </w:pPr>
      <w:r>
        <w:rPr>
          <w:rFonts w:hint="eastAsia" w:ascii="宋体" w:hAnsi="宋体" w:cs="宋体"/>
          <w:sz w:val="24"/>
          <w:szCs w:val="28"/>
        </w:rPr>
        <w:t>1.1.3.8临时设施：是指为完成合同约定的各项工作所服务的临时性生产和生活设施。</w:t>
      </w:r>
    </w:p>
    <w:p w14:paraId="3B2CBB61">
      <w:pPr>
        <w:spacing w:line="360" w:lineRule="auto"/>
        <w:ind w:firstLine="480" w:firstLineChars="200"/>
        <w:jc w:val="left"/>
        <w:rPr>
          <w:rFonts w:ascii="宋体" w:hAnsi="宋体" w:cs="宋体"/>
          <w:sz w:val="24"/>
          <w:szCs w:val="28"/>
        </w:rPr>
      </w:pPr>
      <w:r>
        <w:rPr>
          <w:rFonts w:hint="eastAsia" w:ascii="宋体" w:hAnsi="宋体" w:cs="宋体"/>
          <w:sz w:val="24"/>
          <w:szCs w:val="28"/>
        </w:rPr>
        <w:t>1.1.3.9 永久占地：是指专用合同条款中指明为实施工程需永久占用的土地。</w:t>
      </w:r>
    </w:p>
    <w:p w14:paraId="0CB06C0E">
      <w:pPr>
        <w:spacing w:line="360" w:lineRule="auto"/>
        <w:ind w:firstLine="480" w:firstLineChars="200"/>
        <w:jc w:val="left"/>
        <w:rPr>
          <w:rFonts w:ascii="宋体" w:hAnsi="宋体" w:cs="宋体"/>
          <w:sz w:val="24"/>
          <w:szCs w:val="28"/>
        </w:rPr>
      </w:pPr>
      <w:r>
        <w:rPr>
          <w:rFonts w:hint="eastAsia" w:ascii="宋体" w:hAnsi="宋体" w:cs="宋体"/>
          <w:sz w:val="24"/>
          <w:szCs w:val="28"/>
        </w:rPr>
        <w:t>1.1.3.10 临时占地：是指专用合同条款中指明为实施工程需要临时占用的土地。</w:t>
      </w:r>
    </w:p>
    <w:p w14:paraId="2ABF9259">
      <w:pPr>
        <w:spacing w:line="360" w:lineRule="auto"/>
        <w:ind w:firstLine="480" w:firstLineChars="200"/>
        <w:jc w:val="left"/>
        <w:rPr>
          <w:rFonts w:ascii="宋体" w:hAnsi="宋体" w:cs="宋体"/>
          <w:sz w:val="24"/>
          <w:szCs w:val="28"/>
        </w:rPr>
      </w:pPr>
      <w:r>
        <w:rPr>
          <w:rFonts w:hint="eastAsia" w:ascii="宋体" w:hAnsi="宋体" w:cs="宋体"/>
          <w:sz w:val="24"/>
          <w:szCs w:val="28"/>
        </w:rPr>
        <w:t>1.1.4 日期和期限</w:t>
      </w:r>
    </w:p>
    <w:p w14:paraId="6A1CE24B">
      <w:pPr>
        <w:spacing w:line="360" w:lineRule="auto"/>
        <w:ind w:firstLine="480" w:firstLineChars="200"/>
        <w:jc w:val="left"/>
        <w:rPr>
          <w:rFonts w:ascii="宋体" w:hAnsi="宋体" w:cs="宋体"/>
          <w:sz w:val="24"/>
          <w:szCs w:val="28"/>
        </w:rPr>
      </w:pPr>
      <w:r>
        <w:rPr>
          <w:rFonts w:hint="eastAsia" w:ascii="宋体" w:hAnsi="宋体" w:cs="宋体"/>
          <w:sz w:val="24"/>
          <w:szCs w:val="28"/>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568043B4">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1.1.4.2 竣工日期：包括计划竣工日期和实际竣工日期。计划竣工日期是指合同协议书约定的竣工日期；实际竣工日期按照第13.2.3项〔竣工日期〕的约定确定。 </w:t>
      </w:r>
    </w:p>
    <w:p w14:paraId="01A0F25C">
      <w:pPr>
        <w:spacing w:line="360" w:lineRule="auto"/>
        <w:ind w:firstLine="480" w:firstLineChars="200"/>
        <w:jc w:val="left"/>
        <w:rPr>
          <w:rFonts w:ascii="宋体" w:hAnsi="宋体" w:cs="宋体"/>
          <w:sz w:val="24"/>
          <w:szCs w:val="28"/>
        </w:rPr>
      </w:pPr>
      <w:r>
        <w:rPr>
          <w:rFonts w:hint="eastAsia" w:ascii="宋体" w:hAnsi="宋体" w:cs="宋体"/>
          <w:sz w:val="24"/>
          <w:szCs w:val="28"/>
        </w:rPr>
        <w:t>1.1.4.3 工期：是指在合同协议书约定的承包人完成工程所需的期限，包括按照合同约定所作的期限变更。</w:t>
      </w:r>
    </w:p>
    <w:p w14:paraId="0B18E28E">
      <w:pPr>
        <w:spacing w:line="360" w:lineRule="auto"/>
        <w:ind w:firstLine="480" w:firstLineChars="200"/>
        <w:jc w:val="left"/>
        <w:rPr>
          <w:rFonts w:ascii="宋体" w:hAnsi="宋体" w:cs="宋体"/>
          <w:sz w:val="24"/>
          <w:szCs w:val="28"/>
        </w:rPr>
      </w:pPr>
      <w:r>
        <w:rPr>
          <w:rFonts w:hint="eastAsia" w:ascii="宋体" w:hAnsi="宋体" w:cs="宋体"/>
          <w:sz w:val="24"/>
          <w:szCs w:val="28"/>
        </w:rPr>
        <w:t>1.1.4.4 缺陷责任期：是指承包人按照合同约定承担缺陷修复义务，且发包人预留质量保证金（已缴纳履约保证金的除外）的期限，自工程实际竣工日期起计算。</w:t>
      </w:r>
    </w:p>
    <w:p w14:paraId="57416C2F">
      <w:pPr>
        <w:spacing w:line="360" w:lineRule="auto"/>
        <w:ind w:firstLine="480" w:firstLineChars="200"/>
        <w:jc w:val="left"/>
        <w:rPr>
          <w:rFonts w:ascii="宋体" w:hAnsi="宋体" w:cs="宋体"/>
          <w:sz w:val="24"/>
          <w:szCs w:val="28"/>
        </w:rPr>
      </w:pPr>
      <w:r>
        <w:rPr>
          <w:rFonts w:hint="eastAsia" w:ascii="宋体" w:hAnsi="宋体" w:cs="宋体"/>
          <w:sz w:val="24"/>
          <w:szCs w:val="28"/>
        </w:rPr>
        <w:t>1.1.4.5 保修期：是指承包人按照合同约定对工程承担保修责任的期限，从工程竣工验收合格之日起计算。</w:t>
      </w:r>
    </w:p>
    <w:p w14:paraId="16C8D576">
      <w:pPr>
        <w:spacing w:line="360" w:lineRule="auto"/>
        <w:ind w:firstLine="480" w:firstLineChars="200"/>
        <w:jc w:val="left"/>
        <w:rPr>
          <w:rFonts w:ascii="宋体" w:hAnsi="宋体" w:cs="宋体"/>
          <w:sz w:val="24"/>
          <w:szCs w:val="28"/>
        </w:rPr>
      </w:pPr>
      <w:r>
        <w:rPr>
          <w:rFonts w:hint="eastAsia" w:ascii="宋体" w:hAnsi="宋体" w:cs="宋体"/>
          <w:sz w:val="24"/>
          <w:szCs w:val="28"/>
        </w:rPr>
        <w:t>1.1.4.6 基准日期：招标发包的工程以投标截止日前28天的日期为基准日期，直接发包的工程以合同签订日前28天的日期为基准日期。</w:t>
      </w:r>
    </w:p>
    <w:p w14:paraId="42EF05CE">
      <w:pPr>
        <w:spacing w:line="360" w:lineRule="auto"/>
        <w:ind w:firstLine="480" w:firstLineChars="200"/>
        <w:jc w:val="left"/>
        <w:rPr>
          <w:rFonts w:ascii="宋体" w:hAnsi="宋体" w:cs="宋体"/>
          <w:sz w:val="24"/>
          <w:szCs w:val="28"/>
        </w:rPr>
      </w:pPr>
      <w:r>
        <w:rPr>
          <w:rFonts w:hint="eastAsia" w:ascii="宋体" w:hAnsi="宋体" w:cs="宋体"/>
          <w:sz w:val="24"/>
          <w:szCs w:val="28"/>
        </w:rPr>
        <w:t>1.1.4.7 天：除特别指明外，均指日历天。合同中按天计算时间的，开始当天不计入，从次日开始计算，期限最后一天的截止时间为当天24:00时。</w:t>
      </w:r>
    </w:p>
    <w:p w14:paraId="06BE8F43">
      <w:pPr>
        <w:spacing w:line="360" w:lineRule="auto"/>
        <w:ind w:firstLine="480" w:firstLineChars="200"/>
        <w:jc w:val="left"/>
        <w:rPr>
          <w:rFonts w:ascii="宋体" w:hAnsi="宋体" w:cs="宋体"/>
          <w:sz w:val="24"/>
          <w:szCs w:val="28"/>
        </w:rPr>
      </w:pPr>
      <w:r>
        <w:rPr>
          <w:rFonts w:hint="eastAsia" w:ascii="宋体" w:hAnsi="宋体" w:cs="宋体"/>
          <w:sz w:val="24"/>
          <w:szCs w:val="28"/>
        </w:rPr>
        <w:t>1.1.5 合同价格和费用</w:t>
      </w:r>
    </w:p>
    <w:p w14:paraId="50192522">
      <w:pPr>
        <w:spacing w:line="360" w:lineRule="auto"/>
        <w:ind w:firstLine="480" w:firstLineChars="200"/>
        <w:jc w:val="left"/>
        <w:rPr>
          <w:rFonts w:ascii="宋体" w:hAnsi="宋体" w:cs="宋体"/>
          <w:sz w:val="24"/>
          <w:szCs w:val="28"/>
        </w:rPr>
      </w:pPr>
      <w:r>
        <w:rPr>
          <w:rFonts w:hint="eastAsia" w:ascii="宋体" w:hAnsi="宋体" w:cs="宋体"/>
          <w:sz w:val="24"/>
          <w:szCs w:val="28"/>
        </w:rPr>
        <w:t>1.1.5.1 签约合同价：是指发包人和承包人在合同协议书中确定的总金额，包括安全文明施工费、暂估价及暂列金额等。</w:t>
      </w:r>
    </w:p>
    <w:p w14:paraId="67EA72DA">
      <w:pPr>
        <w:spacing w:line="360" w:lineRule="auto"/>
        <w:ind w:firstLine="480" w:firstLineChars="200"/>
        <w:jc w:val="left"/>
        <w:rPr>
          <w:rFonts w:ascii="宋体" w:hAnsi="宋体" w:cs="宋体"/>
          <w:sz w:val="24"/>
          <w:szCs w:val="28"/>
        </w:rPr>
      </w:pPr>
      <w:r>
        <w:rPr>
          <w:rFonts w:hint="eastAsia" w:ascii="宋体" w:hAnsi="宋体" w:cs="宋体"/>
          <w:sz w:val="24"/>
          <w:szCs w:val="28"/>
        </w:rPr>
        <w:t>1.1.5.2 合同价格：是指发包人用于支付承包人按照合同约定完成承包范围内全部工作的金额，包括合同履行过程中按合同约定发生的价格变化。</w:t>
      </w:r>
    </w:p>
    <w:p w14:paraId="15EFBFE8">
      <w:pPr>
        <w:spacing w:line="360" w:lineRule="auto"/>
        <w:ind w:firstLine="480" w:firstLineChars="200"/>
        <w:jc w:val="left"/>
        <w:rPr>
          <w:rFonts w:ascii="宋体" w:hAnsi="宋体" w:cs="宋体"/>
          <w:sz w:val="24"/>
          <w:szCs w:val="28"/>
        </w:rPr>
      </w:pPr>
      <w:r>
        <w:rPr>
          <w:rFonts w:hint="eastAsia" w:ascii="宋体" w:hAnsi="宋体" w:cs="宋体"/>
          <w:sz w:val="24"/>
          <w:szCs w:val="28"/>
        </w:rPr>
        <w:t>1.1.5.3 费用：是指为履行合同所发生的或将要发生的所有必需的开支，包括管理费和应分摊的其他费用，但不包括利润。</w:t>
      </w:r>
    </w:p>
    <w:p w14:paraId="0BADA551">
      <w:pPr>
        <w:spacing w:line="360" w:lineRule="auto"/>
        <w:ind w:firstLine="480" w:firstLineChars="200"/>
        <w:jc w:val="left"/>
        <w:rPr>
          <w:rFonts w:ascii="宋体" w:hAnsi="宋体" w:cs="宋体"/>
          <w:sz w:val="24"/>
          <w:szCs w:val="28"/>
        </w:rPr>
      </w:pPr>
      <w:r>
        <w:rPr>
          <w:rFonts w:hint="eastAsia" w:ascii="宋体" w:hAnsi="宋体" w:cs="宋体"/>
          <w:sz w:val="24"/>
          <w:szCs w:val="28"/>
        </w:rPr>
        <w:t>1.1.5.4 暂估价：是指发包人在工程量清单或预算书中提供的用于支付必然发生但暂时不能确定价格的材料、工程设备的单价、专业工程以及服务工作的金额。</w:t>
      </w:r>
    </w:p>
    <w:p w14:paraId="0F1BC106">
      <w:pPr>
        <w:spacing w:line="360" w:lineRule="auto"/>
        <w:ind w:firstLine="480" w:firstLineChars="200"/>
        <w:jc w:val="left"/>
        <w:rPr>
          <w:rFonts w:ascii="宋体" w:hAnsi="宋体" w:cs="宋体"/>
          <w:sz w:val="24"/>
          <w:szCs w:val="28"/>
        </w:rPr>
      </w:pPr>
      <w:r>
        <w:rPr>
          <w:rFonts w:hint="eastAsia" w:ascii="宋体" w:hAnsi="宋体" w:cs="宋体"/>
          <w:sz w:val="24"/>
          <w:szCs w:val="28"/>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18D89635">
      <w:pPr>
        <w:spacing w:line="360" w:lineRule="auto"/>
        <w:ind w:firstLine="480" w:firstLineChars="200"/>
        <w:jc w:val="left"/>
        <w:rPr>
          <w:rFonts w:ascii="宋体" w:hAnsi="宋体" w:cs="宋体"/>
          <w:sz w:val="24"/>
          <w:szCs w:val="28"/>
        </w:rPr>
      </w:pPr>
      <w:r>
        <w:rPr>
          <w:rFonts w:hint="eastAsia" w:ascii="宋体" w:hAnsi="宋体" w:cs="宋体"/>
          <w:sz w:val="24"/>
          <w:szCs w:val="28"/>
        </w:rPr>
        <w:t>1.1.5.6 计日工：是指合同履行过程中，承包人完成发包人提出的零星工作或需要采用计日工计价的变更工作时，按合同中约定的单价计价的一种方式。</w:t>
      </w:r>
    </w:p>
    <w:p w14:paraId="25F88B19">
      <w:pPr>
        <w:spacing w:line="360" w:lineRule="auto"/>
        <w:ind w:firstLine="480" w:firstLineChars="200"/>
        <w:jc w:val="left"/>
        <w:rPr>
          <w:rFonts w:ascii="宋体" w:hAnsi="宋体" w:cs="宋体"/>
          <w:sz w:val="24"/>
          <w:szCs w:val="28"/>
        </w:rPr>
      </w:pPr>
      <w:r>
        <w:rPr>
          <w:rFonts w:hint="eastAsia" w:ascii="宋体" w:hAnsi="宋体" w:cs="宋体"/>
          <w:sz w:val="24"/>
          <w:szCs w:val="28"/>
        </w:rPr>
        <w:t>1.1.5.7 质量保证金：是指按照第15.3款〔质量保证金〕约定承包人用于保证其在缺陷责任期内履行缺陷修补义务的担保。</w:t>
      </w:r>
    </w:p>
    <w:p w14:paraId="6A1C0530">
      <w:pPr>
        <w:spacing w:line="360" w:lineRule="auto"/>
        <w:ind w:firstLine="480" w:firstLineChars="200"/>
        <w:jc w:val="left"/>
        <w:rPr>
          <w:rFonts w:ascii="宋体" w:hAnsi="宋体" w:cs="宋体"/>
          <w:sz w:val="24"/>
          <w:szCs w:val="28"/>
        </w:rPr>
      </w:pPr>
      <w:r>
        <w:rPr>
          <w:rFonts w:hint="eastAsia" w:ascii="宋体" w:hAnsi="宋体" w:cs="宋体"/>
          <w:sz w:val="24"/>
          <w:szCs w:val="28"/>
        </w:rPr>
        <w:t>1.1.5.8 总价项目：是指在现行国家、行业以及地方的计量规则中无工程量计算规则，在已标价工程量清单或预算书中以总价或以费率形式计算的项目。</w:t>
      </w:r>
    </w:p>
    <w:p w14:paraId="66BDFD61">
      <w:pPr>
        <w:spacing w:line="360" w:lineRule="auto"/>
        <w:ind w:firstLine="480" w:firstLineChars="200"/>
        <w:jc w:val="left"/>
        <w:rPr>
          <w:rFonts w:ascii="宋体" w:hAnsi="宋体" w:cs="宋体"/>
          <w:sz w:val="24"/>
          <w:szCs w:val="28"/>
        </w:rPr>
      </w:pPr>
      <w:r>
        <w:rPr>
          <w:rFonts w:hint="eastAsia" w:ascii="宋体" w:hAnsi="宋体" w:cs="宋体"/>
          <w:sz w:val="24"/>
          <w:szCs w:val="28"/>
        </w:rPr>
        <w:t>1.1.6 其他</w:t>
      </w:r>
    </w:p>
    <w:p w14:paraId="5F54782A">
      <w:pPr>
        <w:spacing w:line="360" w:lineRule="auto"/>
        <w:ind w:firstLine="480" w:firstLineChars="200"/>
        <w:jc w:val="left"/>
        <w:rPr>
          <w:rFonts w:ascii="宋体" w:hAnsi="宋体" w:cs="宋体"/>
          <w:sz w:val="24"/>
          <w:szCs w:val="28"/>
        </w:rPr>
      </w:pPr>
      <w:r>
        <w:rPr>
          <w:rFonts w:hint="eastAsia" w:ascii="宋体" w:hAnsi="宋体" w:cs="宋体"/>
          <w:sz w:val="24"/>
          <w:szCs w:val="28"/>
        </w:rPr>
        <w:t>1.1.6.1 书面形式：是指合同文件、信函、电报、传真等可以有形地表现所载内容的形式。</w:t>
      </w:r>
    </w:p>
    <w:p w14:paraId="6873BD43">
      <w:pPr>
        <w:spacing w:line="360" w:lineRule="auto"/>
        <w:ind w:firstLine="480" w:firstLineChars="200"/>
        <w:jc w:val="left"/>
        <w:rPr>
          <w:rFonts w:ascii="宋体" w:hAnsi="宋体" w:cs="宋体"/>
          <w:sz w:val="24"/>
          <w:szCs w:val="28"/>
        </w:rPr>
      </w:pPr>
      <w:r>
        <w:rPr>
          <w:rFonts w:hint="eastAsia" w:ascii="宋体" w:hAnsi="宋体" w:cs="宋体"/>
          <w:sz w:val="24"/>
          <w:szCs w:val="28"/>
        </w:rPr>
        <w:t>1.2语言文字</w:t>
      </w:r>
    </w:p>
    <w:p w14:paraId="16C3C3E3">
      <w:pPr>
        <w:spacing w:line="360" w:lineRule="auto"/>
        <w:ind w:firstLine="480" w:firstLineChars="200"/>
        <w:jc w:val="left"/>
        <w:rPr>
          <w:rFonts w:ascii="宋体" w:hAnsi="宋体" w:cs="宋体"/>
          <w:sz w:val="24"/>
          <w:szCs w:val="28"/>
        </w:rPr>
      </w:pPr>
      <w:r>
        <w:rPr>
          <w:rFonts w:hint="eastAsia" w:ascii="宋体" w:hAnsi="宋体" w:cs="宋体"/>
          <w:sz w:val="24"/>
          <w:szCs w:val="28"/>
        </w:rPr>
        <w:t>合同以中国的汉语简体文字编写、解释和说明。合同当事人在专用合同条款中约定使用两种以上语言时，汉语为优先解释和说明合同的语言。</w:t>
      </w:r>
    </w:p>
    <w:p w14:paraId="701CC535">
      <w:pPr>
        <w:spacing w:line="360" w:lineRule="auto"/>
        <w:ind w:firstLine="480" w:firstLineChars="200"/>
        <w:jc w:val="left"/>
        <w:rPr>
          <w:rFonts w:ascii="宋体" w:hAnsi="宋体" w:cs="宋体"/>
          <w:sz w:val="24"/>
          <w:szCs w:val="28"/>
        </w:rPr>
      </w:pPr>
      <w:r>
        <w:rPr>
          <w:rFonts w:hint="eastAsia" w:ascii="宋体" w:hAnsi="宋体" w:cs="宋体"/>
          <w:sz w:val="24"/>
          <w:szCs w:val="28"/>
        </w:rPr>
        <w:t>1.3法律</w:t>
      </w:r>
    </w:p>
    <w:p w14:paraId="3C361C7F">
      <w:pPr>
        <w:spacing w:line="360" w:lineRule="auto"/>
        <w:ind w:firstLine="480" w:firstLineChars="200"/>
        <w:jc w:val="left"/>
        <w:rPr>
          <w:rFonts w:ascii="宋体" w:hAnsi="宋体" w:cs="宋体"/>
          <w:sz w:val="24"/>
          <w:szCs w:val="28"/>
        </w:rPr>
      </w:pPr>
      <w:r>
        <w:rPr>
          <w:rFonts w:hint="eastAsia" w:ascii="宋体" w:hAnsi="宋体" w:cs="宋体"/>
          <w:sz w:val="24"/>
          <w:szCs w:val="28"/>
        </w:rPr>
        <w:t>合同所称法律是指中华人民共和国法律、行政法规、部门规章，以及工程所在地的地方性法规、自治条例、单行条例和地方政府规章等。</w:t>
      </w:r>
    </w:p>
    <w:p w14:paraId="09ED167C">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合同当事人可以在专用合同条款中约定合同适用的其他规范性文件。</w:t>
      </w:r>
    </w:p>
    <w:p w14:paraId="57F5F857">
      <w:pPr>
        <w:spacing w:line="360" w:lineRule="auto"/>
        <w:ind w:firstLine="480" w:firstLineChars="200"/>
        <w:jc w:val="left"/>
        <w:rPr>
          <w:rFonts w:ascii="宋体" w:hAnsi="宋体" w:cs="宋体"/>
          <w:sz w:val="24"/>
          <w:szCs w:val="28"/>
        </w:rPr>
      </w:pPr>
      <w:r>
        <w:rPr>
          <w:rFonts w:hint="eastAsia" w:ascii="宋体" w:hAnsi="宋体" w:cs="宋体"/>
          <w:sz w:val="24"/>
          <w:szCs w:val="28"/>
        </w:rPr>
        <w:t>1.4 标准和规范</w:t>
      </w:r>
    </w:p>
    <w:p w14:paraId="4BD35504">
      <w:pPr>
        <w:spacing w:line="360" w:lineRule="auto"/>
        <w:ind w:firstLine="480" w:firstLineChars="200"/>
        <w:jc w:val="left"/>
        <w:rPr>
          <w:rFonts w:ascii="宋体" w:hAnsi="宋体" w:cs="宋体"/>
          <w:sz w:val="24"/>
          <w:szCs w:val="28"/>
        </w:rPr>
      </w:pPr>
      <w:r>
        <w:rPr>
          <w:rFonts w:hint="eastAsia" w:ascii="宋体" w:hAnsi="宋体" w:cs="宋体"/>
          <w:sz w:val="24"/>
          <w:szCs w:val="28"/>
        </w:rPr>
        <w:t>1.4.1 适用于工程的国家标准、行业标准、工程所在地的地方性标准，以及相应的规范、规程等，合同当事人有特别要求的，应在专用合同条款中约定。</w:t>
      </w:r>
    </w:p>
    <w:p w14:paraId="66250845">
      <w:pPr>
        <w:spacing w:line="360" w:lineRule="auto"/>
        <w:ind w:firstLine="480" w:firstLineChars="200"/>
        <w:jc w:val="left"/>
        <w:rPr>
          <w:rFonts w:ascii="宋体" w:hAnsi="宋体" w:cs="宋体"/>
          <w:sz w:val="24"/>
          <w:szCs w:val="28"/>
        </w:rPr>
      </w:pPr>
      <w:r>
        <w:rPr>
          <w:rFonts w:hint="eastAsia" w:ascii="宋体" w:hAnsi="宋体" w:cs="宋体"/>
          <w:sz w:val="24"/>
          <w:szCs w:val="28"/>
        </w:rPr>
        <w:t>1.4.2 发包人要求使用国外标准、规范的，发包人负责提供原文版本和中文译本，并在专用合同条款中约定提供标准规范的名称、份数和时间。</w:t>
      </w:r>
    </w:p>
    <w:p w14:paraId="21708141">
      <w:pPr>
        <w:spacing w:line="360" w:lineRule="auto"/>
        <w:ind w:firstLine="480" w:firstLineChars="200"/>
        <w:jc w:val="left"/>
        <w:rPr>
          <w:rFonts w:ascii="宋体" w:hAnsi="宋体" w:cs="宋体"/>
          <w:sz w:val="24"/>
          <w:szCs w:val="28"/>
        </w:rPr>
      </w:pPr>
      <w:r>
        <w:rPr>
          <w:rFonts w:hint="eastAsia" w:ascii="宋体" w:hAnsi="宋体" w:cs="宋体"/>
          <w:sz w:val="24"/>
          <w:szCs w:val="28"/>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67C5F88D">
      <w:pPr>
        <w:spacing w:line="360" w:lineRule="auto"/>
        <w:ind w:firstLine="480" w:firstLineChars="200"/>
        <w:jc w:val="left"/>
        <w:rPr>
          <w:rFonts w:ascii="宋体" w:hAnsi="宋体" w:cs="宋体"/>
          <w:sz w:val="24"/>
          <w:szCs w:val="28"/>
        </w:rPr>
      </w:pPr>
      <w:r>
        <w:rPr>
          <w:rFonts w:hint="eastAsia" w:ascii="宋体" w:hAnsi="宋体" w:cs="宋体"/>
          <w:sz w:val="24"/>
          <w:szCs w:val="28"/>
        </w:rPr>
        <w:t>1.5 合同文件的优先顺序</w:t>
      </w:r>
    </w:p>
    <w:p w14:paraId="4536B185">
      <w:pPr>
        <w:spacing w:line="360" w:lineRule="auto"/>
        <w:ind w:firstLine="480" w:firstLineChars="200"/>
        <w:jc w:val="left"/>
        <w:rPr>
          <w:rFonts w:ascii="宋体" w:hAnsi="宋体" w:cs="宋体"/>
          <w:sz w:val="24"/>
          <w:szCs w:val="28"/>
        </w:rPr>
      </w:pPr>
      <w:r>
        <w:rPr>
          <w:rFonts w:hint="eastAsia" w:ascii="宋体" w:hAnsi="宋体" w:cs="宋体"/>
          <w:sz w:val="24"/>
          <w:szCs w:val="28"/>
        </w:rPr>
        <w:t>组成合同的各项文件应互相解释，互为说明。除专用合同条款另有约定外，解释合同文件的优先顺序如下：</w:t>
      </w:r>
    </w:p>
    <w:p w14:paraId="5C7AE2C9">
      <w:pPr>
        <w:spacing w:line="360" w:lineRule="auto"/>
        <w:ind w:firstLine="480" w:firstLineChars="200"/>
        <w:jc w:val="left"/>
        <w:rPr>
          <w:rFonts w:ascii="宋体" w:hAnsi="宋体" w:cs="宋体"/>
          <w:sz w:val="24"/>
          <w:szCs w:val="28"/>
        </w:rPr>
      </w:pPr>
      <w:r>
        <w:rPr>
          <w:rFonts w:hint="eastAsia" w:ascii="宋体" w:hAnsi="宋体" w:cs="宋体"/>
          <w:sz w:val="24"/>
          <w:szCs w:val="28"/>
        </w:rPr>
        <w:t>（1）合同协议书；</w:t>
      </w:r>
    </w:p>
    <w:p w14:paraId="74F22CF8">
      <w:pPr>
        <w:spacing w:line="360" w:lineRule="auto"/>
        <w:ind w:firstLine="480" w:firstLineChars="200"/>
        <w:jc w:val="left"/>
        <w:rPr>
          <w:rFonts w:ascii="宋体" w:hAnsi="宋体" w:cs="宋体"/>
          <w:sz w:val="24"/>
          <w:szCs w:val="28"/>
        </w:rPr>
      </w:pPr>
      <w:r>
        <w:rPr>
          <w:rFonts w:hint="eastAsia" w:ascii="宋体" w:hAnsi="宋体" w:cs="宋体"/>
          <w:sz w:val="24"/>
          <w:szCs w:val="28"/>
        </w:rPr>
        <w:t>（2）中标通知书（如果有）；</w:t>
      </w:r>
    </w:p>
    <w:p w14:paraId="025D2DBD">
      <w:pPr>
        <w:spacing w:line="360" w:lineRule="auto"/>
        <w:ind w:firstLine="480" w:firstLineChars="200"/>
        <w:jc w:val="left"/>
        <w:rPr>
          <w:rFonts w:ascii="宋体" w:hAnsi="宋体" w:cs="宋体"/>
          <w:sz w:val="24"/>
          <w:szCs w:val="28"/>
        </w:rPr>
      </w:pPr>
      <w:r>
        <w:rPr>
          <w:rFonts w:hint="eastAsia" w:ascii="宋体" w:hAnsi="宋体" w:cs="宋体"/>
          <w:sz w:val="24"/>
          <w:szCs w:val="28"/>
        </w:rPr>
        <w:t>（3）投标函及其附录（如果有）；</w:t>
      </w:r>
    </w:p>
    <w:p w14:paraId="7D7BF73C">
      <w:pPr>
        <w:spacing w:line="360" w:lineRule="auto"/>
        <w:ind w:firstLine="480" w:firstLineChars="200"/>
        <w:jc w:val="left"/>
        <w:rPr>
          <w:rFonts w:ascii="宋体" w:hAnsi="宋体" w:cs="宋体"/>
          <w:sz w:val="24"/>
          <w:szCs w:val="28"/>
        </w:rPr>
      </w:pPr>
      <w:r>
        <w:rPr>
          <w:rFonts w:hint="eastAsia" w:ascii="宋体" w:hAnsi="宋体" w:cs="宋体"/>
          <w:sz w:val="24"/>
          <w:szCs w:val="28"/>
        </w:rPr>
        <w:t>（4）专用合同条款及其附件；</w:t>
      </w:r>
    </w:p>
    <w:p w14:paraId="1C71CB56">
      <w:pPr>
        <w:spacing w:line="360" w:lineRule="auto"/>
        <w:ind w:firstLine="480" w:firstLineChars="200"/>
        <w:jc w:val="left"/>
        <w:rPr>
          <w:rFonts w:ascii="宋体" w:hAnsi="宋体" w:cs="宋体"/>
          <w:sz w:val="24"/>
          <w:szCs w:val="28"/>
        </w:rPr>
      </w:pPr>
      <w:r>
        <w:rPr>
          <w:rFonts w:hint="eastAsia" w:ascii="宋体" w:hAnsi="宋体" w:cs="宋体"/>
          <w:sz w:val="24"/>
          <w:szCs w:val="28"/>
        </w:rPr>
        <w:t>（5）通用合同条款；</w:t>
      </w:r>
    </w:p>
    <w:p w14:paraId="4BE7BC48">
      <w:pPr>
        <w:spacing w:line="360" w:lineRule="auto"/>
        <w:ind w:firstLine="480" w:firstLineChars="200"/>
        <w:jc w:val="left"/>
        <w:rPr>
          <w:rFonts w:ascii="宋体" w:hAnsi="宋体" w:cs="宋体"/>
          <w:sz w:val="24"/>
          <w:szCs w:val="28"/>
        </w:rPr>
      </w:pPr>
      <w:r>
        <w:rPr>
          <w:rFonts w:hint="eastAsia" w:ascii="宋体" w:hAnsi="宋体" w:cs="宋体"/>
          <w:sz w:val="24"/>
          <w:szCs w:val="28"/>
        </w:rPr>
        <w:t>（6）技术标准和要求；</w:t>
      </w:r>
    </w:p>
    <w:p w14:paraId="6B1B03B1">
      <w:pPr>
        <w:spacing w:line="360" w:lineRule="auto"/>
        <w:ind w:firstLine="480" w:firstLineChars="200"/>
        <w:jc w:val="left"/>
        <w:rPr>
          <w:rFonts w:ascii="宋体" w:hAnsi="宋体" w:cs="宋体"/>
          <w:sz w:val="24"/>
          <w:szCs w:val="28"/>
        </w:rPr>
      </w:pPr>
      <w:r>
        <w:rPr>
          <w:rFonts w:hint="eastAsia" w:ascii="宋体" w:hAnsi="宋体" w:cs="宋体"/>
          <w:sz w:val="24"/>
          <w:szCs w:val="28"/>
        </w:rPr>
        <w:t>（7）图纸；</w:t>
      </w:r>
    </w:p>
    <w:p w14:paraId="6AA0EDF2">
      <w:pPr>
        <w:spacing w:line="360" w:lineRule="auto"/>
        <w:ind w:firstLine="480" w:firstLineChars="200"/>
        <w:jc w:val="left"/>
        <w:rPr>
          <w:rFonts w:ascii="宋体" w:hAnsi="宋体" w:cs="宋体"/>
          <w:sz w:val="24"/>
          <w:szCs w:val="28"/>
        </w:rPr>
      </w:pPr>
      <w:r>
        <w:rPr>
          <w:rFonts w:hint="eastAsia" w:ascii="宋体" w:hAnsi="宋体" w:cs="宋体"/>
          <w:sz w:val="24"/>
          <w:szCs w:val="28"/>
        </w:rPr>
        <w:t>（8）已标价工程量清单或预算书；</w:t>
      </w:r>
    </w:p>
    <w:p w14:paraId="3F0CB0D9">
      <w:pPr>
        <w:spacing w:line="360" w:lineRule="auto"/>
        <w:ind w:firstLine="480" w:firstLineChars="200"/>
        <w:jc w:val="left"/>
        <w:rPr>
          <w:rFonts w:ascii="宋体" w:hAnsi="宋体" w:cs="宋体"/>
          <w:sz w:val="24"/>
          <w:szCs w:val="28"/>
        </w:rPr>
      </w:pPr>
      <w:r>
        <w:rPr>
          <w:rFonts w:hint="eastAsia" w:ascii="宋体" w:hAnsi="宋体" w:cs="宋体"/>
          <w:sz w:val="24"/>
          <w:szCs w:val="28"/>
        </w:rPr>
        <w:t>（9）其他合同文件。</w:t>
      </w:r>
    </w:p>
    <w:p w14:paraId="47ECBEDE">
      <w:pPr>
        <w:spacing w:line="360" w:lineRule="auto"/>
        <w:ind w:firstLine="480" w:firstLineChars="200"/>
        <w:jc w:val="left"/>
        <w:rPr>
          <w:rFonts w:ascii="宋体" w:hAnsi="宋体" w:cs="宋体"/>
          <w:sz w:val="24"/>
          <w:szCs w:val="28"/>
        </w:rPr>
      </w:pPr>
      <w:r>
        <w:rPr>
          <w:rFonts w:hint="eastAsia" w:ascii="宋体" w:hAnsi="宋体" w:cs="宋体"/>
          <w:sz w:val="24"/>
          <w:szCs w:val="28"/>
        </w:rPr>
        <w:t>上述各项合同文件包括合同当事人就该项合同文件所作出的补充和修改，属于同一类内容的文件，应以最新签署的为准。</w:t>
      </w:r>
    </w:p>
    <w:p w14:paraId="3A0E8A47">
      <w:pPr>
        <w:spacing w:line="360" w:lineRule="auto"/>
        <w:ind w:firstLine="480" w:firstLineChars="200"/>
        <w:jc w:val="left"/>
        <w:rPr>
          <w:rFonts w:ascii="宋体" w:hAnsi="宋体" w:cs="宋体"/>
          <w:sz w:val="24"/>
          <w:szCs w:val="28"/>
        </w:rPr>
      </w:pPr>
      <w:r>
        <w:rPr>
          <w:rFonts w:hint="eastAsia" w:ascii="宋体" w:hAnsi="宋体" w:cs="宋体"/>
          <w:sz w:val="24"/>
          <w:szCs w:val="28"/>
        </w:rPr>
        <w:t>在合同订立及履行过程中形成的与合同有关的文件均构成合同文件组成部分，并根据其性质确定优先解释顺序。</w:t>
      </w:r>
    </w:p>
    <w:p w14:paraId="108F7B0B">
      <w:pPr>
        <w:spacing w:line="360" w:lineRule="auto"/>
        <w:ind w:firstLine="480" w:firstLineChars="200"/>
        <w:jc w:val="left"/>
        <w:rPr>
          <w:rFonts w:ascii="宋体" w:hAnsi="宋体" w:cs="宋体"/>
          <w:sz w:val="24"/>
          <w:szCs w:val="28"/>
        </w:rPr>
      </w:pPr>
      <w:r>
        <w:rPr>
          <w:rFonts w:hint="eastAsia" w:ascii="宋体" w:hAnsi="宋体" w:cs="宋体"/>
          <w:sz w:val="24"/>
          <w:szCs w:val="28"/>
        </w:rPr>
        <w:t>1.6图纸和承包人文件</w:t>
      </w:r>
    </w:p>
    <w:p w14:paraId="024A8C03">
      <w:pPr>
        <w:spacing w:line="360" w:lineRule="auto"/>
        <w:ind w:firstLine="480" w:firstLineChars="200"/>
        <w:jc w:val="left"/>
        <w:rPr>
          <w:rFonts w:ascii="宋体" w:hAnsi="宋体" w:cs="宋体"/>
          <w:sz w:val="24"/>
          <w:szCs w:val="28"/>
        </w:rPr>
      </w:pPr>
      <w:r>
        <w:rPr>
          <w:rFonts w:hint="eastAsia" w:ascii="宋体" w:hAnsi="宋体" w:cs="宋体"/>
          <w:sz w:val="24"/>
          <w:szCs w:val="28"/>
        </w:rPr>
        <w:t>1.6.1 图纸的提供和交底</w:t>
      </w:r>
    </w:p>
    <w:p w14:paraId="0D1E4943">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54E9F065">
      <w:pPr>
        <w:spacing w:line="360" w:lineRule="auto"/>
        <w:ind w:firstLine="480" w:firstLineChars="200"/>
        <w:jc w:val="left"/>
        <w:rPr>
          <w:rFonts w:ascii="宋体" w:hAnsi="宋体" w:cs="宋体"/>
          <w:sz w:val="24"/>
          <w:szCs w:val="28"/>
        </w:rPr>
      </w:pPr>
      <w:r>
        <w:rPr>
          <w:rFonts w:hint="eastAsia" w:ascii="宋体" w:hAnsi="宋体" w:cs="宋体"/>
          <w:sz w:val="24"/>
          <w:szCs w:val="28"/>
        </w:rPr>
        <w:t>因发包人未按合同约定提供图纸导致承包人费用增加和（或）工期延误的，按照第7.5.1项〔因发包人原因导致工期延误〕约定办理。</w:t>
      </w:r>
    </w:p>
    <w:p w14:paraId="691BCC84">
      <w:pPr>
        <w:spacing w:line="360" w:lineRule="auto"/>
        <w:ind w:firstLine="480" w:firstLineChars="200"/>
        <w:jc w:val="left"/>
        <w:rPr>
          <w:rFonts w:ascii="宋体" w:hAnsi="宋体" w:cs="宋体"/>
          <w:sz w:val="24"/>
          <w:szCs w:val="28"/>
        </w:rPr>
      </w:pPr>
      <w:r>
        <w:rPr>
          <w:rFonts w:hint="eastAsia" w:ascii="宋体" w:hAnsi="宋体" w:cs="宋体"/>
          <w:sz w:val="24"/>
          <w:szCs w:val="28"/>
        </w:rPr>
        <w:t>1.6.2 图纸的错误</w:t>
      </w:r>
    </w:p>
    <w:p w14:paraId="481478F7">
      <w:pPr>
        <w:spacing w:line="360" w:lineRule="auto"/>
        <w:ind w:firstLine="480" w:firstLineChars="200"/>
        <w:jc w:val="left"/>
        <w:rPr>
          <w:rFonts w:ascii="宋体" w:hAnsi="宋体" w:cs="宋体"/>
          <w:sz w:val="24"/>
          <w:szCs w:val="28"/>
        </w:rPr>
      </w:pPr>
      <w:r>
        <w:rPr>
          <w:rFonts w:hint="eastAsia" w:ascii="宋体" w:hAnsi="宋体" w:cs="宋体"/>
          <w:sz w:val="24"/>
          <w:szCs w:val="28"/>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5D91CD6B">
      <w:pPr>
        <w:spacing w:line="360" w:lineRule="auto"/>
        <w:ind w:firstLine="480" w:firstLineChars="200"/>
        <w:jc w:val="left"/>
        <w:rPr>
          <w:rFonts w:ascii="宋体" w:hAnsi="宋体" w:cs="宋体"/>
          <w:sz w:val="24"/>
          <w:szCs w:val="28"/>
        </w:rPr>
      </w:pPr>
      <w:r>
        <w:rPr>
          <w:rFonts w:hint="eastAsia" w:ascii="宋体" w:hAnsi="宋体" w:cs="宋体"/>
          <w:sz w:val="24"/>
          <w:szCs w:val="28"/>
        </w:rPr>
        <w:t>1.6.3 图纸的修改和补充</w:t>
      </w:r>
    </w:p>
    <w:p w14:paraId="4DCD28FB">
      <w:pPr>
        <w:spacing w:line="360" w:lineRule="auto"/>
        <w:ind w:firstLine="480" w:firstLineChars="200"/>
        <w:jc w:val="left"/>
        <w:rPr>
          <w:rFonts w:ascii="宋体" w:hAnsi="宋体" w:cs="宋体"/>
          <w:sz w:val="24"/>
          <w:szCs w:val="28"/>
        </w:rPr>
      </w:pPr>
      <w:r>
        <w:rPr>
          <w:rFonts w:hint="eastAsia" w:ascii="宋体" w:hAnsi="宋体" w:cs="宋体"/>
          <w:sz w:val="24"/>
          <w:szCs w:val="28"/>
        </w:rPr>
        <w:t>图纸需要修改和补充的，应经图纸原设计人及审批部门同意，并由监理人在工程或工程相应部位施工前将修改后的图纸或补充图纸提交给承包人，承包人应按修改或补充后的图纸施工。</w:t>
      </w:r>
    </w:p>
    <w:p w14:paraId="2539D361">
      <w:pPr>
        <w:spacing w:line="360" w:lineRule="auto"/>
        <w:ind w:firstLine="480" w:firstLineChars="200"/>
        <w:jc w:val="left"/>
        <w:rPr>
          <w:rFonts w:ascii="宋体" w:hAnsi="宋体" w:cs="宋体"/>
          <w:sz w:val="24"/>
          <w:szCs w:val="28"/>
        </w:rPr>
      </w:pPr>
      <w:r>
        <w:rPr>
          <w:rFonts w:hint="eastAsia" w:ascii="宋体" w:hAnsi="宋体" w:cs="宋体"/>
          <w:sz w:val="24"/>
          <w:szCs w:val="28"/>
        </w:rPr>
        <w:t>1.6.4 承包人文件</w:t>
      </w:r>
    </w:p>
    <w:p w14:paraId="4BEEFB53">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承包人应按照专用合同条款的约定提供应当由其编制的与工程施工有关的文件，并按照专用合同条款约定的期限、数量和形式提交监理人，并由监理人报送发包人。</w:t>
      </w:r>
    </w:p>
    <w:p w14:paraId="7326ADE6">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19DB8FB9">
      <w:pPr>
        <w:spacing w:line="360" w:lineRule="auto"/>
        <w:ind w:firstLine="480" w:firstLineChars="200"/>
        <w:jc w:val="left"/>
        <w:rPr>
          <w:rFonts w:ascii="宋体" w:hAnsi="宋体" w:cs="宋体"/>
          <w:sz w:val="24"/>
          <w:szCs w:val="28"/>
        </w:rPr>
      </w:pPr>
      <w:r>
        <w:rPr>
          <w:rFonts w:hint="eastAsia" w:ascii="宋体" w:hAnsi="宋体" w:cs="宋体"/>
          <w:sz w:val="24"/>
          <w:szCs w:val="28"/>
        </w:rPr>
        <w:t>1.6.5 图纸和承包人文件的保管</w:t>
      </w:r>
    </w:p>
    <w:p w14:paraId="56BC7833">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除专用合同条款另有约定外，承包人应在施工现场另外保存一套完整的图纸和承包人文件，供发包人、监理人及有关人员进行工程检查时使用。</w:t>
      </w:r>
    </w:p>
    <w:p w14:paraId="5C998BF9">
      <w:pPr>
        <w:spacing w:line="360" w:lineRule="auto"/>
        <w:ind w:firstLine="480" w:firstLineChars="200"/>
        <w:jc w:val="left"/>
        <w:rPr>
          <w:rFonts w:ascii="宋体" w:hAnsi="宋体" w:cs="宋体"/>
          <w:sz w:val="24"/>
          <w:szCs w:val="28"/>
        </w:rPr>
      </w:pPr>
      <w:r>
        <w:rPr>
          <w:rFonts w:hint="eastAsia" w:ascii="宋体" w:hAnsi="宋体" w:cs="宋体"/>
          <w:sz w:val="24"/>
          <w:szCs w:val="28"/>
        </w:rPr>
        <w:t>1.7联络</w:t>
      </w:r>
    </w:p>
    <w:p w14:paraId="06E31AD7">
      <w:pPr>
        <w:spacing w:line="360" w:lineRule="auto"/>
        <w:ind w:firstLine="480" w:firstLineChars="200"/>
        <w:jc w:val="left"/>
        <w:rPr>
          <w:rFonts w:ascii="宋体" w:hAnsi="宋体" w:cs="宋体"/>
          <w:sz w:val="24"/>
          <w:szCs w:val="28"/>
        </w:rPr>
      </w:pPr>
      <w:r>
        <w:rPr>
          <w:rFonts w:hint="eastAsia" w:ascii="宋体" w:hAnsi="宋体" w:cs="宋体"/>
          <w:sz w:val="24"/>
          <w:szCs w:val="28"/>
        </w:rPr>
        <w:t>1.7.1 与合同有关的通知、批准、证明、证书、指示、指令、要求、请求、同意、意见、确定和决定等，均应采用书面形式，并应在合同约定的期限内送达接收人和送达地点。</w:t>
      </w:r>
    </w:p>
    <w:p w14:paraId="2B63CB63">
      <w:pPr>
        <w:spacing w:line="360" w:lineRule="auto"/>
        <w:ind w:firstLine="480" w:firstLineChars="200"/>
        <w:jc w:val="left"/>
        <w:rPr>
          <w:rFonts w:ascii="宋体" w:hAnsi="宋体" w:cs="宋体"/>
          <w:sz w:val="24"/>
          <w:szCs w:val="28"/>
        </w:rPr>
      </w:pPr>
      <w:r>
        <w:rPr>
          <w:rFonts w:hint="eastAsia" w:ascii="宋体" w:hAnsi="宋体" w:cs="宋体"/>
          <w:sz w:val="24"/>
          <w:szCs w:val="28"/>
        </w:rPr>
        <w:t>1.7.2 发包人和承包人应在专用合同条款中约定各自的送达接收人和送达地点。任何一方合同当事人指定的接收人或送达地点发生变动的，应提前3天以书面形式通知对方。</w:t>
      </w:r>
    </w:p>
    <w:p w14:paraId="03D6843C">
      <w:pPr>
        <w:spacing w:line="360" w:lineRule="auto"/>
        <w:ind w:firstLine="480" w:firstLineChars="200"/>
        <w:jc w:val="left"/>
        <w:rPr>
          <w:rFonts w:ascii="宋体" w:hAnsi="宋体" w:cs="宋体"/>
          <w:sz w:val="24"/>
          <w:szCs w:val="28"/>
        </w:rPr>
      </w:pPr>
      <w:r>
        <w:rPr>
          <w:rFonts w:hint="eastAsia" w:ascii="宋体" w:hAnsi="宋体" w:cs="宋体"/>
          <w:sz w:val="24"/>
          <w:szCs w:val="28"/>
        </w:rPr>
        <w:t>1.7.3 发包人和承包人应当及时签收另一方送达至送达地点和指定接收人的来往信函。拒不签收的，由此增加的费用和（或）延误的工期由拒绝接收一方承担。</w:t>
      </w:r>
    </w:p>
    <w:p w14:paraId="0D63AFC7">
      <w:pPr>
        <w:spacing w:line="360" w:lineRule="auto"/>
        <w:ind w:firstLine="480" w:firstLineChars="200"/>
        <w:jc w:val="left"/>
        <w:rPr>
          <w:rFonts w:ascii="宋体" w:hAnsi="宋体" w:cs="宋体"/>
          <w:sz w:val="24"/>
          <w:szCs w:val="28"/>
        </w:rPr>
      </w:pPr>
      <w:r>
        <w:rPr>
          <w:rFonts w:hint="eastAsia" w:ascii="宋体" w:hAnsi="宋体" w:cs="宋体"/>
          <w:sz w:val="24"/>
          <w:szCs w:val="28"/>
        </w:rPr>
        <w:t>1.8严禁贿赂</w:t>
      </w:r>
    </w:p>
    <w:p w14:paraId="541A1BA3">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合同当事人不得以贿赂或变相贿赂的方式，谋取非法利益或损害对方权益。因一方合同当事人的贿赂造成对方损失的，应赔偿损失，并承担相应的法律责任。</w:t>
      </w:r>
    </w:p>
    <w:p w14:paraId="06B70C91">
      <w:pPr>
        <w:spacing w:line="360" w:lineRule="auto"/>
        <w:ind w:firstLine="480" w:firstLineChars="200"/>
        <w:jc w:val="left"/>
        <w:rPr>
          <w:rFonts w:ascii="宋体" w:hAnsi="宋体" w:cs="宋体"/>
          <w:sz w:val="24"/>
          <w:szCs w:val="28"/>
        </w:rPr>
      </w:pPr>
      <w:r>
        <w:rPr>
          <w:rFonts w:hint="eastAsia" w:ascii="宋体" w:hAnsi="宋体" w:cs="宋体"/>
          <w:sz w:val="24"/>
          <w:szCs w:val="28"/>
        </w:rPr>
        <w:t>承包人不得与监理人或发包人聘请的第三方串通损害发包人利益。未经发包人书面同意，承包人不得为监理人提供合同约定以外的通讯设备、交通工具及其他任何形式的利益，不得向监理人支付报酬。</w:t>
      </w:r>
    </w:p>
    <w:p w14:paraId="1A988093">
      <w:pPr>
        <w:spacing w:line="360" w:lineRule="auto"/>
        <w:ind w:firstLine="480" w:firstLineChars="200"/>
        <w:jc w:val="left"/>
        <w:rPr>
          <w:rFonts w:ascii="宋体" w:hAnsi="宋体" w:cs="宋体"/>
          <w:sz w:val="24"/>
          <w:szCs w:val="28"/>
        </w:rPr>
      </w:pPr>
      <w:r>
        <w:rPr>
          <w:rFonts w:hint="eastAsia" w:ascii="宋体" w:hAnsi="宋体" w:cs="宋体"/>
          <w:sz w:val="24"/>
          <w:szCs w:val="28"/>
        </w:rPr>
        <w:t>1.9化石、文物</w:t>
      </w:r>
    </w:p>
    <w:p w14:paraId="5198E7EE">
      <w:pPr>
        <w:spacing w:line="360" w:lineRule="auto"/>
        <w:ind w:firstLine="480" w:firstLineChars="200"/>
        <w:jc w:val="left"/>
        <w:rPr>
          <w:rFonts w:ascii="宋体" w:hAnsi="宋体" w:cs="宋体"/>
          <w:sz w:val="24"/>
          <w:szCs w:val="28"/>
        </w:rPr>
      </w:pPr>
      <w:r>
        <w:rPr>
          <w:rFonts w:hint="eastAsia" w:ascii="宋体" w:hAnsi="宋体" w:cs="宋体"/>
          <w:sz w:val="24"/>
          <w:szCs w:val="28"/>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8A97AC3">
      <w:pPr>
        <w:spacing w:line="360" w:lineRule="auto"/>
        <w:ind w:firstLine="480" w:firstLineChars="200"/>
        <w:jc w:val="left"/>
        <w:rPr>
          <w:rFonts w:ascii="宋体" w:hAnsi="宋体" w:cs="宋体"/>
          <w:sz w:val="24"/>
          <w:szCs w:val="28"/>
        </w:rPr>
      </w:pPr>
      <w:r>
        <w:rPr>
          <w:rFonts w:hint="eastAsia" w:ascii="宋体" w:hAnsi="宋体" w:cs="宋体"/>
          <w:sz w:val="24"/>
          <w:szCs w:val="28"/>
        </w:rPr>
        <w:t>发包人、监理人和承包人应按有关政府行政管理部门要求采取妥善的保护措施，由此增加的费用和（或）延误的工期由发包人承担。</w:t>
      </w:r>
    </w:p>
    <w:p w14:paraId="67664F28">
      <w:pPr>
        <w:spacing w:line="360" w:lineRule="auto"/>
        <w:ind w:firstLine="480" w:firstLineChars="200"/>
        <w:jc w:val="left"/>
        <w:rPr>
          <w:rFonts w:ascii="宋体" w:hAnsi="宋体" w:cs="宋体"/>
          <w:sz w:val="24"/>
          <w:szCs w:val="28"/>
        </w:rPr>
      </w:pPr>
      <w:r>
        <w:rPr>
          <w:rFonts w:hint="eastAsia" w:ascii="宋体" w:hAnsi="宋体" w:cs="宋体"/>
          <w:sz w:val="24"/>
          <w:szCs w:val="28"/>
        </w:rPr>
        <w:t>承包人发现文物后不及时报告或隐瞒不报，致使文物丢失或损坏的，应赔偿损失，并承担相应的法律责任。</w:t>
      </w:r>
    </w:p>
    <w:p w14:paraId="21D195EC">
      <w:pPr>
        <w:spacing w:line="360" w:lineRule="auto"/>
        <w:ind w:firstLine="480" w:firstLineChars="200"/>
        <w:jc w:val="left"/>
        <w:rPr>
          <w:rFonts w:ascii="宋体" w:hAnsi="宋体" w:cs="宋体"/>
          <w:sz w:val="24"/>
          <w:szCs w:val="28"/>
        </w:rPr>
      </w:pPr>
      <w:r>
        <w:rPr>
          <w:rFonts w:hint="eastAsia" w:ascii="宋体" w:hAnsi="宋体" w:cs="宋体"/>
          <w:sz w:val="24"/>
          <w:szCs w:val="28"/>
        </w:rPr>
        <w:t>1.10交通运输</w:t>
      </w:r>
    </w:p>
    <w:p w14:paraId="7CC84BF6">
      <w:pPr>
        <w:spacing w:line="360" w:lineRule="auto"/>
        <w:ind w:firstLine="480" w:firstLineChars="200"/>
        <w:jc w:val="left"/>
        <w:rPr>
          <w:rFonts w:ascii="宋体" w:hAnsi="宋体" w:cs="宋体"/>
          <w:sz w:val="24"/>
          <w:szCs w:val="28"/>
        </w:rPr>
      </w:pPr>
      <w:r>
        <w:rPr>
          <w:rFonts w:hint="eastAsia" w:ascii="宋体" w:hAnsi="宋体" w:cs="宋体"/>
          <w:sz w:val="24"/>
          <w:szCs w:val="28"/>
        </w:rPr>
        <w:t>1.10.1 出入现场的权利</w:t>
      </w:r>
    </w:p>
    <w:p w14:paraId="04CF37BC">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53917EC6">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承包人应在订立合同前查勘施工现场，并根据工程规模及技术参数合理预见工程施工所需的进出施工现场的方式、手段、路径等。因承包人未合理预见所增加的费用和（或）延误的工期由承包人承担。</w:t>
      </w:r>
    </w:p>
    <w:p w14:paraId="3CA1C3B4">
      <w:pPr>
        <w:spacing w:line="360" w:lineRule="auto"/>
        <w:ind w:firstLine="480" w:firstLineChars="200"/>
        <w:jc w:val="left"/>
        <w:rPr>
          <w:rFonts w:ascii="宋体" w:hAnsi="宋体" w:cs="宋体"/>
          <w:sz w:val="24"/>
          <w:szCs w:val="28"/>
        </w:rPr>
      </w:pPr>
      <w:r>
        <w:rPr>
          <w:rFonts w:hint="eastAsia" w:ascii="宋体" w:hAnsi="宋体" w:cs="宋体"/>
          <w:sz w:val="24"/>
          <w:szCs w:val="28"/>
        </w:rPr>
        <w:t>1.10.2 场外交通</w:t>
      </w:r>
    </w:p>
    <w:p w14:paraId="1093FDD8">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1FF708F5">
      <w:pPr>
        <w:spacing w:line="360" w:lineRule="auto"/>
        <w:ind w:firstLine="480" w:firstLineChars="200"/>
        <w:jc w:val="left"/>
        <w:rPr>
          <w:rFonts w:ascii="宋体" w:hAnsi="宋体" w:cs="宋体"/>
          <w:sz w:val="24"/>
          <w:szCs w:val="28"/>
        </w:rPr>
      </w:pPr>
      <w:r>
        <w:rPr>
          <w:rFonts w:hint="eastAsia" w:ascii="宋体" w:hAnsi="宋体" w:cs="宋体"/>
          <w:sz w:val="24"/>
          <w:szCs w:val="28"/>
        </w:rPr>
        <w:t>1.10.3场内交通</w:t>
      </w:r>
    </w:p>
    <w:p w14:paraId="168A2B70">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692E13C6">
      <w:pPr>
        <w:spacing w:line="360" w:lineRule="auto"/>
        <w:ind w:firstLine="480" w:firstLineChars="200"/>
        <w:jc w:val="left"/>
        <w:rPr>
          <w:rFonts w:ascii="宋体" w:hAnsi="宋体" w:cs="宋体"/>
          <w:sz w:val="24"/>
          <w:szCs w:val="28"/>
        </w:rPr>
      </w:pPr>
      <w:r>
        <w:rPr>
          <w:rFonts w:hint="eastAsia" w:ascii="宋体" w:hAnsi="宋体" w:cs="宋体"/>
          <w:sz w:val="24"/>
          <w:szCs w:val="28"/>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64D4A160">
      <w:pPr>
        <w:spacing w:line="360" w:lineRule="auto"/>
        <w:ind w:firstLine="480" w:firstLineChars="200"/>
        <w:jc w:val="left"/>
        <w:rPr>
          <w:rFonts w:ascii="宋体" w:hAnsi="宋体" w:cs="宋体"/>
          <w:sz w:val="24"/>
          <w:szCs w:val="28"/>
        </w:rPr>
      </w:pPr>
      <w:r>
        <w:rPr>
          <w:rFonts w:hint="eastAsia" w:ascii="宋体" w:hAnsi="宋体" w:cs="宋体"/>
          <w:sz w:val="24"/>
          <w:szCs w:val="28"/>
        </w:rPr>
        <w:t>场外交通和场内交通的边界由合同当事人在专用合同条款中约定。</w:t>
      </w:r>
    </w:p>
    <w:p w14:paraId="2C4CD691">
      <w:pPr>
        <w:spacing w:line="360" w:lineRule="auto"/>
        <w:ind w:firstLine="480" w:firstLineChars="200"/>
        <w:jc w:val="left"/>
        <w:rPr>
          <w:rFonts w:ascii="宋体" w:hAnsi="宋体" w:cs="宋体"/>
          <w:sz w:val="24"/>
          <w:szCs w:val="28"/>
        </w:rPr>
      </w:pPr>
      <w:r>
        <w:rPr>
          <w:rFonts w:hint="eastAsia" w:ascii="宋体" w:hAnsi="宋体" w:cs="宋体"/>
          <w:sz w:val="24"/>
          <w:szCs w:val="28"/>
        </w:rPr>
        <w:t>1.10.4 超大件和超重件的运输</w:t>
      </w:r>
    </w:p>
    <w:p w14:paraId="5EA4C579">
      <w:pPr>
        <w:spacing w:line="360" w:lineRule="auto"/>
        <w:ind w:firstLine="480" w:firstLineChars="200"/>
        <w:jc w:val="left"/>
        <w:rPr>
          <w:rFonts w:ascii="宋体" w:hAnsi="宋体" w:cs="宋体"/>
          <w:sz w:val="24"/>
          <w:szCs w:val="28"/>
        </w:rPr>
      </w:pPr>
      <w:r>
        <w:rPr>
          <w:rFonts w:hint="eastAsia" w:ascii="宋体" w:hAnsi="宋体" w:cs="宋体"/>
          <w:sz w:val="24"/>
          <w:szCs w:val="28"/>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72FE4365">
      <w:pPr>
        <w:spacing w:line="360" w:lineRule="auto"/>
        <w:ind w:firstLine="480" w:firstLineChars="200"/>
        <w:jc w:val="left"/>
        <w:rPr>
          <w:rFonts w:ascii="宋体" w:hAnsi="宋体" w:cs="宋体"/>
          <w:sz w:val="24"/>
          <w:szCs w:val="28"/>
        </w:rPr>
      </w:pPr>
      <w:r>
        <w:rPr>
          <w:rFonts w:hint="eastAsia" w:ascii="宋体" w:hAnsi="宋体" w:cs="宋体"/>
          <w:sz w:val="24"/>
          <w:szCs w:val="28"/>
        </w:rPr>
        <w:t>1.10.5 道路和桥梁的损坏责任</w:t>
      </w:r>
    </w:p>
    <w:p w14:paraId="67C0D878">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因承包人运输造成施工场地内外公共道路和桥梁损坏的，由承包人承担修复损坏的全部费用和可能引起的赔偿。</w:t>
      </w:r>
    </w:p>
    <w:p w14:paraId="5B74824E">
      <w:pPr>
        <w:spacing w:line="360" w:lineRule="auto"/>
        <w:ind w:firstLine="480" w:firstLineChars="200"/>
        <w:jc w:val="left"/>
        <w:rPr>
          <w:rFonts w:ascii="宋体" w:hAnsi="宋体" w:cs="宋体"/>
          <w:sz w:val="24"/>
          <w:szCs w:val="28"/>
        </w:rPr>
      </w:pPr>
      <w:r>
        <w:rPr>
          <w:rFonts w:hint="eastAsia" w:ascii="宋体" w:hAnsi="宋体" w:cs="宋体"/>
          <w:sz w:val="24"/>
          <w:szCs w:val="28"/>
        </w:rPr>
        <w:t>1.10.6 水路和航空运输</w:t>
      </w:r>
    </w:p>
    <w:p w14:paraId="13A1C809">
      <w:pPr>
        <w:spacing w:line="360" w:lineRule="auto"/>
        <w:ind w:firstLine="480" w:firstLineChars="200"/>
        <w:jc w:val="left"/>
        <w:rPr>
          <w:rFonts w:ascii="宋体" w:hAnsi="宋体" w:cs="宋体"/>
          <w:sz w:val="24"/>
          <w:szCs w:val="28"/>
        </w:rPr>
      </w:pPr>
      <w:r>
        <w:rPr>
          <w:rFonts w:hint="eastAsia" w:ascii="宋体" w:hAnsi="宋体" w:cs="宋体"/>
          <w:sz w:val="24"/>
          <w:szCs w:val="28"/>
        </w:rPr>
        <w:t>本款前述各项的内容适用于水路运输和航空运输，其中“道路”一词的涵义包括河道、航线、船闸、机场、码头、堤防以及水路或航空运输中其他相似结构物；“车辆”一词的涵义包括船舶和飞机等。</w:t>
      </w:r>
    </w:p>
    <w:p w14:paraId="0214F92B">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1.11知识产权 </w:t>
      </w:r>
    </w:p>
    <w:p w14:paraId="7C09955F">
      <w:pPr>
        <w:spacing w:line="360" w:lineRule="auto"/>
        <w:ind w:firstLine="480" w:firstLineChars="200"/>
        <w:jc w:val="left"/>
        <w:rPr>
          <w:rFonts w:ascii="宋体" w:hAnsi="宋体" w:cs="宋体"/>
          <w:sz w:val="24"/>
          <w:szCs w:val="28"/>
        </w:rPr>
      </w:pPr>
      <w:r>
        <w:rPr>
          <w:rFonts w:hint="eastAsia" w:ascii="宋体" w:hAnsi="宋体" w:cs="宋体"/>
          <w:sz w:val="24"/>
          <w:szCs w:val="28"/>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7C503FD2">
      <w:pPr>
        <w:spacing w:line="360" w:lineRule="auto"/>
        <w:ind w:firstLine="480" w:firstLineChars="200"/>
        <w:jc w:val="left"/>
        <w:rPr>
          <w:rFonts w:ascii="宋体" w:hAnsi="宋体" w:cs="宋体"/>
          <w:sz w:val="24"/>
          <w:szCs w:val="28"/>
        </w:rPr>
      </w:pPr>
      <w:r>
        <w:rPr>
          <w:rFonts w:hint="eastAsia" w:ascii="宋体" w:hAnsi="宋体" w:cs="宋体"/>
          <w:sz w:val="24"/>
          <w:szCs w:val="28"/>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3C9AFEE6">
      <w:pPr>
        <w:spacing w:line="360" w:lineRule="auto"/>
        <w:ind w:firstLine="480" w:firstLineChars="200"/>
        <w:jc w:val="left"/>
        <w:rPr>
          <w:rFonts w:ascii="宋体" w:hAnsi="宋体" w:cs="宋体"/>
          <w:sz w:val="24"/>
          <w:szCs w:val="28"/>
        </w:rPr>
      </w:pPr>
      <w:r>
        <w:rPr>
          <w:rFonts w:hint="eastAsia" w:ascii="宋体" w:hAnsi="宋体" w:cs="宋体"/>
          <w:sz w:val="24"/>
          <w:szCs w:val="28"/>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4BC4E177">
      <w:pPr>
        <w:spacing w:line="360" w:lineRule="auto"/>
        <w:ind w:firstLine="480" w:firstLineChars="200"/>
        <w:jc w:val="left"/>
        <w:rPr>
          <w:rFonts w:ascii="宋体" w:hAnsi="宋体" w:cs="宋体"/>
          <w:sz w:val="24"/>
          <w:szCs w:val="28"/>
        </w:rPr>
      </w:pPr>
      <w:r>
        <w:rPr>
          <w:rFonts w:hint="eastAsia" w:ascii="宋体" w:hAnsi="宋体" w:cs="宋体"/>
          <w:sz w:val="24"/>
          <w:szCs w:val="28"/>
        </w:rPr>
        <w:t>1.11.4 除专用合同条款另有约定外，承包人在合同签订前和签订时已确定采用的专利、专有技术、技术秘密的使用费已包含在签约合同价中。</w:t>
      </w:r>
    </w:p>
    <w:p w14:paraId="7C220D82">
      <w:pPr>
        <w:spacing w:line="360" w:lineRule="auto"/>
        <w:ind w:firstLine="480" w:firstLineChars="200"/>
        <w:jc w:val="left"/>
        <w:rPr>
          <w:rFonts w:ascii="宋体" w:hAnsi="宋体" w:cs="宋体"/>
          <w:sz w:val="24"/>
          <w:szCs w:val="28"/>
        </w:rPr>
      </w:pPr>
      <w:r>
        <w:rPr>
          <w:rFonts w:hint="eastAsia" w:ascii="宋体" w:hAnsi="宋体" w:cs="宋体"/>
          <w:sz w:val="24"/>
          <w:szCs w:val="28"/>
        </w:rPr>
        <w:t>1.12保密</w:t>
      </w:r>
    </w:p>
    <w:p w14:paraId="47D18880">
      <w:pPr>
        <w:spacing w:line="360" w:lineRule="auto"/>
        <w:ind w:firstLine="480" w:firstLineChars="200"/>
        <w:jc w:val="left"/>
        <w:rPr>
          <w:rFonts w:ascii="宋体" w:hAnsi="宋体" w:cs="宋体"/>
          <w:sz w:val="24"/>
          <w:szCs w:val="28"/>
        </w:rPr>
      </w:pPr>
      <w:r>
        <w:rPr>
          <w:rFonts w:hint="eastAsia" w:ascii="宋体" w:hAnsi="宋体" w:cs="宋体"/>
          <w:sz w:val="24"/>
          <w:szCs w:val="28"/>
        </w:rPr>
        <w:t>除法律规定或合同另有约定外，未经发包人同意，承包人不得将发包人提供的图纸、文件以及声明需要保密的资料信息等商业秘密泄露给第三方。</w:t>
      </w:r>
    </w:p>
    <w:p w14:paraId="6B6D1503">
      <w:pPr>
        <w:spacing w:line="360" w:lineRule="auto"/>
        <w:ind w:firstLine="480" w:firstLineChars="200"/>
        <w:jc w:val="left"/>
        <w:rPr>
          <w:rFonts w:ascii="宋体" w:hAnsi="宋体" w:cs="宋体"/>
          <w:sz w:val="24"/>
          <w:szCs w:val="28"/>
        </w:rPr>
      </w:pPr>
      <w:r>
        <w:rPr>
          <w:rFonts w:hint="eastAsia" w:ascii="宋体" w:hAnsi="宋体" w:cs="宋体"/>
          <w:sz w:val="24"/>
          <w:szCs w:val="28"/>
        </w:rPr>
        <w:t>除法律规定或合同另有约定外，未经承包人同意，发包人不得将承包人提供的技术秘密及声明需要保密的资料信息等商业秘密泄露给第三方。</w:t>
      </w:r>
    </w:p>
    <w:p w14:paraId="138148F3">
      <w:pPr>
        <w:spacing w:line="360" w:lineRule="auto"/>
        <w:ind w:firstLine="480" w:firstLineChars="200"/>
        <w:jc w:val="left"/>
        <w:rPr>
          <w:rFonts w:ascii="宋体" w:hAnsi="宋体" w:cs="宋体"/>
          <w:sz w:val="24"/>
          <w:szCs w:val="28"/>
        </w:rPr>
      </w:pPr>
      <w:r>
        <w:rPr>
          <w:rFonts w:hint="eastAsia" w:ascii="宋体" w:hAnsi="宋体" w:cs="宋体"/>
          <w:sz w:val="24"/>
          <w:szCs w:val="28"/>
        </w:rPr>
        <w:t>1.13工程量清单错误的修正</w:t>
      </w:r>
    </w:p>
    <w:p w14:paraId="49A2A448">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除专用合同条款另有约定外，发包人提供的工程量清单，应被认为是准确的和完整的。出现下列情形之一时，发包人应予以修正，并相应调整合同价格：</w:t>
      </w:r>
    </w:p>
    <w:p w14:paraId="689AE243">
      <w:pPr>
        <w:spacing w:line="360" w:lineRule="auto"/>
        <w:ind w:firstLine="480" w:firstLineChars="200"/>
        <w:jc w:val="left"/>
        <w:rPr>
          <w:rFonts w:ascii="宋体" w:hAnsi="宋体" w:cs="宋体"/>
          <w:sz w:val="24"/>
          <w:szCs w:val="28"/>
        </w:rPr>
      </w:pPr>
      <w:r>
        <w:rPr>
          <w:rFonts w:hint="eastAsia" w:ascii="宋体" w:hAnsi="宋体" w:cs="宋体"/>
          <w:sz w:val="24"/>
          <w:szCs w:val="28"/>
        </w:rPr>
        <w:t>（1）工程量清单存在缺项、漏项的；</w:t>
      </w:r>
    </w:p>
    <w:p w14:paraId="6B269C3B">
      <w:pPr>
        <w:spacing w:line="360" w:lineRule="auto"/>
        <w:ind w:firstLine="480" w:firstLineChars="200"/>
        <w:jc w:val="left"/>
        <w:rPr>
          <w:rFonts w:ascii="宋体" w:hAnsi="宋体" w:cs="宋体"/>
          <w:sz w:val="24"/>
          <w:szCs w:val="28"/>
        </w:rPr>
      </w:pPr>
      <w:r>
        <w:rPr>
          <w:rFonts w:hint="eastAsia" w:ascii="宋体" w:hAnsi="宋体" w:cs="宋体"/>
          <w:sz w:val="24"/>
          <w:szCs w:val="28"/>
        </w:rPr>
        <w:t>（2）工程量清单偏差超出专用合同条款约定的工程量偏差范围的；</w:t>
      </w:r>
    </w:p>
    <w:p w14:paraId="67D63A18">
      <w:pPr>
        <w:spacing w:line="360" w:lineRule="auto"/>
        <w:ind w:firstLine="480" w:firstLineChars="200"/>
        <w:jc w:val="left"/>
        <w:rPr>
          <w:rFonts w:ascii="宋体" w:hAnsi="宋体" w:cs="宋体"/>
          <w:sz w:val="24"/>
          <w:szCs w:val="28"/>
        </w:rPr>
      </w:pPr>
      <w:r>
        <w:rPr>
          <w:rFonts w:hint="eastAsia" w:ascii="宋体" w:hAnsi="宋体" w:cs="宋体"/>
          <w:sz w:val="24"/>
          <w:szCs w:val="28"/>
        </w:rPr>
        <w:t>（3）未按照国家现行计量规范强制性规定计量的。</w:t>
      </w:r>
    </w:p>
    <w:p w14:paraId="2EFB5F2A">
      <w:pPr>
        <w:spacing w:line="360" w:lineRule="auto"/>
        <w:ind w:firstLine="480" w:firstLineChars="200"/>
        <w:jc w:val="left"/>
        <w:rPr>
          <w:rFonts w:ascii="宋体" w:hAnsi="宋体" w:cs="宋体"/>
          <w:sz w:val="24"/>
          <w:szCs w:val="28"/>
        </w:rPr>
      </w:pPr>
      <w:r>
        <w:rPr>
          <w:rFonts w:hint="eastAsia" w:ascii="宋体" w:hAnsi="宋体" w:cs="宋体"/>
          <w:sz w:val="24"/>
          <w:szCs w:val="28"/>
        </w:rPr>
        <w:t>2. 发包人</w:t>
      </w:r>
    </w:p>
    <w:p w14:paraId="746463C5">
      <w:pPr>
        <w:spacing w:line="360" w:lineRule="auto"/>
        <w:ind w:firstLine="480" w:firstLineChars="200"/>
        <w:jc w:val="left"/>
        <w:rPr>
          <w:rFonts w:ascii="宋体" w:hAnsi="宋体" w:cs="宋体"/>
          <w:sz w:val="24"/>
          <w:szCs w:val="28"/>
        </w:rPr>
      </w:pPr>
      <w:r>
        <w:rPr>
          <w:rFonts w:hint="eastAsia" w:ascii="宋体" w:hAnsi="宋体" w:cs="宋体"/>
          <w:sz w:val="24"/>
          <w:szCs w:val="28"/>
        </w:rPr>
        <w:t>2.1 许可或批准</w:t>
      </w:r>
    </w:p>
    <w:p w14:paraId="6C185DD5">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46555EB0">
      <w:pPr>
        <w:spacing w:line="360" w:lineRule="auto"/>
        <w:ind w:firstLine="480" w:firstLineChars="200"/>
        <w:jc w:val="left"/>
        <w:rPr>
          <w:rFonts w:ascii="宋体" w:hAnsi="宋体" w:cs="宋体"/>
          <w:sz w:val="24"/>
          <w:szCs w:val="28"/>
        </w:rPr>
      </w:pPr>
      <w:r>
        <w:rPr>
          <w:rFonts w:hint="eastAsia" w:ascii="宋体" w:hAnsi="宋体" w:cs="宋体"/>
          <w:sz w:val="24"/>
          <w:szCs w:val="28"/>
        </w:rPr>
        <w:t>因发包人原因未能及时办理完毕前述许可、批准或备案，由发包人承担由此增加的费用和（或）延误的工期，并支付承包人合理的利润。</w:t>
      </w:r>
    </w:p>
    <w:p w14:paraId="460712BE">
      <w:pPr>
        <w:spacing w:line="360" w:lineRule="auto"/>
        <w:ind w:firstLine="480" w:firstLineChars="200"/>
        <w:jc w:val="left"/>
        <w:rPr>
          <w:rFonts w:ascii="宋体" w:hAnsi="宋体" w:cs="宋体"/>
          <w:sz w:val="24"/>
          <w:szCs w:val="28"/>
        </w:rPr>
      </w:pPr>
      <w:r>
        <w:rPr>
          <w:rFonts w:hint="eastAsia" w:ascii="宋体" w:hAnsi="宋体" w:cs="宋体"/>
          <w:sz w:val="24"/>
          <w:szCs w:val="28"/>
        </w:rPr>
        <w:t>2.2 发包人代表</w:t>
      </w:r>
    </w:p>
    <w:p w14:paraId="5EB65C50">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787ED90F">
      <w:pPr>
        <w:spacing w:line="360" w:lineRule="auto"/>
        <w:ind w:firstLine="480" w:firstLineChars="200"/>
        <w:jc w:val="left"/>
        <w:rPr>
          <w:rFonts w:ascii="宋体" w:hAnsi="宋体" w:cs="宋体"/>
          <w:sz w:val="24"/>
          <w:szCs w:val="28"/>
        </w:rPr>
      </w:pPr>
      <w:r>
        <w:rPr>
          <w:rFonts w:hint="eastAsia" w:ascii="宋体" w:hAnsi="宋体" w:cs="宋体"/>
          <w:sz w:val="24"/>
          <w:szCs w:val="28"/>
        </w:rPr>
        <w:t>发包人代表不能按照合同约定履行其职责及义务，并导致合同无法继续正常履行的，承包人可以要求发包人撤换发包人代表。</w:t>
      </w:r>
    </w:p>
    <w:p w14:paraId="3ADCF853">
      <w:pPr>
        <w:spacing w:line="360" w:lineRule="auto"/>
        <w:ind w:firstLine="480" w:firstLineChars="200"/>
        <w:jc w:val="left"/>
        <w:rPr>
          <w:rFonts w:ascii="宋体" w:hAnsi="宋体" w:cs="宋体"/>
          <w:sz w:val="24"/>
          <w:szCs w:val="28"/>
        </w:rPr>
      </w:pPr>
      <w:r>
        <w:rPr>
          <w:rFonts w:hint="eastAsia" w:ascii="宋体" w:hAnsi="宋体" w:cs="宋体"/>
          <w:sz w:val="24"/>
          <w:szCs w:val="28"/>
        </w:rPr>
        <w:t>不属于法定必须监理的工程，监理人的职权可以由发包人代表或发包人指定的其他人员行使。</w:t>
      </w:r>
    </w:p>
    <w:p w14:paraId="7D543329">
      <w:pPr>
        <w:spacing w:line="360" w:lineRule="auto"/>
        <w:ind w:firstLine="480" w:firstLineChars="200"/>
        <w:jc w:val="left"/>
        <w:rPr>
          <w:rFonts w:ascii="宋体" w:hAnsi="宋体" w:cs="宋体"/>
          <w:sz w:val="24"/>
          <w:szCs w:val="28"/>
        </w:rPr>
      </w:pPr>
      <w:r>
        <w:rPr>
          <w:rFonts w:hint="eastAsia" w:ascii="宋体" w:hAnsi="宋体" w:cs="宋体"/>
          <w:sz w:val="24"/>
          <w:szCs w:val="28"/>
        </w:rPr>
        <w:t>2.3 发包人人员</w:t>
      </w:r>
    </w:p>
    <w:p w14:paraId="01FB1C31">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发包人应要求在施工现场的发包人人员遵守法律及有关安全、质量、环境保护、文明施工等规定，并保障承包人免于承受因发包人人员未遵守上述要求给承包人造成的损失和责任。</w:t>
      </w:r>
    </w:p>
    <w:p w14:paraId="44B3A236">
      <w:pPr>
        <w:spacing w:line="360" w:lineRule="auto"/>
        <w:ind w:firstLine="480" w:firstLineChars="200"/>
        <w:jc w:val="left"/>
        <w:rPr>
          <w:rFonts w:ascii="宋体" w:hAnsi="宋体" w:cs="宋体"/>
          <w:sz w:val="24"/>
          <w:szCs w:val="28"/>
        </w:rPr>
      </w:pPr>
      <w:r>
        <w:rPr>
          <w:rFonts w:hint="eastAsia" w:ascii="宋体" w:hAnsi="宋体" w:cs="宋体"/>
          <w:sz w:val="24"/>
          <w:szCs w:val="28"/>
        </w:rPr>
        <w:t>发包人人员包括发包人代表及其他由发包人派驻施工现场的人员。</w:t>
      </w:r>
    </w:p>
    <w:p w14:paraId="1FB83489">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2.4 施工现场、施工条件和基础资料的提供  </w:t>
      </w:r>
    </w:p>
    <w:p w14:paraId="39721DB6">
      <w:pPr>
        <w:spacing w:line="360" w:lineRule="auto"/>
        <w:ind w:firstLine="480" w:firstLineChars="200"/>
        <w:jc w:val="left"/>
        <w:rPr>
          <w:rFonts w:ascii="宋体" w:hAnsi="宋体" w:cs="宋体"/>
          <w:sz w:val="24"/>
          <w:szCs w:val="28"/>
        </w:rPr>
      </w:pPr>
      <w:r>
        <w:rPr>
          <w:rFonts w:hint="eastAsia" w:ascii="宋体" w:hAnsi="宋体" w:cs="宋体"/>
          <w:sz w:val="24"/>
          <w:szCs w:val="28"/>
        </w:rPr>
        <w:t>2.4.1 提供施工现场</w:t>
      </w:r>
    </w:p>
    <w:p w14:paraId="2B1C671E">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除专用合同条款另有约定外，发包人应最迟于开工日期7天前向承包人移交施工现场。</w:t>
      </w:r>
    </w:p>
    <w:p w14:paraId="39E147D4">
      <w:pPr>
        <w:spacing w:line="360" w:lineRule="auto"/>
        <w:ind w:firstLine="480" w:firstLineChars="200"/>
        <w:jc w:val="left"/>
        <w:rPr>
          <w:rFonts w:ascii="宋体" w:hAnsi="宋体" w:cs="宋体"/>
          <w:sz w:val="24"/>
          <w:szCs w:val="28"/>
        </w:rPr>
      </w:pPr>
      <w:r>
        <w:rPr>
          <w:rFonts w:hint="eastAsia" w:ascii="宋体" w:hAnsi="宋体" w:cs="宋体"/>
          <w:sz w:val="24"/>
          <w:szCs w:val="28"/>
        </w:rPr>
        <w:t>2.4.2 提供施工条件</w:t>
      </w:r>
    </w:p>
    <w:p w14:paraId="7D542F42">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除专用合同条款另有约定外，发包人应负责提供施工所需要的条件，包括：</w:t>
      </w:r>
    </w:p>
    <w:p w14:paraId="4589897D">
      <w:pPr>
        <w:spacing w:line="360" w:lineRule="auto"/>
        <w:ind w:firstLine="480" w:firstLineChars="200"/>
        <w:jc w:val="left"/>
        <w:rPr>
          <w:rFonts w:ascii="宋体" w:hAnsi="宋体" w:cs="宋体"/>
          <w:sz w:val="24"/>
          <w:szCs w:val="28"/>
        </w:rPr>
      </w:pPr>
      <w:r>
        <w:rPr>
          <w:rFonts w:hint="eastAsia" w:ascii="宋体" w:hAnsi="宋体" w:cs="宋体"/>
          <w:sz w:val="24"/>
          <w:szCs w:val="28"/>
        </w:rPr>
        <w:t>（1）将施工用水、电力、通讯线路等施工所必需的条件接至施工现场内；</w:t>
      </w:r>
    </w:p>
    <w:p w14:paraId="04D8A3A0">
      <w:pPr>
        <w:spacing w:line="360" w:lineRule="auto"/>
        <w:ind w:firstLine="480" w:firstLineChars="200"/>
        <w:jc w:val="left"/>
        <w:rPr>
          <w:rFonts w:ascii="宋体" w:hAnsi="宋体" w:cs="宋体"/>
          <w:sz w:val="24"/>
          <w:szCs w:val="28"/>
        </w:rPr>
      </w:pPr>
      <w:r>
        <w:rPr>
          <w:rFonts w:hint="eastAsia" w:ascii="宋体" w:hAnsi="宋体" w:cs="宋体"/>
          <w:sz w:val="24"/>
          <w:szCs w:val="28"/>
        </w:rPr>
        <w:t>（2）保证向承包人提供正常施工所需要的进入施工现场的交通条件；</w:t>
      </w:r>
    </w:p>
    <w:p w14:paraId="3145EBDD">
      <w:pPr>
        <w:spacing w:line="360" w:lineRule="auto"/>
        <w:ind w:firstLine="480" w:firstLineChars="200"/>
        <w:jc w:val="left"/>
        <w:rPr>
          <w:rFonts w:ascii="宋体" w:hAnsi="宋体" w:cs="宋体"/>
          <w:sz w:val="24"/>
          <w:szCs w:val="28"/>
        </w:rPr>
      </w:pPr>
      <w:r>
        <w:rPr>
          <w:rFonts w:hint="eastAsia" w:ascii="宋体" w:hAnsi="宋体" w:cs="宋体"/>
          <w:sz w:val="24"/>
          <w:szCs w:val="28"/>
        </w:rPr>
        <w:t>（3）协调处理施工现场周围地下管线和邻近建筑物、构筑物、古树名木的保护工作，并承担相关费用；</w:t>
      </w:r>
    </w:p>
    <w:p w14:paraId="72E0103F">
      <w:pPr>
        <w:spacing w:line="360" w:lineRule="auto"/>
        <w:ind w:firstLine="480" w:firstLineChars="200"/>
        <w:jc w:val="left"/>
        <w:rPr>
          <w:rFonts w:ascii="宋体" w:hAnsi="宋体" w:cs="宋体"/>
          <w:sz w:val="24"/>
          <w:szCs w:val="28"/>
        </w:rPr>
      </w:pPr>
      <w:r>
        <w:rPr>
          <w:rFonts w:hint="eastAsia" w:ascii="宋体" w:hAnsi="宋体" w:cs="宋体"/>
          <w:sz w:val="24"/>
          <w:szCs w:val="28"/>
        </w:rPr>
        <w:t>（4）按照专用合同条款约定应提供的其他设施和条件。</w:t>
      </w:r>
    </w:p>
    <w:p w14:paraId="60557E23">
      <w:pPr>
        <w:spacing w:line="360" w:lineRule="auto"/>
        <w:ind w:firstLine="480" w:firstLineChars="200"/>
        <w:jc w:val="left"/>
        <w:rPr>
          <w:rFonts w:ascii="宋体" w:hAnsi="宋体" w:cs="宋体"/>
          <w:sz w:val="24"/>
          <w:szCs w:val="28"/>
        </w:rPr>
      </w:pPr>
      <w:r>
        <w:rPr>
          <w:rFonts w:hint="eastAsia" w:ascii="宋体" w:hAnsi="宋体" w:cs="宋体"/>
          <w:sz w:val="24"/>
          <w:szCs w:val="28"/>
        </w:rPr>
        <w:t>2.4.3 提供基础资料</w:t>
      </w:r>
    </w:p>
    <w:p w14:paraId="45CB2D20">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54639996">
      <w:pPr>
        <w:spacing w:line="360" w:lineRule="auto"/>
        <w:ind w:firstLine="480" w:firstLineChars="200"/>
        <w:jc w:val="left"/>
        <w:rPr>
          <w:rFonts w:ascii="宋体" w:hAnsi="宋体" w:cs="宋体"/>
          <w:sz w:val="24"/>
          <w:szCs w:val="28"/>
        </w:rPr>
      </w:pPr>
      <w:r>
        <w:rPr>
          <w:rFonts w:hint="eastAsia" w:ascii="宋体" w:hAnsi="宋体" w:cs="宋体"/>
          <w:sz w:val="24"/>
          <w:szCs w:val="28"/>
        </w:rPr>
        <w:t>按照法律规定确需在开工后方能提供的基础资料，发包人应尽其努力及时地在相应工程施工前的合理期限内提供，合理期限应以不影响承包人的正常施工为限。</w:t>
      </w:r>
    </w:p>
    <w:p w14:paraId="37773DA4">
      <w:pPr>
        <w:spacing w:line="360" w:lineRule="auto"/>
        <w:ind w:firstLine="480" w:firstLineChars="200"/>
        <w:jc w:val="left"/>
        <w:rPr>
          <w:rFonts w:ascii="宋体" w:hAnsi="宋体" w:cs="宋体"/>
          <w:sz w:val="24"/>
          <w:szCs w:val="28"/>
        </w:rPr>
      </w:pPr>
      <w:r>
        <w:rPr>
          <w:rFonts w:hint="eastAsia" w:ascii="宋体" w:hAnsi="宋体" w:cs="宋体"/>
          <w:sz w:val="24"/>
          <w:szCs w:val="28"/>
        </w:rPr>
        <w:t>2.4.4 逾期提供的责任</w:t>
      </w:r>
    </w:p>
    <w:p w14:paraId="4DA13565">
      <w:pPr>
        <w:spacing w:line="360" w:lineRule="auto"/>
        <w:ind w:firstLine="480" w:firstLineChars="200"/>
        <w:jc w:val="left"/>
        <w:rPr>
          <w:rFonts w:ascii="宋体" w:hAnsi="宋体" w:cs="宋体"/>
          <w:sz w:val="24"/>
          <w:szCs w:val="28"/>
        </w:rPr>
      </w:pPr>
      <w:r>
        <w:rPr>
          <w:rFonts w:hint="eastAsia" w:ascii="宋体" w:hAnsi="宋体" w:cs="宋体"/>
          <w:sz w:val="24"/>
          <w:szCs w:val="28"/>
        </w:rPr>
        <w:t>因发包人原因未能按合同约定及时向承包人提供施工现场、施工条件、基础资料的，由发包人承担由此增加的费用和（或）延误的工期。</w:t>
      </w:r>
    </w:p>
    <w:p w14:paraId="2FAA0BBD">
      <w:pPr>
        <w:spacing w:line="360" w:lineRule="auto"/>
        <w:ind w:firstLine="480" w:firstLineChars="200"/>
        <w:jc w:val="left"/>
        <w:rPr>
          <w:rFonts w:ascii="宋体" w:hAnsi="宋体" w:cs="宋体"/>
          <w:sz w:val="24"/>
          <w:szCs w:val="28"/>
        </w:rPr>
      </w:pPr>
      <w:r>
        <w:rPr>
          <w:rFonts w:hint="eastAsia" w:ascii="宋体" w:hAnsi="宋体" w:cs="宋体"/>
          <w:sz w:val="24"/>
          <w:szCs w:val="28"/>
        </w:rPr>
        <w:t>2.5 资金来源证明及支付担保</w:t>
      </w:r>
    </w:p>
    <w:p w14:paraId="398EB248">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除专用合同条款另有约定外，发包人应在收到承包人要求提供资金来源证明的书面通知后28天内，向承包人提供能够按照合同约定支付合同价款的相应资金来源证明。</w:t>
      </w:r>
    </w:p>
    <w:p w14:paraId="3F22BBF6">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除专用合同条款另有约定外，发包人要求承包人提供履约担保的，发包人应当向承包人提供支付担保。支付担保可以采用银行保函或担保公司担保等形式，具体由合同当事人在专用合同条款中约定。</w:t>
      </w:r>
    </w:p>
    <w:p w14:paraId="0EA81069">
      <w:pPr>
        <w:spacing w:line="360" w:lineRule="auto"/>
        <w:ind w:firstLine="480" w:firstLineChars="200"/>
        <w:jc w:val="left"/>
        <w:rPr>
          <w:rFonts w:ascii="宋体" w:hAnsi="宋体" w:cs="宋体"/>
          <w:sz w:val="24"/>
          <w:szCs w:val="28"/>
        </w:rPr>
      </w:pPr>
      <w:r>
        <w:rPr>
          <w:rFonts w:hint="eastAsia" w:ascii="宋体" w:hAnsi="宋体" w:cs="宋体"/>
          <w:sz w:val="24"/>
          <w:szCs w:val="28"/>
        </w:rPr>
        <w:t>2.6 支付合同价款</w:t>
      </w:r>
    </w:p>
    <w:p w14:paraId="7F524CBD">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发包人应按合同约定向承包人及时支付合同价款。</w:t>
      </w:r>
    </w:p>
    <w:p w14:paraId="17298366">
      <w:pPr>
        <w:spacing w:line="360" w:lineRule="auto"/>
        <w:ind w:firstLine="480" w:firstLineChars="200"/>
        <w:jc w:val="left"/>
        <w:rPr>
          <w:rFonts w:ascii="宋体" w:hAnsi="宋体" w:cs="宋体"/>
          <w:sz w:val="24"/>
          <w:szCs w:val="28"/>
        </w:rPr>
      </w:pPr>
      <w:r>
        <w:rPr>
          <w:rFonts w:hint="eastAsia" w:ascii="宋体" w:hAnsi="宋体" w:cs="宋体"/>
          <w:sz w:val="24"/>
          <w:szCs w:val="28"/>
        </w:rPr>
        <w:t>2.7 组织竣工验收</w:t>
      </w:r>
    </w:p>
    <w:p w14:paraId="024785C4">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发包人应按合同约定及时组织竣工验收。</w:t>
      </w:r>
    </w:p>
    <w:p w14:paraId="3A263B03">
      <w:pPr>
        <w:spacing w:line="360" w:lineRule="auto"/>
        <w:ind w:firstLine="480" w:firstLineChars="200"/>
        <w:jc w:val="left"/>
        <w:rPr>
          <w:rFonts w:ascii="宋体" w:hAnsi="宋体" w:cs="宋体"/>
          <w:sz w:val="24"/>
          <w:szCs w:val="28"/>
        </w:rPr>
      </w:pPr>
      <w:r>
        <w:rPr>
          <w:rFonts w:hint="eastAsia" w:ascii="宋体" w:hAnsi="宋体" w:cs="宋体"/>
          <w:sz w:val="24"/>
          <w:szCs w:val="28"/>
        </w:rPr>
        <w:t>2.8 现场统一管理协议</w:t>
      </w:r>
    </w:p>
    <w:p w14:paraId="26D559D2">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发包人应与承包人、由发包人直接发包的专业工程的承包人签订施工现场统一管理协议，明确各方的权利义务。施工现场统一管理协议作为专用合同条款的附件。</w:t>
      </w:r>
    </w:p>
    <w:p w14:paraId="18FBC5D2">
      <w:pPr>
        <w:spacing w:line="360" w:lineRule="auto"/>
        <w:ind w:firstLine="480" w:firstLineChars="200"/>
        <w:jc w:val="left"/>
        <w:rPr>
          <w:rFonts w:ascii="宋体" w:hAnsi="宋体" w:cs="宋体"/>
          <w:sz w:val="24"/>
          <w:szCs w:val="28"/>
        </w:rPr>
      </w:pPr>
      <w:r>
        <w:rPr>
          <w:rFonts w:hint="eastAsia" w:ascii="宋体" w:hAnsi="宋体" w:cs="宋体"/>
          <w:sz w:val="24"/>
          <w:szCs w:val="28"/>
        </w:rPr>
        <w:t>3. 承包人</w:t>
      </w:r>
    </w:p>
    <w:p w14:paraId="570771A8">
      <w:pPr>
        <w:spacing w:line="360" w:lineRule="auto"/>
        <w:ind w:firstLine="480" w:firstLineChars="200"/>
        <w:jc w:val="left"/>
        <w:rPr>
          <w:rFonts w:ascii="宋体" w:hAnsi="宋体" w:cs="宋体"/>
          <w:sz w:val="24"/>
          <w:szCs w:val="28"/>
        </w:rPr>
      </w:pPr>
      <w:r>
        <w:rPr>
          <w:rFonts w:hint="eastAsia" w:ascii="宋体" w:hAnsi="宋体" w:cs="宋体"/>
          <w:sz w:val="24"/>
          <w:szCs w:val="28"/>
        </w:rPr>
        <w:t>3.1 承包人的一般义务</w:t>
      </w:r>
    </w:p>
    <w:p w14:paraId="6AA9C5CE">
      <w:pPr>
        <w:spacing w:line="360" w:lineRule="auto"/>
        <w:ind w:firstLine="480" w:firstLineChars="200"/>
        <w:jc w:val="left"/>
        <w:rPr>
          <w:rFonts w:ascii="宋体" w:hAnsi="宋体" w:cs="宋体"/>
          <w:sz w:val="24"/>
          <w:szCs w:val="28"/>
        </w:rPr>
      </w:pPr>
      <w:r>
        <w:rPr>
          <w:rFonts w:hint="eastAsia" w:ascii="宋体" w:hAnsi="宋体" w:cs="宋体"/>
          <w:sz w:val="24"/>
          <w:szCs w:val="28"/>
        </w:rPr>
        <w:t>承包人在履行合同过程中应遵守法律和工程建设标准规范，并履行以下义务：</w:t>
      </w:r>
    </w:p>
    <w:p w14:paraId="36256BDF">
      <w:pPr>
        <w:spacing w:line="360" w:lineRule="auto"/>
        <w:ind w:firstLine="480" w:firstLineChars="200"/>
        <w:jc w:val="left"/>
        <w:rPr>
          <w:rFonts w:ascii="宋体" w:hAnsi="宋体" w:cs="宋体"/>
          <w:sz w:val="24"/>
          <w:szCs w:val="28"/>
        </w:rPr>
      </w:pPr>
      <w:r>
        <w:rPr>
          <w:rFonts w:hint="eastAsia" w:ascii="宋体" w:hAnsi="宋体" w:cs="宋体"/>
          <w:sz w:val="24"/>
          <w:szCs w:val="28"/>
        </w:rPr>
        <w:t>（1）办理法律规定应由承包人办理的许可和批准，并将办理结果书面报送发包人留存；</w:t>
      </w:r>
    </w:p>
    <w:p w14:paraId="4D247C4C">
      <w:pPr>
        <w:spacing w:line="360" w:lineRule="auto"/>
        <w:ind w:firstLine="480" w:firstLineChars="200"/>
        <w:jc w:val="left"/>
        <w:rPr>
          <w:rFonts w:ascii="宋体" w:hAnsi="宋体" w:cs="宋体"/>
          <w:sz w:val="24"/>
          <w:szCs w:val="28"/>
        </w:rPr>
      </w:pPr>
      <w:r>
        <w:rPr>
          <w:rFonts w:hint="eastAsia" w:ascii="宋体" w:hAnsi="宋体" w:cs="宋体"/>
          <w:sz w:val="24"/>
          <w:szCs w:val="28"/>
        </w:rPr>
        <w:t>（2）按法律规定和合同约定完成工程，并在保修期内承担保修义务；</w:t>
      </w:r>
    </w:p>
    <w:p w14:paraId="4C017A03">
      <w:pPr>
        <w:spacing w:line="360" w:lineRule="auto"/>
        <w:ind w:firstLine="480" w:firstLineChars="200"/>
        <w:jc w:val="left"/>
        <w:rPr>
          <w:rFonts w:ascii="宋体" w:hAnsi="宋体" w:cs="宋体"/>
          <w:sz w:val="24"/>
          <w:szCs w:val="28"/>
        </w:rPr>
      </w:pPr>
      <w:r>
        <w:rPr>
          <w:rFonts w:hint="eastAsia" w:ascii="宋体" w:hAnsi="宋体" w:cs="宋体"/>
          <w:sz w:val="24"/>
          <w:szCs w:val="28"/>
        </w:rPr>
        <w:t>（3）按法律规定和合同约定采取施工安全和环境保护措施，办理工伤保险，确保工程及人员、材料、设备和设施的安全；</w:t>
      </w:r>
    </w:p>
    <w:p w14:paraId="35AEF088">
      <w:pPr>
        <w:spacing w:line="360" w:lineRule="auto"/>
        <w:ind w:firstLine="480" w:firstLineChars="200"/>
        <w:jc w:val="left"/>
        <w:rPr>
          <w:rFonts w:ascii="宋体" w:hAnsi="宋体" w:cs="宋体"/>
          <w:sz w:val="24"/>
          <w:szCs w:val="28"/>
        </w:rPr>
      </w:pPr>
      <w:r>
        <w:rPr>
          <w:rFonts w:hint="eastAsia" w:ascii="宋体" w:hAnsi="宋体" w:cs="宋体"/>
          <w:sz w:val="24"/>
          <w:szCs w:val="28"/>
        </w:rPr>
        <w:t>（4）按合同约定的工作内容和施工进度要求，编制施工组织设计和施工措施计划，并对所有施工作业和施工方法的完备性和安全可靠性负责；</w:t>
      </w:r>
    </w:p>
    <w:p w14:paraId="4DC4FD13">
      <w:pPr>
        <w:spacing w:line="360" w:lineRule="auto"/>
        <w:ind w:firstLine="480" w:firstLineChars="200"/>
        <w:jc w:val="left"/>
        <w:rPr>
          <w:rFonts w:ascii="宋体" w:hAnsi="宋体" w:cs="宋体"/>
          <w:sz w:val="24"/>
          <w:szCs w:val="28"/>
        </w:rPr>
      </w:pPr>
      <w:r>
        <w:rPr>
          <w:rFonts w:hint="eastAsia" w:ascii="宋体" w:hAnsi="宋体" w:cs="宋体"/>
          <w:sz w:val="24"/>
          <w:szCs w:val="28"/>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E29D4DC">
      <w:pPr>
        <w:spacing w:line="360" w:lineRule="auto"/>
        <w:ind w:firstLine="480" w:firstLineChars="200"/>
        <w:jc w:val="left"/>
        <w:rPr>
          <w:rFonts w:ascii="宋体" w:hAnsi="宋体" w:cs="宋体"/>
          <w:sz w:val="24"/>
          <w:szCs w:val="28"/>
        </w:rPr>
      </w:pPr>
      <w:r>
        <w:rPr>
          <w:rFonts w:hint="eastAsia" w:ascii="宋体" w:hAnsi="宋体" w:cs="宋体"/>
          <w:sz w:val="24"/>
          <w:szCs w:val="28"/>
        </w:rPr>
        <w:t>（6）按照第6.3款〔环境保护〕约定负责施工场地及其周边环境与生态的保护工作；</w:t>
      </w:r>
    </w:p>
    <w:p w14:paraId="1CFF6EA9">
      <w:pPr>
        <w:spacing w:line="360" w:lineRule="auto"/>
        <w:ind w:firstLine="480" w:firstLineChars="200"/>
        <w:jc w:val="left"/>
        <w:rPr>
          <w:rFonts w:ascii="宋体" w:hAnsi="宋体" w:cs="宋体"/>
          <w:sz w:val="24"/>
          <w:szCs w:val="28"/>
        </w:rPr>
      </w:pPr>
      <w:r>
        <w:rPr>
          <w:rFonts w:hint="eastAsia" w:ascii="宋体" w:hAnsi="宋体" w:cs="宋体"/>
          <w:sz w:val="24"/>
          <w:szCs w:val="28"/>
        </w:rPr>
        <w:t>（7）按第6.1款〔安全文明施工〕约定采取施工安全措施，确保工程及其人员、材料、设备和设施的安全，防止因工程施工造成的人身伤害和财产损失；</w:t>
      </w:r>
    </w:p>
    <w:p w14:paraId="0BE972D1">
      <w:pPr>
        <w:spacing w:line="360" w:lineRule="auto"/>
        <w:ind w:firstLine="480" w:firstLineChars="200"/>
        <w:jc w:val="left"/>
        <w:rPr>
          <w:rFonts w:ascii="宋体" w:hAnsi="宋体" w:cs="宋体"/>
          <w:sz w:val="24"/>
          <w:szCs w:val="28"/>
        </w:rPr>
      </w:pPr>
      <w:r>
        <w:rPr>
          <w:rFonts w:hint="eastAsia" w:ascii="宋体" w:hAnsi="宋体" w:cs="宋体"/>
          <w:sz w:val="24"/>
          <w:szCs w:val="28"/>
        </w:rPr>
        <w:t>（8）将发包人按合同约定支付的各项价款专用于合同工程，且应及时支付其雇用人员工资，并及时向分包人支付合同价款；</w:t>
      </w:r>
    </w:p>
    <w:p w14:paraId="52B3B692">
      <w:pPr>
        <w:spacing w:line="360" w:lineRule="auto"/>
        <w:ind w:firstLine="480" w:firstLineChars="200"/>
        <w:jc w:val="left"/>
        <w:rPr>
          <w:rFonts w:ascii="宋体" w:hAnsi="宋体" w:cs="宋体"/>
          <w:sz w:val="24"/>
          <w:szCs w:val="28"/>
        </w:rPr>
      </w:pPr>
      <w:r>
        <w:rPr>
          <w:rFonts w:hint="eastAsia" w:ascii="宋体" w:hAnsi="宋体" w:cs="宋体"/>
          <w:sz w:val="24"/>
          <w:szCs w:val="28"/>
        </w:rPr>
        <w:t>（9）按照法律规定和合同约定编制竣工资料，完成竣工资料立卷及归档，并按专用合同条款约定的竣工资料的套数、内容、时间等要求移交发包人；</w:t>
      </w:r>
    </w:p>
    <w:p w14:paraId="34483097">
      <w:pPr>
        <w:spacing w:line="360" w:lineRule="auto"/>
        <w:ind w:firstLine="480" w:firstLineChars="200"/>
        <w:jc w:val="left"/>
        <w:rPr>
          <w:rFonts w:ascii="宋体" w:hAnsi="宋体" w:cs="宋体"/>
          <w:sz w:val="24"/>
          <w:szCs w:val="28"/>
        </w:rPr>
      </w:pPr>
      <w:r>
        <w:rPr>
          <w:rFonts w:hint="eastAsia" w:ascii="宋体" w:hAnsi="宋体" w:cs="宋体"/>
          <w:sz w:val="24"/>
          <w:szCs w:val="28"/>
        </w:rPr>
        <w:t>（10）应履行的其他义务。</w:t>
      </w:r>
    </w:p>
    <w:p w14:paraId="2B9C7992">
      <w:pPr>
        <w:spacing w:line="360" w:lineRule="auto"/>
        <w:ind w:firstLine="480" w:firstLineChars="200"/>
        <w:jc w:val="left"/>
        <w:rPr>
          <w:rFonts w:ascii="宋体" w:hAnsi="宋体" w:cs="宋体"/>
          <w:sz w:val="24"/>
          <w:szCs w:val="28"/>
        </w:rPr>
      </w:pPr>
      <w:r>
        <w:rPr>
          <w:rFonts w:hint="eastAsia" w:ascii="宋体" w:hAnsi="宋体" w:cs="宋体"/>
          <w:sz w:val="24"/>
          <w:szCs w:val="28"/>
        </w:rPr>
        <w:t>3.2 项目经理</w:t>
      </w:r>
    </w:p>
    <w:p w14:paraId="02D54026">
      <w:pPr>
        <w:spacing w:line="360" w:lineRule="auto"/>
        <w:ind w:firstLine="480" w:firstLineChars="200"/>
        <w:jc w:val="left"/>
        <w:rPr>
          <w:rFonts w:ascii="宋体" w:hAnsi="宋体" w:cs="宋体"/>
          <w:sz w:val="24"/>
          <w:szCs w:val="28"/>
        </w:rPr>
      </w:pPr>
      <w:r>
        <w:rPr>
          <w:rFonts w:hint="eastAsia" w:ascii="宋体" w:hAnsi="宋体" w:cs="宋体"/>
          <w:sz w:val="24"/>
          <w:szCs w:val="28"/>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20466492">
      <w:pPr>
        <w:spacing w:line="360" w:lineRule="auto"/>
        <w:ind w:firstLine="480" w:firstLineChars="200"/>
        <w:jc w:val="left"/>
        <w:rPr>
          <w:rFonts w:ascii="宋体" w:hAnsi="宋体" w:cs="宋体"/>
          <w:sz w:val="24"/>
          <w:szCs w:val="28"/>
        </w:rPr>
      </w:pPr>
      <w:r>
        <w:rPr>
          <w:rFonts w:hint="eastAsia" w:ascii="宋体" w:hAnsi="宋体" w:cs="宋体"/>
          <w:sz w:val="24"/>
          <w:szCs w:val="28"/>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160F1C90">
      <w:pPr>
        <w:spacing w:line="360" w:lineRule="auto"/>
        <w:ind w:firstLine="480" w:firstLineChars="200"/>
        <w:jc w:val="left"/>
        <w:rPr>
          <w:rFonts w:ascii="宋体" w:hAnsi="宋体" w:cs="宋体"/>
          <w:sz w:val="24"/>
          <w:szCs w:val="28"/>
        </w:rPr>
      </w:pPr>
      <w:r>
        <w:rPr>
          <w:rFonts w:hint="eastAsia" w:ascii="宋体" w:hAnsi="宋体" w:cs="宋体"/>
          <w:sz w:val="24"/>
          <w:szCs w:val="28"/>
        </w:rPr>
        <w:t>承包人违反上述约定的，应按照专用合同条款的约定，承担违约责任。</w:t>
      </w:r>
    </w:p>
    <w:p w14:paraId="3AF9280F">
      <w:pPr>
        <w:spacing w:line="360" w:lineRule="auto"/>
        <w:ind w:firstLine="480" w:firstLineChars="200"/>
        <w:jc w:val="left"/>
        <w:rPr>
          <w:rFonts w:ascii="宋体" w:hAnsi="宋体" w:cs="宋体"/>
          <w:sz w:val="24"/>
          <w:szCs w:val="28"/>
        </w:rPr>
      </w:pPr>
      <w:r>
        <w:rPr>
          <w:rFonts w:hint="eastAsia" w:ascii="宋体" w:hAnsi="宋体" w:cs="宋体"/>
          <w:sz w:val="24"/>
          <w:szCs w:val="28"/>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6AF7A620">
      <w:pPr>
        <w:spacing w:line="360" w:lineRule="auto"/>
        <w:ind w:firstLine="480" w:firstLineChars="200"/>
        <w:jc w:val="left"/>
        <w:rPr>
          <w:rFonts w:ascii="宋体" w:hAnsi="宋体" w:cs="宋体"/>
          <w:sz w:val="24"/>
          <w:szCs w:val="28"/>
        </w:rPr>
      </w:pPr>
      <w:r>
        <w:rPr>
          <w:rFonts w:hint="eastAsia" w:ascii="宋体" w:hAnsi="宋体" w:cs="宋体"/>
          <w:sz w:val="24"/>
          <w:szCs w:val="28"/>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16D89A96">
      <w:pPr>
        <w:spacing w:line="360" w:lineRule="auto"/>
        <w:ind w:firstLine="480" w:firstLineChars="200"/>
        <w:jc w:val="left"/>
        <w:rPr>
          <w:rFonts w:ascii="宋体" w:hAnsi="宋体" w:cs="宋体"/>
          <w:sz w:val="24"/>
          <w:szCs w:val="28"/>
        </w:rPr>
      </w:pPr>
      <w:r>
        <w:rPr>
          <w:rFonts w:hint="eastAsia" w:ascii="宋体" w:hAnsi="宋体" w:cs="宋体"/>
          <w:sz w:val="24"/>
          <w:szCs w:val="28"/>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2BF2D8B5">
      <w:pPr>
        <w:spacing w:line="360" w:lineRule="auto"/>
        <w:ind w:firstLine="480" w:firstLineChars="200"/>
        <w:jc w:val="left"/>
        <w:rPr>
          <w:rFonts w:ascii="宋体" w:hAnsi="宋体" w:cs="宋体"/>
          <w:sz w:val="24"/>
          <w:szCs w:val="28"/>
        </w:rPr>
      </w:pPr>
      <w:r>
        <w:rPr>
          <w:rFonts w:hint="eastAsia" w:ascii="宋体" w:hAnsi="宋体" w:cs="宋体"/>
          <w:sz w:val="24"/>
          <w:szCs w:val="28"/>
        </w:rPr>
        <w:t>3.2.5 项目经理因特殊情况授权其下属人员履行其某项工作职责的，该下属人员应具备履行相应职责的能力，并应提前7天将上述人员的姓名和授权范围书面通知监理人，并征得发包人书面同意。</w:t>
      </w:r>
    </w:p>
    <w:p w14:paraId="211AB3A2">
      <w:pPr>
        <w:spacing w:line="360" w:lineRule="auto"/>
        <w:ind w:firstLine="480" w:firstLineChars="200"/>
        <w:jc w:val="left"/>
        <w:rPr>
          <w:rFonts w:ascii="宋体" w:hAnsi="宋体" w:cs="宋体"/>
          <w:sz w:val="24"/>
          <w:szCs w:val="28"/>
        </w:rPr>
      </w:pPr>
      <w:r>
        <w:rPr>
          <w:rFonts w:hint="eastAsia" w:ascii="宋体" w:hAnsi="宋体" w:cs="宋体"/>
          <w:sz w:val="24"/>
          <w:szCs w:val="28"/>
        </w:rPr>
        <w:t>3.3 承包人人员</w:t>
      </w:r>
    </w:p>
    <w:p w14:paraId="6E1D2E48">
      <w:pPr>
        <w:spacing w:line="360" w:lineRule="auto"/>
        <w:ind w:firstLine="480" w:firstLineChars="200"/>
        <w:jc w:val="left"/>
        <w:rPr>
          <w:rFonts w:ascii="宋体" w:hAnsi="宋体" w:cs="宋体"/>
          <w:sz w:val="24"/>
          <w:szCs w:val="28"/>
        </w:rPr>
      </w:pPr>
      <w:r>
        <w:rPr>
          <w:rFonts w:hint="eastAsia" w:ascii="宋体" w:hAnsi="宋体" w:cs="宋体"/>
          <w:sz w:val="24"/>
          <w:szCs w:val="28"/>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3EA4BD15">
      <w:pPr>
        <w:spacing w:line="360" w:lineRule="auto"/>
        <w:ind w:firstLine="480" w:firstLineChars="200"/>
        <w:jc w:val="left"/>
        <w:rPr>
          <w:rFonts w:ascii="宋体" w:hAnsi="宋体" w:cs="宋体"/>
          <w:sz w:val="24"/>
          <w:szCs w:val="28"/>
        </w:rPr>
      </w:pPr>
      <w:r>
        <w:rPr>
          <w:rFonts w:hint="eastAsia" w:ascii="宋体" w:hAnsi="宋体" w:cs="宋体"/>
          <w:sz w:val="24"/>
          <w:szCs w:val="28"/>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061F0337">
      <w:pPr>
        <w:spacing w:line="360" w:lineRule="auto"/>
        <w:ind w:firstLine="480" w:firstLineChars="200"/>
        <w:jc w:val="left"/>
        <w:rPr>
          <w:rFonts w:ascii="宋体" w:hAnsi="宋体" w:cs="宋体"/>
          <w:sz w:val="24"/>
          <w:szCs w:val="28"/>
        </w:rPr>
      </w:pPr>
      <w:r>
        <w:rPr>
          <w:rFonts w:hint="eastAsia" w:ascii="宋体" w:hAnsi="宋体" w:cs="宋体"/>
          <w:sz w:val="24"/>
          <w:szCs w:val="28"/>
        </w:rPr>
        <w:t>特殊工种作业人员均应持有相应的资格证明，监理人可以随时检查。</w:t>
      </w:r>
    </w:p>
    <w:p w14:paraId="031B4E13">
      <w:pPr>
        <w:spacing w:line="360" w:lineRule="auto"/>
        <w:ind w:firstLine="480" w:firstLineChars="200"/>
        <w:jc w:val="left"/>
        <w:rPr>
          <w:rFonts w:ascii="宋体" w:hAnsi="宋体" w:cs="宋体"/>
          <w:sz w:val="24"/>
          <w:szCs w:val="28"/>
        </w:rPr>
      </w:pPr>
      <w:r>
        <w:rPr>
          <w:rFonts w:hint="eastAsia" w:ascii="宋体" w:hAnsi="宋体" w:cs="宋体"/>
          <w:sz w:val="24"/>
          <w:szCs w:val="28"/>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30B0C7A9">
      <w:pPr>
        <w:spacing w:line="360" w:lineRule="auto"/>
        <w:ind w:firstLine="480" w:firstLineChars="200"/>
        <w:jc w:val="left"/>
        <w:rPr>
          <w:rFonts w:ascii="宋体" w:hAnsi="宋体" w:cs="宋体"/>
          <w:sz w:val="24"/>
          <w:szCs w:val="28"/>
        </w:rPr>
      </w:pPr>
      <w:r>
        <w:rPr>
          <w:rFonts w:hint="eastAsia" w:ascii="宋体" w:hAnsi="宋体" w:cs="宋体"/>
          <w:sz w:val="24"/>
          <w:szCs w:val="28"/>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42608ED">
      <w:pPr>
        <w:spacing w:line="360" w:lineRule="auto"/>
        <w:ind w:firstLine="480" w:firstLineChars="200"/>
        <w:jc w:val="left"/>
        <w:rPr>
          <w:rFonts w:ascii="宋体" w:hAnsi="宋体" w:cs="宋体"/>
          <w:sz w:val="24"/>
          <w:szCs w:val="28"/>
        </w:rPr>
      </w:pPr>
      <w:r>
        <w:rPr>
          <w:rFonts w:hint="eastAsia" w:ascii="宋体" w:hAnsi="宋体" w:cs="宋体"/>
          <w:sz w:val="24"/>
          <w:szCs w:val="28"/>
        </w:rPr>
        <w:t>3.3.5 承包人擅自更换主要施工管理人员，或前述人员未经监理人或发包人同意擅自离开施工现场的，应按照专用合同条款约定承担违约责任。</w:t>
      </w:r>
    </w:p>
    <w:p w14:paraId="7EF5BEEC">
      <w:pPr>
        <w:spacing w:line="360" w:lineRule="auto"/>
        <w:ind w:firstLine="480" w:firstLineChars="200"/>
        <w:jc w:val="left"/>
        <w:rPr>
          <w:rFonts w:ascii="宋体" w:hAnsi="宋体" w:cs="宋体"/>
          <w:sz w:val="24"/>
          <w:szCs w:val="28"/>
        </w:rPr>
      </w:pPr>
      <w:r>
        <w:rPr>
          <w:rFonts w:hint="eastAsia" w:ascii="宋体" w:hAnsi="宋体" w:cs="宋体"/>
          <w:sz w:val="24"/>
          <w:szCs w:val="28"/>
        </w:rPr>
        <w:t>3.4 承包人现场查勘</w:t>
      </w:r>
    </w:p>
    <w:p w14:paraId="73A79F8A">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承包人应对基于发包人按照第2.4.3项〔提供基础资料〕提交的基础资料所做出的解释和推断负责，但因基础资料存在错误、遗漏导致承包人解释或推断失实的，由发包人承担责任。</w:t>
      </w:r>
    </w:p>
    <w:p w14:paraId="1AB1974F">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632AAE07">
      <w:pPr>
        <w:spacing w:line="360" w:lineRule="auto"/>
        <w:ind w:firstLine="480" w:firstLineChars="200"/>
        <w:jc w:val="left"/>
        <w:rPr>
          <w:rFonts w:ascii="宋体" w:hAnsi="宋体" w:cs="宋体"/>
          <w:sz w:val="24"/>
          <w:szCs w:val="28"/>
        </w:rPr>
      </w:pPr>
      <w:r>
        <w:rPr>
          <w:rFonts w:hint="eastAsia" w:ascii="宋体" w:hAnsi="宋体" w:cs="宋体"/>
          <w:sz w:val="24"/>
          <w:szCs w:val="28"/>
        </w:rPr>
        <w:t>3.5 分包</w:t>
      </w:r>
    </w:p>
    <w:p w14:paraId="4E744FCD">
      <w:pPr>
        <w:spacing w:line="360" w:lineRule="auto"/>
        <w:ind w:firstLine="480" w:firstLineChars="200"/>
        <w:jc w:val="left"/>
        <w:rPr>
          <w:rFonts w:ascii="宋体" w:hAnsi="宋体" w:cs="宋体"/>
          <w:sz w:val="24"/>
          <w:szCs w:val="28"/>
        </w:rPr>
      </w:pPr>
      <w:r>
        <w:rPr>
          <w:rFonts w:hint="eastAsia" w:ascii="宋体" w:hAnsi="宋体" w:cs="宋体"/>
          <w:sz w:val="24"/>
          <w:szCs w:val="28"/>
        </w:rPr>
        <w:t>3.5.1 分包的一般约定</w:t>
      </w:r>
    </w:p>
    <w:p w14:paraId="06A95F52">
      <w:pPr>
        <w:spacing w:line="360" w:lineRule="auto"/>
        <w:ind w:firstLine="480" w:firstLineChars="200"/>
        <w:jc w:val="left"/>
        <w:rPr>
          <w:rFonts w:ascii="宋体" w:hAnsi="宋体" w:cs="宋体"/>
          <w:sz w:val="24"/>
          <w:szCs w:val="28"/>
        </w:rPr>
      </w:pPr>
      <w:r>
        <w:rPr>
          <w:rFonts w:hint="eastAsia" w:ascii="宋体" w:hAnsi="宋体" w:cs="宋体"/>
          <w:sz w:val="24"/>
          <w:szCs w:val="28"/>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2BE96F2">
      <w:pPr>
        <w:spacing w:line="360" w:lineRule="auto"/>
        <w:ind w:firstLine="480" w:firstLineChars="200"/>
        <w:jc w:val="left"/>
        <w:rPr>
          <w:rFonts w:ascii="宋体" w:hAnsi="宋体" w:cs="宋体"/>
          <w:sz w:val="24"/>
          <w:szCs w:val="28"/>
        </w:rPr>
      </w:pPr>
      <w:r>
        <w:rPr>
          <w:rFonts w:hint="eastAsia" w:ascii="宋体" w:hAnsi="宋体" w:cs="宋体"/>
          <w:sz w:val="24"/>
          <w:szCs w:val="28"/>
        </w:rPr>
        <w:t>承包人不得以劳务分包的名义转包或违法分包工程。</w:t>
      </w:r>
    </w:p>
    <w:p w14:paraId="6D6B792F">
      <w:pPr>
        <w:spacing w:line="360" w:lineRule="auto"/>
        <w:ind w:firstLine="480" w:firstLineChars="200"/>
        <w:jc w:val="left"/>
        <w:rPr>
          <w:rFonts w:ascii="宋体" w:hAnsi="宋体" w:cs="宋体"/>
          <w:sz w:val="24"/>
          <w:szCs w:val="28"/>
        </w:rPr>
      </w:pPr>
      <w:r>
        <w:rPr>
          <w:rFonts w:hint="eastAsia" w:ascii="宋体" w:hAnsi="宋体" w:cs="宋体"/>
          <w:sz w:val="24"/>
          <w:szCs w:val="28"/>
        </w:rPr>
        <w:t>3.5.2 分包的确定</w:t>
      </w:r>
    </w:p>
    <w:p w14:paraId="6E5A15F8">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92C17CD">
      <w:pPr>
        <w:spacing w:line="360" w:lineRule="auto"/>
        <w:ind w:firstLine="480" w:firstLineChars="200"/>
        <w:jc w:val="left"/>
        <w:rPr>
          <w:rFonts w:ascii="宋体" w:hAnsi="宋体" w:cs="宋体"/>
          <w:sz w:val="24"/>
          <w:szCs w:val="28"/>
        </w:rPr>
      </w:pPr>
      <w:r>
        <w:rPr>
          <w:rFonts w:hint="eastAsia" w:ascii="宋体" w:hAnsi="宋体" w:cs="宋体"/>
          <w:sz w:val="24"/>
          <w:szCs w:val="28"/>
        </w:rPr>
        <w:t>3.5.3 分包管理</w:t>
      </w:r>
    </w:p>
    <w:p w14:paraId="2FECE0A3">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承包人应向监理人提交分包人的主要施工管理人员表，并对分包人的施工人员进行实名制管理，包括但不限于进出场管理、登记造册以及各种证照的办理。</w:t>
      </w:r>
    </w:p>
    <w:p w14:paraId="08D01C50">
      <w:pPr>
        <w:spacing w:line="360" w:lineRule="auto"/>
        <w:ind w:firstLine="480" w:firstLineChars="200"/>
        <w:jc w:val="left"/>
        <w:rPr>
          <w:rFonts w:ascii="宋体" w:hAnsi="宋体" w:cs="宋体"/>
          <w:sz w:val="24"/>
          <w:szCs w:val="28"/>
        </w:rPr>
      </w:pPr>
      <w:r>
        <w:rPr>
          <w:rFonts w:hint="eastAsia" w:ascii="宋体" w:hAnsi="宋体" w:cs="宋体"/>
          <w:sz w:val="24"/>
          <w:szCs w:val="28"/>
        </w:rPr>
        <w:t>3.5.4 分包合同价款</w:t>
      </w:r>
    </w:p>
    <w:p w14:paraId="23C93372">
      <w:pPr>
        <w:spacing w:line="360" w:lineRule="auto"/>
        <w:ind w:firstLine="480" w:firstLineChars="200"/>
        <w:jc w:val="left"/>
        <w:rPr>
          <w:rFonts w:ascii="宋体" w:hAnsi="宋体" w:cs="宋体"/>
          <w:sz w:val="24"/>
          <w:szCs w:val="28"/>
        </w:rPr>
      </w:pPr>
      <w:r>
        <w:rPr>
          <w:rFonts w:hint="eastAsia" w:ascii="宋体" w:hAnsi="宋体" w:cs="宋体"/>
          <w:sz w:val="24"/>
          <w:szCs w:val="28"/>
        </w:rPr>
        <w:t>（1）除本项第（2）目约定的情况或专用合同条款另有约定外，分包合同价款由承包人与分包人结算，未经承包人同意，发包人不得向分包人支付分包工程价款；</w:t>
      </w:r>
    </w:p>
    <w:p w14:paraId="0FB2C3D5">
      <w:pPr>
        <w:spacing w:line="360" w:lineRule="auto"/>
        <w:ind w:firstLine="480" w:firstLineChars="200"/>
        <w:jc w:val="left"/>
        <w:rPr>
          <w:rFonts w:ascii="宋体" w:hAnsi="宋体" w:cs="宋体"/>
          <w:sz w:val="24"/>
          <w:szCs w:val="28"/>
        </w:rPr>
      </w:pPr>
      <w:r>
        <w:rPr>
          <w:rFonts w:hint="eastAsia" w:ascii="宋体" w:hAnsi="宋体" w:cs="宋体"/>
          <w:sz w:val="24"/>
          <w:szCs w:val="28"/>
        </w:rPr>
        <w:t>（2）生效法律文书要求发包人向分包人支付分包合同价款的，发包人有权从应付承包人工程款中扣除该部分款项。</w:t>
      </w:r>
    </w:p>
    <w:p w14:paraId="48BBB00E">
      <w:pPr>
        <w:spacing w:line="360" w:lineRule="auto"/>
        <w:ind w:firstLine="480" w:firstLineChars="200"/>
        <w:jc w:val="left"/>
        <w:rPr>
          <w:rFonts w:ascii="宋体" w:hAnsi="宋体" w:cs="宋体"/>
          <w:sz w:val="24"/>
          <w:szCs w:val="28"/>
        </w:rPr>
      </w:pPr>
      <w:r>
        <w:rPr>
          <w:rFonts w:hint="eastAsia" w:ascii="宋体" w:hAnsi="宋体" w:cs="宋体"/>
          <w:sz w:val="24"/>
          <w:szCs w:val="28"/>
        </w:rPr>
        <w:t>3.5.5 分包合同权益的转让</w:t>
      </w:r>
    </w:p>
    <w:p w14:paraId="37E39157">
      <w:pPr>
        <w:spacing w:line="360" w:lineRule="auto"/>
        <w:ind w:firstLine="480" w:firstLineChars="200"/>
        <w:jc w:val="left"/>
        <w:rPr>
          <w:rFonts w:ascii="宋体" w:hAnsi="宋体" w:cs="宋体"/>
          <w:sz w:val="24"/>
          <w:szCs w:val="28"/>
        </w:rPr>
      </w:pPr>
      <w:r>
        <w:rPr>
          <w:rFonts w:hint="eastAsia" w:ascii="宋体" w:hAnsi="宋体" w:cs="宋体"/>
          <w:sz w:val="24"/>
          <w:szCs w:val="28"/>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53E83FB6">
      <w:pPr>
        <w:spacing w:line="360" w:lineRule="auto"/>
        <w:ind w:firstLine="480" w:firstLineChars="200"/>
        <w:jc w:val="left"/>
        <w:rPr>
          <w:rFonts w:ascii="宋体" w:hAnsi="宋体" w:cs="宋体"/>
          <w:sz w:val="24"/>
          <w:szCs w:val="28"/>
        </w:rPr>
      </w:pPr>
      <w:r>
        <w:rPr>
          <w:rFonts w:hint="eastAsia" w:ascii="宋体" w:hAnsi="宋体" w:cs="宋体"/>
          <w:sz w:val="24"/>
          <w:szCs w:val="28"/>
        </w:rPr>
        <w:t>3.6 工程照管与成品、半成品保护</w:t>
      </w:r>
    </w:p>
    <w:p w14:paraId="62523DE1">
      <w:pPr>
        <w:spacing w:line="360" w:lineRule="auto"/>
        <w:ind w:firstLine="480" w:firstLineChars="200"/>
        <w:jc w:val="left"/>
        <w:rPr>
          <w:rFonts w:ascii="宋体" w:hAnsi="宋体" w:cs="宋体"/>
          <w:sz w:val="24"/>
          <w:szCs w:val="28"/>
        </w:rPr>
      </w:pPr>
      <w:r>
        <w:rPr>
          <w:rFonts w:hint="eastAsia" w:ascii="宋体" w:hAnsi="宋体" w:cs="宋体"/>
          <w:sz w:val="24"/>
          <w:szCs w:val="28"/>
        </w:rPr>
        <w:t>（1）除专用合同条款另有约定外，自发包人向承包人移交施工现场之日起，承包人应负责照管工程及工程相关的材料、工程设备，直到颁发工程接收证书之日止。</w:t>
      </w:r>
    </w:p>
    <w:p w14:paraId="51BB8ABB">
      <w:pPr>
        <w:spacing w:line="360" w:lineRule="auto"/>
        <w:ind w:firstLine="480" w:firstLineChars="200"/>
        <w:jc w:val="left"/>
        <w:rPr>
          <w:rFonts w:ascii="宋体" w:hAnsi="宋体" w:cs="宋体"/>
          <w:sz w:val="24"/>
          <w:szCs w:val="28"/>
        </w:rPr>
      </w:pPr>
      <w:r>
        <w:rPr>
          <w:rFonts w:hint="eastAsia" w:ascii="宋体" w:hAnsi="宋体" w:cs="宋体"/>
          <w:sz w:val="24"/>
          <w:szCs w:val="28"/>
        </w:rPr>
        <w:t>（2）在承包人负责照管期间，因承包人原因造成工程、材料、工程设备损坏的，由承包人负责修复或更换，并承担由此增加的费用和（或）延误的工期。</w:t>
      </w:r>
    </w:p>
    <w:p w14:paraId="6CA76A0A">
      <w:pPr>
        <w:spacing w:line="360" w:lineRule="auto"/>
        <w:ind w:firstLine="480" w:firstLineChars="200"/>
        <w:jc w:val="left"/>
        <w:rPr>
          <w:rFonts w:ascii="宋体" w:hAnsi="宋体" w:cs="宋体"/>
          <w:sz w:val="24"/>
          <w:szCs w:val="28"/>
        </w:rPr>
      </w:pPr>
      <w:r>
        <w:rPr>
          <w:rFonts w:hint="eastAsia" w:ascii="宋体" w:hAnsi="宋体" w:cs="宋体"/>
          <w:sz w:val="24"/>
          <w:szCs w:val="28"/>
        </w:rPr>
        <w:t>（3）对合同内分期完成的成品和半成品，在工程接收证书颁发前，由承包人承担保护责任。因承包人原因造成成品或半成品损坏的，由承包人负责修复或更换，并承担由此增加的费用和（或）延误的工期。</w:t>
      </w:r>
    </w:p>
    <w:p w14:paraId="7313757E">
      <w:pPr>
        <w:spacing w:line="360" w:lineRule="auto"/>
        <w:ind w:firstLine="480" w:firstLineChars="200"/>
        <w:jc w:val="left"/>
        <w:rPr>
          <w:rFonts w:ascii="宋体" w:hAnsi="宋体" w:cs="宋体"/>
          <w:sz w:val="24"/>
          <w:szCs w:val="28"/>
        </w:rPr>
      </w:pPr>
      <w:r>
        <w:rPr>
          <w:rFonts w:hint="eastAsia" w:ascii="宋体" w:hAnsi="宋体" w:cs="宋体"/>
          <w:sz w:val="24"/>
          <w:szCs w:val="28"/>
        </w:rPr>
        <w:t>3.7 履约担保</w:t>
      </w:r>
    </w:p>
    <w:p w14:paraId="2A45CF3E">
      <w:pPr>
        <w:spacing w:line="360" w:lineRule="auto"/>
        <w:ind w:firstLine="480" w:firstLineChars="200"/>
        <w:jc w:val="left"/>
        <w:rPr>
          <w:rFonts w:ascii="宋体" w:hAnsi="宋体" w:cs="宋体"/>
          <w:sz w:val="24"/>
          <w:szCs w:val="28"/>
        </w:rPr>
      </w:pPr>
      <w:r>
        <w:rPr>
          <w:rFonts w:hint="eastAsia" w:ascii="宋体" w:hAnsi="宋体" w:cs="宋体"/>
          <w:sz w:val="24"/>
          <w:szCs w:val="28"/>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13CA60CD">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因承包人原因导致工期延长的，继续提供履约担保所增加的费用由承包人承担；非因承包人原因导致工期延长的，继续提供履约担保所增加的费用由发包人承担。</w:t>
      </w:r>
    </w:p>
    <w:p w14:paraId="32037F8E">
      <w:pPr>
        <w:spacing w:line="360" w:lineRule="auto"/>
        <w:ind w:firstLine="480" w:firstLineChars="200"/>
        <w:jc w:val="left"/>
        <w:rPr>
          <w:rFonts w:ascii="宋体" w:hAnsi="宋体" w:cs="宋体"/>
          <w:sz w:val="24"/>
          <w:szCs w:val="28"/>
        </w:rPr>
      </w:pPr>
      <w:r>
        <w:rPr>
          <w:rFonts w:hint="eastAsia" w:ascii="宋体" w:hAnsi="宋体" w:cs="宋体"/>
          <w:sz w:val="24"/>
          <w:szCs w:val="28"/>
        </w:rPr>
        <w:t>3.8 联合体</w:t>
      </w:r>
    </w:p>
    <w:p w14:paraId="5D5605E7">
      <w:pPr>
        <w:spacing w:line="360" w:lineRule="auto"/>
        <w:ind w:firstLine="480" w:firstLineChars="200"/>
        <w:jc w:val="left"/>
        <w:rPr>
          <w:rFonts w:ascii="宋体" w:hAnsi="宋体" w:cs="宋体"/>
          <w:sz w:val="24"/>
          <w:szCs w:val="28"/>
        </w:rPr>
      </w:pPr>
      <w:r>
        <w:rPr>
          <w:rFonts w:hint="eastAsia" w:ascii="宋体" w:hAnsi="宋体" w:cs="宋体"/>
          <w:sz w:val="24"/>
          <w:szCs w:val="28"/>
        </w:rPr>
        <w:t>3.8.1 联合体各方应共同与发包人签订合同协议书。联合体各方应为履行合同向发包人承担连带责任。</w:t>
      </w:r>
    </w:p>
    <w:p w14:paraId="61D874BC">
      <w:pPr>
        <w:spacing w:line="360" w:lineRule="auto"/>
        <w:ind w:firstLine="480" w:firstLineChars="200"/>
        <w:jc w:val="left"/>
        <w:rPr>
          <w:rFonts w:ascii="宋体" w:hAnsi="宋体" w:cs="宋体"/>
          <w:sz w:val="24"/>
          <w:szCs w:val="28"/>
        </w:rPr>
      </w:pPr>
      <w:r>
        <w:rPr>
          <w:rFonts w:hint="eastAsia" w:ascii="宋体" w:hAnsi="宋体" w:cs="宋体"/>
          <w:sz w:val="24"/>
          <w:szCs w:val="28"/>
        </w:rPr>
        <w:t>3.8.2 联合体协议经发包人确认后作为合同附件。在履行合同过程中，未经发包人同意，不得修改联合体协议。</w:t>
      </w:r>
    </w:p>
    <w:p w14:paraId="29336BB6">
      <w:pPr>
        <w:spacing w:line="360" w:lineRule="auto"/>
        <w:ind w:firstLine="480" w:firstLineChars="200"/>
        <w:jc w:val="left"/>
        <w:rPr>
          <w:rFonts w:ascii="宋体" w:hAnsi="宋体" w:cs="宋体"/>
          <w:sz w:val="24"/>
          <w:szCs w:val="28"/>
        </w:rPr>
      </w:pPr>
      <w:r>
        <w:rPr>
          <w:rFonts w:hint="eastAsia" w:ascii="宋体" w:hAnsi="宋体" w:cs="宋体"/>
          <w:sz w:val="24"/>
          <w:szCs w:val="28"/>
        </w:rPr>
        <w:t>3.8.3 联合体牵头人负责与发包人和监理人联系，并接受指示，负责组织联合体各成员全面履行合同。</w:t>
      </w:r>
    </w:p>
    <w:p w14:paraId="518A2D06">
      <w:pPr>
        <w:spacing w:line="360" w:lineRule="auto"/>
        <w:ind w:firstLine="480" w:firstLineChars="200"/>
        <w:jc w:val="left"/>
        <w:rPr>
          <w:rFonts w:ascii="宋体" w:hAnsi="宋体" w:cs="宋体"/>
          <w:sz w:val="24"/>
          <w:szCs w:val="28"/>
        </w:rPr>
      </w:pPr>
      <w:r>
        <w:rPr>
          <w:rFonts w:hint="eastAsia" w:ascii="宋体" w:hAnsi="宋体" w:cs="宋体"/>
          <w:sz w:val="24"/>
          <w:szCs w:val="28"/>
        </w:rPr>
        <w:t>4. 监理人</w:t>
      </w:r>
    </w:p>
    <w:p w14:paraId="45EE776C">
      <w:pPr>
        <w:spacing w:line="360" w:lineRule="auto"/>
        <w:ind w:firstLine="480" w:firstLineChars="200"/>
        <w:jc w:val="left"/>
        <w:rPr>
          <w:rFonts w:ascii="宋体" w:hAnsi="宋体" w:cs="宋体"/>
          <w:sz w:val="24"/>
          <w:szCs w:val="28"/>
        </w:rPr>
      </w:pPr>
      <w:r>
        <w:rPr>
          <w:rFonts w:hint="eastAsia" w:ascii="宋体" w:hAnsi="宋体" w:cs="宋体"/>
          <w:sz w:val="24"/>
          <w:szCs w:val="28"/>
        </w:rPr>
        <w:t>4.1监理人的一般规定</w:t>
      </w:r>
    </w:p>
    <w:p w14:paraId="25755D1F">
      <w:pPr>
        <w:spacing w:line="360" w:lineRule="auto"/>
        <w:ind w:firstLine="480" w:firstLineChars="200"/>
        <w:jc w:val="left"/>
        <w:rPr>
          <w:rFonts w:ascii="宋体" w:hAnsi="宋体" w:cs="宋体"/>
          <w:sz w:val="24"/>
          <w:szCs w:val="28"/>
        </w:rPr>
      </w:pPr>
      <w:r>
        <w:rPr>
          <w:rFonts w:hint="eastAsia" w:ascii="宋体" w:hAnsi="宋体" w:cs="宋体"/>
          <w:sz w:val="24"/>
          <w:szCs w:val="28"/>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2140251D">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除专用合同条款另有约定外，监理人在施工现场的办公场所、生活场所由承包人提供，所发生的费用由发包人承担。</w:t>
      </w:r>
    </w:p>
    <w:p w14:paraId="3355D26C">
      <w:pPr>
        <w:spacing w:line="360" w:lineRule="auto"/>
        <w:ind w:firstLine="480" w:firstLineChars="200"/>
        <w:jc w:val="left"/>
        <w:rPr>
          <w:rFonts w:ascii="宋体" w:hAnsi="宋体" w:cs="宋体"/>
          <w:sz w:val="24"/>
          <w:szCs w:val="28"/>
        </w:rPr>
      </w:pPr>
      <w:r>
        <w:rPr>
          <w:rFonts w:hint="eastAsia" w:ascii="宋体" w:hAnsi="宋体" w:cs="宋体"/>
          <w:sz w:val="24"/>
          <w:szCs w:val="28"/>
        </w:rPr>
        <w:t>4.2监理人员</w:t>
      </w:r>
    </w:p>
    <w:p w14:paraId="2AF15068">
      <w:pPr>
        <w:spacing w:line="360" w:lineRule="auto"/>
        <w:ind w:firstLine="480" w:firstLineChars="200"/>
        <w:jc w:val="left"/>
        <w:rPr>
          <w:rFonts w:ascii="宋体" w:hAnsi="宋体" w:cs="宋体"/>
          <w:sz w:val="24"/>
          <w:szCs w:val="28"/>
        </w:rPr>
      </w:pPr>
      <w:r>
        <w:rPr>
          <w:rFonts w:hint="eastAsia" w:ascii="宋体" w:hAnsi="宋体" w:cs="宋体"/>
          <w:sz w:val="24"/>
          <w:szCs w:val="28"/>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133C3392">
      <w:pPr>
        <w:spacing w:line="360" w:lineRule="auto"/>
        <w:ind w:firstLine="480" w:firstLineChars="200"/>
        <w:jc w:val="left"/>
        <w:rPr>
          <w:rFonts w:ascii="宋体" w:hAnsi="宋体" w:cs="宋体"/>
          <w:sz w:val="24"/>
          <w:szCs w:val="28"/>
        </w:rPr>
      </w:pPr>
      <w:r>
        <w:rPr>
          <w:rFonts w:hint="eastAsia" w:ascii="宋体" w:hAnsi="宋体" w:cs="宋体"/>
          <w:sz w:val="24"/>
          <w:szCs w:val="28"/>
        </w:rPr>
        <w:t>4.3监理人的指示</w:t>
      </w:r>
    </w:p>
    <w:p w14:paraId="3E4C9D58">
      <w:pPr>
        <w:spacing w:line="360" w:lineRule="auto"/>
        <w:ind w:firstLine="480" w:firstLineChars="200"/>
        <w:jc w:val="left"/>
        <w:rPr>
          <w:rFonts w:ascii="宋体" w:hAnsi="宋体" w:cs="宋体"/>
          <w:sz w:val="24"/>
          <w:szCs w:val="28"/>
        </w:rPr>
      </w:pPr>
      <w:r>
        <w:rPr>
          <w:rFonts w:hint="eastAsia" w:ascii="宋体" w:hAnsi="宋体" w:cs="宋体"/>
          <w:sz w:val="24"/>
          <w:szCs w:val="28"/>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292ED47">
      <w:pPr>
        <w:spacing w:line="360" w:lineRule="auto"/>
        <w:ind w:firstLine="480" w:firstLineChars="200"/>
        <w:jc w:val="left"/>
        <w:rPr>
          <w:rFonts w:ascii="宋体" w:hAnsi="宋体" w:cs="宋体"/>
          <w:sz w:val="24"/>
          <w:szCs w:val="28"/>
        </w:rPr>
      </w:pPr>
      <w:r>
        <w:rPr>
          <w:rFonts w:hint="eastAsia" w:ascii="宋体" w:hAnsi="宋体" w:cs="宋体"/>
          <w:sz w:val="24"/>
          <w:szCs w:val="28"/>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18CC380">
      <w:pPr>
        <w:spacing w:line="360" w:lineRule="auto"/>
        <w:ind w:firstLine="480" w:firstLineChars="200"/>
        <w:jc w:val="left"/>
        <w:rPr>
          <w:rFonts w:ascii="宋体" w:hAnsi="宋体" w:cs="宋体"/>
          <w:sz w:val="24"/>
          <w:szCs w:val="28"/>
        </w:rPr>
      </w:pPr>
      <w:r>
        <w:rPr>
          <w:rFonts w:hint="eastAsia" w:ascii="宋体" w:hAnsi="宋体" w:cs="宋体"/>
          <w:sz w:val="24"/>
          <w:szCs w:val="28"/>
        </w:rPr>
        <w:t>承包人对监理人发出的指示有疑问的，应向监理人提出书面异议，监理人应在48小时内对该指示予以确认、更改或撤销，监理人逾期未回复的，承包人有权拒绝执行上述指示。</w:t>
      </w:r>
    </w:p>
    <w:p w14:paraId="0F9E85A9">
      <w:pPr>
        <w:spacing w:line="360" w:lineRule="auto"/>
        <w:ind w:firstLine="480" w:firstLineChars="200"/>
        <w:jc w:val="left"/>
        <w:rPr>
          <w:rFonts w:ascii="宋体" w:hAnsi="宋体" w:cs="宋体"/>
          <w:sz w:val="24"/>
          <w:szCs w:val="28"/>
        </w:rPr>
      </w:pPr>
      <w:r>
        <w:rPr>
          <w:rFonts w:hint="eastAsia" w:ascii="宋体" w:hAnsi="宋体" w:cs="宋体"/>
          <w:sz w:val="24"/>
          <w:szCs w:val="28"/>
        </w:rPr>
        <w:t>监理人对承包人的任何工作、工程或其采用的材料和工程设备未在约定的或合理期限内提出意见的，视为批准，但不免除或减轻承包人对该工作、工程、材料、工程设备等应承担的责任和义务。</w:t>
      </w:r>
    </w:p>
    <w:p w14:paraId="34C9696A">
      <w:pPr>
        <w:spacing w:line="360" w:lineRule="auto"/>
        <w:ind w:firstLine="480" w:firstLineChars="200"/>
        <w:jc w:val="left"/>
        <w:rPr>
          <w:rFonts w:ascii="宋体" w:hAnsi="宋体" w:cs="宋体"/>
          <w:sz w:val="24"/>
          <w:szCs w:val="28"/>
        </w:rPr>
      </w:pPr>
      <w:r>
        <w:rPr>
          <w:rFonts w:hint="eastAsia" w:ascii="宋体" w:hAnsi="宋体" w:cs="宋体"/>
          <w:sz w:val="24"/>
          <w:szCs w:val="28"/>
        </w:rPr>
        <w:t>4.4 商定或确定</w:t>
      </w:r>
    </w:p>
    <w:p w14:paraId="6E23ED7E">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合同当事人进行商定或确定时，总监理工程师应当会同合同当事人尽量通过协商达成一致，不能达成一致的，由总监理工程师按照合同约定审慎做出公正的确定。</w:t>
      </w:r>
    </w:p>
    <w:p w14:paraId="1CEFD1FF">
      <w:pPr>
        <w:spacing w:line="360" w:lineRule="auto"/>
        <w:ind w:firstLine="480" w:firstLineChars="200"/>
        <w:jc w:val="left"/>
        <w:rPr>
          <w:rFonts w:ascii="宋体" w:hAnsi="宋体" w:cs="宋体"/>
          <w:sz w:val="24"/>
          <w:szCs w:val="28"/>
        </w:rPr>
      </w:pPr>
      <w:r>
        <w:rPr>
          <w:rFonts w:hint="eastAsia" w:ascii="宋体" w:hAnsi="宋体" w:cs="宋体"/>
          <w:sz w:val="24"/>
          <w:szCs w:val="28"/>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64FD5238">
      <w:pPr>
        <w:spacing w:line="360" w:lineRule="auto"/>
        <w:ind w:firstLine="480" w:firstLineChars="200"/>
        <w:jc w:val="left"/>
        <w:rPr>
          <w:rFonts w:ascii="宋体" w:hAnsi="宋体" w:cs="宋体"/>
          <w:sz w:val="24"/>
          <w:szCs w:val="28"/>
        </w:rPr>
      </w:pPr>
      <w:r>
        <w:rPr>
          <w:rFonts w:hint="eastAsia" w:ascii="宋体" w:hAnsi="宋体" w:cs="宋体"/>
          <w:sz w:val="24"/>
          <w:szCs w:val="28"/>
        </w:rPr>
        <w:t>5. 工程质量</w:t>
      </w:r>
    </w:p>
    <w:p w14:paraId="05E2F043">
      <w:pPr>
        <w:spacing w:line="360" w:lineRule="auto"/>
        <w:ind w:firstLine="480" w:firstLineChars="200"/>
        <w:jc w:val="left"/>
        <w:rPr>
          <w:rFonts w:ascii="宋体" w:hAnsi="宋体" w:cs="宋体"/>
          <w:sz w:val="24"/>
          <w:szCs w:val="28"/>
        </w:rPr>
      </w:pPr>
      <w:r>
        <w:rPr>
          <w:rFonts w:hint="eastAsia" w:ascii="宋体" w:hAnsi="宋体" w:cs="宋体"/>
          <w:sz w:val="24"/>
          <w:szCs w:val="28"/>
        </w:rPr>
        <w:t>5.1质量要求</w:t>
      </w:r>
    </w:p>
    <w:p w14:paraId="4606BD68">
      <w:pPr>
        <w:spacing w:line="360" w:lineRule="auto"/>
        <w:ind w:firstLine="480" w:firstLineChars="200"/>
        <w:jc w:val="left"/>
        <w:rPr>
          <w:rFonts w:ascii="宋体" w:hAnsi="宋体" w:cs="宋体"/>
          <w:sz w:val="24"/>
          <w:szCs w:val="28"/>
        </w:rPr>
      </w:pPr>
      <w:r>
        <w:rPr>
          <w:rFonts w:hint="eastAsia" w:ascii="宋体" w:hAnsi="宋体" w:cs="宋体"/>
          <w:sz w:val="24"/>
          <w:szCs w:val="28"/>
        </w:rPr>
        <w:t>5.1.1 工程质量标准必须符合现行国家有关工程施工质量验收规范和标准的要求。有关工程质量的特殊标准或要求由合同当事人在专用合同条款中约定。</w:t>
      </w:r>
    </w:p>
    <w:p w14:paraId="30B3F190">
      <w:pPr>
        <w:spacing w:line="360" w:lineRule="auto"/>
        <w:ind w:firstLine="480" w:firstLineChars="200"/>
        <w:jc w:val="left"/>
        <w:rPr>
          <w:rFonts w:ascii="宋体" w:hAnsi="宋体" w:cs="宋体"/>
          <w:sz w:val="24"/>
          <w:szCs w:val="28"/>
        </w:rPr>
      </w:pPr>
      <w:r>
        <w:rPr>
          <w:rFonts w:hint="eastAsia" w:ascii="宋体" w:hAnsi="宋体" w:cs="宋体"/>
          <w:sz w:val="24"/>
          <w:szCs w:val="28"/>
        </w:rPr>
        <w:t>5.1.2 因发包人原因造成工程质量未达到合同约定标准的，由发包人承担由此增加的费用和（或）延误的工期，并支付承包人合理的利润。</w:t>
      </w:r>
    </w:p>
    <w:p w14:paraId="1D26BF16">
      <w:pPr>
        <w:spacing w:line="360" w:lineRule="auto"/>
        <w:ind w:firstLine="480" w:firstLineChars="200"/>
        <w:jc w:val="left"/>
        <w:rPr>
          <w:rFonts w:ascii="宋体" w:hAnsi="宋体" w:cs="宋体"/>
          <w:sz w:val="24"/>
          <w:szCs w:val="28"/>
        </w:rPr>
      </w:pPr>
      <w:r>
        <w:rPr>
          <w:rFonts w:hint="eastAsia" w:ascii="宋体" w:hAnsi="宋体" w:cs="宋体"/>
          <w:sz w:val="24"/>
          <w:szCs w:val="28"/>
        </w:rPr>
        <w:t>5.1.3 因承包人原因造成工程质量未达到合同约定标准的，发包人有权要求承包人返工直至工程质量达到合同约定的标准为止，并由承包人承担由此增加的费用和（或）延误的工期。</w:t>
      </w:r>
    </w:p>
    <w:p w14:paraId="210FB694">
      <w:pPr>
        <w:spacing w:line="360" w:lineRule="auto"/>
        <w:ind w:firstLine="480" w:firstLineChars="200"/>
        <w:jc w:val="left"/>
        <w:rPr>
          <w:rFonts w:ascii="宋体" w:hAnsi="宋体" w:cs="宋体"/>
          <w:sz w:val="24"/>
          <w:szCs w:val="28"/>
        </w:rPr>
      </w:pPr>
      <w:r>
        <w:rPr>
          <w:rFonts w:hint="eastAsia" w:ascii="宋体" w:hAnsi="宋体" w:cs="宋体"/>
          <w:sz w:val="24"/>
          <w:szCs w:val="28"/>
        </w:rPr>
        <w:t>5.2质量保证措施</w:t>
      </w:r>
    </w:p>
    <w:p w14:paraId="101DDA70">
      <w:pPr>
        <w:spacing w:line="360" w:lineRule="auto"/>
        <w:ind w:firstLine="480" w:firstLineChars="200"/>
        <w:jc w:val="left"/>
        <w:rPr>
          <w:rFonts w:ascii="宋体" w:hAnsi="宋体" w:cs="宋体"/>
          <w:sz w:val="24"/>
          <w:szCs w:val="28"/>
        </w:rPr>
      </w:pPr>
      <w:r>
        <w:rPr>
          <w:rFonts w:hint="eastAsia" w:ascii="宋体" w:hAnsi="宋体" w:cs="宋体"/>
          <w:sz w:val="24"/>
          <w:szCs w:val="28"/>
        </w:rPr>
        <w:t>5.2.1 发包人的质量管理</w:t>
      </w:r>
    </w:p>
    <w:p w14:paraId="680D5D20">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发包人应按照法律规定及合同约定完成与工程质量有关的各项工作。</w:t>
      </w:r>
    </w:p>
    <w:p w14:paraId="2A2C894E">
      <w:pPr>
        <w:spacing w:line="360" w:lineRule="auto"/>
        <w:ind w:firstLine="480" w:firstLineChars="200"/>
        <w:jc w:val="left"/>
        <w:rPr>
          <w:rFonts w:ascii="宋体" w:hAnsi="宋体" w:cs="宋体"/>
          <w:sz w:val="24"/>
          <w:szCs w:val="28"/>
        </w:rPr>
      </w:pPr>
      <w:r>
        <w:rPr>
          <w:rFonts w:hint="eastAsia" w:ascii="宋体" w:hAnsi="宋体" w:cs="宋体"/>
          <w:sz w:val="24"/>
          <w:szCs w:val="28"/>
        </w:rPr>
        <w:t>5.2.2 承包人的质量管理</w:t>
      </w:r>
    </w:p>
    <w:p w14:paraId="18DE1237">
      <w:pPr>
        <w:spacing w:line="360" w:lineRule="auto"/>
        <w:ind w:firstLine="480" w:firstLineChars="200"/>
        <w:jc w:val="left"/>
        <w:rPr>
          <w:rFonts w:ascii="宋体" w:hAnsi="宋体" w:cs="宋体"/>
          <w:sz w:val="24"/>
          <w:szCs w:val="28"/>
        </w:rPr>
      </w:pPr>
      <w:r>
        <w:rPr>
          <w:rFonts w:hint="eastAsia" w:ascii="宋体" w:hAnsi="宋体" w:cs="宋体"/>
          <w:sz w:val="24"/>
          <w:szCs w:val="28"/>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050992D9">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承包人应对施工人员进行质量教育和技术培训，定期考核施工人员的劳动技能，严格执行施工规范和操作规程。</w:t>
      </w:r>
    </w:p>
    <w:p w14:paraId="60C07FC0">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E2D01E5">
      <w:pPr>
        <w:spacing w:line="360" w:lineRule="auto"/>
        <w:ind w:firstLine="480" w:firstLineChars="200"/>
        <w:jc w:val="left"/>
        <w:rPr>
          <w:rFonts w:ascii="宋体" w:hAnsi="宋体" w:cs="宋体"/>
          <w:sz w:val="24"/>
          <w:szCs w:val="28"/>
        </w:rPr>
      </w:pPr>
      <w:r>
        <w:rPr>
          <w:rFonts w:hint="eastAsia" w:ascii="宋体" w:hAnsi="宋体" w:cs="宋体"/>
          <w:sz w:val="24"/>
          <w:szCs w:val="28"/>
        </w:rPr>
        <w:t>5.2.3 监理人的质量检查和检验</w:t>
      </w:r>
    </w:p>
    <w:p w14:paraId="2615CE5E">
      <w:pPr>
        <w:spacing w:line="360" w:lineRule="auto"/>
        <w:ind w:firstLine="480" w:firstLineChars="200"/>
        <w:jc w:val="left"/>
        <w:rPr>
          <w:rFonts w:ascii="宋体" w:hAnsi="宋体" w:cs="宋体"/>
          <w:sz w:val="24"/>
          <w:szCs w:val="28"/>
        </w:rPr>
      </w:pPr>
      <w:r>
        <w:rPr>
          <w:rFonts w:hint="eastAsia" w:ascii="宋体" w:hAnsi="宋体" w:cs="宋体"/>
          <w:sz w:val="24"/>
          <w:szCs w:val="28"/>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1F207936">
      <w:pPr>
        <w:spacing w:line="360" w:lineRule="auto"/>
        <w:ind w:firstLine="480" w:firstLineChars="200"/>
        <w:jc w:val="left"/>
        <w:rPr>
          <w:rFonts w:ascii="宋体" w:hAnsi="宋体" w:cs="宋体"/>
          <w:sz w:val="24"/>
          <w:szCs w:val="28"/>
        </w:rPr>
      </w:pPr>
      <w:r>
        <w:rPr>
          <w:rFonts w:hint="eastAsia" w:ascii="宋体" w:hAnsi="宋体" w:cs="宋体"/>
          <w:sz w:val="24"/>
          <w:szCs w:val="28"/>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59215157">
      <w:pPr>
        <w:spacing w:line="360" w:lineRule="auto"/>
        <w:ind w:firstLine="480" w:firstLineChars="200"/>
        <w:jc w:val="left"/>
        <w:rPr>
          <w:rFonts w:ascii="宋体" w:hAnsi="宋体" w:cs="宋体"/>
          <w:sz w:val="24"/>
          <w:szCs w:val="28"/>
        </w:rPr>
      </w:pPr>
      <w:r>
        <w:rPr>
          <w:rFonts w:hint="eastAsia" w:ascii="宋体" w:hAnsi="宋体" w:cs="宋体"/>
          <w:sz w:val="24"/>
          <w:szCs w:val="28"/>
        </w:rPr>
        <w:t>5.3 隐蔽工程检查</w:t>
      </w:r>
    </w:p>
    <w:p w14:paraId="1B6A0C9B">
      <w:pPr>
        <w:spacing w:line="360" w:lineRule="auto"/>
        <w:ind w:firstLine="480" w:firstLineChars="200"/>
        <w:jc w:val="left"/>
        <w:rPr>
          <w:rFonts w:ascii="宋体" w:hAnsi="宋体" w:cs="宋体"/>
          <w:sz w:val="24"/>
          <w:szCs w:val="28"/>
        </w:rPr>
      </w:pPr>
      <w:r>
        <w:rPr>
          <w:rFonts w:hint="eastAsia" w:ascii="宋体" w:hAnsi="宋体" w:cs="宋体"/>
          <w:sz w:val="24"/>
          <w:szCs w:val="28"/>
        </w:rPr>
        <w:t>5.3.1承包人自检</w:t>
      </w:r>
    </w:p>
    <w:p w14:paraId="0A443FF1">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承包人应当对工程隐蔽部位进行自检，并经自检确认是否具备覆盖条件。</w:t>
      </w:r>
    </w:p>
    <w:p w14:paraId="190B3B27">
      <w:pPr>
        <w:spacing w:line="360" w:lineRule="auto"/>
        <w:ind w:firstLine="480" w:firstLineChars="200"/>
        <w:jc w:val="left"/>
        <w:rPr>
          <w:rFonts w:ascii="宋体" w:hAnsi="宋体" w:cs="宋体"/>
          <w:sz w:val="24"/>
          <w:szCs w:val="28"/>
        </w:rPr>
      </w:pPr>
      <w:r>
        <w:rPr>
          <w:rFonts w:hint="eastAsia" w:ascii="宋体" w:hAnsi="宋体" w:cs="宋体"/>
          <w:sz w:val="24"/>
          <w:szCs w:val="28"/>
        </w:rPr>
        <w:t>5.3.2检查程序</w:t>
      </w:r>
    </w:p>
    <w:p w14:paraId="6F473AFC">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7515A0BA">
      <w:pPr>
        <w:spacing w:line="360" w:lineRule="auto"/>
        <w:ind w:firstLine="480" w:firstLineChars="200"/>
        <w:jc w:val="left"/>
        <w:rPr>
          <w:rFonts w:ascii="宋体" w:hAnsi="宋体" w:cs="宋体"/>
          <w:sz w:val="24"/>
          <w:szCs w:val="28"/>
        </w:rPr>
      </w:pPr>
      <w:r>
        <w:rPr>
          <w:rFonts w:hint="eastAsia" w:ascii="宋体" w:hAnsi="宋体" w:cs="宋体"/>
          <w:sz w:val="24"/>
          <w:szCs w:val="28"/>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400E98F6">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6B4549DB">
      <w:pPr>
        <w:spacing w:line="360" w:lineRule="auto"/>
        <w:ind w:firstLine="480" w:firstLineChars="200"/>
        <w:jc w:val="left"/>
        <w:rPr>
          <w:rFonts w:ascii="宋体" w:hAnsi="宋体" w:cs="宋体"/>
          <w:sz w:val="24"/>
          <w:szCs w:val="28"/>
        </w:rPr>
      </w:pPr>
      <w:r>
        <w:rPr>
          <w:rFonts w:hint="eastAsia" w:ascii="宋体" w:hAnsi="宋体" w:cs="宋体"/>
          <w:sz w:val="24"/>
          <w:szCs w:val="28"/>
        </w:rPr>
        <w:t>5.3.3 重新检查</w:t>
      </w:r>
    </w:p>
    <w:p w14:paraId="6BC5E759">
      <w:pPr>
        <w:spacing w:line="360" w:lineRule="auto"/>
        <w:ind w:firstLine="480" w:firstLineChars="200"/>
        <w:jc w:val="left"/>
        <w:rPr>
          <w:rFonts w:ascii="宋体" w:hAnsi="宋体" w:cs="宋体"/>
          <w:sz w:val="24"/>
          <w:szCs w:val="28"/>
        </w:rPr>
      </w:pPr>
      <w:r>
        <w:rPr>
          <w:rFonts w:hint="eastAsia" w:ascii="宋体" w:hAnsi="宋体" w:cs="宋体"/>
          <w:sz w:val="24"/>
          <w:szCs w:val="28"/>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12D9E3B">
      <w:pPr>
        <w:spacing w:line="360" w:lineRule="auto"/>
        <w:ind w:firstLine="480" w:firstLineChars="200"/>
        <w:jc w:val="left"/>
        <w:rPr>
          <w:rFonts w:ascii="宋体" w:hAnsi="宋体" w:cs="宋体"/>
          <w:sz w:val="24"/>
          <w:szCs w:val="28"/>
        </w:rPr>
      </w:pPr>
      <w:r>
        <w:rPr>
          <w:rFonts w:hint="eastAsia" w:ascii="宋体" w:hAnsi="宋体" w:cs="宋体"/>
          <w:sz w:val="24"/>
          <w:szCs w:val="28"/>
        </w:rPr>
        <w:t>5.3.4 承包人私自覆盖</w:t>
      </w:r>
    </w:p>
    <w:p w14:paraId="714B9923">
      <w:pPr>
        <w:spacing w:line="360" w:lineRule="auto"/>
        <w:ind w:firstLine="480" w:firstLineChars="200"/>
        <w:jc w:val="left"/>
        <w:rPr>
          <w:rFonts w:ascii="宋体" w:hAnsi="宋体" w:cs="宋体"/>
          <w:sz w:val="24"/>
          <w:szCs w:val="28"/>
        </w:rPr>
      </w:pPr>
      <w:r>
        <w:rPr>
          <w:rFonts w:hint="eastAsia" w:ascii="宋体" w:hAnsi="宋体" w:cs="宋体"/>
          <w:sz w:val="24"/>
          <w:szCs w:val="28"/>
        </w:rPr>
        <w:t>承包人未通知监理人到场检查，私自将工程隐蔽部位覆盖的，监理人有权指示承包人钻孔探测或揭开检查，无论工程隐蔽部位质量是否合格，由此增加的费用和（或）延误的工期均由承包人承担。</w:t>
      </w:r>
    </w:p>
    <w:p w14:paraId="45D821D0">
      <w:pPr>
        <w:spacing w:line="360" w:lineRule="auto"/>
        <w:ind w:firstLine="480" w:firstLineChars="200"/>
        <w:jc w:val="left"/>
        <w:rPr>
          <w:rFonts w:ascii="宋体" w:hAnsi="宋体" w:cs="宋体"/>
          <w:sz w:val="24"/>
          <w:szCs w:val="28"/>
        </w:rPr>
      </w:pPr>
      <w:r>
        <w:rPr>
          <w:rFonts w:hint="eastAsia" w:ascii="宋体" w:hAnsi="宋体" w:cs="宋体"/>
          <w:sz w:val="24"/>
          <w:szCs w:val="28"/>
        </w:rPr>
        <w:t>5.4不合格工程的处理</w:t>
      </w:r>
    </w:p>
    <w:p w14:paraId="5FD63C7C">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720A0408">
      <w:pPr>
        <w:spacing w:line="360" w:lineRule="auto"/>
        <w:ind w:firstLine="480" w:firstLineChars="200"/>
        <w:jc w:val="left"/>
        <w:rPr>
          <w:rFonts w:ascii="宋体" w:hAnsi="宋体" w:cs="宋体"/>
          <w:sz w:val="24"/>
          <w:szCs w:val="28"/>
        </w:rPr>
      </w:pPr>
      <w:r>
        <w:rPr>
          <w:rFonts w:hint="eastAsia" w:ascii="宋体" w:hAnsi="宋体" w:cs="宋体"/>
          <w:sz w:val="24"/>
          <w:szCs w:val="28"/>
        </w:rPr>
        <w:t>5.4.2 因发包人原因造成工程不合格的，由此增加的费用和（或）延误的工期由发包人承担，并支付承包人合理的利润。</w:t>
      </w:r>
    </w:p>
    <w:p w14:paraId="45C374D4">
      <w:pPr>
        <w:spacing w:line="360" w:lineRule="auto"/>
        <w:ind w:firstLine="480" w:firstLineChars="200"/>
        <w:jc w:val="left"/>
        <w:rPr>
          <w:rFonts w:ascii="宋体" w:hAnsi="宋体" w:cs="宋体"/>
          <w:sz w:val="24"/>
          <w:szCs w:val="28"/>
        </w:rPr>
      </w:pPr>
      <w:r>
        <w:rPr>
          <w:rFonts w:hint="eastAsia" w:ascii="宋体" w:hAnsi="宋体" w:cs="宋体"/>
          <w:sz w:val="24"/>
          <w:szCs w:val="28"/>
        </w:rPr>
        <w:t>5.5 质量争议检测</w:t>
      </w:r>
    </w:p>
    <w:p w14:paraId="748F17CB">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合同当事人对工程质量有争议的，由双方协商确定的工程质量检测机构鉴定，由此产生的费用及因此造成的损失，由责任方承担。</w:t>
      </w:r>
    </w:p>
    <w:p w14:paraId="4D13D2FB">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合同当事人均有责任的，由双方根据其责任分别承担。合同当事人无法达成一致的，按照第4.4款〔商定或确定〕执行。</w:t>
      </w:r>
    </w:p>
    <w:p w14:paraId="0540789D">
      <w:pPr>
        <w:spacing w:line="360" w:lineRule="auto"/>
        <w:ind w:firstLine="480" w:firstLineChars="200"/>
        <w:jc w:val="left"/>
        <w:rPr>
          <w:rFonts w:ascii="宋体" w:hAnsi="宋体" w:cs="宋体"/>
          <w:sz w:val="24"/>
          <w:szCs w:val="28"/>
        </w:rPr>
      </w:pPr>
      <w:r>
        <w:rPr>
          <w:rFonts w:hint="eastAsia" w:ascii="宋体" w:hAnsi="宋体" w:cs="宋体"/>
          <w:sz w:val="24"/>
          <w:szCs w:val="28"/>
        </w:rPr>
        <w:t>6. 安全文明施工与环境保护</w:t>
      </w:r>
    </w:p>
    <w:p w14:paraId="052A3852">
      <w:pPr>
        <w:spacing w:line="360" w:lineRule="auto"/>
        <w:ind w:firstLine="480" w:firstLineChars="200"/>
        <w:jc w:val="left"/>
        <w:rPr>
          <w:rFonts w:ascii="宋体" w:hAnsi="宋体" w:cs="宋体"/>
          <w:sz w:val="24"/>
          <w:szCs w:val="28"/>
        </w:rPr>
      </w:pPr>
      <w:r>
        <w:rPr>
          <w:rFonts w:hint="eastAsia" w:ascii="宋体" w:hAnsi="宋体" w:cs="宋体"/>
          <w:sz w:val="24"/>
          <w:szCs w:val="28"/>
        </w:rPr>
        <w:t>6.1安全文明施工</w:t>
      </w:r>
    </w:p>
    <w:p w14:paraId="07F58701">
      <w:pPr>
        <w:spacing w:line="360" w:lineRule="auto"/>
        <w:ind w:firstLine="480" w:firstLineChars="200"/>
        <w:jc w:val="left"/>
        <w:rPr>
          <w:rFonts w:ascii="宋体" w:hAnsi="宋体" w:cs="宋体"/>
          <w:sz w:val="24"/>
          <w:szCs w:val="28"/>
        </w:rPr>
      </w:pPr>
      <w:r>
        <w:rPr>
          <w:rFonts w:hint="eastAsia" w:ascii="宋体" w:hAnsi="宋体" w:cs="宋体"/>
          <w:sz w:val="24"/>
          <w:szCs w:val="28"/>
        </w:rPr>
        <w:t>6.1.1安全生产要求</w:t>
      </w:r>
    </w:p>
    <w:p w14:paraId="63DAF484">
      <w:pPr>
        <w:spacing w:line="360" w:lineRule="auto"/>
        <w:ind w:firstLine="480" w:firstLineChars="200"/>
        <w:jc w:val="left"/>
        <w:rPr>
          <w:rFonts w:ascii="宋体" w:hAnsi="宋体" w:cs="宋体"/>
          <w:sz w:val="24"/>
          <w:szCs w:val="28"/>
        </w:rPr>
      </w:pPr>
      <w:r>
        <w:rPr>
          <w:rFonts w:hint="eastAsia" w:ascii="宋体" w:hAnsi="宋体" w:cs="宋体"/>
          <w:sz w:val="24"/>
          <w:szCs w:val="28"/>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868584F">
      <w:pPr>
        <w:spacing w:line="360" w:lineRule="auto"/>
        <w:ind w:firstLine="480" w:firstLineChars="200"/>
        <w:jc w:val="left"/>
        <w:rPr>
          <w:rFonts w:ascii="宋体" w:hAnsi="宋体" w:cs="宋体"/>
          <w:sz w:val="24"/>
          <w:szCs w:val="28"/>
        </w:rPr>
      </w:pPr>
      <w:r>
        <w:rPr>
          <w:rFonts w:hint="eastAsia" w:ascii="宋体" w:hAnsi="宋体" w:cs="宋体"/>
          <w:sz w:val="24"/>
          <w:szCs w:val="28"/>
        </w:rPr>
        <w:t>在施工过程中，如遇到突发的地质变动、事先未知的地下施工障碍等影响施工安全的紧急情况，承包人应及时报告监理人和发包人，发包人应当及时下令停工并报政府有关行政管理部门采取应急措施。</w:t>
      </w:r>
    </w:p>
    <w:p w14:paraId="1B12C961">
      <w:pPr>
        <w:spacing w:line="360" w:lineRule="auto"/>
        <w:ind w:firstLine="480" w:firstLineChars="200"/>
        <w:jc w:val="left"/>
        <w:rPr>
          <w:rFonts w:ascii="宋体" w:hAnsi="宋体" w:cs="宋体"/>
          <w:sz w:val="24"/>
          <w:szCs w:val="28"/>
        </w:rPr>
      </w:pPr>
      <w:r>
        <w:rPr>
          <w:rFonts w:hint="eastAsia" w:ascii="宋体" w:hAnsi="宋体" w:cs="宋体"/>
          <w:sz w:val="24"/>
          <w:szCs w:val="28"/>
        </w:rPr>
        <w:t>因安全生产需要暂停施工的，按照第7.8款〔暂停施工〕的约定执行。</w:t>
      </w:r>
    </w:p>
    <w:p w14:paraId="5C20316C">
      <w:pPr>
        <w:spacing w:line="360" w:lineRule="auto"/>
        <w:ind w:firstLine="480" w:firstLineChars="200"/>
        <w:jc w:val="left"/>
        <w:rPr>
          <w:rFonts w:ascii="宋体" w:hAnsi="宋体" w:cs="宋体"/>
          <w:sz w:val="24"/>
          <w:szCs w:val="28"/>
        </w:rPr>
      </w:pPr>
      <w:r>
        <w:rPr>
          <w:rFonts w:hint="eastAsia" w:ascii="宋体" w:hAnsi="宋体" w:cs="宋体"/>
          <w:sz w:val="24"/>
          <w:szCs w:val="28"/>
        </w:rPr>
        <w:t>6.1.2 安全生产保证措施</w:t>
      </w:r>
    </w:p>
    <w:p w14:paraId="5657F173">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45E7F85B">
      <w:pPr>
        <w:spacing w:line="360" w:lineRule="auto"/>
        <w:ind w:firstLine="480" w:firstLineChars="200"/>
        <w:jc w:val="left"/>
        <w:rPr>
          <w:rFonts w:ascii="宋体" w:hAnsi="宋体" w:cs="宋体"/>
          <w:sz w:val="24"/>
          <w:szCs w:val="28"/>
        </w:rPr>
      </w:pPr>
      <w:r>
        <w:rPr>
          <w:rFonts w:hint="eastAsia" w:ascii="宋体" w:hAnsi="宋体" w:cs="宋体"/>
          <w:sz w:val="24"/>
          <w:szCs w:val="28"/>
        </w:rPr>
        <w:t>6.1.3特别安全生产事项</w:t>
      </w:r>
    </w:p>
    <w:p w14:paraId="5C6BA3D1">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376879DF">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承包人在动力设备、输电线路、地下管道、密封防震车间、易燃易爆地段以及临街交通要道附近施工时，施工开始前应向发包人和监理人提出安全防护措施，经发包人认可后实施。 </w:t>
      </w:r>
    </w:p>
    <w:p w14:paraId="3E87B4B8">
      <w:pPr>
        <w:spacing w:line="360" w:lineRule="auto"/>
        <w:ind w:firstLine="480" w:firstLineChars="200"/>
        <w:jc w:val="left"/>
        <w:rPr>
          <w:rFonts w:ascii="宋体" w:hAnsi="宋体" w:cs="宋体"/>
          <w:sz w:val="24"/>
          <w:szCs w:val="28"/>
        </w:rPr>
      </w:pPr>
      <w:r>
        <w:rPr>
          <w:rFonts w:hint="eastAsia" w:ascii="宋体" w:hAnsi="宋体" w:cs="宋体"/>
          <w:sz w:val="24"/>
          <w:szCs w:val="28"/>
        </w:rPr>
        <w:t>实施爆破作业，在放射、毒害性环境中施工（含储存、运输、使用）及使用毒害性、腐蚀性物品施工时，承包人应在施工前7天以书面通知发包人和监理人，并报送相应的安全防护措施，经发包人认可后实施。</w:t>
      </w:r>
    </w:p>
    <w:p w14:paraId="77321C88">
      <w:pPr>
        <w:spacing w:line="360" w:lineRule="auto"/>
        <w:ind w:firstLine="480" w:firstLineChars="200"/>
        <w:jc w:val="left"/>
        <w:rPr>
          <w:rFonts w:ascii="宋体" w:hAnsi="宋体" w:cs="宋体"/>
          <w:sz w:val="24"/>
          <w:szCs w:val="28"/>
        </w:rPr>
      </w:pPr>
      <w:r>
        <w:rPr>
          <w:rFonts w:hint="eastAsia" w:ascii="宋体" w:hAnsi="宋体" w:cs="宋体"/>
          <w:sz w:val="24"/>
          <w:szCs w:val="28"/>
        </w:rPr>
        <w:t>需单独编制危险性较大分部分项专项工程施工方案的，及要求进行专家论证的超过一定规模的危险性较大的分部分项工程，承包人应及时编制和组织论证。</w:t>
      </w:r>
    </w:p>
    <w:p w14:paraId="078CC507">
      <w:pPr>
        <w:spacing w:line="360" w:lineRule="auto"/>
        <w:ind w:firstLine="480" w:firstLineChars="200"/>
        <w:jc w:val="left"/>
        <w:rPr>
          <w:rFonts w:ascii="宋体" w:hAnsi="宋体" w:cs="宋体"/>
          <w:sz w:val="24"/>
          <w:szCs w:val="28"/>
        </w:rPr>
      </w:pPr>
      <w:r>
        <w:rPr>
          <w:rFonts w:hint="eastAsia" w:ascii="宋体" w:hAnsi="宋体" w:cs="宋体"/>
          <w:sz w:val="24"/>
          <w:szCs w:val="28"/>
        </w:rPr>
        <w:t>6.1.4 治安保卫</w:t>
      </w:r>
    </w:p>
    <w:p w14:paraId="0D8E6168">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除专用合同条款另有约定外，发包人应与当地公安部门协商，在现场建立治安管理机构或联防组织，统一管理施工场地的治安保卫事项，履行合同工程的治安保卫职责。</w:t>
      </w:r>
    </w:p>
    <w:p w14:paraId="0B7E1CD3">
      <w:pPr>
        <w:spacing w:line="360" w:lineRule="auto"/>
        <w:ind w:firstLine="480" w:firstLineChars="200"/>
        <w:jc w:val="left"/>
        <w:rPr>
          <w:rFonts w:ascii="宋体" w:hAnsi="宋体" w:cs="宋体"/>
          <w:sz w:val="24"/>
          <w:szCs w:val="28"/>
        </w:rPr>
      </w:pPr>
      <w:r>
        <w:rPr>
          <w:rFonts w:hint="eastAsia" w:ascii="宋体" w:hAnsi="宋体" w:cs="宋体"/>
          <w:sz w:val="24"/>
          <w:szCs w:val="28"/>
        </w:rPr>
        <w:t>发包人和承包人除应协助现场治安管理机构或联防组织维护施工场地的社会治安外，还应做好包括生活区在内的各自管辖区的治安保卫工作。</w:t>
      </w:r>
    </w:p>
    <w:p w14:paraId="5E520E8B">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587C2A00">
      <w:pPr>
        <w:spacing w:line="360" w:lineRule="auto"/>
        <w:ind w:firstLine="480" w:firstLineChars="200"/>
        <w:jc w:val="left"/>
        <w:rPr>
          <w:rFonts w:ascii="宋体" w:hAnsi="宋体" w:cs="宋体"/>
          <w:sz w:val="24"/>
          <w:szCs w:val="28"/>
        </w:rPr>
      </w:pPr>
      <w:r>
        <w:rPr>
          <w:rFonts w:hint="eastAsia" w:ascii="宋体" w:hAnsi="宋体" w:cs="宋体"/>
          <w:sz w:val="24"/>
          <w:szCs w:val="28"/>
        </w:rPr>
        <w:t>6.1.5 文明施工</w:t>
      </w:r>
    </w:p>
    <w:p w14:paraId="647E83A3">
      <w:pPr>
        <w:spacing w:line="360" w:lineRule="auto"/>
        <w:ind w:firstLine="480" w:firstLineChars="200"/>
        <w:jc w:val="left"/>
        <w:rPr>
          <w:rFonts w:ascii="宋体" w:hAnsi="宋体" w:cs="宋体"/>
          <w:sz w:val="24"/>
          <w:szCs w:val="28"/>
        </w:rPr>
      </w:pPr>
      <w:r>
        <w:rPr>
          <w:rFonts w:hint="eastAsia" w:ascii="宋体" w:hAnsi="宋体" w:cs="宋体"/>
          <w:sz w:val="24"/>
          <w:szCs w:val="28"/>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1C5DF9D1">
      <w:pPr>
        <w:spacing w:line="360" w:lineRule="auto"/>
        <w:ind w:firstLine="480" w:firstLineChars="200"/>
        <w:jc w:val="left"/>
        <w:rPr>
          <w:rFonts w:ascii="宋体" w:hAnsi="宋体" w:cs="宋体"/>
          <w:sz w:val="24"/>
          <w:szCs w:val="28"/>
        </w:rPr>
      </w:pPr>
      <w:r>
        <w:rPr>
          <w:rFonts w:hint="eastAsia" w:ascii="宋体" w:hAnsi="宋体" w:cs="宋体"/>
          <w:sz w:val="24"/>
          <w:szCs w:val="28"/>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60883E59">
      <w:pPr>
        <w:spacing w:line="360" w:lineRule="auto"/>
        <w:ind w:firstLine="480" w:firstLineChars="200"/>
        <w:jc w:val="left"/>
        <w:rPr>
          <w:rFonts w:ascii="宋体" w:hAnsi="宋体" w:cs="宋体"/>
          <w:sz w:val="24"/>
          <w:szCs w:val="28"/>
        </w:rPr>
      </w:pPr>
      <w:r>
        <w:rPr>
          <w:rFonts w:hint="eastAsia" w:ascii="宋体" w:hAnsi="宋体" w:cs="宋体"/>
          <w:sz w:val="24"/>
          <w:szCs w:val="28"/>
        </w:rPr>
        <w:t>6.1.6 安全文明施工费</w:t>
      </w:r>
    </w:p>
    <w:p w14:paraId="5641D745">
      <w:pPr>
        <w:spacing w:line="360" w:lineRule="auto"/>
        <w:ind w:firstLine="480" w:firstLineChars="200"/>
        <w:jc w:val="left"/>
        <w:rPr>
          <w:rFonts w:ascii="宋体" w:hAnsi="宋体" w:cs="宋体"/>
          <w:sz w:val="24"/>
          <w:szCs w:val="28"/>
        </w:rPr>
      </w:pPr>
      <w:r>
        <w:rPr>
          <w:rFonts w:hint="eastAsia" w:ascii="宋体" w:hAnsi="宋体" w:cs="宋体"/>
          <w:sz w:val="24"/>
          <w:szCs w:val="28"/>
        </w:rPr>
        <w:t>安全文明施工费由发包人承担，发包人不得以任何形式扣减该部分费用。因基准日期后合同所适用的法律或政府有关规定发生变化，增加的安全文明施工费由发包人承担。</w:t>
      </w:r>
    </w:p>
    <w:p w14:paraId="40161CE9">
      <w:pPr>
        <w:spacing w:line="360" w:lineRule="auto"/>
        <w:ind w:firstLine="480" w:firstLineChars="200"/>
        <w:jc w:val="left"/>
        <w:rPr>
          <w:rFonts w:ascii="宋体" w:hAnsi="宋体" w:cs="宋体"/>
          <w:sz w:val="24"/>
          <w:szCs w:val="28"/>
        </w:rPr>
      </w:pPr>
      <w:r>
        <w:rPr>
          <w:rFonts w:hint="eastAsia" w:ascii="宋体" w:hAnsi="宋体" w:cs="宋体"/>
          <w:sz w:val="24"/>
          <w:szCs w:val="28"/>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E1B1C9D">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23407B28">
      <w:pPr>
        <w:spacing w:line="360" w:lineRule="auto"/>
        <w:ind w:firstLine="480" w:firstLineChars="200"/>
        <w:jc w:val="left"/>
        <w:rPr>
          <w:rFonts w:ascii="宋体" w:hAnsi="宋体" w:cs="宋体"/>
          <w:sz w:val="24"/>
          <w:szCs w:val="28"/>
        </w:rPr>
      </w:pPr>
      <w:r>
        <w:rPr>
          <w:rFonts w:hint="eastAsia" w:ascii="宋体" w:hAnsi="宋体" w:cs="宋体"/>
          <w:sz w:val="24"/>
          <w:szCs w:val="28"/>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390229E">
      <w:pPr>
        <w:spacing w:line="360" w:lineRule="auto"/>
        <w:ind w:firstLine="480" w:firstLineChars="200"/>
        <w:jc w:val="left"/>
        <w:rPr>
          <w:rFonts w:ascii="宋体" w:hAnsi="宋体" w:cs="宋体"/>
          <w:sz w:val="24"/>
          <w:szCs w:val="28"/>
        </w:rPr>
      </w:pPr>
      <w:r>
        <w:rPr>
          <w:rFonts w:hint="eastAsia" w:ascii="宋体" w:hAnsi="宋体" w:cs="宋体"/>
          <w:sz w:val="24"/>
          <w:szCs w:val="28"/>
        </w:rPr>
        <w:t>6.1.7 紧急情况处理</w:t>
      </w:r>
    </w:p>
    <w:p w14:paraId="45E673EC">
      <w:pPr>
        <w:spacing w:line="360" w:lineRule="auto"/>
        <w:ind w:firstLine="480" w:firstLineChars="200"/>
        <w:jc w:val="left"/>
        <w:rPr>
          <w:rFonts w:ascii="宋体" w:hAnsi="宋体" w:cs="宋体"/>
          <w:sz w:val="24"/>
          <w:szCs w:val="28"/>
        </w:rPr>
      </w:pPr>
      <w:r>
        <w:rPr>
          <w:rFonts w:hint="eastAsia" w:ascii="宋体" w:hAnsi="宋体" w:cs="宋体"/>
          <w:sz w:val="24"/>
          <w:szCs w:val="28"/>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7B318899">
      <w:pPr>
        <w:spacing w:line="360" w:lineRule="auto"/>
        <w:ind w:firstLine="480" w:firstLineChars="200"/>
        <w:jc w:val="left"/>
        <w:rPr>
          <w:rFonts w:ascii="宋体" w:hAnsi="宋体" w:cs="宋体"/>
          <w:sz w:val="24"/>
          <w:szCs w:val="28"/>
        </w:rPr>
      </w:pPr>
      <w:r>
        <w:rPr>
          <w:rFonts w:hint="eastAsia" w:ascii="宋体" w:hAnsi="宋体" w:cs="宋体"/>
          <w:sz w:val="24"/>
          <w:szCs w:val="28"/>
        </w:rPr>
        <w:t>6.1.8 事故处理</w:t>
      </w:r>
    </w:p>
    <w:p w14:paraId="5D22BD30">
      <w:pPr>
        <w:spacing w:line="360" w:lineRule="auto"/>
        <w:ind w:firstLine="480" w:firstLineChars="200"/>
        <w:jc w:val="left"/>
        <w:rPr>
          <w:rFonts w:ascii="宋体" w:hAnsi="宋体" w:cs="宋体"/>
          <w:sz w:val="24"/>
          <w:szCs w:val="28"/>
        </w:rPr>
      </w:pPr>
      <w:r>
        <w:rPr>
          <w:rFonts w:hint="eastAsia" w:ascii="宋体" w:hAnsi="宋体" w:cs="宋体"/>
          <w:sz w:val="24"/>
          <w:szCs w:val="28"/>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547795B">
      <w:pPr>
        <w:spacing w:line="360" w:lineRule="auto"/>
        <w:ind w:firstLine="480" w:firstLineChars="200"/>
        <w:jc w:val="left"/>
        <w:rPr>
          <w:rFonts w:ascii="宋体" w:hAnsi="宋体" w:cs="宋体"/>
          <w:sz w:val="24"/>
          <w:szCs w:val="28"/>
        </w:rPr>
      </w:pPr>
      <w:r>
        <w:rPr>
          <w:rFonts w:hint="eastAsia" w:ascii="宋体" w:hAnsi="宋体" w:cs="宋体"/>
          <w:sz w:val="24"/>
          <w:szCs w:val="28"/>
        </w:rPr>
        <w:t>6.1.9 安全生产责任</w:t>
      </w:r>
    </w:p>
    <w:p w14:paraId="64AF7DC5">
      <w:pPr>
        <w:spacing w:line="360" w:lineRule="auto"/>
        <w:ind w:firstLine="480" w:firstLineChars="200"/>
        <w:jc w:val="left"/>
        <w:rPr>
          <w:rFonts w:ascii="宋体" w:hAnsi="宋体" w:cs="宋体"/>
          <w:sz w:val="24"/>
          <w:szCs w:val="28"/>
        </w:rPr>
      </w:pPr>
      <w:r>
        <w:rPr>
          <w:rFonts w:hint="eastAsia" w:ascii="宋体" w:hAnsi="宋体" w:cs="宋体"/>
          <w:sz w:val="24"/>
          <w:szCs w:val="28"/>
        </w:rPr>
        <w:t>6.1.9.1 发包人的安全责任</w:t>
      </w:r>
    </w:p>
    <w:p w14:paraId="03085D93">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发包人应负责赔偿以下各种情况造成的损失：</w:t>
      </w:r>
    </w:p>
    <w:p w14:paraId="21E3FBF0">
      <w:pPr>
        <w:spacing w:line="360" w:lineRule="auto"/>
        <w:ind w:firstLine="480" w:firstLineChars="200"/>
        <w:jc w:val="left"/>
        <w:rPr>
          <w:rFonts w:ascii="宋体" w:hAnsi="宋体" w:cs="宋体"/>
          <w:sz w:val="24"/>
          <w:szCs w:val="28"/>
        </w:rPr>
      </w:pPr>
      <w:r>
        <w:rPr>
          <w:rFonts w:hint="eastAsia" w:ascii="宋体" w:hAnsi="宋体" w:cs="宋体"/>
          <w:sz w:val="24"/>
          <w:szCs w:val="28"/>
        </w:rPr>
        <w:t>（1）工程或工程的任何部分对土地的占用所造成的第三者财产损失；</w:t>
      </w:r>
    </w:p>
    <w:p w14:paraId="290302FE">
      <w:pPr>
        <w:spacing w:line="360" w:lineRule="auto"/>
        <w:ind w:firstLine="480" w:firstLineChars="200"/>
        <w:jc w:val="left"/>
        <w:rPr>
          <w:rFonts w:ascii="宋体" w:hAnsi="宋体" w:cs="宋体"/>
          <w:sz w:val="24"/>
          <w:szCs w:val="28"/>
        </w:rPr>
      </w:pPr>
      <w:r>
        <w:rPr>
          <w:rFonts w:hint="eastAsia" w:ascii="宋体" w:hAnsi="宋体" w:cs="宋体"/>
          <w:sz w:val="24"/>
          <w:szCs w:val="28"/>
        </w:rPr>
        <w:t>（2）由于发包人原因在施工场地及其毗邻地带造成的第三者人身伤亡和财产损失；</w:t>
      </w:r>
    </w:p>
    <w:p w14:paraId="378080C6">
      <w:pPr>
        <w:spacing w:line="360" w:lineRule="auto"/>
        <w:ind w:firstLine="480" w:firstLineChars="200"/>
        <w:jc w:val="left"/>
        <w:rPr>
          <w:rFonts w:ascii="宋体" w:hAnsi="宋体" w:cs="宋体"/>
          <w:sz w:val="24"/>
          <w:szCs w:val="28"/>
        </w:rPr>
      </w:pPr>
      <w:r>
        <w:rPr>
          <w:rFonts w:hint="eastAsia" w:ascii="宋体" w:hAnsi="宋体" w:cs="宋体"/>
          <w:sz w:val="24"/>
          <w:szCs w:val="28"/>
        </w:rPr>
        <w:t>（3）由于发包人原因对承包人、监理人造成的人员人身伤亡和财产损失；</w:t>
      </w:r>
    </w:p>
    <w:p w14:paraId="4DF18EF4">
      <w:pPr>
        <w:spacing w:line="360" w:lineRule="auto"/>
        <w:ind w:firstLine="480" w:firstLineChars="200"/>
        <w:jc w:val="left"/>
        <w:rPr>
          <w:rFonts w:ascii="宋体" w:hAnsi="宋体" w:cs="宋体"/>
          <w:sz w:val="24"/>
          <w:szCs w:val="28"/>
        </w:rPr>
      </w:pPr>
      <w:r>
        <w:rPr>
          <w:rFonts w:hint="eastAsia" w:ascii="宋体" w:hAnsi="宋体" w:cs="宋体"/>
          <w:sz w:val="24"/>
          <w:szCs w:val="28"/>
        </w:rPr>
        <w:t>（4）由于发包人原因造成的发包人自身人员的人身伤害以及财产损失。</w:t>
      </w:r>
    </w:p>
    <w:p w14:paraId="0D1D9B31">
      <w:pPr>
        <w:spacing w:line="360" w:lineRule="auto"/>
        <w:ind w:firstLine="480" w:firstLineChars="200"/>
        <w:jc w:val="left"/>
        <w:rPr>
          <w:rFonts w:ascii="宋体" w:hAnsi="宋体" w:cs="宋体"/>
          <w:sz w:val="24"/>
          <w:szCs w:val="28"/>
        </w:rPr>
      </w:pPr>
      <w:r>
        <w:rPr>
          <w:rFonts w:hint="eastAsia" w:ascii="宋体" w:hAnsi="宋体" w:cs="宋体"/>
          <w:sz w:val="24"/>
          <w:szCs w:val="28"/>
        </w:rPr>
        <w:t>6.1.9.2 承包人的安全责任</w:t>
      </w:r>
    </w:p>
    <w:p w14:paraId="0960F5E6">
      <w:pPr>
        <w:spacing w:line="360" w:lineRule="auto"/>
        <w:ind w:firstLine="480" w:firstLineChars="200"/>
        <w:jc w:val="left"/>
        <w:rPr>
          <w:rFonts w:ascii="宋体" w:hAnsi="宋体" w:cs="宋体"/>
          <w:sz w:val="24"/>
          <w:szCs w:val="28"/>
        </w:rPr>
      </w:pPr>
      <w:r>
        <w:rPr>
          <w:rFonts w:hint="eastAsia" w:ascii="宋体" w:hAnsi="宋体" w:cs="宋体"/>
          <w:sz w:val="24"/>
          <w:szCs w:val="28"/>
        </w:rPr>
        <w:t>由于承包人原因在施工场地内及其毗邻地带造成的发包人、监理人以及第三者人员伤亡和财产损失，由承包人负责赔偿。</w:t>
      </w:r>
    </w:p>
    <w:p w14:paraId="219C7F7B">
      <w:pPr>
        <w:spacing w:line="360" w:lineRule="auto"/>
        <w:ind w:firstLine="480" w:firstLineChars="200"/>
        <w:jc w:val="left"/>
        <w:rPr>
          <w:rFonts w:ascii="宋体" w:hAnsi="宋体" w:cs="宋体"/>
          <w:sz w:val="24"/>
          <w:szCs w:val="28"/>
        </w:rPr>
      </w:pPr>
      <w:r>
        <w:rPr>
          <w:rFonts w:hint="eastAsia" w:ascii="宋体" w:hAnsi="宋体" w:cs="宋体"/>
          <w:sz w:val="24"/>
          <w:szCs w:val="28"/>
        </w:rPr>
        <w:t>6.2 职业健康</w:t>
      </w:r>
    </w:p>
    <w:p w14:paraId="6DFBA32A">
      <w:pPr>
        <w:spacing w:line="360" w:lineRule="auto"/>
        <w:ind w:firstLine="480" w:firstLineChars="200"/>
        <w:jc w:val="left"/>
        <w:rPr>
          <w:rFonts w:ascii="宋体" w:hAnsi="宋体" w:cs="宋体"/>
          <w:sz w:val="24"/>
          <w:szCs w:val="28"/>
        </w:rPr>
      </w:pPr>
      <w:r>
        <w:rPr>
          <w:rFonts w:hint="eastAsia" w:ascii="宋体" w:hAnsi="宋体" w:cs="宋体"/>
          <w:sz w:val="24"/>
          <w:szCs w:val="28"/>
        </w:rPr>
        <w:t>6.2.1 劳动保护</w:t>
      </w:r>
    </w:p>
    <w:p w14:paraId="13585F1E">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5C8DF3FE">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8A16F27">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承包人应按法律规定安排工作时间，保证其雇佣人员享有休息和休假的权利。因工程施工的特殊需要占用休假日或延长工作时间的，应不超过法律规定的限度，并按法律规定给予补休或付酬。</w:t>
      </w:r>
    </w:p>
    <w:p w14:paraId="2E9CE0A5">
      <w:pPr>
        <w:spacing w:line="360" w:lineRule="auto"/>
        <w:ind w:firstLine="480" w:firstLineChars="200"/>
        <w:jc w:val="left"/>
        <w:rPr>
          <w:rFonts w:ascii="宋体" w:hAnsi="宋体" w:cs="宋体"/>
          <w:sz w:val="24"/>
          <w:szCs w:val="28"/>
        </w:rPr>
      </w:pPr>
      <w:r>
        <w:rPr>
          <w:rFonts w:hint="eastAsia" w:ascii="宋体" w:hAnsi="宋体" w:cs="宋体"/>
          <w:sz w:val="24"/>
          <w:szCs w:val="28"/>
        </w:rPr>
        <w:t>6.2.2 生活条件</w:t>
      </w:r>
    </w:p>
    <w:p w14:paraId="0EAE1AED">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363EE793">
      <w:pPr>
        <w:spacing w:line="360" w:lineRule="auto"/>
        <w:ind w:firstLine="480" w:firstLineChars="200"/>
        <w:jc w:val="left"/>
        <w:rPr>
          <w:rFonts w:ascii="宋体" w:hAnsi="宋体" w:cs="宋体"/>
          <w:sz w:val="24"/>
          <w:szCs w:val="28"/>
        </w:rPr>
      </w:pPr>
      <w:r>
        <w:rPr>
          <w:rFonts w:hint="eastAsia" w:ascii="宋体" w:hAnsi="宋体" w:cs="宋体"/>
          <w:sz w:val="24"/>
          <w:szCs w:val="28"/>
        </w:rPr>
        <w:t>6.3 环境保护</w:t>
      </w:r>
    </w:p>
    <w:p w14:paraId="7FAB3A2F">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73554360">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承包人应当承担因其原因引起的环境污染侵权损害赔偿责任，因上述环境污染引起纠纷而导致暂停施工的，由此增加的费用和（或）延误的工期由承包人承担。</w:t>
      </w:r>
    </w:p>
    <w:p w14:paraId="05D05983">
      <w:pPr>
        <w:spacing w:line="360" w:lineRule="auto"/>
        <w:ind w:firstLine="480" w:firstLineChars="200"/>
        <w:jc w:val="left"/>
        <w:rPr>
          <w:rFonts w:ascii="宋体" w:hAnsi="宋体" w:cs="宋体"/>
          <w:sz w:val="24"/>
          <w:szCs w:val="28"/>
        </w:rPr>
      </w:pPr>
      <w:r>
        <w:rPr>
          <w:rFonts w:hint="eastAsia" w:ascii="宋体" w:hAnsi="宋体" w:cs="宋体"/>
          <w:sz w:val="24"/>
          <w:szCs w:val="28"/>
        </w:rPr>
        <w:t>7. 工期和进度</w:t>
      </w:r>
    </w:p>
    <w:p w14:paraId="4CA549E1">
      <w:pPr>
        <w:spacing w:line="360" w:lineRule="auto"/>
        <w:ind w:firstLine="480" w:firstLineChars="200"/>
        <w:jc w:val="left"/>
        <w:rPr>
          <w:rFonts w:ascii="宋体" w:hAnsi="宋体" w:cs="宋体"/>
          <w:sz w:val="24"/>
          <w:szCs w:val="28"/>
        </w:rPr>
      </w:pPr>
      <w:r>
        <w:rPr>
          <w:rFonts w:hint="eastAsia" w:ascii="宋体" w:hAnsi="宋体" w:cs="宋体"/>
          <w:sz w:val="24"/>
          <w:szCs w:val="28"/>
        </w:rPr>
        <w:t>7.1施工组织设计</w:t>
      </w:r>
    </w:p>
    <w:p w14:paraId="376D6007">
      <w:pPr>
        <w:spacing w:line="360" w:lineRule="auto"/>
        <w:ind w:firstLine="480" w:firstLineChars="200"/>
        <w:jc w:val="left"/>
        <w:rPr>
          <w:rFonts w:ascii="宋体" w:hAnsi="宋体" w:cs="宋体"/>
          <w:sz w:val="24"/>
          <w:szCs w:val="28"/>
        </w:rPr>
      </w:pPr>
      <w:r>
        <w:rPr>
          <w:rFonts w:hint="eastAsia" w:ascii="宋体" w:hAnsi="宋体" w:cs="宋体"/>
          <w:sz w:val="24"/>
          <w:szCs w:val="28"/>
        </w:rPr>
        <w:t>7.1.1 施工组织设计的内容</w:t>
      </w:r>
    </w:p>
    <w:p w14:paraId="2001E566">
      <w:pPr>
        <w:spacing w:line="360" w:lineRule="auto"/>
        <w:ind w:firstLine="480" w:firstLineChars="200"/>
        <w:jc w:val="left"/>
        <w:rPr>
          <w:rFonts w:ascii="宋体" w:hAnsi="宋体" w:cs="宋体"/>
          <w:sz w:val="24"/>
          <w:szCs w:val="28"/>
        </w:rPr>
      </w:pPr>
      <w:r>
        <w:rPr>
          <w:rFonts w:hint="eastAsia" w:ascii="宋体" w:hAnsi="宋体" w:cs="宋体"/>
          <w:sz w:val="24"/>
          <w:szCs w:val="28"/>
        </w:rPr>
        <w:t>施工组织设计应包含以下内容：</w:t>
      </w:r>
    </w:p>
    <w:p w14:paraId="63DB4D21">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（1）施工方案； </w:t>
      </w:r>
    </w:p>
    <w:p w14:paraId="26CDE395">
      <w:pPr>
        <w:spacing w:line="360" w:lineRule="auto"/>
        <w:ind w:firstLine="480" w:firstLineChars="200"/>
        <w:jc w:val="left"/>
        <w:rPr>
          <w:rFonts w:ascii="宋体" w:hAnsi="宋体" w:cs="宋体"/>
          <w:sz w:val="24"/>
          <w:szCs w:val="28"/>
        </w:rPr>
      </w:pPr>
      <w:r>
        <w:rPr>
          <w:rFonts w:hint="eastAsia" w:ascii="宋体" w:hAnsi="宋体" w:cs="宋体"/>
          <w:sz w:val="24"/>
          <w:szCs w:val="28"/>
        </w:rPr>
        <w:t>（2）施工现场平面布置图；</w:t>
      </w:r>
    </w:p>
    <w:p w14:paraId="62409148">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（3）施工进度计划和保证措施； </w:t>
      </w:r>
    </w:p>
    <w:p w14:paraId="0CE88E01">
      <w:pPr>
        <w:spacing w:line="360" w:lineRule="auto"/>
        <w:ind w:firstLine="480" w:firstLineChars="200"/>
        <w:jc w:val="left"/>
        <w:rPr>
          <w:rFonts w:ascii="宋体" w:hAnsi="宋体" w:cs="宋体"/>
          <w:sz w:val="24"/>
          <w:szCs w:val="28"/>
        </w:rPr>
      </w:pPr>
      <w:r>
        <w:rPr>
          <w:rFonts w:hint="eastAsia" w:ascii="宋体" w:hAnsi="宋体" w:cs="宋体"/>
          <w:sz w:val="24"/>
          <w:szCs w:val="28"/>
        </w:rPr>
        <w:t>（4）劳动力及材料供应计划；</w:t>
      </w:r>
    </w:p>
    <w:p w14:paraId="61516C5C">
      <w:pPr>
        <w:spacing w:line="360" w:lineRule="auto"/>
        <w:ind w:firstLine="480" w:firstLineChars="200"/>
        <w:jc w:val="left"/>
        <w:rPr>
          <w:rFonts w:ascii="宋体" w:hAnsi="宋体" w:cs="宋体"/>
          <w:sz w:val="24"/>
          <w:szCs w:val="28"/>
        </w:rPr>
      </w:pPr>
      <w:r>
        <w:rPr>
          <w:rFonts w:hint="eastAsia" w:ascii="宋体" w:hAnsi="宋体" w:cs="宋体"/>
          <w:sz w:val="24"/>
          <w:szCs w:val="28"/>
        </w:rPr>
        <w:t>（5）施工机械设备的选用；</w:t>
      </w:r>
    </w:p>
    <w:p w14:paraId="7FD1C3D4">
      <w:pPr>
        <w:spacing w:line="360" w:lineRule="auto"/>
        <w:ind w:firstLine="480" w:firstLineChars="200"/>
        <w:jc w:val="left"/>
        <w:rPr>
          <w:rFonts w:ascii="宋体" w:hAnsi="宋体" w:cs="宋体"/>
          <w:sz w:val="24"/>
          <w:szCs w:val="28"/>
        </w:rPr>
      </w:pPr>
      <w:r>
        <w:rPr>
          <w:rFonts w:hint="eastAsia" w:ascii="宋体" w:hAnsi="宋体" w:cs="宋体"/>
          <w:sz w:val="24"/>
          <w:szCs w:val="28"/>
        </w:rPr>
        <w:t>（6）质量保证体系及措施；</w:t>
      </w:r>
    </w:p>
    <w:p w14:paraId="1A37B55A">
      <w:pPr>
        <w:spacing w:line="360" w:lineRule="auto"/>
        <w:ind w:firstLine="480" w:firstLineChars="200"/>
        <w:jc w:val="left"/>
        <w:rPr>
          <w:rFonts w:ascii="宋体" w:hAnsi="宋体" w:cs="宋体"/>
          <w:sz w:val="24"/>
          <w:szCs w:val="28"/>
        </w:rPr>
      </w:pPr>
      <w:r>
        <w:rPr>
          <w:rFonts w:hint="eastAsia" w:ascii="宋体" w:hAnsi="宋体" w:cs="宋体"/>
          <w:sz w:val="24"/>
          <w:szCs w:val="28"/>
        </w:rPr>
        <w:t>（7）安全生产、文明施工措施；</w:t>
      </w:r>
    </w:p>
    <w:p w14:paraId="77038CA7">
      <w:pPr>
        <w:spacing w:line="360" w:lineRule="auto"/>
        <w:ind w:firstLine="480" w:firstLineChars="200"/>
        <w:jc w:val="left"/>
        <w:rPr>
          <w:rFonts w:ascii="宋体" w:hAnsi="宋体" w:cs="宋体"/>
          <w:sz w:val="24"/>
          <w:szCs w:val="28"/>
        </w:rPr>
      </w:pPr>
      <w:r>
        <w:rPr>
          <w:rFonts w:hint="eastAsia" w:ascii="宋体" w:hAnsi="宋体" w:cs="宋体"/>
          <w:sz w:val="24"/>
          <w:szCs w:val="28"/>
        </w:rPr>
        <w:t>（8）环境保护、成本控制措施；</w:t>
      </w:r>
    </w:p>
    <w:p w14:paraId="65C8CDB4">
      <w:pPr>
        <w:spacing w:line="360" w:lineRule="auto"/>
        <w:ind w:firstLine="480" w:firstLineChars="200"/>
        <w:jc w:val="left"/>
        <w:rPr>
          <w:rFonts w:ascii="宋体" w:hAnsi="宋体" w:cs="宋体"/>
          <w:sz w:val="24"/>
          <w:szCs w:val="28"/>
        </w:rPr>
      </w:pPr>
      <w:r>
        <w:rPr>
          <w:rFonts w:hint="eastAsia" w:ascii="宋体" w:hAnsi="宋体" w:cs="宋体"/>
          <w:sz w:val="24"/>
          <w:szCs w:val="28"/>
        </w:rPr>
        <w:t>（9）合同当事人约定的其他内容。</w:t>
      </w:r>
    </w:p>
    <w:p w14:paraId="019FA894">
      <w:pPr>
        <w:spacing w:line="360" w:lineRule="auto"/>
        <w:ind w:firstLine="480" w:firstLineChars="200"/>
        <w:jc w:val="left"/>
        <w:rPr>
          <w:rFonts w:ascii="宋体" w:hAnsi="宋体" w:cs="宋体"/>
          <w:sz w:val="24"/>
          <w:szCs w:val="28"/>
        </w:rPr>
      </w:pPr>
      <w:r>
        <w:rPr>
          <w:rFonts w:hint="eastAsia" w:ascii="宋体" w:hAnsi="宋体" w:cs="宋体"/>
          <w:sz w:val="24"/>
          <w:szCs w:val="28"/>
        </w:rPr>
        <w:t>7.1.2 施工组织设计的提交和修改</w:t>
      </w:r>
    </w:p>
    <w:p w14:paraId="2793DA9D">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69CC680D">
      <w:pPr>
        <w:spacing w:line="360" w:lineRule="auto"/>
        <w:ind w:firstLine="480" w:firstLineChars="200"/>
        <w:jc w:val="left"/>
        <w:rPr>
          <w:rFonts w:ascii="宋体" w:hAnsi="宋体" w:cs="宋体"/>
          <w:sz w:val="24"/>
          <w:szCs w:val="28"/>
        </w:rPr>
      </w:pPr>
      <w:r>
        <w:rPr>
          <w:rFonts w:hint="eastAsia" w:ascii="宋体" w:hAnsi="宋体" w:cs="宋体"/>
          <w:sz w:val="24"/>
          <w:szCs w:val="28"/>
        </w:rPr>
        <w:t>施工进度计划的编制和修改按照第7.2款〔施工进度计划〕执行。</w:t>
      </w:r>
    </w:p>
    <w:p w14:paraId="058A4629">
      <w:pPr>
        <w:spacing w:line="360" w:lineRule="auto"/>
        <w:ind w:firstLine="480" w:firstLineChars="200"/>
        <w:jc w:val="left"/>
        <w:rPr>
          <w:rFonts w:ascii="宋体" w:hAnsi="宋体" w:cs="宋体"/>
          <w:sz w:val="24"/>
          <w:szCs w:val="28"/>
        </w:rPr>
      </w:pPr>
      <w:r>
        <w:rPr>
          <w:rFonts w:hint="eastAsia" w:ascii="宋体" w:hAnsi="宋体" w:cs="宋体"/>
          <w:sz w:val="24"/>
          <w:szCs w:val="28"/>
        </w:rPr>
        <w:t>7.2 施工进度计划</w:t>
      </w:r>
    </w:p>
    <w:p w14:paraId="662D982C">
      <w:pPr>
        <w:spacing w:line="360" w:lineRule="auto"/>
        <w:ind w:firstLine="480" w:firstLineChars="200"/>
        <w:jc w:val="left"/>
        <w:rPr>
          <w:rFonts w:ascii="宋体" w:hAnsi="宋体" w:cs="宋体"/>
          <w:sz w:val="24"/>
          <w:szCs w:val="28"/>
        </w:rPr>
      </w:pPr>
      <w:r>
        <w:rPr>
          <w:rFonts w:hint="eastAsia" w:ascii="宋体" w:hAnsi="宋体" w:cs="宋体"/>
          <w:sz w:val="24"/>
          <w:szCs w:val="28"/>
        </w:rPr>
        <w:t>7.2.1 施工进度计划的编制</w:t>
      </w:r>
    </w:p>
    <w:p w14:paraId="05291DE2">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568750F6">
      <w:pPr>
        <w:spacing w:line="360" w:lineRule="auto"/>
        <w:ind w:firstLine="480" w:firstLineChars="200"/>
        <w:jc w:val="left"/>
        <w:rPr>
          <w:rFonts w:ascii="宋体" w:hAnsi="宋体" w:cs="宋体"/>
          <w:sz w:val="24"/>
          <w:szCs w:val="28"/>
        </w:rPr>
      </w:pPr>
      <w:r>
        <w:rPr>
          <w:rFonts w:hint="eastAsia" w:ascii="宋体" w:hAnsi="宋体" w:cs="宋体"/>
          <w:sz w:val="24"/>
          <w:szCs w:val="28"/>
        </w:rPr>
        <w:t>7.2.2 施工进度计划的修订</w:t>
      </w:r>
    </w:p>
    <w:p w14:paraId="48C1C6BB">
      <w:pPr>
        <w:spacing w:line="360" w:lineRule="auto"/>
        <w:ind w:firstLine="480" w:firstLineChars="200"/>
        <w:jc w:val="left"/>
        <w:rPr>
          <w:rFonts w:ascii="宋体" w:hAnsi="宋体" w:cs="宋体"/>
          <w:sz w:val="24"/>
          <w:szCs w:val="28"/>
        </w:rPr>
      </w:pPr>
      <w:r>
        <w:rPr>
          <w:rFonts w:hint="eastAsia" w:ascii="宋体" w:hAnsi="宋体" w:cs="宋体"/>
          <w:sz w:val="24"/>
          <w:szCs w:val="28"/>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609C5025">
      <w:pPr>
        <w:spacing w:line="360" w:lineRule="auto"/>
        <w:ind w:firstLine="480" w:firstLineChars="200"/>
        <w:jc w:val="left"/>
        <w:rPr>
          <w:rFonts w:ascii="宋体" w:hAnsi="宋体" w:cs="宋体"/>
          <w:sz w:val="24"/>
          <w:szCs w:val="28"/>
        </w:rPr>
      </w:pPr>
      <w:r>
        <w:rPr>
          <w:rFonts w:hint="eastAsia" w:ascii="宋体" w:hAnsi="宋体" w:cs="宋体"/>
          <w:sz w:val="24"/>
          <w:szCs w:val="28"/>
        </w:rPr>
        <w:t>7.3 开工</w:t>
      </w:r>
    </w:p>
    <w:p w14:paraId="0B41F8CB">
      <w:pPr>
        <w:spacing w:line="360" w:lineRule="auto"/>
        <w:ind w:firstLine="480" w:firstLineChars="200"/>
        <w:jc w:val="left"/>
        <w:rPr>
          <w:rFonts w:ascii="宋体" w:hAnsi="宋体" w:cs="宋体"/>
          <w:sz w:val="24"/>
          <w:szCs w:val="28"/>
        </w:rPr>
      </w:pPr>
      <w:r>
        <w:rPr>
          <w:rFonts w:hint="eastAsia" w:ascii="宋体" w:hAnsi="宋体" w:cs="宋体"/>
          <w:sz w:val="24"/>
          <w:szCs w:val="28"/>
        </w:rPr>
        <w:t>7.3.1 开工准备</w:t>
      </w:r>
    </w:p>
    <w:p w14:paraId="4E3642E4">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62ED1FE6">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除专用合同条款另有约定外，合同当事人应按约定完成开工准备工作。</w:t>
      </w:r>
    </w:p>
    <w:p w14:paraId="3481EFFC">
      <w:pPr>
        <w:spacing w:line="360" w:lineRule="auto"/>
        <w:ind w:firstLine="480" w:firstLineChars="200"/>
        <w:jc w:val="left"/>
        <w:rPr>
          <w:rFonts w:ascii="宋体" w:hAnsi="宋体" w:cs="宋体"/>
          <w:sz w:val="24"/>
          <w:szCs w:val="28"/>
        </w:rPr>
      </w:pPr>
      <w:r>
        <w:rPr>
          <w:rFonts w:hint="eastAsia" w:ascii="宋体" w:hAnsi="宋体" w:cs="宋体"/>
          <w:sz w:val="24"/>
          <w:szCs w:val="28"/>
        </w:rPr>
        <w:t>7.3.2 开工通知</w:t>
      </w:r>
    </w:p>
    <w:p w14:paraId="1F4398E1">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3E278D52">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08D08723">
      <w:pPr>
        <w:spacing w:line="360" w:lineRule="auto"/>
        <w:ind w:firstLine="480" w:firstLineChars="200"/>
        <w:jc w:val="left"/>
        <w:rPr>
          <w:rFonts w:ascii="宋体" w:hAnsi="宋体" w:cs="宋体"/>
          <w:sz w:val="24"/>
          <w:szCs w:val="28"/>
        </w:rPr>
      </w:pPr>
      <w:r>
        <w:rPr>
          <w:rFonts w:hint="eastAsia" w:ascii="宋体" w:hAnsi="宋体" w:cs="宋体"/>
          <w:sz w:val="24"/>
          <w:szCs w:val="28"/>
        </w:rPr>
        <w:t>7.4测量放线</w:t>
      </w:r>
    </w:p>
    <w:p w14:paraId="2EC4E717">
      <w:pPr>
        <w:spacing w:line="360" w:lineRule="auto"/>
        <w:ind w:firstLine="480" w:firstLineChars="200"/>
        <w:jc w:val="left"/>
        <w:rPr>
          <w:rFonts w:ascii="宋体" w:hAnsi="宋体" w:cs="宋体"/>
          <w:sz w:val="24"/>
          <w:szCs w:val="28"/>
        </w:rPr>
      </w:pPr>
      <w:r>
        <w:rPr>
          <w:rFonts w:hint="eastAsia" w:ascii="宋体" w:hAnsi="宋体" w:cs="宋体"/>
          <w:sz w:val="24"/>
          <w:szCs w:val="28"/>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5F641243">
      <w:pPr>
        <w:spacing w:line="360" w:lineRule="auto"/>
        <w:ind w:firstLine="480" w:firstLineChars="200"/>
        <w:jc w:val="left"/>
        <w:rPr>
          <w:rFonts w:ascii="宋体" w:hAnsi="宋体" w:cs="宋体"/>
          <w:sz w:val="24"/>
          <w:szCs w:val="28"/>
        </w:rPr>
      </w:pPr>
      <w:r>
        <w:rPr>
          <w:rFonts w:hint="eastAsia" w:ascii="宋体" w:hAnsi="宋体" w:cs="宋体"/>
          <w:sz w:val="24"/>
          <w:szCs w:val="28"/>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AFC5E75">
      <w:pPr>
        <w:spacing w:line="360" w:lineRule="auto"/>
        <w:ind w:firstLine="480" w:firstLineChars="200"/>
        <w:jc w:val="left"/>
        <w:rPr>
          <w:rFonts w:ascii="宋体" w:hAnsi="宋体" w:cs="宋体"/>
          <w:sz w:val="24"/>
          <w:szCs w:val="28"/>
        </w:rPr>
      </w:pPr>
      <w:r>
        <w:rPr>
          <w:rFonts w:hint="eastAsia" w:ascii="宋体" w:hAnsi="宋体" w:cs="宋体"/>
          <w:sz w:val="24"/>
          <w:szCs w:val="28"/>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32DE42E7">
      <w:pPr>
        <w:spacing w:line="360" w:lineRule="auto"/>
        <w:ind w:firstLine="480" w:firstLineChars="200"/>
        <w:jc w:val="left"/>
        <w:rPr>
          <w:rFonts w:ascii="宋体" w:hAnsi="宋体" w:cs="宋体"/>
          <w:sz w:val="24"/>
          <w:szCs w:val="28"/>
        </w:rPr>
      </w:pPr>
      <w:r>
        <w:rPr>
          <w:rFonts w:hint="eastAsia" w:ascii="宋体" w:hAnsi="宋体" w:cs="宋体"/>
          <w:sz w:val="24"/>
          <w:szCs w:val="28"/>
        </w:rPr>
        <w:t>施工过程中对施工现场内水准点等测量标志物的保护工作由承包人负责。</w:t>
      </w:r>
    </w:p>
    <w:p w14:paraId="7F06C361">
      <w:pPr>
        <w:spacing w:line="360" w:lineRule="auto"/>
        <w:ind w:firstLine="480" w:firstLineChars="200"/>
        <w:jc w:val="left"/>
        <w:rPr>
          <w:rFonts w:ascii="宋体" w:hAnsi="宋体" w:cs="宋体"/>
          <w:sz w:val="24"/>
          <w:szCs w:val="28"/>
        </w:rPr>
      </w:pPr>
      <w:r>
        <w:rPr>
          <w:rFonts w:hint="eastAsia" w:ascii="宋体" w:hAnsi="宋体" w:cs="宋体"/>
          <w:sz w:val="24"/>
          <w:szCs w:val="28"/>
        </w:rPr>
        <w:t>7.5 工期延误</w:t>
      </w:r>
    </w:p>
    <w:p w14:paraId="406AA2BE">
      <w:pPr>
        <w:spacing w:line="360" w:lineRule="auto"/>
        <w:ind w:firstLine="480" w:firstLineChars="200"/>
        <w:jc w:val="left"/>
        <w:rPr>
          <w:rFonts w:ascii="宋体" w:hAnsi="宋体" w:cs="宋体"/>
          <w:sz w:val="24"/>
          <w:szCs w:val="28"/>
        </w:rPr>
      </w:pPr>
      <w:r>
        <w:rPr>
          <w:rFonts w:hint="eastAsia" w:ascii="宋体" w:hAnsi="宋体" w:cs="宋体"/>
          <w:sz w:val="24"/>
          <w:szCs w:val="28"/>
        </w:rPr>
        <w:t>7.5.1 因发包人原因导致工期延误</w:t>
      </w:r>
    </w:p>
    <w:p w14:paraId="10687CD8">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在合同履行过程中，因下列情况导致工期延误和（或）费用增加的，由发包人承担由此延误的工期和（或）增加的费用，且发包人应支付承包人合理的利润： </w:t>
      </w:r>
    </w:p>
    <w:p w14:paraId="34D71211">
      <w:pPr>
        <w:spacing w:line="360" w:lineRule="auto"/>
        <w:ind w:firstLine="480" w:firstLineChars="200"/>
        <w:jc w:val="left"/>
        <w:rPr>
          <w:rFonts w:ascii="宋体" w:hAnsi="宋体" w:cs="宋体"/>
          <w:sz w:val="24"/>
          <w:szCs w:val="28"/>
        </w:rPr>
      </w:pPr>
      <w:r>
        <w:rPr>
          <w:rFonts w:hint="eastAsia" w:ascii="宋体" w:hAnsi="宋体" w:cs="宋体"/>
          <w:sz w:val="24"/>
          <w:szCs w:val="28"/>
        </w:rPr>
        <w:t>（1）发包人未能按合同约定提供图纸或所提供图纸不符合合同约定的；</w:t>
      </w:r>
    </w:p>
    <w:p w14:paraId="1E1C849D">
      <w:pPr>
        <w:spacing w:line="360" w:lineRule="auto"/>
        <w:ind w:firstLine="480" w:firstLineChars="200"/>
        <w:jc w:val="left"/>
        <w:rPr>
          <w:rFonts w:ascii="宋体" w:hAnsi="宋体" w:cs="宋体"/>
          <w:sz w:val="24"/>
          <w:szCs w:val="28"/>
        </w:rPr>
      </w:pPr>
      <w:r>
        <w:rPr>
          <w:rFonts w:hint="eastAsia" w:ascii="宋体" w:hAnsi="宋体" w:cs="宋体"/>
          <w:sz w:val="24"/>
          <w:szCs w:val="28"/>
        </w:rPr>
        <w:t>（2）发包人未能按合同约定提供施工现场、施工条件、基础资料、许可、批准等开工条件的；</w:t>
      </w:r>
    </w:p>
    <w:p w14:paraId="13D9A24C">
      <w:pPr>
        <w:spacing w:line="360" w:lineRule="auto"/>
        <w:ind w:firstLine="480" w:firstLineChars="200"/>
        <w:jc w:val="left"/>
        <w:rPr>
          <w:rFonts w:ascii="宋体" w:hAnsi="宋体" w:cs="宋体"/>
          <w:sz w:val="24"/>
          <w:szCs w:val="28"/>
        </w:rPr>
      </w:pPr>
      <w:r>
        <w:rPr>
          <w:rFonts w:hint="eastAsia" w:ascii="宋体" w:hAnsi="宋体" w:cs="宋体"/>
          <w:sz w:val="24"/>
          <w:szCs w:val="28"/>
        </w:rPr>
        <w:t>（3）发包人提供的测量基准点、基准线和水准点及其书面资料存在错误或疏漏的；</w:t>
      </w:r>
    </w:p>
    <w:p w14:paraId="0ADC1663">
      <w:pPr>
        <w:spacing w:line="360" w:lineRule="auto"/>
        <w:ind w:firstLine="480" w:firstLineChars="200"/>
        <w:jc w:val="left"/>
        <w:rPr>
          <w:rFonts w:ascii="宋体" w:hAnsi="宋体" w:cs="宋体"/>
          <w:sz w:val="24"/>
          <w:szCs w:val="28"/>
        </w:rPr>
      </w:pPr>
      <w:r>
        <w:rPr>
          <w:rFonts w:hint="eastAsia" w:ascii="宋体" w:hAnsi="宋体" w:cs="宋体"/>
          <w:sz w:val="24"/>
          <w:szCs w:val="28"/>
        </w:rPr>
        <w:t>（4）发包人未能在计划开工日期之日起7天内同意下达开工通知的；</w:t>
      </w:r>
    </w:p>
    <w:p w14:paraId="3511F688">
      <w:pPr>
        <w:spacing w:line="360" w:lineRule="auto"/>
        <w:ind w:firstLine="480" w:firstLineChars="200"/>
        <w:jc w:val="left"/>
        <w:rPr>
          <w:rFonts w:ascii="宋体" w:hAnsi="宋体" w:cs="宋体"/>
          <w:sz w:val="24"/>
          <w:szCs w:val="28"/>
        </w:rPr>
      </w:pPr>
      <w:r>
        <w:rPr>
          <w:rFonts w:hint="eastAsia" w:ascii="宋体" w:hAnsi="宋体" w:cs="宋体"/>
          <w:sz w:val="24"/>
          <w:szCs w:val="28"/>
        </w:rPr>
        <w:t>（5）发包人未能按合同约定日期支付工程预付款、进度款或竣工结算款的；</w:t>
      </w:r>
    </w:p>
    <w:p w14:paraId="4496F631">
      <w:pPr>
        <w:spacing w:line="360" w:lineRule="auto"/>
        <w:ind w:firstLine="480" w:firstLineChars="200"/>
        <w:jc w:val="left"/>
        <w:rPr>
          <w:rFonts w:ascii="宋体" w:hAnsi="宋体" w:cs="宋体"/>
          <w:sz w:val="24"/>
          <w:szCs w:val="28"/>
        </w:rPr>
      </w:pPr>
      <w:r>
        <w:rPr>
          <w:rFonts w:hint="eastAsia" w:ascii="宋体" w:hAnsi="宋体" w:cs="宋体"/>
          <w:sz w:val="24"/>
          <w:szCs w:val="28"/>
        </w:rPr>
        <w:t>（6）监理人未按合同约定发出指示、批准等文件的；</w:t>
      </w:r>
    </w:p>
    <w:p w14:paraId="5ECA932E">
      <w:pPr>
        <w:spacing w:line="360" w:lineRule="auto"/>
        <w:ind w:firstLine="480" w:firstLineChars="200"/>
        <w:jc w:val="left"/>
        <w:rPr>
          <w:rFonts w:ascii="宋体" w:hAnsi="宋体" w:cs="宋体"/>
          <w:sz w:val="24"/>
          <w:szCs w:val="28"/>
        </w:rPr>
      </w:pPr>
      <w:r>
        <w:rPr>
          <w:rFonts w:hint="eastAsia" w:ascii="宋体" w:hAnsi="宋体" w:cs="宋体"/>
          <w:sz w:val="24"/>
          <w:szCs w:val="28"/>
        </w:rPr>
        <w:t>（7）专用合同条款中约定的其他情形。</w:t>
      </w:r>
    </w:p>
    <w:p w14:paraId="72EF5372">
      <w:pPr>
        <w:spacing w:line="360" w:lineRule="auto"/>
        <w:ind w:firstLine="480" w:firstLineChars="200"/>
        <w:jc w:val="left"/>
        <w:rPr>
          <w:rFonts w:ascii="宋体" w:hAnsi="宋体" w:cs="宋体"/>
          <w:sz w:val="24"/>
          <w:szCs w:val="28"/>
        </w:rPr>
      </w:pPr>
      <w:r>
        <w:rPr>
          <w:rFonts w:hint="eastAsia" w:ascii="宋体" w:hAnsi="宋体" w:cs="宋体"/>
          <w:sz w:val="24"/>
          <w:szCs w:val="28"/>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2D86CFCE">
      <w:pPr>
        <w:spacing w:line="360" w:lineRule="auto"/>
        <w:ind w:firstLine="480" w:firstLineChars="200"/>
        <w:jc w:val="left"/>
        <w:rPr>
          <w:rFonts w:ascii="宋体" w:hAnsi="宋体" w:cs="宋体"/>
          <w:sz w:val="24"/>
          <w:szCs w:val="28"/>
        </w:rPr>
      </w:pPr>
      <w:r>
        <w:rPr>
          <w:rFonts w:hint="eastAsia" w:ascii="宋体" w:hAnsi="宋体" w:cs="宋体"/>
          <w:sz w:val="24"/>
          <w:szCs w:val="28"/>
        </w:rPr>
        <w:t>7.5.2 因承包人原因导致工期延误</w:t>
      </w:r>
    </w:p>
    <w:p w14:paraId="25BC151A">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因承包人原因造成工期延误的，可以在专用合同条款中约定逾期竣工违约金的计算方法和逾期竣工违约金的上限。承包人支付逾期竣工违约金后，不免除承包人继续完成工程及修补缺陷的义务。</w:t>
      </w:r>
    </w:p>
    <w:p w14:paraId="166CBE7F">
      <w:pPr>
        <w:spacing w:line="360" w:lineRule="auto"/>
        <w:ind w:firstLine="480" w:firstLineChars="200"/>
        <w:jc w:val="left"/>
        <w:rPr>
          <w:rFonts w:ascii="宋体" w:hAnsi="宋体" w:cs="宋体"/>
          <w:sz w:val="24"/>
          <w:szCs w:val="28"/>
        </w:rPr>
      </w:pPr>
      <w:r>
        <w:rPr>
          <w:rFonts w:hint="eastAsia" w:ascii="宋体" w:hAnsi="宋体" w:cs="宋体"/>
          <w:sz w:val="24"/>
          <w:szCs w:val="28"/>
        </w:rPr>
        <w:t>7.6 不利物质条件</w:t>
      </w:r>
    </w:p>
    <w:p w14:paraId="0FCED1BE">
      <w:pPr>
        <w:spacing w:line="360" w:lineRule="auto"/>
        <w:ind w:firstLine="480" w:firstLineChars="200"/>
        <w:jc w:val="left"/>
        <w:rPr>
          <w:rFonts w:ascii="宋体" w:hAnsi="宋体" w:cs="宋体"/>
          <w:sz w:val="24"/>
          <w:szCs w:val="28"/>
        </w:rPr>
      </w:pPr>
      <w:r>
        <w:rPr>
          <w:rFonts w:hint="eastAsia" w:ascii="宋体" w:hAnsi="宋体" w:cs="宋体"/>
          <w:sz w:val="24"/>
          <w:szCs w:val="28"/>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7940AF3A">
      <w:pPr>
        <w:spacing w:line="360" w:lineRule="auto"/>
        <w:ind w:firstLine="480" w:firstLineChars="200"/>
        <w:jc w:val="left"/>
        <w:rPr>
          <w:rFonts w:ascii="宋体" w:hAnsi="宋体" w:cs="宋体"/>
          <w:sz w:val="24"/>
          <w:szCs w:val="28"/>
        </w:rPr>
      </w:pPr>
      <w:r>
        <w:rPr>
          <w:rFonts w:hint="eastAsia" w:ascii="宋体" w:hAnsi="宋体" w:cs="宋体"/>
          <w:sz w:val="24"/>
          <w:szCs w:val="28"/>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5068E020">
      <w:pPr>
        <w:spacing w:line="360" w:lineRule="auto"/>
        <w:ind w:firstLine="480" w:firstLineChars="200"/>
        <w:jc w:val="left"/>
        <w:rPr>
          <w:rFonts w:ascii="宋体" w:hAnsi="宋体" w:cs="宋体"/>
          <w:sz w:val="24"/>
          <w:szCs w:val="28"/>
        </w:rPr>
      </w:pPr>
      <w:r>
        <w:rPr>
          <w:rFonts w:hint="eastAsia" w:ascii="宋体" w:hAnsi="宋体" w:cs="宋体"/>
          <w:sz w:val="24"/>
          <w:szCs w:val="28"/>
        </w:rPr>
        <w:t>7.7 异常恶劣的气候条件</w:t>
      </w:r>
    </w:p>
    <w:p w14:paraId="27CEC93B">
      <w:pPr>
        <w:spacing w:line="360" w:lineRule="auto"/>
        <w:ind w:firstLine="480" w:firstLineChars="200"/>
        <w:jc w:val="left"/>
        <w:rPr>
          <w:rFonts w:ascii="宋体" w:hAnsi="宋体" w:cs="宋体"/>
          <w:sz w:val="24"/>
          <w:szCs w:val="28"/>
        </w:rPr>
      </w:pPr>
      <w:r>
        <w:rPr>
          <w:rFonts w:hint="eastAsia" w:ascii="宋体" w:hAnsi="宋体" w:cs="宋体"/>
          <w:sz w:val="24"/>
          <w:szCs w:val="28"/>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6E6A3C36">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0D0DCE13">
      <w:pPr>
        <w:spacing w:line="360" w:lineRule="auto"/>
        <w:ind w:firstLine="480" w:firstLineChars="200"/>
        <w:jc w:val="left"/>
        <w:rPr>
          <w:rFonts w:ascii="宋体" w:hAnsi="宋体" w:cs="宋体"/>
          <w:sz w:val="24"/>
          <w:szCs w:val="28"/>
        </w:rPr>
      </w:pPr>
      <w:r>
        <w:rPr>
          <w:rFonts w:hint="eastAsia" w:ascii="宋体" w:hAnsi="宋体" w:cs="宋体"/>
          <w:sz w:val="24"/>
          <w:szCs w:val="28"/>
        </w:rPr>
        <w:t>7.8 暂停施工</w:t>
      </w:r>
    </w:p>
    <w:p w14:paraId="0AB6A674">
      <w:pPr>
        <w:spacing w:line="360" w:lineRule="auto"/>
        <w:ind w:firstLine="480" w:firstLineChars="200"/>
        <w:jc w:val="left"/>
        <w:rPr>
          <w:rFonts w:ascii="宋体" w:hAnsi="宋体" w:cs="宋体"/>
          <w:sz w:val="24"/>
          <w:szCs w:val="28"/>
        </w:rPr>
      </w:pPr>
      <w:r>
        <w:rPr>
          <w:rFonts w:hint="eastAsia" w:ascii="宋体" w:hAnsi="宋体" w:cs="宋体"/>
          <w:sz w:val="24"/>
          <w:szCs w:val="28"/>
        </w:rPr>
        <w:t>7.8.1发包人原因引起的暂停施工</w:t>
      </w:r>
    </w:p>
    <w:p w14:paraId="3355D6C4">
      <w:pPr>
        <w:spacing w:line="360" w:lineRule="auto"/>
        <w:ind w:firstLine="480" w:firstLineChars="200"/>
        <w:jc w:val="left"/>
        <w:rPr>
          <w:rFonts w:ascii="宋体" w:hAnsi="宋体" w:cs="宋体"/>
          <w:sz w:val="24"/>
          <w:szCs w:val="28"/>
        </w:rPr>
      </w:pPr>
      <w:r>
        <w:rPr>
          <w:rFonts w:hint="eastAsia" w:ascii="宋体" w:hAnsi="宋体" w:cs="宋体"/>
          <w:sz w:val="24"/>
          <w:szCs w:val="28"/>
        </w:rPr>
        <w:t>因发包人原因引起暂停施工的，监理人经发包人同意后，应及时下达暂停施工指示。情况紧急且监理人未及时下达暂停施工指示的，按照第7.8.4项〔紧急情况下的暂停施工〕执行。</w:t>
      </w:r>
    </w:p>
    <w:p w14:paraId="1D773F00">
      <w:pPr>
        <w:spacing w:line="360" w:lineRule="auto"/>
        <w:ind w:firstLine="480" w:firstLineChars="200"/>
        <w:jc w:val="left"/>
        <w:rPr>
          <w:rFonts w:ascii="宋体" w:hAnsi="宋体" w:cs="宋体"/>
          <w:sz w:val="24"/>
          <w:szCs w:val="28"/>
        </w:rPr>
      </w:pPr>
      <w:r>
        <w:rPr>
          <w:rFonts w:hint="eastAsia" w:ascii="宋体" w:hAnsi="宋体" w:cs="宋体"/>
          <w:sz w:val="24"/>
          <w:szCs w:val="28"/>
        </w:rPr>
        <w:t>因发包人原因引起的暂停施工，发包人应承担由此增加的费用和（或）延误的工期，并支付承包人合理的利润。</w:t>
      </w:r>
    </w:p>
    <w:p w14:paraId="79CFD62F">
      <w:pPr>
        <w:spacing w:line="360" w:lineRule="auto"/>
        <w:ind w:firstLine="480" w:firstLineChars="200"/>
        <w:jc w:val="left"/>
        <w:rPr>
          <w:rFonts w:ascii="宋体" w:hAnsi="宋体" w:cs="宋体"/>
          <w:sz w:val="24"/>
          <w:szCs w:val="28"/>
        </w:rPr>
      </w:pPr>
      <w:r>
        <w:rPr>
          <w:rFonts w:hint="eastAsia" w:ascii="宋体" w:hAnsi="宋体" w:cs="宋体"/>
          <w:sz w:val="24"/>
          <w:szCs w:val="28"/>
        </w:rPr>
        <w:t>7.8.2 承包人原因引起的暂停施工</w:t>
      </w:r>
    </w:p>
    <w:p w14:paraId="2EADB645">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73809DE8">
      <w:pPr>
        <w:spacing w:line="360" w:lineRule="auto"/>
        <w:ind w:firstLine="480" w:firstLineChars="200"/>
        <w:jc w:val="left"/>
        <w:rPr>
          <w:rFonts w:ascii="宋体" w:hAnsi="宋体" w:cs="宋体"/>
          <w:sz w:val="24"/>
          <w:szCs w:val="28"/>
        </w:rPr>
      </w:pPr>
      <w:r>
        <w:rPr>
          <w:rFonts w:hint="eastAsia" w:ascii="宋体" w:hAnsi="宋体" w:cs="宋体"/>
          <w:sz w:val="24"/>
          <w:szCs w:val="28"/>
        </w:rPr>
        <w:t>7.8.3 指示暂停施工</w:t>
      </w:r>
    </w:p>
    <w:p w14:paraId="43898E78">
      <w:pPr>
        <w:spacing w:line="360" w:lineRule="auto"/>
        <w:ind w:firstLine="480" w:firstLineChars="200"/>
        <w:jc w:val="left"/>
        <w:rPr>
          <w:rFonts w:ascii="宋体" w:hAnsi="宋体" w:cs="宋体"/>
          <w:sz w:val="24"/>
          <w:szCs w:val="28"/>
        </w:rPr>
      </w:pPr>
      <w:r>
        <w:rPr>
          <w:rFonts w:hint="eastAsia" w:ascii="宋体" w:hAnsi="宋体" w:cs="宋体"/>
          <w:sz w:val="24"/>
          <w:szCs w:val="28"/>
        </w:rPr>
        <w:t>监理人认为有必要时，并经发包人批准后，可向承包人作出暂停施工的指示，承包人应按监理人指示暂停施工。</w:t>
      </w:r>
    </w:p>
    <w:p w14:paraId="6F04A86C">
      <w:pPr>
        <w:spacing w:line="360" w:lineRule="auto"/>
        <w:ind w:firstLine="480" w:firstLineChars="200"/>
        <w:jc w:val="left"/>
        <w:rPr>
          <w:rFonts w:ascii="宋体" w:hAnsi="宋体" w:cs="宋体"/>
          <w:sz w:val="24"/>
          <w:szCs w:val="28"/>
        </w:rPr>
      </w:pPr>
      <w:r>
        <w:rPr>
          <w:rFonts w:hint="eastAsia" w:ascii="宋体" w:hAnsi="宋体" w:cs="宋体"/>
          <w:sz w:val="24"/>
          <w:szCs w:val="28"/>
        </w:rPr>
        <w:t>7.8.4 紧急情况下的暂停施工</w:t>
      </w:r>
    </w:p>
    <w:p w14:paraId="00AA214B">
      <w:pPr>
        <w:spacing w:line="360" w:lineRule="auto"/>
        <w:ind w:firstLine="480" w:firstLineChars="200"/>
        <w:jc w:val="left"/>
        <w:rPr>
          <w:rFonts w:ascii="宋体" w:hAnsi="宋体" w:cs="宋体"/>
          <w:sz w:val="24"/>
          <w:szCs w:val="28"/>
        </w:rPr>
      </w:pPr>
      <w:r>
        <w:rPr>
          <w:rFonts w:hint="eastAsia" w:ascii="宋体" w:hAnsi="宋体" w:cs="宋体"/>
          <w:sz w:val="24"/>
          <w:szCs w:val="28"/>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783A99A6">
      <w:pPr>
        <w:spacing w:line="360" w:lineRule="auto"/>
        <w:ind w:firstLine="480" w:firstLineChars="200"/>
        <w:jc w:val="left"/>
        <w:rPr>
          <w:rFonts w:ascii="宋体" w:hAnsi="宋体" w:cs="宋体"/>
          <w:sz w:val="24"/>
          <w:szCs w:val="28"/>
        </w:rPr>
      </w:pPr>
      <w:r>
        <w:rPr>
          <w:rFonts w:hint="eastAsia" w:ascii="宋体" w:hAnsi="宋体" w:cs="宋体"/>
          <w:sz w:val="24"/>
          <w:szCs w:val="28"/>
        </w:rPr>
        <w:t>7.8.5 暂停施工后的复工</w:t>
      </w:r>
    </w:p>
    <w:p w14:paraId="52DE1886">
      <w:pPr>
        <w:spacing w:line="360" w:lineRule="auto"/>
        <w:ind w:firstLine="480" w:firstLineChars="200"/>
        <w:jc w:val="left"/>
        <w:rPr>
          <w:rFonts w:ascii="宋体" w:hAnsi="宋体" w:cs="宋体"/>
          <w:sz w:val="24"/>
          <w:szCs w:val="28"/>
        </w:rPr>
      </w:pPr>
      <w:r>
        <w:rPr>
          <w:rFonts w:hint="eastAsia" w:ascii="宋体" w:hAnsi="宋体" w:cs="宋体"/>
          <w:sz w:val="24"/>
          <w:szCs w:val="28"/>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0FDC91C3">
      <w:pPr>
        <w:spacing w:line="360" w:lineRule="auto"/>
        <w:ind w:firstLine="480" w:firstLineChars="200"/>
        <w:jc w:val="left"/>
        <w:rPr>
          <w:rFonts w:ascii="宋体" w:hAnsi="宋体" w:cs="宋体"/>
          <w:sz w:val="24"/>
          <w:szCs w:val="28"/>
        </w:rPr>
      </w:pPr>
      <w:r>
        <w:rPr>
          <w:rFonts w:hint="eastAsia" w:ascii="宋体" w:hAnsi="宋体" w:cs="宋体"/>
          <w:sz w:val="24"/>
          <w:szCs w:val="28"/>
        </w:rPr>
        <w:t>承包人无故拖延和拒绝复工的，承包人承担由此增加的费用和（或）延误的工期；因发包人原因无法按时复工的，按照第7.5.1项〔因发包人原因导致工期延误〕约定办理。</w:t>
      </w:r>
    </w:p>
    <w:p w14:paraId="4312633F">
      <w:pPr>
        <w:spacing w:line="360" w:lineRule="auto"/>
        <w:ind w:firstLine="480" w:firstLineChars="200"/>
        <w:jc w:val="left"/>
        <w:rPr>
          <w:rFonts w:ascii="宋体" w:hAnsi="宋体" w:cs="宋体"/>
          <w:sz w:val="24"/>
          <w:szCs w:val="28"/>
        </w:rPr>
      </w:pPr>
      <w:r>
        <w:rPr>
          <w:rFonts w:hint="eastAsia" w:ascii="宋体" w:hAnsi="宋体" w:cs="宋体"/>
          <w:sz w:val="24"/>
          <w:szCs w:val="28"/>
        </w:rPr>
        <w:t>7.8.6 暂停施工持续56天以上</w:t>
      </w:r>
    </w:p>
    <w:p w14:paraId="4D18256B">
      <w:pPr>
        <w:spacing w:line="360" w:lineRule="auto"/>
        <w:ind w:firstLine="480" w:firstLineChars="200"/>
        <w:jc w:val="left"/>
        <w:rPr>
          <w:rFonts w:ascii="宋体" w:hAnsi="宋体" w:cs="宋体"/>
          <w:sz w:val="24"/>
          <w:szCs w:val="28"/>
        </w:rPr>
      </w:pPr>
      <w:r>
        <w:rPr>
          <w:rFonts w:hint="eastAsia" w:ascii="宋体" w:hAnsi="宋体" w:cs="宋体"/>
          <w:sz w:val="24"/>
          <w:szCs w:val="28"/>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555FDB0F">
      <w:pPr>
        <w:spacing w:line="360" w:lineRule="auto"/>
        <w:ind w:firstLine="480" w:firstLineChars="200"/>
        <w:jc w:val="left"/>
        <w:rPr>
          <w:rFonts w:ascii="宋体" w:hAnsi="宋体" w:cs="宋体"/>
          <w:sz w:val="24"/>
          <w:szCs w:val="28"/>
        </w:rPr>
      </w:pPr>
      <w:r>
        <w:rPr>
          <w:rFonts w:hint="eastAsia" w:ascii="宋体" w:hAnsi="宋体" w:cs="宋体"/>
          <w:sz w:val="24"/>
          <w:szCs w:val="28"/>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37AB4702">
      <w:pPr>
        <w:spacing w:line="360" w:lineRule="auto"/>
        <w:ind w:firstLine="480" w:firstLineChars="200"/>
        <w:jc w:val="left"/>
        <w:rPr>
          <w:rFonts w:ascii="宋体" w:hAnsi="宋体" w:cs="宋体"/>
          <w:sz w:val="24"/>
          <w:szCs w:val="28"/>
        </w:rPr>
      </w:pPr>
      <w:r>
        <w:rPr>
          <w:rFonts w:hint="eastAsia" w:ascii="宋体" w:hAnsi="宋体" w:cs="宋体"/>
          <w:sz w:val="24"/>
          <w:szCs w:val="28"/>
        </w:rPr>
        <w:t>7.8.7 暂停施工期间的工程照管</w:t>
      </w:r>
    </w:p>
    <w:p w14:paraId="1547FBD8">
      <w:pPr>
        <w:spacing w:line="360" w:lineRule="auto"/>
        <w:ind w:firstLine="480" w:firstLineChars="200"/>
        <w:jc w:val="left"/>
        <w:rPr>
          <w:rFonts w:ascii="宋体" w:hAnsi="宋体" w:cs="宋体"/>
          <w:sz w:val="24"/>
          <w:szCs w:val="28"/>
        </w:rPr>
      </w:pPr>
      <w:r>
        <w:rPr>
          <w:rFonts w:hint="eastAsia" w:ascii="宋体" w:hAnsi="宋体" w:cs="宋体"/>
          <w:sz w:val="24"/>
          <w:szCs w:val="28"/>
        </w:rPr>
        <w:t>暂停施工期间，承包人应负责妥善照管工程并提供安全保障，由此增加的费用由责任方承担。</w:t>
      </w:r>
    </w:p>
    <w:p w14:paraId="27C23832">
      <w:pPr>
        <w:spacing w:line="360" w:lineRule="auto"/>
        <w:ind w:firstLine="480" w:firstLineChars="200"/>
        <w:jc w:val="left"/>
        <w:rPr>
          <w:rFonts w:ascii="宋体" w:hAnsi="宋体" w:cs="宋体"/>
          <w:sz w:val="24"/>
          <w:szCs w:val="28"/>
        </w:rPr>
      </w:pPr>
      <w:r>
        <w:rPr>
          <w:rFonts w:hint="eastAsia" w:ascii="宋体" w:hAnsi="宋体" w:cs="宋体"/>
          <w:sz w:val="24"/>
          <w:szCs w:val="28"/>
        </w:rPr>
        <w:t>7.8.8 暂停施工的措施</w:t>
      </w:r>
    </w:p>
    <w:p w14:paraId="62196DAC">
      <w:pPr>
        <w:spacing w:line="360" w:lineRule="auto"/>
        <w:ind w:firstLine="480" w:firstLineChars="200"/>
        <w:jc w:val="left"/>
        <w:rPr>
          <w:rFonts w:ascii="宋体" w:hAnsi="宋体" w:cs="宋体"/>
          <w:sz w:val="24"/>
          <w:szCs w:val="28"/>
        </w:rPr>
      </w:pPr>
      <w:r>
        <w:rPr>
          <w:rFonts w:hint="eastAsia" w:ascii="宋体" w:hAnsi="宋体" w:cs="宋体"/>
          <w:sz w:val="24"/>
          <w:szCs w:val="28"/>
        </w:rPr>
        <w:t>暂停施工期间，发包人和承包人均应采取必要的措施确保工程质量及安全，防止因暂停施工扩大损失。</w:t>
      </w:r>
    </w:p>
    <w:p w14:paraId="359A8683">
      <w:pPr>
        <w:spacing w:line="360" w:lineRule="auto"/>
        <w:ind w:firstLine="480" w:firstLineChars="200"/>
        <w:jc w:val="left"/>
        <w:rPr>
          <w:rFonts w:ascii="宋体" w:hAnsi="宋体" w:cs="宋体"/>
          <w:sz w:val="24"/>
          <w:szCs w:val="28"/>
        </w:rPr>
      </w:pPr>
      <w:r>
        <w:rPr>
          <w:rFonts w:hint="eastAsia" w:ascii="宋体" w:hAnsi="宋体" w:cs="宋体"/>
          <w:sz w:val="24"/>
          <w:szCs w:val="28"/>
        </w:rPr>
        <w:t>7.9提前竣工</w:t>
      </w:r>
    </w:p>
    <w:p w14:paraId="4DF88246">
      <w:pPr>
        <w:spacing w:line="360" w:lineRule="auto"/>
        <w:ind w:firstLine="480" w:firstLineChars="200"/>
        <w:jc w:val="left"/>
        <w:rPr>
          <w:rFonts w:ascii="宋体" w:hAnsi="宋体" w:cs="宋体"/>
          <w:sz w:val="24"/>
          <w:szCs w:val="28"/>
        </w:rPr>
      </w:pPr>
      <w:r>
        <w:rPr>
          <w:rFonts w:hint="eastAsia" w:ascii="宋体" w:hAnsi="宋体" w:cs="宋体"/>
          <w:sz w:val="24"/>
          <w:szCs w:val="28"/>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7A5ECA85">
      <w:pPr>
        <w:spacing w:line="360" w:lineRule="auto"/>
        <w:ind w:firstLine="480" w:firstLineChars="200"/>
        <w:jc w:val="left"/>
        <w:rPr>
          <w:rFonts w:ascii="宋体" w:hAnsi="宋体" w:cs="宋体"/>
          <w:sz w:val="24"/>
          <w:szCs w:val="28"/>
        </w:rPr>
      </w:pPr>
      <w:r>
        <w:rPr>
          <w:rFonts w:hint="eastAsia" w:ascii="宋体" w:hAnsi="宋体" w:cs="宋体"/>
          <w:sz w:val="24"/>
          <w:szCs w:val="28"/>
        </w:rPr>
        <w:t>7.9.2 发包人要求承包人提前竣工，或承包人提出提前竣工的建议能够给发包人带来效益的，合同当事人可以在专用合同条款中约定提前竣工的奖励。</w:t>
      </w:r>
    </w:p>
    <w:p w14:paraId="7D08212B">
      <w:pPr>
        <w:spacing w:line="360" w:lineRule="auto"/>
        <w:ind w:firstLine="480" w:firstLineChars="200"/>
        <w:jc w:val="left"/>
        <w:rPr>
          <w:rFonts w:ascii="宋体" w:hAnsi="宋体" w:cs="宋体"/>
          <w:sz w:val="24"/>
          <w:szCs w:val="28"/>
        </w:rPr>
      </w:pPr>
      <w:r>
        <w:rPr>
          <w:rFonts w:hint="eastAsia" w:ascii="宋体" w:hAnsi="宋体" w:cs="宋体"/>
          <w:sz w:val="24"/>
          <w:szCs w:val="28"/>
        </w:rPr>
        <w:t>8. 材料与设备</w:t>
      </w:r>
    </w:p>
    <w:p w14:paraId="5367C926">
      <w:pPr>
        <w:spacing w:line="360" w:lineRule="auto"/>
        <w:ind w:firstLine="480" w:firstLineChars="200"/>
        <w:jc w:val="left"/>
        <w:rPr>
          <w:rFonts w:ascii="宋体" w:hAnsi="宋体" w:cs="宋体"/>
          <w:sz w:val="24"/>
          <w:szCs w:val="28"/>
        </w:rPr>
      </w:pPr>
      <w:r>
        <w:rPr>
          <w:rFonts w:hint="eastAsia" w:ascii="宋体" w:hAnsi="宋体" w:cs="宋体"/>
          <w:sz w:val="24"/>
          <w:szCs w:val="28"/>
        </w:rPr>
        <w:t>8.1发包人供应材料与工程设备</w:t>
      </w:r>
    </w:p>
    <w:p w14:paraId="7016B7B0">
      <w:pPr>
        <w:spacing w:line="360" w:lineRule="auto"/>
        <w:ind w:firstLine="480" w:firstLineChars="200"/>
        <w:jc w:val="left"/>
        <w:rPr>
          <w:rFonts w:ascii="宋体" w:hAnsi="宋体" w:cs="宋体"/>
          <w:sz w:val="24"/>
          <w:szCs w:val="28"/>
        </w:rPr>
      </w:pPr>
      <w:r>
        <w:rPr>
          <w:rFonts w:hint="eastAsia" w:ascii="宋体" w:hAnsi="宋体" w:cs="宋体"/>
          <w:sz w:val="24"/>
          <w:szCs w:val="28"/>
        </w:rPr>
        <w:t>发包人自行供应材料、工程设备的，应在签订合同时在专用合同条款的附件《发包人供应材料设备一览表》中明确材料、工程设备的品种、规格、型号、数量、单价、质量等级和送达地点。</w:t>
      </w:r>
    </w:p>
    <w:p w14:paraId="6E8604AB">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29D002A7">
      <w:pPr>
        <w:spacing w:line="360" w:lineRule="auto"/>
        <w:ind w:firstLine="480" w:firstLineChars="200"/>
        <w:jc w:val="left"/>
        <w:rPr>
          <w:rFonts w:ascii="宋体" w:hAnsi="宋体" w:cs="宋体"/>
          <w:sz w:val="24"/>
          <w:szCs w:val="28"/>
        </w:rPr>
      </w:pPr>
      <w:r>
        <w:rPr>
          <w:rFonts w:hint="eastAsia" w:ascii="宋体" w:hAnsi="宋体" w:cs="宋体"/>
          <w:sz w:val="24"/>
          <w:szCs w:val="28"/>
        </w:rPr>
        <w:t>8.2承包人采购材料与工程设备</w:t>
      </w:r>
    </w:p>
    <w:p w14:paraId="79A8C540">
      <w:pPr>
        <w:spacing w:line="360" w:lineRule="auto"/>
        <w:ind w:firstLine="480" w:firstLineChars="200"/>
        <w:jc w:val="left"/>
        <w:rPr>
          <w:rFonts w:ascii="宋体" w:hAnsi="宋体" w:cs="宋体"/>
          <w:sz w:val="24"/>
          <w:szCs w:val="28"/>
        </w:rPr>
      </w:pPr>
      <w:r>
        <w:rPr>
          <w:rFonts w:hint="eastAsia" w:ascii="宋体" w:hAnsi="宋体" w:cs="宋体"/>
          <w:sz w:val="24"/>
          <w:szCs w:val="28"/>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47E859E2">
      <w:pPr>
        <w:spacing w:line="360" w:lineRule="auto"/>
        <w:ind w:firstLine="480" w:firstLineChars="200"/>
        <w:jc w:val="left"/>
        <w:rPr>
          <w:rFonts w:ascii="宋体" w:hAnsi="宋体" w:cs="宋体"/>
          <w:sz w:val="24"/>
          <w:szCs w:val="28"/>
        </w:rPr>
      </w:pPr>
      <w:r>
        <w:rPr>
          <w:rFonts w:hint="eastAsia" w:ascii="宋体" w:hAnsi="宋体" w:cs="宋体"/>
          <w:sz w:val="24"/>
          <w:szCs w:val="28"/>
        </w:rPr>
        <w:t>8.3材料与工程设备的接收与拒收</w:t>
      </w:r>
    </w:p>
    <w:p w14:paraId="11BB1041">
      <w:pPr>
        <w:spacing w:line="360" w:lineRule="auto"/>
        <w:ind w:firstLine="480" w:firstLineChars="200"/>
        <w:jc w:val="left"/>
        <w:rPr>
          <w:rFonts w:ascii="宋体" w:hAnsi="宋体" w:cs="宋体"/>
          <w:sz w:val="24"/>
          <w:szCs w:val="28"/>
        </w:rPr>
      </w:pPr>
      <w:r>
        <w:rPr>
          <w:rFonts w:hint="eastAsia" w:ascii="宋体" w:hAnsi="宋体" w:cs="宋体"/>
          <w:sz w:val="24"/>
          <w:szCs w:val="28"/>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51383D73">
      <w:pPr>
        <w:spacing w:line="360" w:lineRule="auto"/>
        <w:ind w:firstLine="480" w:firstLineChars="200"/>
        <w:jc w:val="left"/>
        <w:rPr>
          <w:rFonts w:ascii="宋体" w:hAnsi="宋体" w:cs="宋体"/>
          <w:sz w:val="24"/>
          <w:szCs w:val="28"/>
        </w:rPr>
      </w:pPr>
      <w:r>
        <w:rPr>
          <w:rFonts w:hint="eastAsia" w:ascii="宋体" w:hAnsi="宋体" w:cs="宋体"/>
          <w:sz w:val="24"/>
          <w:szCs w:val="28"/>
        </w:rPr>
        <w:t>发包人提供的材料和工程设备的规格、数量或质量不符合合同约定的，或因发包人原因导致交货日期延误或交货地点变更等情况的，按照第16.1款〔发包人违约〕约定办理。</w:t>
      </w:r>
    </w:p>
    <w:p w14:paraId="766D2279">
      <w:pPr>
        <w:spacing w:line="360" w:lineRule="auto"/>
        <w:ind w:firstLine="480" w:firstLineChars="200"/>
        <w:jc w:val="left"/>
        <w:rPr>
          <w:rFonts w:ascii="宋体" w:hAnsi="宋体" w:cs="宋体"/>
          <w:sz w:val="24"/>
          <w:szCs w:val="28"/>
        </w:rPr>
      </w:pPr>
      <w:r>
        <w:rPr>
          <w:rFonts w:hint="eastAsia" w:ascii="宋体" w:hAnsi="宋体" w:cs="宋体"/>
          <w:sz w:val="24"/>
          <w:szCs w:val="28"/>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11832787">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6B093F10">
      <w:pPr>
        <w:spacing w:line="360" w:lineRule="auto"/>
        <w:ind w:firstLine="480" w:firstLineChars="200"/>
        <w:jc w:val="left"/>
        <w:rPr>
          <w:rFonts w:ascii="宋体" w:hAnsi="宋体" w:cs="宋体"/>
          <w:sz w:val="24"/>
          <w:szCs w:val="28"/>
        </w:rPr>
      </w:pPr>
      <w:r>
        <w:rPr>
          <w:rFonts w:hint="eastAsia" w:ascii="宋体" w:hAnsi="宋体" w:cs="宋体"/>
          <w:sz w:val="24"/>
          <w:szCs w:val="28"/>
        </w:rPr>
        <w:t>8.4材料与工程设备的保管与使用</w:t>
      </w:r>
    </w:p>
    <w:p w14:paraId="23F820B3">
      <w:pPr>
        <w:spacing w:line="360" w:lineRule="auto"/>
        <w:ind w:firstLine="480" w:firstLineChars="200"/>
        <w:jc w:val="left"/>
        <w:rPr>
          <w:rFonts w:ascii="宋体" w:hAnsi="宋体" w:cs="宋体"/>
          <w:sz w:val="24"/>
          <w:szCs w:val="28"/>
        </w:rPr>
      </w:pPr>
      <w:r>
        <w:rPr>
          <w:rFonts w:hint="eastAsia" w:ascii="宋体" w:hAnsi="宋体" w:cs="宋体"/>
          <w:sz w:val="24"/>
          <w:szCs w:val="28"/>
        </w:rPr>
        <w:t>8.4.1 发包人供应材料与工程设备的保管与使用</w:t>
      </w:r>
    </w:p>
    <w:p w14:paraId="79CD2760">
      <w:pPr>
        <w:spacing w:line="360" w:lineRule="auto"/>
        <w:ind w:firstLine="480" w:firstLineChars="200"/>
        <w:jc w:val="left"/>
        <w:rPr>
          <w:rFonts w:ascii="宋体" w:hAnsi="宋体" w:cs="宋体"/>
          <w:sz w:val="24"/>
          <w:szCs w:val="28"/>
        </w:rPr>
      </w:pPr>
      <w:r>
        <w:rPr>
          <w:rFonts w:hint="eastAsia" w:ascii="宋体" w:hAnsi="宋体" w:cs="宋体"/>
          <w:sz w:val="24"/>
          <w:szCs w:val="28"/>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121EA83D">
      <w:pPr>
        <w:spacing w:line="360" w:lineRule="auto"/>
        <w:ind w:firstLine="480" w:firstLineChars="200"/>
        <w:jc w:val="left"/>
        <w:rPr>
          <w:rFonts w:ascii="宋体" w:hAnsi="宋体" w:cs="宋体"/>
          <w:sz w:val="24"/>
          <w:szCs w:val="28"/>
        </w:rPr>
      </w:pPr>
      <w:r>
        <w:rPr>
          <w:rFonts w:hint="eastAsia" w:ascii="宋体" w:hAnsi="宋体" w:cs="宋体"/>
          <w:sz w:val="24"/>
          <w:szCs w:val="28"/>
        </w:rPr>
        <w:t>发包人供应的材料和工程设备使用前，由承包人负责检验，检验费用由发包人承担，不合格的不得使用。</w:t>
      </w:r>
    </w:p>
    <w:p w14:paraId="4E1B9ED7">
      <w:pPr>
        <w:spacing w:line="360" w:lineRule="auto"/>
        <w:ind w:firstLine="480" w:firstLineChars="200"/>
        <w:jc w:val="left"/>
        <w:rPr>
          <w:rFonts w:ascii="宋体" w:hAnsi="宋体" w:cs="宋体"/>
          <w:sz w:val="24"/>
          <w:szCs w:val="28"/>
        </w:rPr>
      </w:pPr>
      <w:r>
        <w:rPr>
          <w:rFonts w:hint="eastAsia" w:ascii="宋体" w:hAnsi="宋体" w:cs="宋体"/>
          <w:sz w:val="24"/>
          <w:szCs w:val="28"/>
        </w:rPr>
        <w:t>8.4.2 承包人采购材料与工程设备的保管与使用</w:t>
      </w:r>
    </w:p>
    <w:p w14:paraId="51E7B112">
      <w:pPr>
        <w:spacing w:line="360" w:lineRule="auto"/>
        <w:ind w:firstLine="480" w:firstLineChars="200"/>
        <w:jc w:val="left"/>
        <w:rPr>
          <w:rFonts w:ascii="宋体" w:hAnsi="宋体" w:cs="宋体"/>
          <w:sz w:val="24"/>
          <w:szCs w:val="28"/>
        </w:rPr>
      </w:pPr>
      <w:r>
        <w:rPr>
          <w:rFonts w:hint="eastAsia" w:ascii="宋体" w:hAnsi="宋体" w:cs="宋体"/>
          <w:sz w:val="24"/>
          <w:szCs w:val="28"/>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22AE5CA3">
      <w:pPr>
        <w:spacing w:line="360" w:lineRule="auto"/>
        <w:ind w:firstLine="480" w:firstLineChars="200"/>
        <w:jc w:val="left"/>
        <w:rPr>
          <w:rFonts w:ascii="宋体" w:hAnsi="宋体" w:cs="宋体"/>
          <w:sz w:val="24"/>
          <w:szCs w:val="28"/>
        </w:rPr>
      </w:pPr>
      <w:r>
        <w:rPr>
          <w:rFonts w:hint="eastAsia" w:ascii="宋体" w:hAnsi="宋体" w:cs="宋体"/>
          <w:sz w:val="24"/>
          <w:szCs w:val="28"/>
        </w:rPr>
        <w:t>发包人或监理人发现承包人使用不符合设计或有关标准要求的材料和工程设备时，有权要求承包人进行修复、拆除或重新采购，由此增加的费用和（或）延误的工期，由承包人承担。</w:t>
      </w:r>
    </w:p>
    <w:p w14:paraId="41FC1874">
      <w:pPr>
        <w:spacing w:line="360" w:lineRule="auto"/>
        <w:ind w:firstLine="480" w:firstLineChars="200"/>
        <w:jc w:val="left"/>
        <w:rPr>
          <w:rFonts w:ascii="宋体" w:hAnsi="宋体" w:cs="宋体"/>
          <w:sz w:val="24"/>
          <w:szCs w:val="28"/>
        </w:rPr>
      </w:pPr>
      <w:r>
        <w:rPr>
          <w:rFonts w:hint="eastAsia" w:ascii="宋体" w:hAnsi="宋体" w:cs="宋体"/>
          <w:sz w:val="24"/>
          <w:szCs w:val="28"/>
        </w:rPr>
        <w:t>8.5禁止使用不合格的材料和工程设备</w:t>
      </w:r>
    </w:p>
    <w:p w14:paraId="37CD3CA2">
      <w:pPr>
        <w:spacing w:line="360" w:lineRule="auto"/>
        <w:ind w:firstLine="480" w:firstLineChars="200"/>
        <w:jc w:val="left"/>
        <w:rPr>
          <w:rFonts w:ascii="宋体" w:hAnsi="宋体" w:cs="宋体"/>
          <w:sz w:val="24"/>
          <w:szCs w:val="28"/>
        </w:rPr>
      </w:pPr>
      <w:r>
        <w:rPr>
          <w:rFonts w:hint="eastAsia" w:ascii="宋体" w:hAnsi="宋体" w:cs="宋体"/>
          <w:sz w:val="24"/>
          <w:szCs w:val="28"/>
        </w:rPr>
        <w:t>8.5.1 监理人有权拒绝承包人提供的不合格材料或工程设备，并要求承包人立即进行更换。监理人应在更换后再次进行检查和检验，由此增加的费用和（或）延误的工期由承包人承担。</w:t>
      </w:r>
    </w:p>
    <w:p w14:paraId="2EE3B627">
      <w:pPr>
        <w:spacing w:line="360" w:lineRule="auto"/>
        <w:ind w:firstLine="480" w:firstLineChars="200"/>
        <w:jc w:val="left"/>
        <w:rPr>
          <w:rFonts w:ascii="宋体" w:hAnsi="宋体" w:cs="宋体"/>
          <w:sz w:val="24"/>
          <w:szCs w:val="28"/>
        </w:rPr>
      </w:pPr>
      <w:r>
        <w:rPr>
          <w:rFonts w:hint="eastAsia" w:ascii="宋体" w:hAnsi="宋体" w:cs="宋体"/>
          <w:sz w:val="24"/>
          <w:szCs w:val="28"/>
        </w:rPr>
        <w:t>8.5.2 监理人发现承包人使用了不合格的材料和工程设备，承包人应按照监理人的指示立即改正，并禁止在工程中继续使用不合格的材料和工程设备。</w:t>
      </w:r>
    </w:p>
    <w:p w14:paraId="4E188A2A">
      <w:pPr>
        <w:spacing w:line="360" w:lineRule="auto"/>
        <w:ind w:firstLine="480" w:firstLineChars="200"/>
        <w:jc w:val="left"/>
        <w:rPr>
          <w:rFonts w:ascii="宋体" w:hAnsi="宋体" w:cs="宋体"/>
          <w:sz w:val="24"/>
          <w:szCs w:val="28"/>
        </w:rPr>
      </w:pPr>
      <w:r>
        <w:rPr>
          <w:rFonts w:hint="eastAsia" w:ascii="宋体" w:hAnsi="宋体" w:cs="宋体"/>
          <w:sz w:val="24"/>
          <w:szCs w:val="28"/>
        </w:rPr>
        <w:t>8.5.3 发包人提供的材料或工程设备不符合合同要求的，承包人有权拒绝，并可要求发包人更换，由此增加的费用和（或）延误的工期由发包人承担，并支付承包人合理的利润。</w:t>
      </w:r>
    </w:p>
    <w:p w14:paraId="3335A33F">
      <w:pPr>
        <w:spacing w:line="360" w:lineRule="auto"/>
        <w:ind w:firstLine="480" w:firstLineChars="200"/>
        <w:jc w:val="left"/>
        <w:rPr>
          <w:rFonts w:ascii="宋体" w:hAnsi="宋体" w:cs="宋体"/>
          <w:sz w:val="24"/>
          <w:szCs w:val="28"/>
        </w:rPr>
      </w:pPr>
      <w:r>
        <w:rPr>
          <w:rFonts w:hint="eastAsia" w:ascii="宋体" w:hAnsi="宋体" w:cs="宋体"/>
          <w:sz w:val="24"/>
          <w:szCs w:val="28"/>
        </w:rPr>
        <w:t>8.6 样品</w:t>
      </w:r>
    </w:p>
    <w:p w14:paraId="3B9ED81D">
      <w:pPr>
        <w:spacing w:line="360" w:lineRule="auto"/>
        <w:ind w:firstLine="480" w:firstLineChars="200"/>
        <w:jc w:val="left"/>
        <w:rPr>
          <w:rFonts w:ascii="宋体" w:hAnsi="宋体" w:cs="宋体"/>
          <w:sz w:val="24"/>
          <w:szCs w:val="28"/>
        </w:rPr>
      </w:pPr>
      <w:r>
        <w:rPr>
          <w:rFonts w:hint="eastAsia" w:ascii="宋体" w:hAnsi="宋体" w:cs="宋体"/>
          <w:sz w:val="24"/>
          <w:szCs w:val="28"/>
        </w:rPr>
        <w:t>8.6.1</w:t>
      </w:r>
      <w:r>
        <w:rPr>
          <w:rFonts w:hint="eastAsia" w:ascii="宋体" w:hAnsi="宋体" w:cs="宋体"/>
          <w:sz w:val="24"/>
          <w:szCs w:val="28"/>
        </w:rPr>
        <w:tab/>
      </w:r>
      <w:r>
        <w:rPr>
          <w:rFonts w:hint="eastAsia" w:ascii="宋体" w:hAnsi="宋体" w:cs="宋体"/>
          <w:sz w:val="24"/>
          <w:szCs w:val="28"/>
        </w:rPr>
        <w:t>样品的报送与封存</w:t>
      </w:r>
    </w:p>
    <w:p w14:paraId="40A6542B">
      <w:pPr>
        <w:spacing w:line="360" w:lineRule="auto"/>
        <w:ind w:firstLine="480" w:firstLineChars="200"/>
        <w:jc w:val="left"/>
        <w:rPr>
          <w:rFonts w:ascii="宋体" w:hAnsi="宋体" w:cs="宋体"/>
          <w:sz w:val="24"/>
          <w:szCs w:val="28"/>
        </w:rPr>
      </w:pPr>
      <w:r>
        <w:rPr>
          <w:rFonts w:hint="eastAsia" w:ascii="宋体" w:hAnsi="宋体" w:cs="宋体"/>
          <w:sz w:val="24"/>
          <w:szCs w:val="28"/>
        </w:rPr>
        <w:t>需要承包人报送样品的材料或工程设备，样品的种类、名称、规格、数量等要求均应在专用合同条款中约定。样品的报送程序如下：</w:t>
      </w:r>
    </w:p>
    <w:p w14:paraId="2BACAF76">
      <w:pPr>
        <w:spacing w:line="360" w:lineRule="auto"/>
        <w:ind w:firstLine="480" w:firstLineChars="200"/>
        <w:jc w:val="left"/>
        <w:rPr>
          <w:rFonts w:ascii="宋体" w:hAnsi="宋体" w:cs="宋体"/>
          <w:sz w:val="24"/>
          <w:szCs w:val="28"/>
        </w:rPr>
      </w:pPr>
      <w:r>
        <w:rPr>
          <w:rFonts w:hint="eastAsia" w:ascii="宋体" w:hAnsi="宋体" w:cs="宋体"/>
          <w:sz w:val="24"/>
          <w:szCs w:val="28"/>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385FE694">
      <w:pPr>
        <w:spacing w:line="360" w:lineRule="auto"/>
        <w:ind w:firstLine="480" w:firstLineChars="200"/>
        <w:jc w:val="left"/>
        <w:rPr>
          <w:rFonts w:ascii="宋体" w:hAnsi="宋体" w:cs="宋体"/>
          <w:sz w:val="24"/>
          <w:szCs w:val="28"/>
        </w:rPr>
      </w:pPr>
      <w:r>
        <w:rPr>
          <w:rFonts w:hint="eastAsia" w:ascii="宋体" w:hAnsi="宋体" w:cs="宋体"/>
          <w:sz w:val="24"/>
          <w:szCs w:val="28"/>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00CCFF11">
      <w:pPr>
        <w:spacing w:line="360" w:lineRule="auto"/>
        <w:ind w:firstLine="480" w:firstLineChars="200"/>
        <w:jc w:val="left"/>
        <w:rPr>
          <w:rFonts w:ascii="宋体" w:hAnsi="宋体" w:cs="宋体"/>
          <w:sz w:val="24"/>
          <w:szCs w:val="28"/>
        </w:rPr>
      </w:pPr>
      <w:r>
        <w:rPr>
          <w:rFonts w:hint="eastAsia" w:ascii="宋体" w:hAnsi="宋体" w:cs="宋体"/>
          <w:sz w:val="24"/>
          <w:szCs w:val="28"/>
        </w:rPr>
        <w:t>（3）经发包人和监理人审批确认的样品应按约定的方法封样，封存的样品作为检验工程相关部分的标准之一。承包人在施工过程中不得使用与样品不符的材料或工程设备。</w:t>
      </w:r>
    </w:p>
    <w:p w14:paraId="6E10046A">
      <w:pPr>
        <w:spacing w:line="360" w:lineRule="auto"/>
        <w:ind w:firstLine="480" w:firstLineChars="200"/>
        <w:jc w:val="left"/>
        <w:rPr>
          <w:rFonts w:ascii="宋体" w:hAnsi="宋体" w:cs="宋体"/>
          <w:sz w:val="24"/>
          <w:szCs w:val="28"/>
        </w:rPr>
      </w:pPr>
      <w:r>
        <w:rPr>
          <w:rFonts w:hint="eastAsia" w:ascii="宋体" w:hAnsi="宋体" w:cs="宋体"/>
          <w:sz w:val="24"/>
          <w:szCs w:val="28"/>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71D39791">
      <w:pPr>
        <w:spacing w:line="360" w:lineRule="auto"/>
        <w:ind w:firstLine="480" w:firstLineChars="200"/>
        <w:jc w:val="left"/>
        <w:rPr>
          <w:rFonts w:ascii="宋体" w:hAnsi="宋体" w:cs="宋体"/>
          <w:sz w:val="24"/>
          <w:szCs w:val="28"/>
        </w:rPr>
      </w:pPr>
      <w:r>
        <w:rPr>
          <w:rFonts w:hint="eastAsia" w:ascii="宋体" w:hAnsi="宋体" w:cs="宋体"/>
          <w:sz w:val="24"/>
          <w:szCs w:val="28"/>
        </w:rPr>
        <w:t>8.6.2 样品的保管</w:t>
      </w:r>
    </w:p>
    <w:p w14:paraId="50D091F0">
      <w:pPr>
        <w:spacing w:line="360" w:lineRule="auto"/>
        <w:ind w:firstLine="480" w:firstLineChars="200"/>
        <w:jc w:val="left"/>
        <w:rPr>
          <w:rFonts w:ascii="宋体" w:hAnsi="宋体" w:cs="宋体"/>
          <w:sz w:val="24"/>
          <w:szCs w:val="28"/>
        </w:rPr>
      </w:pPr>
      <w:r>
        <w:rPr>
          <w:rFonts w:hint="eastAsia" w:ascii="宋体" w:hAnsi="宋体" w:cs="宋体"/>
          <w:sz w:val="24"/>
          <w:szCs w:val="28"/>
        </w:rPr>
        <w:t>经批准的样品应由监理人负责封存于现场，承包人应在现场为保存样品提供适当和固定的场所并保持适当和良好的存储环境条件。</w:t>
      </w:r>
    </w:p>
    <w:p w14:paraId="3A0F4CD0">
      <w:pPr>
        <w:spacing w:line="360" w:lineRule="auto"/>
        <w:ind w:firstLine="480" w:firstLineChars="200"/>
        <w:jc w:val="left"/>
        <w:rPr>
          <w:rFonts w:ascii="宋体" w:hAnsi="宋体" w:cs="宋体"/>
          <w:sz w:val="24"/>
          <w:szCs w:val="28"/>
        </w:rPr>
      </w:pPr>
      <w:r>
        <w:rPr>
          <w:rFonts w:hint="eastAsia" w:ascii="宋体" w:hAnsi="宋体" w:cs="宋体"/>
          <w:sz w:val="24"/>
          <w:szCs w:val="28"/>
        </w:rPr>
        <w:t>8.7材料与工程设备的替代</w:t>
      </w:r>
    </w:p>
    <w:p w14:paraId="0E406C25">
      <w:pPr>
        <w:spacing w:line="360" w:lineRule="auto"/>
        <w:ind w:firstLine="480" w:firstLineChars="200"/>
        <w:jc w:val="left"/>
        <w:rPr>
          <w:rFonts w:ascii="宋体" w:hAnsi="宋体" w:cs="宋体"/>
          <w:sz w:val="24"/>
          <w:szCs w:val="28"/>
        </w:rPr>
      </w:pPr>
      <w:r>
        <w:rPr>
          <w:rFonts w:hint="eastAsia" w:ascii="宋体" w:hAnsi="宋体" w:cs="宋体"/>
          <w:sz w:val="24"/>
          <w:szCs w:val="28"/>
        </w:rPr>
        <w:t>8.7.1 出现下列情况需要使用替代材料和工程设备的，承包人应按照第8.7.2项约定的程序执行：</w:t>
      </w:r>
    </w:p>
    <w:p w14:paraId="68511513">
      <w:pPr>
        <w:spacing w:line="360" w:lineRule="auto"/>
        <w:ind w:firstLine="480" w:firstLineChars="200"/>
        <w:jc w:val="left"/>
        <w:rPr>
          <w:rFonts w:ascii="宋体" w:hAnsi="宋体" w:cs="宋体"/>
          <w:sz w:val="24"/>
          <w:szCs w:val="28"/>
        </w:rPr>
      </w:pPr>
      <w:r>
        <w:rPr>
          <w:rFonts w:hint="eastAsia" w:ascii="宋体" w:hAnsi="宋体" w:cs="宋体"/>
          <w:sz w:val="24"/>
          <w:szCs w:val="28"/>
        </w:rPr>
        <w:t>（1）基准日期后生效的法律规定禁止使用的；</w:t>
      </w:r>
    </w:p>
    <w:p w14:paraId="5394B1FC">
      <w:pPr>
        <w:spacing w:line="360" w:lineRule="auto"/>
        <w:ind w:firstLine="480" w:firstLineChars="200"/>
        <w:jc w:val="left"/>
        <w:rPr>
          <w:rFonts w:ascii="宋体" w:hAnsi="宋体" w:cs="宋体"/>
          <w:sz w:val="24"/>
          <w:szCs w:val="28"/>
        </w:rPr>
      </w:pPr>
      <w:r>
        <w:rPr>
          <w:rFonts w:hint="eastAsia" w:ascii="宋体" w:hAnsi="宋体" w:cs="宋体"/>
          <w:sz w:val="24"/>
          <w:szCs w:val="28"/>
        </w:rPr>
        <w:t>（2）发包人要求使用替代品的；</w:t>
      </w:r>
    </w:p>
    <w:p w14:paraId="561DD149">
      <w:pPr>
        <w:spacing w:line="360" w:lineRule="auto"/>
        <w:ind w:firstLine="480" w:firstLineChars="200"/>
        <w:jc w:val="left"/>
        <w:rPr>
          <w:rFonts w:ascii="宋体" w:hAnsi="宋体" w:cs="宋体"/>
          <w:sz w:val="24"/>
          <w:szCs w:val="28"/>
        </w:rPr>
      </w:pPr>
      <w:r>
        <w:rPr>
          <w:rFonts w:hint="eastAsia" w:ascii="宋体" w:hAnsi="宋体" w:cs="宋体"/>
          <w:sz w:val="24"/>
          <w:szCs w:val="28"/>
        </w:rPr>
        <w:t>（3）因其他原因必须使用替代品的。</w:t>
      </w:r>
    </w:p>
    <w:p w14:paraId="2027AEF7">
      <w:pPr>
        <w:spacing w:line="360" w:lineRule="auto"/>
        <w:ind w:firstLine="480" w:firstLineChars="200"/>
        <w:jc w:val="left"/>
        <w:rPr>
          <w:rFonts w:ascii="宋体" w:hAnsi="宋体" w:cs="宋体"/>
          <w:sz w:val="24"/>
          <w:szCs w:val="28"/>
        </w:rPr>
      </w:pPr>
      <w:r>
        <w:rPr>
          <w:rFonts w:hint="eastAsia" w:ascii="宋体" w:hAnsi="宋体" w:cs="宋体"/>
          <w:sz w:val="24"/>
          <w:szCs w:val="28"/>
        </w:rPr>
        <w:t>8.7.2 承包人应在使用替代材料和工程设备28天前书面通知监理人，并附下列文件：</w:t>
      </w:r>
    </w:p>
    <w:p w14:paraId="66C15E6D">
      <w:pPr>
        <w:spacing w:line="360" w:lineRule="auto"/>
        <w:ind w:firstLine="480" w:firstLineChars="200"/>
        <w:jc w:val="left"/>
        <w:rPr>
          <w:rFonts w:ascii="宋体" w:hAnsi="宋体" w:cs="宋体"/>
          <w:sz w:val="24"/>
          <w:szCs w:val="28"/>
        </w:rPr>
      </w:pPr>
      <w:r>
        <w:rPr>
          <w:rFonts w:hint="eastAsia" w:ascii="宋体" w:hAnsi="宋体" w:cs="宋体"/>
          <w:sz w:val="24"/>
          <w:szCs w:val="28"/>
        </w:rPr>
        <w:t>（1）被替代的材料和工程设备的名称、数量、规格、型号、品牌、性能、价格及其他相关资料；</w:t>
      </w:r>
    </w:p>
    <w:p w14:paraId="44351158">
      <w:pPr>
        <w:spacing w:line="360" w:lineRule="auto"/>
        <w:ind w:firstLine="480" w:firstLineChars="200"/>
        <w:jc w:val="left"/>
        <w:rPr>
          <w:rFonts w:ascii="宋体" w:hAnsi="宋体" w:cs="宋体"/>
          <w:sz w:val="24"/>
          <w:szCs w:val="28"/>
        </w:rPr>
      </w:pPr>
      <w:r>
        <w:rPr>
          <w:rFonts w:hint="eastAsia" w:ascii="宋体" w:hAnsi="宋体" w:cs="宋体"/>
          <w:sz w:val="24"/>
          <w:szCs w:val="28"/>
        </w:rPr>
        <w:t>（2）替代品的名称、数量、规格、型号、品牌、性能、价格及其他相关资料；</w:t>
      </w:r>
    </w:p>
    <w:p w14:paraId="65890611">
      <w:pPr>
        <w:spacing w:line="360" w:lineRule="auto"/>
        <w:ind w:firstLine="480" w:firstLineChars="200"/>
        <w:jc w:val="left"/>
        <w:rPr>
          <w:rFonts w:ascii="宋体" w:hAnsi="宋体" w:cs="宋体"/>
          <w:sz w:val="24"/>
          <w:szCs w:val="28"/>
        </w:rPr>
      </w:pPr>
      <w:r>
        <w:rPr>
          <w:rFonts w:hint="eastAsia" w:ascii="宋体" w:hAnsi="宋体" w:cs="宋体"/>
          <w:sz w:val="24"/>
          <w:szCs w:val="28"/>
        </w:rPr>
        <w:t>（3）替代品与被替代产品之间的差异以及使用替代品可能对工程产生的影响；</w:t>
      </w:r>
    </w:p>
    <w:p w14:paraId="3D24611B">
      <w:pPr>
        <w:spacing w:line="360" w:lineRule="auto"/>
        <w:ind w:firstLine="480" w:firstLineChars="200"/>
        <w:jc w:val="left"/>
        <w:rPr>
          <w:rFonts w:ascii="宋体" w:hAnsi="宋体" w:cs="宋体"/>
          <w:sz w:val="24"/>
          <w:szCs w:val="28"/>
        </w:rPr>
      </w:pPr>
      <w:r>
        <w:rPr>
          <w:rFonts w:hint="eastAsia" w:ascii="宋体" w:hAnsi="宋体" w:cs="宋体"/>
          <w:sz w:val="24"/>
          <w:szCs w:val="28"/>
        </w:rPr>
        <w:t>（4）替代品与被替代产品的价格差异；</w:t>
      </w:r>
    </w:p>
    <w:p w14:paraId="32A3BB49">
      <w:pPr>
        <w:spacing w:line="360" w:lineRule="auto"/>
        <w:ind w:firstLine="480" w:firstLineChars="200"/>
        <w:jc w:val="left"/>
        <w:rPr>
          <w:rFonts w:ascii="宋体" w:hAnsi="宋体" w:cs="宋体"/>
          <w:sz w:val="24"/>
          <w:szCs w:val="28"/>
        </w:rPr>
      </w:pPr>
      <w:r>
        <w:rPr>
          <w:rFonts w:hint="eastAsia" w:ascii="宋体" w:hAnsi="宋体" w:cs="宋体"/>
          <w:sz w:val="24"/>
          <w:szCs w:val="28"/>
        </w:rPr>
        <w:t>（5）使用替代品的理由和原因说明；</w:t>
      </w:r>
    </w:p>
    <w:p w14:paraId="59FD602A">
      <w:pPr>
        <w:spacing w:line="360" w:lineRule="auto"/>
        <w:ind w:firstLine="480" w:firstLineChars="200"/>
        <w:jc w:val="left"/>
        <w:rPr>
          <w:rFonts w:ascii="宋体" w:hAnsi="宋体" w:cs="宋体"/>
          <w:sz w:val="24"/>
          <w:szCs w:val="28"/>
        </w:rPr>
      </w:pPr>
      <w:r>
        <w:rPr>
          <w:rFonts w:hint="eastAsia" w:ascii="宋体" w:hAnsi="宋体" w:cs="宋体"/>
          <w:sz w:val="24"/>
          <w:szCs w:val="28"/>
        </w:rPr>
        <w:t>（6）监理人要求的其他文件。</w:t>
      </w:r>
    </w:p>
    <w:p w14:paraId="3A71268D">
      <w:pPr>
        <w:spacing w:line="360" w:lineRule="auto"/>
        <w:ind w:firstLine="480" w:firstLineChars="200"/>
        <w:jc w:val="left"/>
        <w:rPr>
          <w:rFonts w:ascii="宋体" w:hAnsi="宋体" w:cs="宋体"/>
          <w:sz w:val="24"/>
          <w:szCs w:val="28"/>
        </w:rPr>
      </w:pPr>
      <w:r>
        <w:rPr>
          <w:rFonts w:hint="eastAsia" w:ascii="宋体" w:hAnsi="宋体" w:cs="宋体"/>
          <w:sz w:val="24"/>
          <w:szCs w:val="28"/>
        </w:rPr>
        <w:t>监理人应在收到通知后14天内向承包人发出经发包人签认的书面指示；监理人逾期发出书面指示的，视为发包人和监理人同意使用替代品。</w:t>
      </w:r>
    </w:p>
    <w:p w14:paraId="662DF7AD">
      <w:pPr>
        <w:spacing w:line="360" w:lineRule="auto"/>
        <w:ind w:firstLine="480" w:firstLineChars="200"/>
        <w:jc w:val="left"/>
        <w:rPr>
          <w:rFonts w:ascii="宋体" w:hAnsi="宋体" w:cs="宋体"/>
          <w:sz w:val="24"/>
          <w:szCs w:val="28"/>
        </w:rPr>
      </w:pPr>
      <w:r>
        <w:rPr>
          <w:rFonts w:hint="eastAsia" w:ascii="宋体" w:hAnsi="宋体" w:cs="宋体"/>
          <w:sz w:val="24"/>
          <w:szCs w:val="28"/>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67F12253">
      <w:pPr>
        <w:spacing w:line="360" w:lineRule="auto"/>
        <w:ind w:firstLine="480" w:firstLineChars="200"/>
        <w:jc w:val="left"/>
        <w:rPr>
          <w:rFonts w:ascii="宋体" w:hAnsi="宋体" w:cs="宋体"/>
          <w:sz w:val="24"/>
          <w:szCs w:val="28"/>
        </w:rPr>
      </w:pPr>
      <w:r>
        <w:rPr>
          <w:rFonts w:hint="eastAsia" w:ascii="宋体" w:hAnsi="宋体" w:cs="宋体"/>
          <w:sz w:val="24"/>
          <w:szCs w:val="28"/>
        </w:rPr>
        <w:t>8.8施工设备和临时设施</w:t>
      </w:r>
    </w:p>
    <w:p w14:paraId="41684D34">
      <w:pPr>
        <w:spacing w:line="360" w:lineRule="auto"/>
        <w:ind w:firstLine="480" w:firstLineChars="200"/>
        <w:jc w:val="left"/>
        <w:rPr>
          <w:rFonts w:ascii="宋体" w:hAnsi="宋体" w:cs="宋体"/>
          <w:sz w:val="24"/>
          <w:szCs w:val="28"/>
        </w:rPr>
      </w:pPr>
      <w:r>
        <w:rPr>
          <w:rFonts w:hint="eastAsia" w:ascii="宋体" w:hAnsi="宋体" w:cs="宋体"/>
          <w:sz w:val="24"/>
          <w:szCs w:val="28"/>
        </w:rPr>
        <w:t>8.8.1 承包人提供的施工设备和临时设施</w:t>
      </w:r>
    </w:p>
    <w:p w14:paraId="4059C163">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承包人应按合同进度计划的要求，及时配置施工设备和修建临时设施。进入施工场地的承包人设备需经监理人核查后才能投入使用。承包人更换合同约定的承包人设备的，应报监理人批准。</w:t>
      </w:r>
    </w:p>
    <w:p w14:paraId="2342B68B">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除专用合同条款另有约定外，承包人应自行承担修建临时设施的费用，需要临时占地的，应由发包人办理申请手续并承担相应费用。</w:t>
      </w:r>
    </w:p>
    <w:p w14:paraId="081CF634">
      <w:pPr>
        <w:spacing w:line="360" w:lineRule="auto"/>
        <w:ind w:firstLine="480" w:firstLineChars="200"/>
        <w:jc w:val="left"/>
        <w:rPr>
          <w:rFonts w:ascii="宋体" w:hAnsi="宋体" w:cs="宋体"/>
          <w:sz w:val="24"/>
          <w:szCs w:val="28"/>
        </w:rPr>
      </w:pPr>
      <w:r>
        <w:rPr>
          <w:rFonts w:hint="eastAsia" w:ascii="宋体" w:hAnsi="宋体" w:cs="宋体"/>
          <w:sz w:val="24"/>
          <w:szCs w:val="28"/>
        </w:rPr>
        <w:t>8.8.2发包人提供的施工设备和临时设施</w:t>
      </w:r>
    </w:p>
    <w:p w14:paraId="781F0DAA">
      <w:pPr>
        <w:spacing w:line="360" w:lineRule="auto"/>
        <w:ind w:firstLine="480" w:firstLineChars="200"/>
        <w:jc w:val="left"/>
        <w:rPr>
          <w:rFonts w:ascii="宋体" w:hAnsi="宋体" w:cs="宋体"/>
          <w:sz w:val="24"/>
          <w:szCs w:val="28"/>
        </w:rPr>
      </w:pPr>
      <w:r>
        <w:rPr>
          <w:rFonts w:hint="eastAsia" w:ascii="宋体" w:hAnsi="宋体" w:cs="宋体"/>
          <w:sz w:val="24"/>
          <w:szCs w:val="28"/>
        </w:rPr>
        <w:t>发包人提供的施工设备或临时设施在专用合同条款中约定。</w:t>
      </w:r>
    </w:p>
    <w:p w14:paraId="7906A858">
      <w:pPr>
        <w:spacing w:line="360" w:lineRule="auto"/>
        <w:ind w:firstLine="480" w:firstLineChars="200"/>
        <w:jc w:val="left"/>
        <w:rPr>
          <w:rFonts w:ascii="宋体" w:hAnsi="宋体" w:cs="宋体"/>
          <w:sz w:val="24"/>
          <w:szCs w:val="28"/>
        </w:rPr>
      </w:pPr>
      <w:r>
        <w:rPr>
          <w:rFonts w:hint="eastAsia" w:ascii="宋体" w:hAnsi="宋体" w:cs="宋体"/>
          <w:sz w:val="24"/>
          <w:szCs w:val="28"/>
        </w:rPr>
        <w:t>8.8.3要求承包人增加或更换施工设备</w:t>
      </w:r>
    </w:p>
    <w:p w14:paraId="7C5E9C7D">
      <w:pPr>
        <w:spacing w:line="360" w:lineRule="auto"/>
        <w:ind w:firstLine="480" w:firstLineChars="200"/>
        <w:jc w:val="left"/>
        <w:rPr>
          <w:rFonts w:ascii="宋体" w:hAnsi="宋体" w:cs="宋体"/>
          <w:sz w:val="24"/>
          <w:szCs w:val="28"/>
        </w:rPr>
      </w:pPr>
      <w:r>
        <w:rPr>
          <w:rFonts w:hint="eastAsia" w:ascii="宋体" w:hAnsi="宋体" w:cs="宋体"/>
          <w:sz w:val="24"/>
          <w:szCs w:val="28"/>
        </w:rPr>
        <w:t>承包人使用的施工设备不能满足合同进度计划和（或）质量要求时，监理人有权要求承包人增加或更换施工设备，承包人应及时增加或更换，由此增加的费用和（或）延误的工期由承包人承担。</w:t>
      </w:r>
    </w:p>
    <w:p w14:paraId="3E28AF46">
      <w:pPr>
        <w:spacing w:line="360" w:lineRule="auto"/>
        <w:ind w:firstLine="480" w:firstLineChars="200"/>
        <w:jc w:val="left"/>
        <w:rPr>
          <w:rFonts w:ascii="宋体" w:hAnsi="宋体" w:cs="宋体"/>
          <w:sz w:val="24"/>
          <w:szCs w:val="28"/>
        </w:rPr>
      </w:pPr>
      <w:r>
        <w:rPr>
          <w:rFonts w:hint="eastAsia" w:ascii="宋体" w:hAnsi="宋体" w:cs="宋体"/>
          <w:sz w:val="24"/>
          <w:szCs w:val="28"/>
        </w:rPr>
        <w:t>8.9材料与设备专用要求</w:t>
      </w:r>
    </w:p>
    <w:p w14:paraId="15E19702">
      <w:pPr>
        <w:spacing w:line="360" w:lineRule="auto"/>
        <w:ind w:firstLine="480" w:firstLineChars="200"/>
        <w:jc w:val="left"/>
        <w:rPr>
          <w:rFonts w:ascii="宋体" w:hAnsi="宋体" w:cs="宋体"/>
          <w:sz w:val="24"/>
          <w:szCs w:val="28"/>
        </w:rPr>
      </w:pPr>
      <w:r>
        <w:rPr>
          <w:rFonts w:hint="eastAsia" w:ascii="宋体" w:hAnsi="宋体" w:cs="宋体"/>
          <w:sz w:val="24"/>
          <w:szCs w:val="28"/>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2D159F0B">
      <w:pPr>
        <w:spacing w:line="360" w:lineRule="auto"/>
        <w:ind w:firstLine="480" w:firstLineChars="200"/>
        <w:jc w:val="left"/>
        <w:rPr>
          <w:rFonts w:ascii="宋体" w:hAnsi="宋体" w:cs="宋体"/>
          <w:sz w:val="24"/>
          <w:szCs w:val="28"/>
        </w:rPr>
      </w:pPr>
      <w:r>
        <w:rPr>
          <w:rFonts w:hint="eastAsia" w:ascii="宋体" w:hAnsi="宋体" w:cs="宋体"/>
          <w:sz w:val="24"/>
          <w:szCs w:val="28"/>
        </w:rPr>
        <w:t>9. 试验与检验</w:t>
      </w:r>
    </w:p>
    <w:p w14:paraId="23765D58">
      <w:pPr>
        <w:spacing w:line="360" w:lineRule="auto"/>
        <w:ind w:firstLine="480" w:firstLineChars="200"/>
        <w:jc w:val="left"/>
        <w:rPr>
          <w:rFonts w:ascii="宋体" w:hAnsi="宋体" w:cs="宋体"/>
          <w:sz w:val="24"/>
          <w:szCs w:val="28"/>
        </w:rPr>
      </w:pPr>
      <w:r>
        <w:rPr>
          <w:rFonts w:hint="eastAsia" w:ascii="宋体" w:hAnsi="宋体" w:cs="宋体"/>
          <w:sz w:val="24"/>
          <w:szCs w:val="28"/>
        </w:rPr>
        <w:t>9.1试验设备与试验人员</w:t>
      </w:r>
    </w:p>
    <w:p w14:paraId="3FB02DB2">
      <w:pPr>
        <w:spacing w:line="360" w:lineRule="auto"/>
        <w:ind w:firstLine="480" w:firstLineChars="200"/>
        <w:jc w:val="left"/>
        <w:rPr>
          <w:rFonts w:ascii="宋体" w:hAnsi="宋体" w:cs="宋体"/>
          <w:sz w:val="24"/>
          <w:szCs w:val="28"/>
        </w:rPr>
      </w:pPr>
      <w:r>
        <w:rPr>
          <w:rFonts w:hint="eastAsia" w:ascii="宋体" w:hAnsi="宋体" w:cs="宋体"/>
          <w:sz w:val="24"/>
          <w:szCs w:val="28"/>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7101F608">
      <w:pPr>
        <w:spacing w:line="360" w:lineRule="auto"/>
        <w:ind w:firstLine="480" w:firstLineChars="200"/>
        <w:jc w:val="left"/>
        <w:rPr>
          <w:rFonts w:ascii="宋体" w:hAnsi="宋体" w:cs="宋体"/>
          <w:sz w:val="24"/>
          <w:szCs w:val="28"/>
        </w:rPr>
      </w:pPr>
      <w:r>
        <w:rPr>
          <w:rFonts w:hint="eastAsia" w:ascii="宋体" w:hAnsi="宋体" w:cs="宋体"/>
          <w:sz w:val="24"/>
          <w:szCs w:val="28"/>
        </w:rPr>
        <w:t>9.1.2 承包人应按专用合同条款的约定提供试验设备、取样装置、试验场所和试验条件，并向监理人提交相应进场计划表。</w:t>
      </w:r>
    </w:p>
    <w:p w14:paraId="615F6E9A">
      <w:pPr>
        <w:spacing w:line="360" w:lineRule="auto"/>
        <w:ind w:firstLine="480" w:firstLineChars="200"/>
        <w:jc w:val="left"/>
        <w:rPr>
          <w:rFonts w:ascii="宋体" w:hAnsi="宋体" w:cs="宋体"/>
          <w:sz w:val="24"/>
          <w:szCs w:val="28"/>
        </w:rPr>
      </w:pPr>
      <w:r>
        <w:rPr>
          <w:rFonts w:hint="eastAsia" w:ascii="宋体" w:hAnsi="宋体" w:cs="宋体"/>
          <w:sz w:val="24"/>
          <w:szCs w:val="28"/>
        </w:rPr>
        <w:t>承包人配置的试验设备要符合相应试验规程的要求并经过具有资质的检测单位检测，且在正式使用该试验设备前，需要经过监理人与承包人共同校定。</w:t>
      </w:r>
    </w:p>
    <w:p w14:paraId="429926CF">
      <w:pPr>
        <w:spacing w:line="360" w:lineRule="auto"/>
        <w:ind w:firstLine="480" w:firstLineChars="200"/>
        <w:jc w:val="left"/>
        <w:rPr>
          <w:rFonts w:ascii="宋体" w:hAnsi="宋体" w:cs="宋体"/>
          <w:sz w:val="24"/>
          <w:szCs w:val="28"/>
        </w:rPr>
      </w:pPr>
      <w:r>
        <w:rPr>
          <w:rFonts w:hint="eastAsia" w:ascii="宋体" w:hAnsi="宋体" w:cs="宋体"/>
          <w:sz w:val="24"/>
          <w:szCs w:val="28"/>
        </w:rPr>
        <w:t>9.1.3 承包人应向监理人提交试验人员的名单及其岗位、资格等证明资料，试验人员必须能够熟练进行相应的检测试验，承包人对试验人员的试验程序和试验结果的正确性负责。</w:t>
      </w:r>
    </w:p>
    <w:p w14:paraId="2C94189B">
      <w:pPr>
        <w:spacing w:line="360" w:lineRule="auto"/>
        <w:ind w:firstLine="480" w:firstLineChars="200"/>
        <w:jc w:val="left"/>
        <w:rPr>
          <w:rFonts w:ascii="宋体" w:hAnsi="宋体" w:cs="宋体"/>
          <w:sz w:val="24"/>
          <w:szCs w:val="28"/>
        </w:rPr>
      </w:pPr>
      <w:r>
        <w:rPr>
          <w:rFonts w:hint="eastAsia" w:ascii="宋体" w:hAnsi="宋体" w:cs="宋体"/>
          <w:sz w:val="24"/>
          <w:szCs w:val="28"/>
        </w:rPr>
        <w:t>9.2取样</w:t>
      </w:r>
    </w:p>
    <w:p w14:paraId="223DFA38">
      <w:pPr>
        <w:spacing w:line="360" w:lineRule="auto"/>
        <w:ind w:firstLine="480" w:firstLineChars="200"/>
        <w:jc w:val="left"/>
        <w:rPr>
          <w:rFonts w:ascii="宋体" w:hAnsi="宋体" w:cs="宋体"/>
          <w:sz w:val="24"/>
          <w:szCs w:val="28"/>
        </w:rPr>
      </w:pPr>
      <w:r>
        <w:rPr>
          <w:rFonts w:hint="eastAsia" w:ascii="宋体" w:hAnsi="宋体" w:cs="宋体"/>
          <w:sz w:val="24"/>
          <w:szCs w:val="28"/>
        </w:rPr>
        <w:t>试验属于自检性质的，承包人可以单独取样。试验属于监理人抽检性质的，可由监理人取样，也可由承包人的试验人员在监理人的监督下取样。</w:t>
      </w:r>
    </w:p>
    <w:p w14:paraId="2815E9B3">
      <w:pPr>
        <w:spacing w:line="360" w:lineRule="auto"/>
        <w:ind w:firstLine="480" w:firstLineChars="200"/>
        <w:jc w:val="left"/>
        <w:rPr>
          <w:rFonts w:ascii="宋体" w:hAnsi="宋体" w:cs="宋体"/>
          <w:sz w:val="24"/>
          <w:szCs w:val="28"/>
        </w:rPr>
      </w:pPr>
      <w:r>
        <w:rPr>
          <w:rFonts w:hint="eastAsia" w:ascii="宋体" w:hAnsi="宋体" w:cs="宋体"/>
          <w:sz w:val="24"/>
          <w:szCs w:val="28"/>
        </w:rPr>
        <w:t>9.3材料、工程设备和工程的试验和检验</w:t>
      </w:r>
    </w:p>
    <w:p w14:paraId="0826B9CB">
      <w:pPr>
        <w:spacing w:line="360" w:lineRule="auto"/>
        <w:ind w:firstLine="480" w:firstLineChars="200"/>
        <w:jc w:val="left"/>
        <w:rPr>
          <w:rFonts w:ascii="宋体" w:hAnsi="宋体" w:cs="宋体"/>
          <w:sz w:val="24"/>
          <w:szCs w:val="28"/>
        </w:rPr>
      </w:pPr>
      <w:r>
        <w:rPr>
          <w:rFonts w:hint="eastAsia" w:ascii="宋体" w:hAnsi="宋体" w:cs="宋体"/>
          <w:sz w:val="24"/>
          <w:szCs w:val="28"/>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07A5256">
      <w:pPr>
        <w:spacing w:line="360" w:lineRule="auto"/>
        <w:ind w:firstLine="480" w:firstLineChars="200"/>
        <w:jc w:val="left"/>
        <w:rPr>
          <w:rFonts w:ascii="宋体" w:hAnsi="宋体" w:cs="宋体"/>
          <w:sz w:val="24"/>
          <w:szCs w:val="28"/>
        </w:rPr>
      </w:pPr>
      <w:r>
        <w:rPr>
          <w:rFonts w:hint="eastAsia" w:ascii="宋体" w:hAnsi="宋体" w:cs="宋体"/>
          <w:sz w:val="24"/>
          <w:szCs w:val="28"/>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0A87B01">
      <w:pPr>
        <w:spacing w:line="360" w:lineRule="auto"/>
        <w:ind w:firstLine="480" w:firstLineChars="200"/>
        <w:jc w:val="left"/>
        <w:rPr>
          <w:rFonts w:ascii="宋体" w:hAnsi="宋体" w:cs="宋体"/>
          <w:sz w:val="24"/>
          <w:szCs w:val="28"/>
        </w:rPr>
      </w:pPr>
      <w:r>
        <w:rPr>
          <w:rFonts w:hint="eastAsia" w:ascii="宋体" w:hAnsi="宋体" w:cs="宋体"/>
          <w:sz w:val="24"/>
          <w:szCs w:val="28"/>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73D77EF">
      <w:pPr>
        <w:spacing w:line="360" w:lineRule="auto"/>
        <w:ind w:firstLine="480" w:firstLineChars="200"/>
        <w:jc w:val="left"/>
        <w:rPr>
          <w:rFonts w:ascii="宋体" w:hAnsi="宋体" w:cs="宋体"/>
          <w:sz w:val="24"/>
          <w:szCs w:val="28"/>
        </w:rPr>
      </w:pPr>
      <w:r>
        <w:rPr>
          <w:rFonts w:hint="eastAsia" w:ascii="宋体" w:hAnsi="宋体" w:cs="宋体"/>
          <w:sz w:val="24"/>
          <w:szCs w:val="28"/>
        </w:rPr>
        <w:t>9.4现场工艺试验</w:t>
      </w:r>
    </w:p>
    <w:p w14:paraId="0F6FB6AE">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承包人应按合同约定或监理人指示进行现场工艺试验。对大型的现场工艺试验，监理人认为必要时，承包人应根据监理人提出的工艺试验要求，编制工艺试验措施计划，报送监理人审查。</w:t>
      </w:r>
    </w:p>
    <w:p w14:paraId="7E124284">
      <w:pPr>
        <w:spacing w:line="360" w:lineRule="auto"/>
        <w:ind w:firstLine="480" w:firstLineChars="200"/>
        <w:jc w:val="left"/>
        <w:rPr>
          <w:rFonts w:ascii="宋体" w:hAnsi="宋体" w:cs="宋体"/>
          <w:sz w:val="24"/>
          <w:szCs w:val="28"/>
        </w:rPr>
      </w:pPr>
      <w:r>
        <w:rPr>
          <w:rFonts w:hint="eastAsia" w:ascii="宋体" w:hAnsi="宋体" w:cs="宋体"/>
          <w:sz w:val="24"/>
          <w:szCs w:val="28"/>
        </w:rPr>
        <w:t>10. 变更</w:t>
      </w:r>
    </w:p>
    <w:p w14:paraId="71AD54CE">
      <w:pPr>
        <w:spacing w:line="360" w:lineRule="auto"/>
        <w:ind w:firstLine="480" w:firstLineChars="200"/>
        <w:jc w:val="left"/>
        <w:rPr>
          <w:rFonts w:ascii="宋体" w:hAnsi="宋体" w:cs="宋体"/>
          <w:sz w:val="24"/>
          <w:szCs w:val="28"/>
        </w:rPr>
      </w:pPr>
      <w:r>
        <w:rPr>
          <w:rFonts w:hint="eastAsia" w:ascii="宋体" w:hAnsi="宋体" w:cs="宋体"/>
          <w:sz w:val="24"/>
          <w:szCs w:val="28"/>
        </w:rPr>
        <w:t>10.1变更的范围</w:t>
      </w:r>
    </w:p>
    <w:p w14:paraId="34B03624">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除专用合同条款另有约定外，合同履行过程中发生以下情形的，应按照本条约定进行变更：</w:t>
      </w:r>
    </w:p>
    <w:p w14:paraId="6D36A965">
      <w:pPr>
        <w:spacing w:line="360" w:lineRule="auto"/>
        <w:ind w:firstLine="480" w:firstLineChars="200"/>
        <w:jc w:val="left"/>
        <w:rPr>
          <w:rFonts w:ascii="宋体" w:hAnsi="宋体" w:cs="宋体"/>
          <w:sz w:val="24"/>
          <w:szCs w:val="28"/>
        </w:rPr>
      </w:pPr>
      <w:r>
        <w:rPr>
          <w:rFonts w:hint="eastAsia" w:ascii="宋体" w:hAnsi="宋体" w:cs="宋体"/>
          <w:sz w:val="24"/>
          <w:szCs w:val="28"/>
        </w:rPr>
        <w:t>（1）增加或减少合同中任何工作，或追加额外的工作；</w:t>
      </w:r>
    </w:p>
    <w:p w14:paraId="7AE3641A">
      <w:pPr>
        <w:spacing w:line="360" w:lineRule="auto"/>
        <w:ind w:firstLine="480" w:firstLineChars="200"/>
        <w:jc w:val="left"/>
        <w:rPr>
          <w:rFonts w:ascii="宋体" w:hAnsi="宋体" w:cs="宋体"/>
          <w:sz w:val="24"/>
          <w:szCs w:val="28"/>
        </w:rPr>
      </w:pPr>
      <w:r>
        <w:rPr>
          <w:rFonts w:hint="eastAsia" w:ascii="宋体" w:hAnsi="宋体" w:cs="宋体"/>
          <w:sz w:val="24"/>
          <w:szCs w:val="28"/>
        </w:rPr>
        <w:t>（2）取消合同中任何工作，但转由他人实施的工作除外；</w:t>
      </w:r>
    </w:p>
    <w:p w14:paraId="61A82E2C">
      <w:pPr>
        <w:spacing w:line="360" w:lineRule="auto"/>
        <w:ind w:firstLine="480" w:firstLineChars="200"/>
        <w:jc w:val="left"/>
        <w:rPr>
          <w:rFonts w:ascii="宋体" w:hAnsi="宋体" w:cs="宋体"/>
          <w:sz w:val="24"/>
          <w:szCs w:val="28"/>
        </w:rPr>
      </w:pPr>
      <w:r>
        <w:rPr>
          <w:rFonts w:hint="eastAsia" w:ascii="宋体" w:hAnsi="宋体" w:cs="宋体"/>
          <w:sz w:val="24"/>
          <w:szCs w:val="28"/>
        </w:rPr>
        <w:t>（3）改变合同中任何工作的质量标准或其他特性；</w:t>
      </w:r>
    </w:p>
    <w:p w14:paraId="72544ABB">
      <w:pPr>
        <w:spacing w:line="360" w:lineRule="auto"/>
        <w:ind w:firstLine="480" w:firstLineChars="200"/>
        <w:jc w:val="left"/>
        <w:rPr>
          <w:rFonts w:ascii="宋体" w:hAnsi="宋体" w:cs="宋体"/>
          <w:sz w:val="24"/>
          <w:szCs w:val="28"/>
        </w:rPr>
      </w:pPr>
      <w:r>
        <w:rPr>
          <w:rFonts w:hint="eastAsia" w:ascii="宋体" w:hAnsi="宋体" w:cs="宋体"/>
          <w:sz w:val="24"/>
          <w:szCs w:val="28"/>
        </w:rPr>
        <w:t>（4）改变工程的基线、标高、位置和尺寸；</w:t>
      </w:r>
    </w:p>
    <w:p w14:paraId="4ED09C79">
      <w:pPr>
        <w:spacing w:line="360" w:lineRule="auto"/>
        <w:ind w:firstLine="480" w:firstLineChars="200"/>
        <w:jc w:val="left"/>
        <w:rPr>
          <w:rFonts w:ascii="宋体" w:hAnsi="宋体" w:cs="宋体"/>
          <w:sz w:val="24"/>
          <w:szCs w:val="28"/>
        </w:rPr>
      </w:pPr>
      <w:r>
        <w:rPr>
          <w:rFonts w:hint="eastAsia" w:ascii="宋体" w:hAnsi="宋体" w:cs="宋体"/>
          <w:sz w:val="24"/>
          <w:szCs w:val="28"/>
        </w:rPr>
        <w:t>（5）改变工程的时间安排或实施顺序。</w:t>
      </w:r>
    </w:p>
    <w:p w14:paraId="08EC86AE">
      <w:pPr>
        <w:spacing w:line="360" w:lineRule="auto"/>
        <w:ind w:firstLine="480" w:firstLineChars="200"/>
        <w:jc w:val="left"/>
        <w:rPr>
          <w:rFonts w:ascii="宋体" w:hAnsi="宋体" w:cs="宋体"/>
          <w:sz w:val="24"/>
          <w:szCs w:val="28"/>
        </w:rPr>
      </w:pPr>
      <w:r>
        <w:rPr>
          <w:rFonts w:hint="eastAsia" w:ascii="宋体" w:hAnsi="宋体" w:cs="宋体"/>
          <w:sz w:val="24"/>
          <w:szCs w:val="28"/>
        </w:rPr>
        <w:t>10.2变更权</w:t>
      </w:r>
    </w:p>
    <w:p w14:paraId="1D8B3092">
      <w:pPr>
        <w:spacing w:line="360" w:lineRule="auto"/>
        <w:ind w:firstLine="480" w:firstLineChars="200"/>
        <w:jc w:val="left"/>
        <w:rPr>
          <w:rFonts w:ascii="宋体" w:hAnsi="宋体" w:cs="宋体"/>
          <w:sz w:val="24"/>
          <w:szCs w:val="28"/>
        </w:rPr>
      </w:pPr>
      <w:r>
        <w:rPr>
          <w:rFonts w:hint="eastAsia" w:ascii="宋体" w:hAnsi="宋体" w:cs="宋体"/>
          <w:sz w:val="24"/>
          <w:szCs w:val="28"/>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3F149401">
      <w:pPr>
        <w:spacing w:line="360" w:lineRule="auto"/>
        <w:ind w:firstLine="480" w:firstLineChars="200"/>
        <w:jc w:val="left"/>
        <w:rPr>
          <w:rFonts w:ascii="宋体" w:hAnsi="宋体" w:cs="宋体"/>
          <w:sz w:val="24"/>
          <w:szCs w:val="28"/>
        </w:rPr>
      </w:pPr>
      <w:r>
        <w:rPr>
          <w:rFonts w:hint="eastAsia" w:ascii="宋体" w:hAnsi="宋体" w:cs="宋体"/>
          <w:sz w:val="24"/>
          <w:szCs w:val="28"/>
        </w:rPr>
        <w:t>涉及设计变更的，应由设计人提供变更后的图纸和说明。如变更超过原设计标准或批准的建设规模时，发包人应及时办理规划、设计变更等审批手续。</w:t>
      </w:r>
    </w:p>
    <w:p w14:paraId="3B624B8D">
      <w:pPr>
        <w:spacing w:line="360" w:lineRule="auto"/>
        <w:ind w:firstLine="480" w:firstLineChars="200"/>
        <w:jc w:val="left"/>
        <w:rPr>
          <w:rFonts w:ascii="宋体" w:hAnsi="宋体" w:cs="宋体"/>
          <w:sz w:val="24"/>
          <w:szCs w:val="28"/>
        </w:rPr>
      </w:pPr>
      <w:r>
        <w:rPr>
          <w:rFonts w:hint="eastAsia" w:ascii="宋体" w:hAnsi="宋体" w:cs="宋体"/>
          <w:sz w:val="24"/>
          <w:szCs w:val="28"/>
        </w:rPr>
        <w:t>10.3变更程序</w:t>
      </w:r>
    </w:p>
    <w:p w14:paraId="6E55DDB1">
      <w:pPr>
        <w:spacing w:line="360" w:lineRule="auto"/>
        <w:ind w:firstLine="480" w:firstLineChars="200"/>
        <w:jc w:val="left"/>
        <w:rPr>
          <w:rFonts w:ascii="宋体" w:hAnsi="宋体" w:cs="宋体"/>
          <w:sz w:val="24"/>
          <w:szCs w:val="28"/>
        </w:rPr>
      </w:pPr>
      <w:r>
        <w:rPr>
          <w:rFonts w:hint="eastAsia" w:ascii="宋体" w:hAnsi="宋体" w:cs="宋体"/>
          <w:sz w:val="24"/>
          <w:szCs w:val="28"/>
        </w:rPr>
        <w:t>10.3.1 发包人提出变更</w:t>
      </w:r>
    </w:p>
    <w:p w14:paraId="5679122D">
      <w:pPr>
        <w:spacing w:line="360" w:lineRule="auto"/>
        <w:ind w:firstLine="480" w:firstLineChars="200"/>
        <w:jc w:val="left"/>
        <w:rPr>
          <w:rFonts w:ascii="宋体" w:hAnsi="宋体" w:cs="宋体"/>
          <w:sz w:val="24"/>
          <w:szCs w:val="28"/>
        </w:rPr>
      </w:pPr>
      <w:r>
        <w:rPr>
          <w:rFonts w:hint="eastAsia" w:ascii="宋体" w:hAnsi="宋体" w:cs="宋体"/>
          <w:sz w:val="24"/>
          <w:szCs w:val="28"/>
        </w:rPr>
        <w:t>发包人提出变更的，应通过监理人向承包人发出变更指示，变更指示应说明计划变更的工程范围和变更的内容。</w:t>
      </w:r>
    </w:p>
    <w:p w14:paraId="0D7E568C">
      <w:pPr>
        <w:spacing w:line="360" w:lineRule="auto"/>
        <w:ind w:firstLine="480" w:firstLineChars="200"/>
        <w:jc w:val="left"/>
        <w:rPr>
          <w:rFonts w:ascii="宋体" w:hAnsi="宋体" w:cs="宋体"/>
          <w:sz w:val="24"/>
          <w:szCs w:val="28"/>
        </w:rPr>
      </w:pPr>
      <w:r>
        <w:rPr>
          <w:rFonts w:hint="eastAsia" w:ascii="宋体" w:hAnsi="宋体" w:cs="宋体"/>
          <w:sz w:val="24"/>
          <w:szCs w:val="28"/>
        </w:rPr>
        <w:t>10.3.2 监理人提出变更建议</w:t>
      </w:r>
    </w:p>
    <w:p w14:paraId="090F3F5B">
      <w:pPr>
        <w:spacing w:line="360" w:lineRule="auto"/>
        <w:ind w:firstLine="480" w:firstLineChars="200"/>
        <w:jc w:val="left"/>
        <w:rPr>
          <w:rFonts w:ascii="宋体" w:hAnsi="宋体" w:cs="宋体"/>
          <w:sz w:val="24"/>
          <w:szCs w:val="28"/>
        </w:rPr>
      </w:pPr>
      <w:r>
        <w:rPr>
          <w:rFonts w:hint="eastAsia" w:ascii="宋体" w:hAnsi="宋体" w:cs="宋体"/>
          <w:sz w:val="24"/>
          <w:szCs w:val="28"/>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4A6B78E6">
      <w:pPr>
        <w:spacing w:line="360" w:lineRule="auto"/>
        <w:ind w:firstLine="480" w:firstLineChars="200"/>
        <w:jc w:val="left"/>
        <w:rPr>
          <w:rFonts w:ascii="宋体" w:hAnsi="宋体" w:cs="宋体"/>
          <w:sz w:val="24"/>
          <w:szCs w:val="28"/>
        </w:rPr>
      </w:pPr>
      <w:r>
        <w:rPr>
          <w:rFonts w:hint="eastAsia" w:ascii="宋体" w:hAnsi="宋体" w:cs="宋体"/>
          <w:sz w:val="24"/>
          <w:szCs w:val="28"/>
        </w:rPr>
        <w:t>10.3.3 变更执行</w:t>
      </w:r>
    </w:p>
    <w:p w14:paraId="0C9AEB73">
      <w:pPr>
        <w:spacing w:line="360" w:lineRule="auto"/>
        <w:ind w:firstLine="480" w:firstLineChars="200"/>
        <w:jc w:val="left"/>
        <w:rPr>
          <w:rFonts w:ascii="宋体" w:hAnsi="宋体" w:cs="宋体"/>
          <w:sz w:val="24"/>
          <w:szCs w:val="28"/>
        </w:rPr>
      </w:pPr>
      <w:r>
        <w:rPr>
          <w:rFonts w:hint="eastAsia" w:ascii="宋体" w:hAnsi="宋体" w:cs="宋体"/>
          <w:sz w:val="24"/>
          <w:szCs w:val="28"/>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6908AD54">
      <w:pPr>
        <w:spacing w:line="360" w:lineRule="auto"/>
        <w:ind w:firstLine="480" w:firstLineChars="200"/>
        <w:jc w:val="left"/>
        <w:rPr>
          <w:rFonts w:ascii="宋体" w:hAnsi="宋体" w:cs="宋体"/>
          <w:sz w:val="24"/>
          <w:szCs w:val="28"/>
        </w:rPr>
      </w:pPr>
      <w:r>
        <w:rPr>
          <w:rFonts w:hint="eastAsia" w:ascii="宋体" w:hAnsi="宋体" w:cs="宋体"/>
          <w:sz w:val="24"/>
          <w:szCs w:val="28"/>
        </w:rPr>
        <w:t>10.4变更估价</w:t>
      </w:r>
    </w:p>
    <w:p w14:paraId="4AEBF54D">
      <w:pPr>
        <w:spacing w:line="360" w:lineRule="auto"/>
        <w:ind w:firstLine="480" w:firstLineChars="200"/>
        <w:jc w:val="left"/>
        <w:rPr>
          <w:rFonts w:ascii="宋体" w:hAnsi="宋体" w:cs="宋体"/>
          <w:sz w:val="24"/>
          <w:szCs w:val="28"/>
        </w:rPr>
      </w:pPr>
      <w:r>
        <w:rPr>
          <w:rFonts w:hint="eastAsia" w:ascii="宋体" w:hAnsi="宋体" w:cs="宋体"/>
          <w:sz w:val="24"/>
          <w:szCs w:val="28"/>
        </w:rPr>
        <w:t>10.4.1 变更估价原则</w:t>
      </w:r>
    </w:p>
    <w:p w14:paraId="062FCC01">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除专用合同条款另有约定外，变更估价按照本款约定处理：</w:t>
      </w:r>
    </w:p>
    <w:p w14:paraId="2A8729FB">
      <w:pPr>
        <w:spacing w:line="360" w:lineRule="auto"/>
        <w:ind w:firstLine="480" w:firstLineChars="200"/>
        <w:jc w:val="left"/>
        <w:rPr>
          <w:rFonts w:ascii="宋体" w:hAnsi="宋体" w:cs="宋体"/>
          <w:sz w:val="24"/>
          <w:szCs w:val="28"/>
        </w:rPr>
      </w:pPr>
      <w:r>
        <w:rPr>
          <w:rFonts w:hint="eastAsia" w:ascii="宋体" w:hAnsi="宋体" w:cs="宋体"/>
          <w:sz w:val="24"/>
          <w:szCs w:val="28"/>
        </w:rPr>
        <w:t>（1）已标价工程量清单或预算书有相同项目的，按照相同项目单价认定；</w:t>
      </w:r>
    </w:p>
    <w:p w14:paraId="030C14F9">
      <w:pPr>
        <w:spacing w:line="360" w:lineRule="auto"/>
        <w:ind w:firstLine="480" w:firstLineChars="200"/>
        <w:jc w:val="left"/>
        <w:rPr>
          <w:rFonts w:ascii="宋体" w:hAnsi="宋体" w:cs="宋体"/>
          <w:sz w:val="24"/>
          <w:szCs w:val="28"/>
        </w:rPr>
      </w:pPr>
      <w:r>
        <w:rPr>
          <w:rFonts w:hint="eastAsia" w:ascii="宋体" w:hAnsi="宋体" w:cs="宋体"/>
          <w:sz w:val="24"/>
          <w:szCs w:val="28"/>
        </w:rPr>
        <w:t>（2）已标价工程量清单或预算书中无相同项目，但有类似项目的，参照类似项目的单价认定；</w:t>
      </w:r>
    </w:p>
    <w:p w14:paraId="13991730">
      <w:pPr>
        <w:spacing w:line="360" w:lineRule="auto"/>
        <w:ind w:firstLine="480" w:firstLineChars="200"/>
        <w:jc w:val="left"/>
        <w:rPr>
          <w:rFonts w:ascii="宋体" w:hAnsi="宋体" w:cs="宋体"/>
          <w:sz w:val="24"/>
          <w:szCs w:val="28"/>
        </w:rPr>
      </w:pPr>
      <w:r>
        <w:rPr>
          <w:rFonts w:hint="eastAsia" w:ascii="宋体" w:hAnsi="宋体" w:cs="宋体"/>
          <w:sz w:val="24"/>
          <w:szCs w:val="28"/>
        </w:rPr>
        <w:t>（3）变更导致实际完成的变更工程量与已标价工程量清单或预算书中列明的该项目工程量的变化幅度超过15%的，或已标价工程量清单或预算书中无相同项目及项目单价的，按照合理的成本与利润构成的原则，由合同当事人按照第4.4款〔商定或确定〕确定变更工作的单价。</w:t>
      </w:r>
    </w:p>
    <w:p w14:paraId="0A710C66">
      <w:pPr>
        <w:spacing w:line="360" w:lineRule="auto"/>
        <w:ind w:firstLine="480" w:firstLineChars="200"/>
        <w:jc w:val="left"/>
        <w:rPr>
          <w:rFonts w:ascii="宋体" w:hAnsi="宋体" w:cs="宋体"/>
          <w:sz w:val="24"/>
          <w:szCs w:val="28"/>
        </w:rPr>
      </w:pPr>
      <w:r>
        <w:rPr>
          <w:rFonts w:hint="eastAsia" w:ascii="宋体" w:hAnsi="宋体" w:cs="宋体"/>
          <w:sz w:val="24"/>
          <w:szCs w:val="28"/>
        </w:rPr>
        <w:t>10.4.2 变更估价程序</w:t>
      </w:r>
    </w:p>
    <w:p w14:paraId="391AD4C3">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39987505">
      <w:pPr>
        <w:spacing w:line="360" w:lineRule="auto"/>
        <w:ind w:firstLine="480" w:firstLineChars="200"/>
        <w:jc w:val="left"/>
        <w:rPr>
          <w:rFonts w:ascii="宋体" w:hAnsi="宋体" w:cs="宋体"/>
          <w:sz w:val="24"/>
          <w:szCs w:val="28"/>
        </w:rPr>
      </w:pPr>
      <w:r>
        <w:rPr>
          <w:rFonts w:hint="eastAsia" w:ascii="宋体" w:hAnsi="宋体" w:cs="宋体"/>
          <w:sz w:val="24"/>
          <w:szCs w:val="28"/>
        </w:rPr>
        <w:t>因变更引起的价格调整应计入最近一期的进度款中支付。</w:t>
      </w:r>
    </w:p>
    <w:p w14:paraId="2F18E2F6">
      <w:pPr>
        <w:spacing w:line="360" w:lineRule="auto"/>
        <w:ind w:firstLine="480" w:firstLineChars="200"/>
        <w:jc w:val="left"/>
        <w:rPr>
          <w:rFonts w:ascii="宋体" w:hAnsi="宋体" w:cs="宋体"/>
          <w:sz w:val="24"/>
          <w:szCs w:val="28"/>
        </w:rPr>
      </w:pPr>
      <w:r>
        <w:rPr>
          <w:rFonts w:hint="eastAsia" w:ascii="宋体" w:hAnsi="宋体" w:cs="宋体"/>
          <w:sz w:val="24"/>
          <w:szCs w:val="28"/>
        </w:rPr>
        <w:t>10.5承包人的合理化建议</w:t>
      </w:r>
    </w:p>
    <w:p w14:paraId="3CF8D2D3">
      <w:pPr>
        <w:spacing w:line="360" w:lineRule="auto"/>
        <w:ind w:firstLine="480" w:firstLineChars="200"/>
        <w:jc w:val="left"/>
        <w:rPr>
          <w:rFonts w:ascii="宋体" w:hAnsi="宋体" w:cs="宋体"/>
          <w:sz w:val="24"/>
          <w:szCs w:val="28"/>
        </w:rPr>
      </w:pPr>
      <w:r>
        <w:rPr>
          <w:rFonts w:hint="eastAsia" w:ascii="宋体" w:hAnsi="宋体" w:cs="宋体"/>
          <w:sz w:val="24"/>
          <w:szCs w:val="28"/>
        </w:rPr>
        <w:t>承包人提出合理化建议的，应向监理人提交合理化建议说明，说明建议的内容和理由，以及实施该建议对合同价格和工期的影响。</w:t>
      </w:r>
    </w:p>
    <w:p w14:paraId="60C3FA42">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064B0B95">
      <w:pPr>
        <w:spacing w:line="360" w:lineRule="auto"/>
        <w:ind w:firstLine="480" w:firstLineChars="200"/>
        <w:jc w:val="left"/>
        <w:rPr>
          <w:rFonts w:ascii="宋体" w:hAnsi="宋体" w:cs="宋体"/>
          <w:sz w:val="24"/>
          <w:szCs w:val="28"/>
        </w:rPr>
      </w:pPr>
      <w:r>
        <w:rPr>
          <w:rFonts w:hint="eastAsia" w:ascii="宋体" w:hAnsi="宋体" w:cs="宋体"/>
          <w:sz w:val="24"/>
          <w:szCs w:val="28"/>
        </w:rPr>
        <w:t>合理化建议降低了合同价格或者提高了工程经济效益的，发包人可对承包人给予奖励，奖励的方法和金额在专用合同条款中约定。</w:t>
      </w:r>
    </w:p>
    <w:p w14:paraId="716AE858">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10.6变更引起的工期调整   </w:t>
      </w:r>
    </w:p>
    <w:p w14:paraId="148FDB77">
      <w:pPr>
        <w:spacing w:line="360" w:lineRule="auto"/>
        <w:ind w:firstLine="480" w:firstLineChars="200"/>
        <w:jc w:val="left"/>
        <w:rPr>
          <w:rFonts w:ascii="宋体" w:hAnsi="宋体" w:cs="宋体"/>
          <w:sz w:val="24"/>
          <w:szCs w:val="28"/>
        </w:rPr>
      </w:pPr>
      <w:r>
        <w:rPr>
          <w:rFonts w:hint="eastAsia" w:ascii="宋体" w:hAnsi="宋体" w:cs="宋体"/>
          <w:sz w:val="24"/>
          <w:szCs w:val="28"/>
        </w:rPr>
        <w:t>因变更引起工期变化的，合同当事人均可要求调整合同工期，由合同当事人按照第4.4款〔商定或确定〕并参考工程所在地的工期定额标准确定增减工期天数。</w:t>
      </w:r>
    </w:p>
    <w:p w14:paraId="35BF771A">
      <w:pPr>
        <w:spacing w:line="360" w:lineRule="auto"/>
        <w:ind w:firstLine="480" w:firstLineChars="200"/>
        <w:jc w:val="left"/>
        <w:rPr>
          <w:rFonts w:ascii="宋体" w:hAnsi="宋体" w:cs="宋体"/>
          <w:sz w:val="24"/>
          <w:szCs w:val="28"/>
        </w:rPr>
      </w:pPr>
      <w:r>
        <w:rPr>
          <w:rFonts w:hint="eastAsia" w:ascii="宋体" w:hAnsi="宋体" w:cs="宋体"/>
          <w:sz w:val="24"/>
          <w:szCs w:val="28"/>
        </w:rPr>
        <w:t>10.7暂估价</w:t>
      </w:r>
    </w:p>
    <w:p w14:paraId="345FEA31">
      <w:pPr>
        <w:spacing w:line="360" w:lineRule="auto"/>
        <w:ind w:firstLine="480" w:firstLineChars="200"/>
        <w:jc w:val="left"/>
        <w:rPr>
          <w:rFonts w:ascii="宋体" w:hAnsi="宋体" w:cs="宋体"/>
          <w:sz w:val="24"/>
          <w:szCs w:val="28"/>
        </w:rPr>
      </w:pPr>
      <w:r>
        <w:rPr>
          <w:rFonts w:hint="eastAsia" w:ascii="宋体" w:hAnsi="宋体" w:cs="宋体"/>
          <w:sz w:val="24"/>
          <w:szCs w:val="28"/>
        </w:rPr>
        <w:t>暂估价专业分包工程、服务、材料和工程设备的明细由合同当事人在专用合同条款中约定。</w:t>
      </w:r>
    </w:p>
    <w:p w14:paraId="0CEDE11A">
      <w:pPr>
        <w:spacing w:line="360" w:lineRule="auto"/>
        <w:ind w:firstLine="480" w:firstLineChars="200"/>
        <w:jc w:val="left"/>
        <w:rPr>
          <w:rFonts w:ascii="宋体" w:hAnsi="宋体" w:cs="宋体"/>
          <w:sz w:val="24"/>
          <w:szCs w:val="28"/>
        </w:rPr>
      </w:pPr>
      <w:r>
        <w:rPr>
          <w:rFonts w:hint="eastAsia" w:ascii="宋体" w:hAnsi="宋体" w:cs="宋体"/>
          <w:sz w:val="24"/>
          <w:szCs w:val="28"/>
        </w:rPr>
        <w:t>10.7.1 依法必须招标的暂估价项目</w:t>
      </w:r>
    </w:p>
    <w:p w14:paraId="325EFCFC">
      <w:pPr>
        <w:spacing w:line="360" w:lineRule="auto"/>
        <w:ind w:firstLine="480" w:firstLineChars="200"/>
        <w:jc w:val="left"/>
        <w:rPr>
          <w:rFonts w:ascii="宋体" w:hAnsi="宋体" w:cs="宋体"/>
          <w:sz w:val="24"/>
          <w:szCs w:val="28"/>
        </w:rPr>
      </w:pPr>
      <w:r>
        <w:rPr>
          <w:rFonts w:hint="eastAsia" w:ascii="宋体" w:hAnsi="宋体" w:cs="宋体"/>
          <w:sz w:val="24"/>
          <w:szCs w:val="28"/>
        </w:rPr>
        <w:t>对于依法必须招标的暂估价项目，采取以下第1种方式确定。合同当事人也可以在专用合同条款中选择其他招标方式。</w:t>
      </w:r>
    </w:p>
    <w:p w14:paraId="48453FF7">
      <w:pPr>
        <w:spacing w:line="360" w:lineRule="auto"/>
        <w:ind w:firstLine="480" w:firstLineChars="200"/>
        <w:jc w:val="left"/>
        <w:rPr>
          <w:rFonts w:ascii="宋体" w:hAnsi="宋体" w:cs="宋体"/>
          <w:sz w:val="24"/>
          <w:szCs w:val="28"/>
        </w:rPr>
      </w:pPr>
      <w:r>
        <w:rPr>
          <w:rFonts w:hint="eastAsia" w:ascii="宋体" w:hAnsi="宋体" w:cs="宋体"/>
          <w:sz w:val="24"/>
          <w:szCs w:val="28"/>
        </w:rPr>
        <w:t>第1种方式：对于依法必须招标的暂估价项目，由承包人招标，对该暂估价项目的确认和批准按照以下约定执行：</w:t>
      </w:r>
    </w:p>
    <w:p w14:paraId="43D654F5">
      <w:pPr>
        <w:spacing w:line="360" w:lineRule="auto"/>
        <w:ind w:firstLine="480" w:firstLineChars="200"/>
        <w:jc w:val="left"/>
        <w:rPr>
          <w:rFonts w:ascii="宋体" w:hAnsi="宋体" w:cs="宋体"/>
          <w:sz w:val="24"/>
          <w:szCs w:val="28"/>
        </w:rPr>
      </w:pPr>
      <w:r>
        <w:rPr>
          <w:rFonts w:hint="eastAsia" w:ascii="宋体" w:hAnsi="宋体" w:cs="宋体"/>
          <w:sz w:val="24"/>
          <w:szCs w:val="28"/>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D8C09C2">
      <w:pPr>
        <w:spacing w:line="360" w:lineRule="auto"/>
        <w:ind w:firstLine="480" w:firstLineChars="200"/>
        <w:jc w:val="left"/>
        <w:rPr>
          <w:rFonts w:ascii="宋体" w:hAnsi="宋体" w:cs="宋体"/>
          <w:sz w:val="24"/>
          <w:szCs w:val="28"/>
        </w:rPr>
      </w:pPr>
      <w:r>
        <w:rPr>
          <w:rFonts w:hint="eastAsia" w:ascii="宋体" w:hAnsi="宋体" w:cs="宋体"/>
          <w:sz w:val="24"/>
          <w:szCs w:val="28"/>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0100484D">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507AD69F">
      <w:pPr>
        <w:spacing w:line="360" w:lineRule="auto"/>
        <w:ind w:firstLine="480" w:firstLineChars="200"/>
        <w:jc w:val="left"/>
        <w:rPr>
          <w:rFonts w:ascii="宋体" w:hAnsi="宋体" w:cs="宋体"/>
          <w:sz w:val="24"/>
          <w:szCs w:val="28"/>
        </w:rPr>
      </w:pPr>
      <w:r>
        <w:rPr>
          <w:rFonts w:hint="eastAsia" w:ascii="宋体" w:hAnsi="宋体" w:cs="宋体"/>
          <w:sz w:val="24"/>
          <w:szCs w:val="28"/>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4E46A4F">
      <w:pPr>
        <w:spacing w:line="360" w:lineRule="auto"/>
        <w:ind w:firstLine="480" w:firstLineChars="200"/>
        <w:jc w:val="left"/>
        <w:rPr>
          <w:rFonts w:ascii="宋体" w:hAnsi="宋体" w:cs="宋体"/>
          <w:sz w:val="24"/>
          <w:szCs w:val="28"/>
        </w:rPr>
      </w:pPr>
      <w:r>
        <w:rPr>
          <w:rFonts w:hint="eastAsia" w:ascii="宋体" w:hAnsi="宋体" w:cs="宋体"/>
          <w:sz w:val="24"/>
          <w:szCs w:val="28"/>
        </w:rPr>
        <w:t>10.7.2不属于依法必须招标的暂估价项目</w:t>
      </w:r>
    </w:p>
    <w:p w14:paraId="28728DE4">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除专用合同条款另有约定外，对于不属于依法必须招标的暂估价项目，采取以下第1种方式确定： </w:t>
      </w:r>
    </w:p>
    <w:p w14:paraId="268A7159">
      <w:pPr>
        <w:spacing w:line="360" w:lineRule="auto"/>
        <w:ind w:firstLine="480" w:firstLineChars="200"/>
        <w:jc w:val="left"/>
        <w:rPr>
          <w:rFonts w:ascii="宋体" w:hAnsi="宋体" w:cs="宋体"/>
          <w:sz w:val="24"/>
          <w:szCs w:val="28"/>
        </w:rPr>
      </w:pPr>
      <w:r>
        <w:rPr>
          <w:rFonts w:hint="eastAsia" w:ascii="宋体" w:hAnsi="宋体" w:cs="宋体"/>
          <w:sz w:val="24"/>
          <w:szCs w:val="28"/>
        </w:rPr>
        <w:t>第1种方式：对于不属于依法必须招标的暂估价项目，按本项约定确认和批准：</w:t>
      </w:r>
    </w:p>
    <w:p w14:paraId="4EF3898E">
      <w:pPr>
        <w:spacing w:line="360" w:lineRule="auto"/>
        <w:ind w:firstLine="480" w:firstLineChars="200"/>
        <w:jc w:val="left"/>
        <w:rPr>
          <w:rFonts w:ascii="宋体" w:hAnsi="宋体" w:cs="宋体"/>
          <w:sz w:val="24"/>
          <w:szCs w:val="28"/>
        </w:rPr>
      </w:pPr>
      <w:r>
        <w:rPr>
          <w:rFonts w:hint="eastAsia" w:ascii="宋体" w:hAnsi="宋体" w:cs="宋体"/>
          <w:sz w:val="24"/>
          <w:szCs w:val="28"/>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C2CBFA7">
      <w:pPr>
        <w:spacing w:line="360" w:lineRule="auto"/>
        <w:ind w:firstLine="480" w:firstLineChars="200"/>
        <w:jc w:val="left"/>
        <w:rPr>
          <w:rFonts w:ascii="宋体" w:hAnsi="宋体" w:cs="宋体"/>
          <w:sz w:val="24"/>
          <w:szCs w:val="28"/>
        </w:rPr>
      </w:pPr>
      <w:r>
        <w:rPr>
          <w:rFonts w:hint="eastAsia" w:ascii="宋体" w:hAnsi="宋体" w:cs="宋体"/>
          <w:sz w:val="24"/>
          <w:szCs w:val="28"/>
        </w:rPr>
        <w:t>（2）发包人认为承包人确定的供应商、分包人无法满足工程质量或合同要求的，发包人可以要求承包人重新确定暂估价项目的供应商、分包人;</w:t>
      </w:r>
    </w:p>
    <w:p w14:paraId="51905DFC">
      <w:pPr>
        <w:spacing w:line="360" w:lineRule="auto"/>
        <w:ind w:firstLine="480" w:firstLineChars="200"/>
        <w:jc w:val="left"/>
        <w:rPr>
          <w:rFonts w:ascii="宋体" w:hAnsi="宋体" w:cs="宋体"/>
          <w:sz w:val="24"/>
          <w:szCs w:val="28"/>
        </w:rPr>
      </w:pPr>
      <w:r>
        <w:rPr>
          <w:rFonts w:hint="eastAsia" w:ascii="宋体" w:hAnsi="宋体" w:cs="宋体"/>
          <w:sz w:val="24"/>
          <w:szCs w:val="28"/>
        </w:rPr>
        <w:t>（3）承包人应当在签订暂估价合同后7天内，将暂估价合同副本报送发包人留存。</w:t>
      </w:r>
    </w:p>
    <w:p w14:paraId="4D3430DB">
      <w:pPr>
        <w:spacing w:line="360" w:lineRule="auto"/>
        <w:ind w:firstLine="480" w:firstLineChars="200"/>
        <w:jc w:val="left"/>
        <w:rPr>
          <w:rFonts w:ascii="宋体" w:hAnsi="宋体" w:cs="宋体"/>
          <w:sz w:val="24"/>
          <w:szCs w:val="28"/>
        </w:rPr>
      </w:pPr>
      <w:r>
        <w:rPr>
          <w:rFonts w:hint="eastAsia" w:ascii="宋体" w:hAnsi="宋体" w:cs="宋体"/>
          <w:sz w:val="24"/>
          <w:szCs w:val="28"/>
        </w:rPr>
        <w:t>第2种方式：承包人按照第10.7.1项〔依法必须招标的暂估价项目〕约定的第1种方式确定暂估价项目。</w:t>
      </w:r>
    </w:p>
    <w:p w14:paraId="7E35F8F9">
      <w:pPr>
        <w:spacing w:line="360" w:lineRule="auto"/>
        <w:ind w:firstLine="480" w:firstLineChars="200"/>
        <w:jc w:val="left"/>
        <w:rPr>
          <w:rFonts w:ascii="宋体" w:hAnsi="宋体" w:cs="宋体"/>
          <w:sz w:val="24"/>
          <w:szCs w:val="28"/>
        </w:rPr>
      </w:pPr>
      <w:r>
        <w:rPr>
          <w:rFonts w:hint="eastAsia" w:ascii="宋体" w:hAnsi="宋体" w:cs="宋体"/>
          <w:sz w:val="24"/>
          <w:szCs w:val="28"/>
        </w:rPr>
        <w:t>第3种方式：承包人直接实施的暂估价项目</w:t>
      </w:r>
    </w:p>
    <w:p w14:paraId="789C11B0">
      <w:pPr>
        <w:spacing w:line="360" w:lineRule="auto"/>
        <w:ind w:firstLine="480" w:firstLineChars="200"/>
        <w:jc w:val="left"/>
        <w:rPr>
          <w:rFonts w:ascii="宋体" w:hAnsi="宋体" w:cs="宋体"/>
          <w:sz w:val="24"/>
          <w:szCs w:val="28"/>
        </w:rPr>
      </w:pPr>
      <w:r>
        <w:rPr>
          <w:rFonts w:hint="eastAsia" w:ascii="宋体" w:hAnsi="宋体" w:cs="宋体"/>
          <w:sz w:val="24"/>
          <w:szCs w:val="28"/>
        </w:rPr>
        <w:t>承包人具备实施暂估价项目的资格和条件的，经发包人和承包人协商一致后，可由承包人自行实施暂估价项目，合同当事人可以在专用合同条款约定具体事项。</w:t>
      </w:r>
    </w:p>
    <w:p w14:paraId="4457CF11">
      <w:pPr>
        <w:spacing w:line="360" w:lineRule="auto"/>
        <w:ind w:firstLine="480" w:firstLineChars="200"/>
        <w:jc w:val="left"/>
        <w:rPr>
          <w:rFonts w:ascii="宋体" w:hAnsi="宋体" w:cs="宋体"/>
          <w:sz w:val="24"/>
          <w:szCs w:val="28"/>
        </w:rPr>
      </w:pPr>
      <w:r>
        <w:rPr>
          <w:rFonts w:hint="eastAsia" w:ascii="宋体" w:hAnsi="宋体" w:cs="宋体"/>
          <w:sz w:val="24"/>
          <w:szCs w:val="28"/>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D62683B">
      <w:pPr>
        <w:spacing w:line="360" w:lineRule="auto"/>
        <w:ind w:firstLine="480" w:firstLineChars="200"/>
        <w:jc w:val="left"/>
        <w:rPr>
          <w:rFonts w:ascii="宋体" w:hAnsi="宋体" w:cs="宋体"/>
          <w:sz w:val="24"/>
          <w:szCs w:val="28"/>
        </w:rPr>
      </w:pPr>
      <w:r>
        <w:rPr>
          <w:rFonts w:hint="eastAsia" w:ascii="宋体" w:hAnsi="宋体" w:cs="宋体"/>
          <w:sz w:val="24"/>
          <w:szCs w:val="28"/>
        </w:rPr>
        <w:t>10.8暂列金额</w:t>
      </w:r>
    </w:p>
    <w:p w14:paraId="34EFA9F7">
      <w:pPr>
        <w:spacing w:line="360" w:lineRule="auto"/>
        <w:ind w:firstLine="480" w:firstLineChars="200"/>
        <w:jc w:val="left"/>
        <w:rPr>
          <w:rFonts w:ascii="宋体" w:hAnsi="宋体" w:cs="宋体"/>
          <w:sz w:val="24"/>
          <w:szCs w:val="28"/>
        </w:rPr>
      </w:pPr>
      <w:r>
        <w:rPr>
          <w:rFonts w:hint="eastAsia" w:ascii="宋体" w:hAnsi="宋体" w:cs="宋体"/>
          <w:sz w:val="24"/>
          <w:szCs w:val="28"/>
        </w:rPr>
        <w:t>暂列金额应按照发包人的要求使用，发包人的要求应通过监理人发出。合同当事人可以在专用合同条款中协商确定有关事项。</w:t>
      </w:r>
    </w:p>
    <w:p w14:paraId="7850638F">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10.9计日工 </w:t>
      </w:r>
    </w:p>
    <w:p w14:paraId="7C76C6CE">
      <w:pPr>
        <w:spacing w:line="360" w:lineRule="auto"/>
        <w:ind w:firstLine="480" w:firstLineChars="200"/>
        <w:jc w:val="left"/>
        <w:rPr>
          <w:rFonts w:ascii="宋体" w:hAnsi="宋体" w:cs="宋体"/>
          <w:sz w:val="24"/>
          <w:szCs w:val="28"/>
        </w:rPr>
      </w:pPr>
      <w:r>
        <w:rPr>
          <w:rFonts w:hint="eastAsia" w:ascii="宋体" w:hAnsi="宋体" w:cs="宋体"/>
          <w:sz w:val="24"/>
          <w:szCs w:val="28"/>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28B8FC19">
      <w:pPr>
        <w:spacing w:line="360" w:lineRule="auto"/>
        <w:ind w:firstLine="480" w:firstLineChars="200"/>
        <w:jc w:val="left"/>
        <w:rPr>
          <w:rFonts w:ascii="宋体" w:hAnsi="宋体" w:cs="宋体"/>
          <w:sz w:val="24"/>
          <w:szCs w:val="28"/>
        </w:rPr>
      </w:pPr>
      <w:r>
        <w:rPr>
          <w:rFonts w:hint="eastAsia" w:ascii="宋体" w:hAnsi="宋体" w:cs="宋体"/>
          <w:sz w:val="24"/>
          <w:szCs w:val="28"/>
        </w:rPr>
        <w:t>采用计日工计价的任何一项工作，承包人应在该项工作实施过程中，每天提交以下报表和有关凭证报送监理人审查：</w:t>
      </w:r>
    </w:p>
    <w:p w14:paraId="67735F93">
      <w:pPr>
        <w:spacing w:line="360" w:lineRule="auto"/>
        <w:ind w:firstLine="480" w:firstLineChars="200"/>
        <w:jc w:val="left"/>
        <w:rPr>
          <w:rFonts w:ascii="宋体" w:hAnsi="宋体" w:cs="宋体"/>
          <w:sz w:val="24"/>
          <w:szCs w:val="28"/>
        </w:rPr>
      </w:pPr>
      <w:r>
        <w:rPr>
          <w:rFonts w:hint="eastAsia" w:ascii="宋体" w:hAnsi="宋体" w:cs="宋体"/>
          <w:sz w:val="24"/>
          <w:szCs w:val="28"/>
        </w:rPr>
        <w:t>（1）工作名称、内容和数量；</w:t>
      </w:r>
    </w:p>
    <w:p w14:paraId="52A0FA63">
      <w:pPr>
        <w:spacing w:line="360" w:lineRule="auto"/>
        <w:ind w:firstLine="480" w:firstLineChars="200"/>
        <w:jc w:val="left"/>
        <w:rPr>
          <w:rFonts w:ascii="宋体" w:hAnsi="宋体" w:cs="宋体"/>
          <w:sz w:val="24"/>
          <w:szCs w:val="28"/>
        </w:rPr>
      </w:pPr>
      <w:r>
        <w:rPr>
          <w:rFonts w:hint="eastAsia" w:ascii="宋体" w:hAnsi="宋体" w:cs="宋体"/>
          <w:sz w:val="24"/>
          <w:szCs w:val="28"/>
        </w:rPr>
        <w:t>（2）投入该工作的所有人员的姓名、专业、工种、级别和耗用工时；</w:t>
      </w:r>
    </w:p>
    <w:p w14:paraId="19B2C809">
      <w:pPr>
        <w:spacing w:line="360" w:lineRule="auto"/>
        <w:ind w:firstLine="480" w:firstLineChars="200"/>
        <w:jc w:val="left"/>
        <w:rPr>
          <w:rFonts w:ascii="宋体" w:hAnsi="宋体" w:cs="宋体"/>
          <w:sz w:val="24"/>
          <w:szCs w:val="28"/>
        </w:rPr>
      </w:pPr>
      <w:r>
        <w:rPr>
          <w:rFonts w:hint="eastAsia" w:ascii="宋体" w:hAnsi="宋体" w:cs="宋体"/>
          <w:sz w:val="24"/>
          <w:szCs w:val="28"/>
        </w:rPr>
        <w:t>（3）投入该工作的材料类别和数量；</w:t>
      </w:r>
    </w:p>
    <w:p w14:paraId="639F0FAE">
      <w:pPr>
        <w:spacing w:line="360" w:lineRule="auto"/>
        <w:ind w:firstLine="480" w:firstLineChars="200"/>
        <w:jc w:val="left"/>
        <w:rPr>
          <w:rFonts w:ascii="宋体" w:hAnsi="宋体" w:cs="宋体"/>
          <w:sz w:val="24"/>
          <w:szCs w:val="28"/>
        </w:rPr>
      </w:pPr>
      <w:r>
        <w:rPr>
          <w:rFonts w:hint="eastAsia" w:ascii="宋体" w:hAnsi="宋体" w:cs="宋体"/>
          <w:sz w:val="24"/>
          <w:szCs w:val="28"/>
        </w:rPr>
        <w:t>（4）投入该工作的施工设备型号、台数和耗用台时；</w:t>
      </w:r>
    </w:p>
    <w:p w14:paraId="72E82D99">
      <w:pPr>
        <w:spacing w:line="360" w:lineRule="auto"/>
        <w:ind w:firstLine="480" w:firstLineChars="200"/>
        <w:jc w:val="left"/>
        <w:rPr>
          <w:rFonts w:ascii="宋体" w:hAnsi="宋体" w:cs="宋体"/>
          <w:sz w:val="24"/>
          <w:szCs w:val="28"/>
        </w:rPr>
      </w:pPr>
      <w:r>
        <w:rPr>
          <w:rFonts w:hint="eastAsia" w:ascii="宋体" w:hAnsi="宋体" w:cs="宋体"/>
          <w:sz w:val="24"/>
          <w:szCs w:val="28"/>
        </w:rPr>
        <w:t>（5）其他有关资料和凭证。</w:t>
      </w:r>
    </w:p>
    <w:p w14:paraId="4DD14465">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计日工由承包人汇总后，列入最近一期进度付款申请单，由监理人审查并经发包人批准后列入进度付款。</w:t>
      </w:r>
    </w:p>
    <w:p w14:paraId="4286B96D">
      <w:pPr>
        <w:spacing w:line="360" w:lineRule="auto"/>
        <w:ind w:firstLine="480" w:firstLineChars="200"/>
        <w:jc w:val="left"/>
        <w:rPr>
          <w:rFonts w:ascii="宋体" w:hAnsi="宋体" w:cs="宋体"/>
          <w:sz w:val="24"/>
          <w:szCs w:val="28"/>
        </w:rPr>
      </w:pPr>
      <w:r>
        <w:rPr>
          <w:rFonts w:hint="eastAsia" w:ascii="宋体" w:hAnsi="宋体" w:cs="宋体"/>
          <w:sz w:val="24"/>
          <w:szCs w:val="28"/>
        </w:rPr>
        <w:t>11. 价格调整</w:t>
      </w:r>
    </w:p>
    <w:p w14:paraId="2D5B2462">
      <w:pPr>
        <w:spacing w:line="360" w:lineRule="auto"/>
        <w:ind w:firstLine="480" w:firstLineChars="200"/>
        <w:jc w:val="left"/>
        <w:rPr>
          <w:rFonts w:ascii="宋体" w:hAnsi="宋体" w:cs="宋体"/>
          <w:sz w:val="24"/>
          <w:szCs w:val="28"/>
        </w:rPr>
      </w:pPr>
      <w:r>
        <w:rPr>
          <w:rFonts w:hint="eastAsia" w:ascii="宋体" w:hAnsi="宋体" w:cs="宋体"/>
          <w:sz w:val="24"/>
          <w:szCs w:val="28"/>
        </w:rPr>
        <w:t>11.1市场价格波动引起的调整</w:t>
      </w:r>
    </w:p>
    <w:p w14:paraId="1CA333E1">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除专用合同条款另有约定外，市场价格波动超过合同当事人约定的范围，合同价格应当调整。合同当事人可以在专用合同条款中约定选择以下一种方式对合同价格进行调整：</w:t>
      </w:r>
    </w:p>
    <w:p w14:paraId="183142EF">
      <w:pPr>
        <w:spacing w:line="360" w:lineRule="auto"/>
        <w:ind w:firstLine="480" w:firstLineChars="200"/>
        <w:jc w:val="left"/>
        <w:rPr>
          <w:rFonts w:ascii="宋体" w:hAnsi="宋体" w:cs="宋体"/>
          <w:sz w:val="24"/>
          <w:szCs w:val="28"/>
        </w:rPr>
      </w:pPr>
      <w:r>
        <w:rPr>
          <w:rFonts w:hint="eastAsia" w:ascii="宋体" w:hAnsi="宋体" w:cs="宋体"/>
          <w:sz w:val="24"/>
          <w:szCs w:val="28"/>
        </w:rPr>
        <w:t>第1种方式：采用价格指数进行价格调整。</w:t>
      </w:r>
    </w:p>
    <w:p w14:paraId="6CDDEA6D">
      <w:pPr>
        <w:spacing w:line="360" w:lineRule="auto"/>
        <w:ind w:firstLine="480" w:firstLineChars="200"/>
        <w:jc w:val="left"/>
        <w:rPr>
          <w:rFonts w:ascii="宋体" w:hAnsi="宋体" w:cs="宋体"/>
          <w:sz w:val="24"/>
          <w:szCs w:val="28"/>
        </w:rPr>
      </w:pPr>
      <w:r>
        <w:rPr>
          <w:rFonts w:hint="eastAsia" w:ascii="宋体" w:hAnsi="宋体" w:cs="宋体"/>
          <w:sz w:val="24"/>
          <w:szCs w:val="28"/>
        </w:rPr>
        <w:t>（1）价格调整公式</w:t>
      </w:r>
    </w:p>
    <w:p w14:paraId="1C893B84">
      <w:pPr>
        <w:spacing w:line="360" w:lineRule="auto"/>
        <w:ind w:firstLine="480" w:firstLineChars="200"/>
        <w:jc w:val="left"/>
        <w:rPr>
          <w:rFonts w:ascii="宋体" w:hAnsi="宋体" w:cs="宋体"/>
          <w:sz w:val="24"/>
          <w:szCs w:val="28"/>
        </w:rPr>
      </w:pPr>
      <w:r>
        <w:rPr>
          <w:rFonts w:hint="eastAsia" w:ascii="宋体" w:hAnsi="宋体" w:cs="宋体"/>
          <w:sz w:val="24"/>
          <w:szCs w:val="28"/>
        </w:rPr>
        <w:t>因人工、材料和设备等价格波动影响合同价格时，根据专用合同条款中约定的数据，按以下公式计算差额并调整合同价格：</w:t>
      </w:r>
    </w:p>
    <w:p w14:paraId="2B5FA040">
      <w:pPr>
        <w:spacing w:line="360" w:lineRule="auto"/>
        <w:ind w:firstLine="480" w:firstLineChars="200"/>
        <w:jc w:val="left"/>
        <w:rPr>
          <w:rFonts w:ascii="宋体" w:hAnsi="宋体" w:cs="宋体"/>
          <w:sz w:val="24"/>
          <w:szCs w:val="28"/>
        </w:rPr>
      </w:pPr>
      <w:r>
        <w:rPr>
          <w:rFonts w:ascii="宋体" w:hAnsi="宋体" w:cs="宋体"/>
          <w:sz w:val="24"/>
          <w:szCs w:val="28"/>
        </w:rPr>
        <w:t xml:space="preserve"> </w:t>
      </w:r>
    </w:p>
    <w:p w14:paraId="7F99B4BC">
      <w:pPr>
        <w:spacing w:line="360" w:lineRule="auto"/>
        <w:ind w:firstLine="480" w:firstLineChars="200"/>
        <w:jc w:val="left"/>
        <w:rPr>
          <w:rFonts w:ascii="宋体" w:hAnsi="宋体" w:cs="宋体"/>
          <w:sz w:val="24"/>
          <w:szCs w:val="28"/>
        </w:rPr>
      </w:pPr>
      <w:r>
        <w:rPr>
          <w:rFonts w:hint="eastAsia" w:ascii="宋体" w:hAnsi="宋体" w:cs="宋体"/>
          <w:sz w:val="24"/>
          <w:szCs w:val="28"/>
        </w:rPr>
        <w:t>公式中：ΔP——需调整的价格差额；</w:t>
      </w:r>
    </w:p>
    <w:p w14:paraId="21C8BD76">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——约定的付款证书中承包人应得到的已完成工程量的金额。此项金额应不包括价格调整、不计质量保证金的扣留和支付、预付款的支付和扣回。约定的变更及其他金额已按现行价格计价的，也不计在内；</w:t>
      </w:r>
    </w:p>
    <w:p w14:paraId="1F5A26BD">
      <w:pPr>
        <w:spacing w:line="360" w:lineRule="auto"/>
        <w:ind w:firstLine="480" w:firstLineChars="200"/>
        <w:jc w:val="left"/>
        <w:rPr>
          <w:rFonts w:ascii="宋体" w:hAnsi="宋体" w:cs="宋体"/>
          <w:sz w:val="24"/>
          <w:szCs w:val="28"/>
        </w:rPr>
      </w:pPr>
      <w:r>
        <w:rPr>
          <w:rFonts w:hint="eastAsia" w:ascii="宋体" w:hAnsi="宋体" w:cs="宋体"/>
          <w:sz w:val="24"/>
          <w:szCs w:val="28"/>
        </w:rPr>
        <w:t>A——定值权重（即不调部分的权重）；</w:t>
      </w:r>
    </w:p>
    <w:p w14:paraId="249D8248">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——各可调因子的变值权重（即可调部分的权重），为各可调因子在签约合同价中所占的比例；</w:t>
      </w:r>
    </w:p>
    <w:p w14:paraId="516365C0">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——各可调因子的现行价格指数，指约定的付款证书相关周期最后一天的前42天的各可调因子的价格指数；</w:t>
      </w:r>
    </w:p>
    <w:p w14:paraId="02D50E72">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——各可调因子的基本价格指数，指基准日期的各可调因子的价格指数。</w:t>
      </w:r>
    </w:p>
    <w:p w14:paraId="5CE4B39D">
      <w:pPr>
        <w:spacing w:line="360" w:lineRule="auto"/>
        <w:ind w:firstLine="480" w:firstLineChars="200"/>
        <w:jc w:val="left"/>
        <w:rPr>
          <w:rFonts w:ascii="宋体" w:hAnsi="宋体" w:cs="宋体"/>
          <w:sz w:val="24"/>
          <w:szCs w:val="28"/>
        </w:rPr>
      </w:pPr>
      <w:r>
        <w:rPr>
          <w:rFonts w:hint="eastAsia" w:ascii="宋体" w:hAnsi="宋体" w:cs="宋体"/>
          <w:sz w:val="24"/>
          <w:szCs w:val="28"/>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4D40A441">
      <w:pPr>
        <w:spacing w:line="360" w:lineRule="auto"/>
        <w:ind w:firstLine="480" w:firstLineChars="200"/>
        <w:jc w:val="left"/>
        <w:rPr>
          <w:rFonts w:ascii="宋体" w:hAnsi="宋体" w:cs="宋体"/>
          <w:sz w:val="24"/>
          <w:szCs w:val="28"/>
        </w:rPr>
      </w:pPr>
      <w:r>
        <w:rPr>
          <w:rFonts w:hint="eastAsia" w:ascii="宋体" w:hAnsi="宋体" w:cs="宋体"/>
          <w:sz w:val="24"/>
          <w:szCs w:val="28"/>
        </w:rPr>
        <w:t>（2）暂时确定调整差额</w:t>
      </w:r>
    </w:p>
    <w:p w14:paraId="5BEE4166">
      <w:pPr>
        <w:spacing w:line="360" w:lineRule="auto"/>
        <w:ind w:firstLine="480" w:firstLineChars="200"/>
        <w:jc w:val="left"/>
        <w:rPr>
          <w:rFonts w:ascii="宋体" w:hAnsi="宋体" w:cs="宋体"/>
          <w:sz w:val="24"/>
          <w:szCs w:val="28"/>
        </w:rPr>
      </w:pPr>
      <w:r>
        <w:rPr>
          <w:rFonts w:hint="eastAsia" w:ascii="宋体" w:hAnsi="宋体" w:cs="宋体"/>
          <w:sz w:val="24"/>
          <w:szCs w:val="28"/>
        </w:rPr>
        <w:t>在计算调整差额时无现行价格指数的，合同当事人同意暂用前次价格指数计算。实际价格指数有调整的，合同当事人进行相应调整。</w:t>
      </w:r>
    </w:p>
    <w:p w14:paraId="29772B82">
      <w:pPr>
        <w:spacing w:line="360" w:lineRule="auto"/>
        <w:ind w:firstLine="480" w:firstLineChars="200"/>
        <w:jc w:val="left"/>
        <w:rPr>
          <w:rFonts w:ascii="宋体" w:hAnsi="宋体" w:cs="宋体"/>
          <w:sz w:val="24"/>
          <w:szCs w:val="28"/>
        </w:rPr>
      </w:pPr>
      <w:r>
        <w:rPr>
          <w:rFonts w:hint="eastAsia" w:ascii="宋体" w:hAnsi="宋体" w:cs="宋体"/>
          <w:sz w:val="24"/>
          <w:szCs w:val="28"/>
        </w:rPr>
        <w:t>（3）权重的调整</w:t>
      </w:r>
    </w:p>
    <w:p w14:paraId="507FC671">
      <w:pPr>
        <w:spacing w:line="360" w:lineRule="auto"/>
        <w:ind w:firstLine="480" w:firstLineChars="200"/>
        <w:jc w:val="left"/>
        <w:rPr>
          <w:rFonts w:ascii="宋体" w:hAnsi="宋体" w:cs="宋体"/>
          <w:sz w:val="24"/>
          <w:szCs w:val="28"/>
        </w:rPr>
      </w:pPr>
      <w:r>
        <w:rPr>
          <w:rFonts w:hint="eastAsia" w:ascii="宋体" w:hAnsi="宋体" w:cs="宋体"/>
          <w:sz w:val="24"/>
          <w:szCs w:val="28"/>
        </w:rPr>
        <w:t>因变更导致合同约定的权重不合理时，按照第4.4款〔商定或确定〕执行。</w:t>
      </w:r>
    </w:p>
    <w:p w14:paraId="2B039D5C">
      <w:pPr>
        <w:spacing w:line="360" w:lineRule="auto"/>
        <w:ind w:firstLine="480" w:firstLineChars="200"/>
        <w:jc w:val="left"/>
        <w:rPr>
          <w:rFonts w:ascii="宋体" w:hAnsi="宋体" w:cs="宋体"/>
          <w:sz w:val="24"/>
          <w:szCs w:val="28"/>
        </w:rPr>
      </w:pPr>
      <w:r>
        <w:rPr>
          <w:rFonts w:hint="eastAsia" w:ascii="宋体" w:hAnsi="宋体" w:cs="宋体"/>
          <w:sz w:val="24"/>
          <w:szCs w:val="28"/>
        </w:rPr>
        <w:t>（4）因承包人原因工期延误后的价格调整</w:t>
      </w:r>
    </w:p>
    <w:p w14:paraId="1FC704F2">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因承包人原因未按期竣工的，对合同约定的竣工日期后继续施工的工程，在使用价格调整公式时，应采用计划竣工日期与实际竣工日期的两个价格指数中较低的一个作为现行价格指数。</w:t>
      </w:r>
    </w:p>
    <w:p w14:paraId="2F21BB2C">
      <w:pPr>
        <w:spacing w:line="360" w:lineRule="auto"/>
        <w:ind w:firstLine="480" w:firstLineChars="200"/>
        <w:jc w:val="left"/>
        <w:rPr>
          <w:rFonts w:ascii="宋体" w:hAnsi="宋体" w:cs="宋体"/>
          <w:sz w:val="24"/>
          <w:szCs w:val="28"/>
        </w:rPr>
      </w:pPr>
      <w:r>
        <w:rPr>
          <w:rFonts w:hint="eastAsia" w:ascii="宋体" w:hAnsi="宋体" w:cs="宋体"/>
          <w:sz w:val="24"/>
          <w:szCs w:val="28"/>
        </w:rPr>
        <w:t>第2种方式：采用造价信息进行价格调整。</w:t>
      </w:r>
    </w:p>
    <w:p w14:paraId="6E6FA513">
      <w:pPr>
        <w:spacing w:line="360" w:lineRule="auto"/>
        <w:ind w:firstLine="480" w:firstLineChars="200"/>
        <w:jc w:val="left"/>
        <w:rPr>
          <w:rFonts w:ascii="宋体" w:hAnsi="宋体" w:cs="宋体"/>
          <w:sz w:val="24"/>
          <w:szCs w:val="28"/>
        </w:rPr>
      </w:pPr>
      <w:r>
        <w:rPr>
          <w:rFonts w:hint="eastAsia" w:ascii="宋体" w:hAnsi="宋体" w:cs="宋体"/>
          <w:sz w:val="24"/>
          <w:szCs w:val="28"/>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0D919A03">
      <w:pPr>
        <w:spacing w:line="360" w:lineRule="auto"/>
        <w:ind w:firstLine="480" w:firstLineChars="200"/>
        <w:jc w:val="left"/>
        <w:rPr>
          <w:rFonts w:ascii="宋体" w:hAnsi="宋体" w:cs="宋体"/>
          <w:sz w:val="24"/>
          <w:szCs w:val="28"/>
        </w:rPr>
      </w:pPr>
      <w:r>
        <w:rPr>
          <w:rFonts w:hint="eastAsia" w:ascii="宋体" w:hAnsi="宋体" w:cs="宋体"/>
          <w:sz w:val="24"/>
          <w:szCs w:val="28"/>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6162FB3">
      <w:pPr>
        <w:spacing w:line="360" w:lineRule="auto"/>
        <w:ind w:firstLine="480" w:firstLineChars="200"/>
        <w:jc w:val="left"/>
        <w:rPr>
          <w:rFonts w:ascii="宋体" w:hAnsi="宋体" w:cs="宋体"/>
          <w:sz w:val="24"/>
          <w:szCs w:val="28"/>
        </w:rPr>
      </w:pPr>
      <w:r>
        <w:rPr>
          <w:rFonts w:hint="eastAsia" w:ascii="宋体" w:hAnsi="宋体" w:cs="宋体"/>
          <w:sz w:val="24"/>
          <w:szCs w:val="28"/>
        </w:rPr>
        <w:t>（2）材料、工程设备价格变化的价款调整按照发包人提供的基准价格，按以下风险范围规定执行:</w:t>
      </w:r>
    </w:p>
    <w:p w14:paraId="4A984FFF">
      <w:pPr>
        <w:spacing w:line="360" w:lineRule="auto"/>
        <w:ind w:firstLine="480" w:firstLineChars="200"/>
        <w:jc w:val="left"/>
        <w:rPr>
          <w:rFonts w:ascii="宋体" w:hAnsi="宋体" w:cs="宋体"/>
          <w:sz w:val="24"/>
          <w:szCs w:val="28"/>
        </w:rPr>
      </w:pPr>
      <w:r>
        <w:rPr>
          <w:rFonts w:hint="eastAsia" w:ascii="宋体" w:hAnsi="宋体" w:cs="宋体"/>
          <w:sz w:val="24"/>
          <w:szCs w:val="28"/>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585F8489">
      <w:pPr>
        <w:spacing w:line="360" w:lineRule="auto"/>
        <w:ind w:firstLine="480" w:firstLineChars="200"/>
        <w:jc w:val="left"/>
        <w:rPr>
          <w:rFonts w:ascii="宋体" w:hAnsi="宋体" w:cs="宋体"/>
          <w:sz w:val="24"/>
          <w:szCs w:val="28"/>
        </w:rPr>
      </w:pPr>
      <w:r>
        <w:rPr>
          <w:rFonts w:hint="eastAsia" w:ascii="宋体" w:hAnsi="宋体" w:cs="宋体"/>
          <w:sz w:val="24"/>
          <w:szCs w:val="28"/>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1FFE3A80">
      <w:pPr>
        <w:spacing w:line="360" w:lineRule="auto"/>
        <w:ind w:firstLine="480" w:firstLineChars="200"/>
        <w:jc w:val="left"/>
        <w:rPr>
          <w:rFonts w:ascii="宋体" w:hAnsi="宋体" w:cs="宋体"/>
          <w:sz w:val="24"/>
          <w:szCs w:val="28"/>
        </w:rPr>
      </w:pPr>
      <w:r>
        <w:rPr>
          <w:rFonts w:hint="eastAsia" w:ascii="宋体" w:hAnsi="宋体" w:cs="宋体"/>
          <w:sz w:val="24"/>
          <w:szCs w:val="28"/>
        </w:rPr>
        <w:t>③承包人在已标价工程量清单或预算书中载明材料单价等于基准价格的：除专用合同条款另有约定外，合同履行期间材料单价涨跌幅以基准价格为基础超过±5%时，其超过部分据实调整。</w:t>
      </w:r>
    </w:p>
    <w:p w14:paraId="3B13D277">
      <w:pPr>
        <w:spacing w:line="360" w:lineRule="auto"/>
        <w:ind w:firstLine="480" w:firstLineChars="200"/>
        <w:jc w:val="left"/>
        <w:rPr>
          <w:rFonts w:ascii="宋体" w:hAnsi="宋体" w:cs="宋体"/>
          <w:sz w:val="24"/>
          <w:szCs w:val="28"/>
        </w:rPr>
      </w:pPr>
      <w:r>
        <w:rPr>
          <w:rFonts w:hint="eastAsia" w:ascii="宋体" w:hAnsi="宋体" w:cs="宋体"/>
          <w:sz w:val="24"/>
          <w:szCs w:val="28"/>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4C77BA72">
      <w:pPr>
        <w:spacing w:line="360" w:lineRule="auto"/>
        <w:ind w:firstLine="480" w:firstLineChars="200"/>
        <w:jc w:val="left"/>
        <w:rPr>
          <w:rFonts w:ascii="宋体" w:hAnsi="宋体" w:cs="宋体"/>
          <w:sz w:val="24"/>
          <w:szCs w:val="28"/>
        </w:rPr>
      </w:pPr>
      <w:r>
        <w:rPr>
          <w:rFonts w:hint="eastAsia" w:ascii="宋体" w:hAnsi="宋体" w:cs="宋体"/>
          <w:sz w:val="24"/>
          <w:szCs w:val="28"/>
        </w:rPr>
        <w:t>前述基准价格是指由发包人在招标文件或专用合同条款中给定的材料、工程设备的价格，该价格原则上应当按照省级或行业建设主管部门或其授权的工程造价管理机构发布的信息价编制。</w:t>
      </w:r>
    </w:p>
    <w:p w14:paraId="2FC116F3">
      <w:pPr>
        <w:spacing w:line="360" w:lineRule="auto"/>
        <w:ind w:firstLine="480" w:firstLineChars="200"/>
        <w:jc w:val="left"/>
        <w:rPr>
          <w:rFonts w:ascii="宋体" w:hAnsi="宋体" w:cs="宋体"/>
          <w:sz w:val="24"/>
          <w:szCs w:val="28"/>
        </w:rPr>
      </w:pPr>
      <w:r>
        <w:rPr>
          <w:rFonts w:hint="eastAsia" w:ascii="宋体" w:hAnsi="宋体" w:cs="宋体"/>
          <w:sz w:val="24"/>
          <w:szCs w:val="28"/>
        </w:rPr>
        <w:t>（3）施工机械台班单价或施工机械使用费发生变化超过省级或行业建设主管部门或其授权的工程造价管理机构规定的范围时，按规定调整合同价格。</w:t>
      </w:r>
    </w:p>
    <w:p w14:paraId="6C7A710C">
      <w:pPr>
        <w:spacing w:line="360" w:lineRule="auto"/>
        <w:ind w:firstLine="480" w:firstLineChars="200"/>
        <w:jc w:val="left"/>
        <w:rPr>
          <w:rFonts w:ascii="宋体" w:hAnsi="宋体" w:cs="宋体"/>
          <w:sz w:val="24"/>
          <w:szCs w:val="28"/>
        </w:rPr>
      </w:pPr>
      <w:r>
        <w:rPr>
          <w:rFonts w:hint="eastAsia" w:ascii="宋体" w:hAnsi="宋体" w:cs="宋体"/>
          <w:sz w:val="24"/>
          <w:szCs w:val="28"/>
        </w:rPr>
        <w:t>第3种方式：专用合同条款约定的其他方式。</w:t>
      </w:r>
    </w:p>
    <w:p w14:paraId="3ED58078">
      <w:pPr>
        <w:spacing w:line="360" w:lineRule="auto"/>
        <w:ind w:firstLine="480" w:firstLineChars="200"/>
        <w:jc w:val="left"/>
        <w:rPr>
          <w:rFonts w:ascii="宋体" w:hAnsi="宋体" w:cs="宋体"/>
          <w:sz w:val="24"/>
          <w:szCs w:val="28"/>
        </w:rPr>
      </w:pPr>
      <w:r>
        <w:rPr>
          <w:rFonts w:hint="eastAsia" w:ascii="宋体" w:hAnsi="宋体" w:cs="宋体"/>
          <w:sz w:val="24"/>
          <w:szCs w:val="28"/>
        </w:rPr>
        <w:t>11.2法律变化引起的调整</w:t>
      </w:r>
    </w:p>
    <w:p w14:paraId="284EC6FF">
      <w:pPr>
        <w:spacing w:line="360" w:lineRule="auto"/>
        <w:ind w:firstLine="480" w:firstLineChars="200"/>
        <w:jc w:val="left"/>
        <w:rPr>
          <w:rFonts w:ascii="宋体" w:hAnsi="宋体" w:cs="宋体"/>
          <w:sz w:val="24"/>
          <w:szCs w:val="28"/>
        </w:rPr>
      </w:pPr>
      <w:r>
        <w:rPr>
          <w:rFonts w:hint="eastAsia" w:ascii="宋体" w:hAnsi="宋体" w:cs="宋体"/>
          <w:sz w:val="24"/>
          <w:szCs w:val="28"/>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365A286C">
      <w:pPr>
        <w:spacing w:line="360" w:lineRule="auto"/>
        <w:ind w:firstLine="480" w:firstLineChars="200"/>
        <w:jc w:val="left"/>
        <w:rPr>
          <w:rFonts w:ascii="宋体" w:hAnsi="宋体" w:cs="宋体"/>
          <w:sz w:val="24"/>
          <w:szCs w:val="28"/>
        </w:rPr>
      </w:pPr>
      <w:r>
        <w:rPr>
          <w:rFonts w:hint="eastAsia" w:ascii="宋体" w:hAnsi="宋体" w:cs="宋体"/>
          <w:sz w:val="24"/>
          <w:szCs w:val="28"/>
        </w:rPr>
        <w:t>因法律变化引起的合同价格和工期调整，合同当事人无法达成一致的，由总监理工程师按第4.4款〔商定或确定〕的约定处理。</w:t>
      </w:r>
    </w:p>
    <w:p w14:paraId="668B4125">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因承包人原因造成工期延误，在工期延误期间出现法律变化的，由此增加的费用和（或）延误的工期由承包人承担。</w:t>
      </w:r>
    </w:p>
    <w:p w14:paraId="50EE108E">
      <w:pPr>
        <w:spacing w:line="360" w:lineRule="auto"/>
        <w:ind w:firstLine="480" w:firstLineChars="200"/>
        <w:jc w:val="left"/>
        <w:rPr>
          <w:rFonts w:ascii="宋体" w:hAnsi="宋体" w:cs="宋体"/>
          <w:sz w:val="24"/>
          <w:szCs w:val="28"/>
        </w:rPr>
      </w:pPr>
      <w:r>
        <w:rPr>
          <w:rFonts w:hint="eastAsia" w:ascii="宋体" w:hAnsi="宋体" w:cs="宋体"/>
          <w:sz w:val="24"/>
          <w:szCs w:val="28"/>
        </w:rPr>
        <w:t>12. 合同价格、计量与支付</w:t>
      </w:r>
    </w:p>
    <w:p w14:paraId="0BDE5931">
      <w:pPr>
        <w:spacing w:line="360" w:lineRule="auto"/>
        <w:ind w:firstLine="480" w:firstLineChars="200"/>
        <w:jc w:val="left"/>
        <w:rPr>
          <w:rFonts w:ascii="宋体" w:hAnsi="宋体" w:cs="宋体"/>
          <w:sz w:val="24"/>
          <w:szCs w:val="28"/>
        </w:rPr>
      </w:pPr>
      <w:r>
        <w:rPr>
          <w:rFonts w:hint="eastAsia" w:ascii="宋体" w:hAnsi="宋体" w:cs="宋体"/>
          <w:sz w:val="24"/>
          <w:szCs w:val="28"/>
        </w:rPr>
        <w:t>12.1 合同价格形式</w:t>
      </w:r>
    </w:p>
    <w:p w14:paraId="61C53BCD">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发包人和承包人应在合同协议书中选择下列一种合同价格形式： </w:t>
      </w:r>
    </w:p>
    <w:p w14:paraId="644FA399">
      <w:pPr>
        <w:spacing w:line="360" w:lineRule="auto"/>
        <w:ind w:firstLine="480" w:firstLineChars="200"/>
        <w:jc w:val="left"/>
        <w:rPr>
          <w:rFonts w:ascii="宋体" w:hAnsi="宋体" w:cs="宋体"/>
          <w:sz w:val="24"/>
          <w:szCs w:val="28"/>
        </w:rPr>
      </w:pPr>
      <w:r>
        <w:rPr>
          <w:rFonts w:hint="eastAsia" w:ascii="宋体" w:hAnsi="宋体" w:cs="宋体"/>
          <w:sz w:val="24"/>
          <w:szCs w:val="28"/>
        </w:rPr>
        <w:t>1.单价合同</w:t>
      </w:r>
    </w:p>
    <w:p w14:paraId="7F8C008F">
      <w:pPr>
        <w:spacing w:line="360" w:lineRule="auto"/>
        <w:ind w:firstLine="480" w:firstLineChars="200"/>
        <w:jc w:val="left"/>
        <w:rPr>
          <w:rFonts w:ascii="宋体" w:hAnsi="宋体" w:cs="宋体"/>
          <w:sz w:val="24"/>
          <w:szCs w:val="28"/>
        </w:rPr>
      </w:pPr>
      <w:r>
        <w:rPr>
          <w:rFonts w:hint="eastAsia" w:ascii="宋体" w:hAnsi="宋体" w:cs="宋体"/>
          <w:sz w:val="24"/>
          <w:szCs w:val="28"/>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438F9A8">
      <w:pPr>
        <w:spacing w:line="360" w:lineRule="auto"/>
        <w:ind w:firstLine="480" w:firstLineChars="200"/>
        <w:jc w:val="left"/>
        <w:rPr>
          <w:rFonts w:ascii="宋体" w:hAnsi="宋体" w:cs="宋体"/>
          <w:sz w:val="24"/>
          <w:szCs w:val="28"/>
        </w:rPr>
      </w:pPr>
      <w:r>
        <w:rPr>
          <w:rFonts w:hint="eastAsia" w:ascii="宋体" w:hAnsi="宋体" w:cs="宋体"/>
          <w:sz w:val="24"/>
          <w:szCs w:val="28"/>
        </w:rPr>
        <w:t>2.总价合同</w:t>
      </w:r>
    </w:p>
    <w:p w14:paraId="7EF62442">
      <w:pPr>
        <w:spacing w:line="360" w:lineRule="auto"/>
        <w:ind w:firstLine="480" w:firstLineChars="200"/>
        <w:jc w:val="left"/>
        <w:rPr>
          <w:rFonts w:ascii="宋体" w:hAnsi="宋体" w:cs="宋体"/>
          <w:sz w:val="24"/>
          <w:szCs w:val="28"/>
        </w:rPr>
      </w:pPr>
      <w:r>
        <w:rPr>
          <w:rFonts w:hint="eastAsia" w:ascii="宋体" w:hAnsi="宋体" w:cs="宋体"/>
          <w:sz w:val="24"/>
          <w:szCs w:val="28"/>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769E26FF">
      <w:pPr>
        <w:spacing w:line="360" w:lineRule="auto"/>
        <w:ind w:firstLine="480" w:firstLineChars="200"/>
        <w:jc w:val="left"/>
        <w:rPr>
          <w:rFonts w:ascii="宋体" w:hAnsi="宋体" w:cs="宋体"/>
          <w:sz w:val="24"/>
          <w:szCs w:val="28"/>
        </w:rPr>
      </w:pPr>
      <w:r>
        <w:rPr>
          <w:rFonts w:hint="eastAsia" w:ascii="宋体" w:hAnsi="宋体" w:cs="宋体"/>
          <w:sz w:val="24"/>
          <w:szCs w:val="28"/>
        </w:rPr>
        <w:t>3.其它价格形式</w:t>
      </w:r>
    </w:p>
    <w:p w14:paraId="02DDE1F4">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合同当事人可在专用合同条款中约定其他合同价格形式。</w:t>
      </w:r>
    </w:p>
    <w:p w14:paraId="76E60E20">
      <w:pPr>
        <w:spacing w:line="360" w:lineRule="auto"/>
        <w:ind w:firstLine="480" w:firstLineChars="200"/>
        <w:jc w:val="left"/>
        <w:rPr>
          <w:rFonts w:ascii="宋体" w:hAnsi="宋体" w:cs="宋体"/>
          <w:sz w:val="24"/>
          <w:szCs w:val="28"/>
        </w:rPr>
      </w:pPr>
      <w:r>
        <w:rPr>
          <w:rFonts w:hint="eastAsia" w:ascii="宋体" w:hAnsi="宋体" w:cs="宋体"/>
          <w:sz w:val="24"/>
          <w:szCs w:val="28"/>
        </w:rPr>
        <w:t>12.2预付款</w:t>
      </w:r>
    </w:p>
    <w:p w14:paraId="2538A834">
      <w:pPr>
        <w:spacing w:line="360" w:lineRule="auto"/>
        <w:ind w:firstLine="480" w:firstLineChars="200"/>
        <w:jc w:val="left"/>
        <w:rPr>
          <w:rFonts w:ascii="宋体" w:hAnsi="宋体" w:cs="宋体"/>
          <w:sz w:val="24"/>
          <w:szCs w:val="28"/>
        </w:rPr>
      </w:pPr>
      <w:r>
        <w:rPr>
          <w:rFonts w:hint="eastAsia" w:ascii="宋体" w:hAnsi="宋体" w:cs="宋体"/>
          <w:sz w:val="24"/>
          <w:szCs w:val="28"/>
        </w:rPr>
        <w:t>12.2.1预付款的支付</w:t>
      </w:r>
    </w:p>
    <w:p w14:paraId="75FE3C23">
      <w:pPr>
        <w:spacing w:line="360" w:lineRule="auto"/>
        <w:ind w:firstLine="480" w:firstLineChars="200"/>
        <w:jc w:val="left"/>
        <w:rPr>
          <w:rFonts w:ascii="宋体" w:hAnsi="宋体" w:cs="宋体"/>
          <w:sz w:val="24"/>
          <w:szCs w:val="28"/>
        </w:rPr>
      </w:pPr>
      <w:r>
        <w:rPr>
          <w:rFonts w:hint="eastAsia" w:ascii="宋体" w:hAnsi="宋体" w:cs="宋体"/>
          <w:sz w:val="24"/>
          <w:szCs w:val="28"/>
        </w:rPr>
        <w:t>预付款的支付按照专用合同条款约定执行，但至迟应在开工通知载明的开工日期7天前支付。预付款应当用于材料、工程设备、施工设备的采购及修建临时工程、组织施工队伍进场等。</w:t>
      </w:r>
    </w:p>
    <w:p w14:paraId="0D0B8B8D">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除专用合同条款另有约定外，预付款在进度付款中同比例扣回。在颁发工程接收证书前，提前解除合同的，尚未扣完的预付款应与合同价款一并结算。</w:t>
      </w:r>
    </w:p>
    <w:p w14:paraId="141F1113">
      <w:pPr>
        <w:spacing w:line="360" w:lineRule="auto"/>
        <w:ind w:firstLine="480" w:firstLineChars="200"/>
        <w:jc w:val="left"/>
        <w:rPr>
          <w:rFonts w:ascii="宋体" w:hAnsi="宋体" w:cs="宋体"/>
          <w:sz w:val="24"/>
          <w:szCs w:val="28"/>
        </w:rPr>
      </w:pPr>
      <w:r>
        <w:rPr>
          <w:rFonts w:hint="eastAsia" w:ascii="宋体" w:hAnsi="宋体" w:cs="宋体"/>
          <w:sz w:val="24"/>
          <w:szCs w:val="28"/>
        </w:rPr>
        <w:t>发包人逾期支付预付款超过7天的，承包人有权向发包人发出要求预付的催告通知，发包人收到通知后7天内仍未支付的，承包人有权暂停施工，并按第16.1.1项〔发包人违约的情形〕执行。</w:t>
      </w:r>
    </w:p>
    <w:p w14:paraId="04427C03">
      <w:pPr>
        <w:spacing w:line="360" w:lineRule="auto"/>
        <w:ind w:firstLine="480" w:firstLineChars="200"/>
        <w:jc w:val="left"/>
        <w:rPr>
          <w:rFonts w:ascii="宋体" w:hAnsi="宋体" w:cs="宋体"/>
          <w:sz w:val="24"/>
          <w:szCs w:val="28"/>
        </w:rPr>
      </w:pPr>
      <w:r>
        <w:rPr>
          <w:rFonts w:hint="eastAsia" w:ascii="宋体" w:hAnsi="宋体" w:cs="宋体"/>
          <w:sz w:val="24"/>
          <w:szCs w:val="28"/>
        </w:rPr>
        <w:t>12.2.2 预付款担保</w:t>
      </w:r>
    </w:p>
    <w:p w14:paraId="2B70F776">
      <w:pPr>
        <w:spacing w:line="360" w:lineRule="auto"/>
        <w:ind w:firstLine="480" w:firstLineChars="200"/>
        <w:jc w:val="left"/>
        <w:rPr>
          <w:rFonts w:ascii="宋体" w:hAnsi="宋体" w:cs="宋体"/>
          <w:sz w:val="24"/>
          <w:szCs w:val="28"/>
        </w:rPr>
      </w:pPr>
      <w:r>
        <w:rPr>
          <w:rFonts w:hint="eastAsia" w:ascii="宋体" w:hAnsi="宋体" w:cs="宋体"/>
          <w:sz w:val="24"/>
          <w:szCs w:val="28"/>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10C50FC0">
      <w:pPr>
        <w:spacing w:line="360" w:lineRule="auto"/>
        <w:ind w:firstLine="480" w:firstLineChars="200"/>
        <w:jc w:val="left"/>
        <w:rPr>
          <w:rFonts w:ascii="宋体" w:hAnsi="宋体" w:cs="宋体"/>
          <w:sz w:val="24"/>
          <w:szCs w:val="28"/>
        </w:rPr>
      </w:pPr>
      <w:r>
        <w:rPr>
          <w:rFonts w:hint="eastAsia" w:ascii="宋体" w:hAnsi="宋体" w:cs="宋体"/>
          <w:sz w:val="24"/>
          <w:szCs w:val="28"/>
        </w:rPr>
        <w:t>发包人在工程款中逐期扣回预付款后，预付款担保额度应相应减少，但剩余的预付款担保金额不得低于未被扣回的预付款金额。</w:t>
      </w:r>
    </w:p>
    <w:p w14:paraId="57C1520F">
      <w:pPr>
        <w:spacing w:line="360" w:lineRule="auto"/>
        <w:ind w:firstLine="480" w:firstLineChars="200"/>
        <w:jc w:val="left"/>
        <w:rPr>
          <w:rFonts w:ascii="宋体" w:hAnsi="宋体" w:cs="宋体"/>
          <w:sz w:val="24"/>
          <w:szCs w:val="28"/>
        </w:rPr>
      </w:pPr>
      <w:r>
        <w:rPr>
          <w:rFonts w:hint="eastAsia" w:ascii="宋体" w:hAnsi="宋体" w:cs="宋体"/>
          <w:sz w:val="24"/>
          <w:szCs w:val="28"/>
        </w:rPr>
        <w:t>12.3计量</w:t>
      </w:r>
    </w:p>
    <w:p w14:paraId="54D0DE18">
      <w:pPr>
        <w:spacing w:line="360" w:lineRule="auto"/>
        <w:ind w:firstLine="480" w:firstLineChars="200"/>
        <w:jc w:val="left"/>
        <w:rPr>
          <w:rFonts w:ascii="宋体" w:hAnsi="宋体" w:cs="宋体"/>
          <w:sz w:val="24"/>
          <w:szCs w:val="28"/>
        </w:rPr>
      </w:pPr>
      <w:r>
        <w:rPr>
          <w:rFonts w:hint="eastAsia" w:ascii="宋体" w:hAnsi="宋体" w:cs="宋体"/>
          <w:sz w:val="24"/>
          <w:szCs w:val="28"/>
        </w:rPr>
        <w:t>12.3.1 计量原则</w:t>
      </w:r>
    </w:p>
    <w:p w14:paraId="3A313831">
      <w:pPr>
        <w:spacing w:line="360" w:lineRule="auto"/>
        <w:ind w:firstLine="480" w:firstLineChars="200"/>
        <w:jc w:val="left"/>
        <w:rPr>
          <w:rFonts w:ascii="宋体" w:hAnsi="宋体" w:cs="宋体"/>
          <w:sz w:val="24"/>
          <w:szCs w:val="28"/>
        </w:rPr>
      </w:pPr>
      <w:r>
        <w:rPr>
          <w:rFonts w:hint="eastAsia" w:ascii="宋体" w:hAnsi="宋体" w:cs="宋体"/>
          <w:sz w:val="24"/>
          <w:szCs w:val="28"/>
        </w:rPr>
        <w:t>工程量计量按照合同约定的工程量计算规则、图纸及变更指示等进行计量。工程量计算规则应以相关的国家标准、行业标准等为依据，由合同当事人在专用合同条款中约定。</w:t>
      </w:r>
    </w:p>
    <w:p w14:paraId="48D27853">
      <w:pPr>
        <w:spacing w:line="360" w:lineRule="auto"/>
        <w:ind w:firstLine="480" w:firstLineChars="200"/>
        <w:jc w:val="left"/>
        <w:rPr>
          <w:rFonts w:ascii="宋体" w:hAnsi="宋体" w:cs="宋体"/>
          <w:sz w:val="24"/>
          <w:szCs w:val="28"/>
        </w:rPr>
      </w:pPr>
      <w:r>
        <w:rPr>
          <w:rFonts w:hint="eastAsia" w:ascii="宋体" w:hAnsi="宋体" w:cs="宋体"/>
          <w:sz w:val="24"/>
          <w:szCs w:val="28"/>
        </w:rPr>
        <w:t>12.3.2 计量周期</w:t>
      </w:r>
    </w:p>
    <w:p w14:paraId="3080A33E">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除专用合同条款另有约定外，工程量的计量按月进行。</w:t>
      </w:r>
    </w:p>
    <w:p w14:paraId="23C59D7C">
      <w:pPr>
        <w:spacing w:line="360" w:lineRule="auto"/>
        <w:ind w:firstLine="480" w:firstLineChars="200"/>
        <w:jc w:val="left"/>
        <w:rPr>
          <w:rFonts w:ascii="宋体" w:hAnsi="宋体" w:cs="宋体"/>
          <w:sz w:val="24"/>
          <w:szCs w:val="28"/>
        </w:rPr>
      </w:pPr>
      <w:r>
        <w:rPr>
          <w:rFonts w:hint="eastAsia" w:ascii="宋体" w:hAnsi="宋体" w:cs="宋体"/>
          <w:sz w:val="24"/>
          <w:szCs w:val="28"/>
        </w:rPr>
        <w:t>12.3.3 单价合同的计量</w:t>
      </w:r>
    </w:p>
    <w:p w14:paraId="74258C30">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除专用合同条款另有约定外，单价合同的计量按照本项约定执行：</w:t>
      </w:r>
    </w:p>
    <w:p w14:paraId="4F7A07B7">
      <w:pPr>
        <w:spacing w:line="360" w:lineRule="auto"/>
        <w:ind w:firstLine="480" w:firstLineChars="200"/>
        <w:jc w:val="left"/>
        <w:rPr>
          <w:rFonts w:ascii="宋体" w:hAnsi="宋体" w:cs="宋体"/>
          <w:sz w:val="24"/>
          <w:szCs w:val="28"/>
        </w:rPr>
      </w:pPr>
      <w:r>
        <w:rPr>
          <w:rFonts w:hint="eastAsia" w:ascii="宋体" w:hAnsi="宋体" w:cs="宋体"/>
          <w:sz w:val="24"/>
          <w:szCs w:val="28"/>
        </w:rPr>
        <w:t>（1）承包人应于每月25日向监理人报送上月20日至当月19日已完成的工程量报告，并附具进度付款申请单、已完成工程量报表和有关资料。</w:t>
      </w:r>
    </w:p>
    <w:p w14:paraId="7022A42B">
      <w:pPr>
        <w:spacing w:line="360" w:lineRule="auto"/>
        <w:ind w:firstLine="480" w:firstLineChars="200"/>
        <w:jc w:val="left"/>
        <w:rPr>
          <w:rFonts w:ascii="宋体" w:hAnsi="宋体" w:cs="宋体"/>
          <w:sz w:val="24"/>
          <w:szCs w:val="28"/>
        </w:rPr>
      </w:pPr>
      <w:r>
        <w:rPr>
          <w:rFonts w:hint="eastAsia" w:ascii="宋体" w:hAnsi="宋体" w:cs="宋体"/>
          <w:sz w:val="24"/>
          <w:szCs w:val="28"/>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76A520C">
      <w:pPr>
        <w:spacing w:line="360" w:lineRule="auto"/>
        <w:ind w:firstLine="480" w:firstLineChars="200"/>
        <w:jc w:val="left"/>
        <w:rPr>
          <w:rFonts w:ascii="宋体" w:hAnsi="宋体" w:cs="宋体"/>
          <w:sz w:val="24"/>
          <w:szCs w:val="28"/>
        </w:rPr>
      </w:pPr>
      <w:r>
        <w:rPr>
          <w:rFonts w:hint="eastAsia" w:ascii="宋体" w:hAnsi="宋体" w:cs="宋体"/>
          <w:sz w:val="24"/>
          <w:szCs w:val="28"/>
        </w:rPr>
        <w:t>（3）监理人未在收到承包人提交的工程量报表后的7天内完成审核的，承包人报送的工程量报告中的工程量视为承包人实际完成的工程量，据此计算工程价款。</w:t>
      </w:r>
    </w:p>
    <w:p w14:paraId="273B439D">
      <w:pPr>
        <w:spacing w:line="360" w:lineRule="auto"/>
        <w:ind w:firstLine="480" w:firstLineChars="200"/>
        <w:jc w:val="left"/>
        <w:rPr>
          <w:rFonts w:ascii="宋体" w:hAnsi="宋体" w:cs="宋体"/>
          <w:sz w:val="24"/>
          <w:szCs w:val="28"/>
        </w:rPr>
      </w:pPr>
      <w:r>
        <w:rPr>
          <w:rFonts w:hint="eastAsia" w:ascii="宋体" w:hAnsi="宋体" w:cs="宋体"/>
          <w:sz w:val="24"/>
          <w:szCs w:val="28"/>
        </w:rPr>
        <w:t>12.3.4 总价合同的计量</w:t>
      </w:r>
    </w:p>
    <w:p w14:paraId="1367FF3E">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除专用合同条款另有约定外，按月计量支付的总价合同，按照本项约定执行：</w:t>
      </w:r>
    </w:p>
    <w:p w14:paraId="336A2670">
      <w:pPr>
        <w:spacing w:line="360" w:lineRule="auto"/>
        <w:ind w:firstLine="480" w:firstLineChars="200"/>
        <w:jc w:val="left"/>
        <w:rPr>
          <w:rFonts w:ascii="宋体" w:hAnsi="宋体" w:cs="宋体"/>
          <w:sz w:val="24"/>
          <w:szCs w:val="28"/>
        </w:rPr>
      </w:pPr>
      <w:r>
        <w:rPr>
          <w:rFonts w:hint="eastAsia" w:ascii="宋体" w:hAnsi="宋体" w:cs="宋体"/>
          <w:sz w:val="24"/>
          <w:szCs w:val="28"/>
        </w:rPr>
        <w:t>（1）承包人应于每月25日向监理人报送上月20日至当月19日已完成的工程量报告，并附具进度付款申请单、已完成工程量报表和有关资料。</w:t>
      </w:r>
    </w:p>
    <w:p w14:paraId="201F1047">
      <w:pPr>
        <w:spacing w:line="360" w:lineRule="auto"/>
        <w:ind w:firstLine="480" w:firstLineChars="200"/>
        <w:jc w:val="left"/>
        <w:rPr>
          <w:rFonts w:ascii="宋体" w:hAnsi="宋体" w:cs="宋体"/>
          <w:sz w:val="24"/>
          <w:szCs w:val="28"/>
        </w:rPr>
      </w:pPr>
      <w:r>
        <w:rPr>
          <w:rFonts w:hint="eastAsia" w:ascii="宋体" w:hAnsi="宋体" w:cs="宋体"/>
          <w:sz w:val="24"/>
          <w:szCs w:val="28"/>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014D9576">
      <w:pPr>
        <w:spacing w:line="360" w:lineRule="auto"/>
        <w:ind w:firstLine="480" w:firstLineChars="200"/>
        <w:jc w:val="left"/>
        <w:rPr>
          <w:rFonts w:ascii="宋体" w:hAnsi="宋体" w:cs="宋体"/>
          <w:sz w:val="24"/>
          <w:szCs w:val="28"/>
        </w:rPr>
      </w:pPr>
      <w:r>
        <w:rPr>
          <w:rFonts w:hint="eastAsia" w:ascii="宋体" w:hAnsi="宋体" w:cs="宋体"/>
          <w:sz w:val="24"/>
          <w:szCs w:val="28"/>
        </w:rPr>
        <w:t>（3）监理人未在收到承包人提交的工程量报表后的7天内完成复核的，承包人提交的工程量报告中的工程量视为承包人实际完成的工程量。</w:t>
      </w:r>
    </w:p>
    <w:p w14:paraId="1AC115A5">
      <w:pPr>
        <w:spacing w:line="360" w:lineRule="auto"/>
        <w:ind w:firstLine="480" w:firstLineChars="200"/>
        <w:jc w:val="left"/>
        <w:rPr>
          <w:rFonts w:ascii="宋体" w:hAnsi="宋体" w:cs="宋体"/>
          <w:sz w:val="24"/>
          <w:szCs w:val="28"/>
        </w:rPr>
      </w:pPr>
      <w:r>
        <w:rPr>
          <w:rFonts w:hint="eastAsia" w:ascii="宋体" w:hAnsi="宋体" w:cs="宋体"/>
          <w:sz w:val="24"/>
          <w:szCs w:val="28"/>
        </w:rPr>
        <w:t>12.3.5 总价合同采用支付分解表计量支付的，可以按照第12.3.4项〔总价合同的计量〕约定进行计量，但合同价款按照支付分解表进行支付。</w:t>
      </w:r>
    </w:p>
    <w:p w14:paraId="6A5B700B">
      <w:pPr>
        <w:spacing w:line="360" w:lineRule="auto"/>
        <w:ind w:firstLine="480" w:firstLineChars="200"/>
        <w:jc w:val="left"/>
        <w:rPr>
          <w:rFonts w:ascii="宋体" w:hAnsi="宋体" w:cs="宋体"/>
          <w:sz w:val="24"/>
          <w:szCs w:val="28"/>
        </w:rPr>
      </w:pPr>
      <w:r>
        <w:rPr>
          <w:rFonts w:hint="eastAsia" w:ascii="宋体" w:hAnsi="宋体" w:cs="宋体"/>
          <w:sz w:val="24"/>
          <w:szCs w:val="28"/>
        </w:rPr>
        <w:t>12.3.6 其他价格形式合同的计量</w:t>
      </w:r>
    </w:p>
    <w:p w14:paraId="240B0B49">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合同当事人可在专用合同条款中约定其他价格形式合同的计量方式和程序。</w:t>
      </w:r>
    </w:p>
    <w:p w14:paraId="0B363F4A">
      <w:pPr>
        <w:spacing w:line="360" w:lineRule="auto"/>
        <w:ind w:firstLine="480" w:firstLineChars="200"/>
        <w:jc w:val="left"/>
        <w:rPr>
          <w:rFonts w:ascii="宋体" w:hAnsi="宋体" w:cs="宋体"/>
          <w:sz w:val="24"/>
          <w:szCs w:val="28"/>
        </w:rPr>
      </w:pPr>
      <w:r>
        <w:rPr>
          <w:rFonts w:hint="eastAsia" w:ascii="宋体" w:hAnsi="宋体" w:cs="宋体"/>
          <w:sz w:val="24"/>
          <w:szCs w:val="28"/>
        </w:rPr>
        <w:t>12.4工程进度款支付</w:t>
      </w:r>
    </w:p>
    <w:p w14:paraId="4AC27634">
      <w:pPr>
        <w:spacing w:line="360" w:lineRule="auto"/>
        <w:ind w:firstLine="480" w:firstLineChars="200"/>
        <w:jc w:val="left"/>
        <w:rPr>
          <w:rFonts w:ascii="宋体" w:hAnsi="宋体" w:cs="宋体"/>
          <w:sz w:val="24"/>
          <w:szCs w:val="28"/>
        </w:rPr>
      </w:pPr>
      <w:r>
        <w:rPr>
          <w:rFonts w:hint="eastAsia" w:ascii="宋体" w:hAnsi="宋体" w:cs="宋体"/>
          <w:sz w:val="24"/>
          <w:szCs w:val="28"/>
        </w:rPr>
        <w:t>12.4.1 付款周期</w:t>
      </w:r>
    </w:p>
    <w:p w14:paraId="68246B14">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除专用合同条款另有约定外，付款周期应按照第12.3.2项〔计量周期〕的约定与计量周期保持一致。</w:t>
      </w:r>
    </w:p>
    <w:p w14:paraId="0DF42ECC">
      <w:pPr>
        <w:spacing w:line="360" w:lineRule="auto"/>
        <w:ind w:firstLine="480" w:firstLineChars="200"/>
        <w:jc w:val="left"/>
        <w:rPr>
          <w:rFonts w:ascii="宋体" w:hAnsi="宋体" w:cs="宋体"/>
          <w:sz w:val="24"/>
          <w:szCs w:val="28"/>
        </w:rPr>
      </w:pPr>
      <w:r>
        <w:rPr>
          <w:rFonts w:hint="eastAsia" w:ascii="宋体" w:hAnsi="宋体" w:cs="宋体"/>
          <w:sz w:val="24"/>
          <w:szCs w:val="28"/>
        </w:rPr>
        <w:t>12.4.2 进度付款申请单的编制</w:t>
      </w:r>
    </w:p>
    <w:p w14:paraId="624D6C11">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除专用合同条款另有约定外，进度付款申请单应包括下列内容：</w:t>
      </w:r>
    </w:p>
    <w:p w14:paraId="5DE2964E">
      <w:pPr>
        <w:spacing w:line="360" w:lineRule="auto"/>
        <w:ind w:firstLine="480" w:firstLineChars="200"/>
        <w:jc w:val="left"/>
        <w:rPr>
          <w:rFonts w:ascii="宋体" w:hAnsi="宋体" w:cs="宋体"/>
          <w:sz w:val="24"/>
          <w:szCs w:val="28"/>
        </w:rPr>
      </w:pPr>
      <w:r>
        <w:rPr>
          <w:rFonts w:hint="eastAsia" w:ascii="宋体" w:hAnsi="宋体" w:cs="宋体"/>
          <w:sz w:val="24"/>
          <w:szCs w:val="28"/>
        </w:rPr>
        <w:t>（1）截至本次付款周期已完成工作对应的金额；</w:t>
      </w:r>
    </w:p>
    <w:p w14:paraId="6E9E7D5E">
      <w:pPr>
        <w:spacing w:line="360" w:lineRule="auto"/>
        <w:ind w:firstLine="480" w:firstLineChars="200"/>
        <w:jc w:val="left"/>
        <w:rPr>
          <w:rFonts w:ascii="宋体" w:hAnsi="宋体" w:cs="宋体"/>
          <w:sz w:val="24"/>
          <w:szCs w:val="28"/>
        </w:rPr>
      </w:pPr>
      <w:r>
        <w:rPr>
          <w:rFonts w:hint="eastAsia" w:ascii="宋体" w:hAnsi="宋体" w:cs="宋体"/>
          <w:sz w:val="24"/>
          <w:szCs w:val="28"/>
        </w:rPr>
        <w:t>（2）根据第10条〔变更〕应增加和扣减的变更金额；</w:t>
      </w:r>
    </w:p>
    <w:p w14:paraId="0BBBCC40">
      <w:pPr>
        <w:spacing w:line="360" w:lineRule="auto"/>
        <w:ind w:firstLine="480" w:firstLineChars="200"/>
        <w:jc w:val="left"/>
        <w:rPr>
          <w:rFonts w:ascii="宋体" w:hAnsi="宋体" w:cs="宋体"/>
          <w:sz w:val="24"/>
          <w:szCs w:val="28"/>
        </w:rPr>
      </w:pPr>
      <w:r>
        <w:rPr>
          <w:rFonts w:hint="eastAsia" w:ascii="宋体" w:hAnsi="宋体" w:cs="宋体"/>
          <w:sz w:val="24"/>
          <w:szCs w:val="28"/>
        </w:rPr>
        <w:t>（3）根据第12.2款〔预付款〕约定应支付的预付款和扣减的返还预付款；</w:t>
      </w:r>
    </w:p>
    <w:p w14:paraId="6380C09F">
      <w:pPr>
        <w:spacing w:line="360" w:lineRule="auto"/>
        <w:ind w:firstLine="480" w:firstLineChars="200"/>
        <w:jc w:val="left"/>
        <w:rPr>
          <w:rFonts w:ascii="宋体" w:hAnsi="宋体" w:cs="宋体"/>
          <w:sz w:val="24"/>
          <w:szCs w:val="28"/>
        </w:rPr>
      </w:pPr>
      <w:r>
        <w:rPr>
          <w:rFonts w:hint="eastAsia" w:ascii="宋体" w:hAnsi="宋体" w:cs="宋体"/>
          <w:sz w:val="24"/>
          <w:szCs w:val="28"/>
        </w:rPr>
        <w:t>（4）根据第15.3款〔质量保证金〕约定应扣减的质量保证金；</w:t>
      </w:r>
    </w:p>
    <w:p w14:paraId="2E5F7EB5">
      <w:pPr>
        <w:spacing w:line="360" w:lineRule="auto"/>
        <w:ind w:firstLine="480" w:firstLineChars="200"/>
        <w:jc w:val="left"/>
        <w:rPr>
          <w:rFonts w:ascii="宋体" w:hAnsi="宋体" w:cs="宋体"/>
          <w:sz w:val="24"/>
          <w:szCs w:val="28"/>
        </w:rPr>
      </w:pPr>
      <w:r>
        <w:rPr>
          <w:rFonts w:hint="eastAsia" w:ascii="宋体" w:hAnsi="宋体" w:cs="宋体"/>
          <w:sz w:val="24"/>
          <w:szCs w:val="28"/>
        </w:rPr>
        <w:t>（5）根据第19条〔索赔〕应增加和扣减的索赔金额；</w:t>
      </w:r>
    </w:p>
    <w:p w14:paraId="6A8BBC3E">
      <w:pPr>
        <w:spacing w:line="360" w:lineRule="auto"/>
        <w:ind w:firstLine="480" w:firstLineChars="200"/>
        <w:jc w:val="left"/>
        <w:rPr>
          <w:rFonts w:ascii="宋体" w:hAnsi="宋体" w:cs="宋体"/>
          <w:sz w:val="24"/>
          <w:szCs w:val="28"/>
        </w:rPr>
      </w:pPr>
      <w:r>
        <w:rPr>
          <w:rFonts w:hint="eastAsia" w:ascii="宋体" w:hAnsi="宋体" w:cs="宋体"/>
          <w:sz w:val="24"/>
          <w:szCs w:val="28"/>
        </w:rPr>
        <w:t>（6）对已签发的进度款支付证书中出现错误的修正，应在本次进度付款中支付或扣除的金额；</w:t>
      </w:r>
    </w:p>
    <w:p w14:paraId="6E5B9212">
      <w:pPr>
        <w:spacing w:line="360" w:lineRule="auto"/>
        <w:ind w:firstLine="480" w:firstLineChars="200"/>
        <w:jc w:val="left"/>
        <w:rPr>
          <w:rFonts w:ascii="宋体" w:hAnsi="宋体" w:cs="宋体"/>
          <w:sz w:val="24"/>
          <w:szCs w:val="28"/>
        </w:rPr>
      </w:pPr>
      <w:r>
        <w:rPr>
          <w:rFonts w:hint="eastAsia" w:ascii="宋体" w:hAnsi="宋体" w:cs="宋体"/>
          <w:sz w:val="24"/>
          <w:szCs w:val="28"/>
        </w:rPr>
        <w:t>（7）根据合同约定应增加和扣减的其他金额。</w:t>
      </w:r>
    </w:p>
    <w:p w14:paraId="5B6DB297">
      <w:pPr>
        <w:spacing w:line="360" w:lineRule="auto"/>
        <w:ind w:firstLine="480" w:firstLineChars="200"/>
        <w:jc w:val="left"/>
        <w:rPr>
          <w:rFonts w:ascii="宋体" w:hAnsi="宋体" w:cs="宋体"/>
          <w:sz w:val="24"/>
          <w:szCs w:val="28"/>
        </w:rPr>
      </w:pPr>
      <w:r>
        <w:rPr>
          <w:rFonts w:hint="eastAsia" w:ascii="宋体" w:hAnsi="宋体" w:cs="宋体"/>
          <w:sz w:val="24"/>
          <w:szCs w:val="28"/>
        </w:rPr>
        <w:t>12.4.3 进度付款申请单的提交</w:t>
      </w:r>
    </w:p>
    <w:p w14:paraId="09A2584E">
      <w:pPr>
        <w:spacing w:line="360" w:lineRule="auto"/>
        <w:ind w:firstLine="480" w:firstLineChars="200"/>
        <w:jc w:val="left"/>
        <w:rPr>
          <w:rFonts w:ascii="宋体" w:hAnsi="宋体" w:cs="宋体"/>
          <w:sz w:val="24"/>
          <w:szCs w:val="28"/>
        </w:rPr>
      </w:pPr>
      <w:r>
        <w:rPr>
          <w:rFonts w:hint="eastAsia" w:ascii="宋体" w:hAnsi="宋体" w:cs="宋体"/>
          <w:sz w:val="24"/>
          <w:szCs w:val="28"/>
        </w:rPr>
        <w:t>（1）单价合同进度付款申请单的提交</w:t>
      </w:r>
    </w:p>
    <w:p w14:paraId="7A8B8304">
      <w:pPr>
        <w:spacing w:line="360" w:lineRule="auto"/>
        <w:ind w:firstLine="480" w:firstLineChars="200"/>
        <w:jc w:val="left"/>
        <w:rPr>
          <w:rFonts w:ascii="宋体" w:hAnsi="宋体" w:cs="宋体"/>
          <w:sz w:val="24"/>
          <w:szCs w:val="28"/>
        </w:rPr>
      </w:pPr>
      <w:r>
        <w:rPr>
          <w:rFonts w:hint="eastAsia" w:ascii="宋体" w:hAnsi="宋体" w:cs="宋体"/>
          <w:sz w:val="24"/>
          <w:szCs w:val="28"/>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5B81761F">
      <w:pPr>
        <w:spacing w:line="360" w:lineRule="auto"/>
        <w:ind w:firstLine="480" w:firstLineChars="200"/>
        <w:jc w:val="left"/>
        <w:rPr>
          <w:rFonts w:ascii="宋体" w:hAnsi="宋体" w:cs="宋体"/>
          <w:sz w:val="24"/>
          <w:szCs w:val="28"/>
        </w:rPr>
      </w:pPr>
      <w:r>
        <w:rPr>
          <w:rFonts w:hint="eastAsia" w:ascii="宋体" w:hAnsi="宋体" w:cs="宋体"/>
          <w:sz w:val="24"/>
          <w:szCs w:val="28"/>
        </w:rPr>
        <w:t>（2）总价合同进度付款申请单的提交</w:t>
      </w:r>
    </w:p>
    <w:p w14:paraId="7AE0B052">
      <w:pPr>
        <w:spacing w:line="360" w:lineRule="auto"/>
        <w:ind w:firstLine="480" w:firstLineChars="200"/>
        <w:jc w:val="left"/>
        <w:rPr>
          <w:rFonts w:ascii="宋体" w:hAnsi="宋体" w:cs="宋体"/>
          <w:sz w:val="24"/>
          <w:szCs w:val="28"/>
        </w:rPr>
      </w:pPr>
      <w:r>
        <w:rPr>
          <w:rFonts w:hint="eastAsia" w:ascii="宋体" w:hAnsi="宋体" w:cs="宋体"/>
          <w:sz w:val="24"/>
          <w:szCs w:val="28"/>
        </w:rPr>
        <w:t>总价合同按月计量支付的，承包人按照第12.3.4项〔总价合同的计量〕约定的时间按月向监理人提交进度付款申请单，并附上已完成工程量报表和有关资料。</w:t>
      </w:r>
    </w:p>
    <w:p w14:paraId="43194AA4">
      <w:pPr>
        <w:spacing w:line="360" w:lineRule="auto"/>
        <w:ind w:firstLine="480" w:firstLineChars="200"/>
        <w:jc w:val="left"/>
        <w:rPr>
          <w:rFonts w:ascii="宋体" w:hAnsi="宋体" w:cs="宋体"/>
          <w:sz w:val="24"/>
          <w:szCs w:val="28"/>
        </w:rPr>
      </w:pPr>
      <w:r>
        <w:rPr>
          <w:rFonts w:hint="eastAsia" w:ascii="宋体" w:hAnsi="宋体" w:cs="宋体"/>
          <w:sz w:val="24"/>
          <w:szCs w:val="28"/>
        </w:rPr>
        <w:t>总价合同按支付分解表支付的，承包人应按照第12.4.6项〔支付分解表〕及第12.4.2项〔进度付款申请单的编制〕的约定向监理人提交进度付款申请单。</w:t>
      </w:r>
    </w:p>
    <w:p w14:paraId="4B225755">
      <w:pPr>
        <w:spacing w:line="360" w:lineRule="auto"/>
        <w:ind w:firstLine="480" w:firstLineChars="200"/>
        <w:jc w:val="left"/>
        <w:rPr>
          <w:rFonts w:ascii="宋体" w:hAnsi="宋体" w:cs="宋体"/>
          <w:sz w:val="24"/>
          <w:szCs w:val="28"/>
        </w:rPr>
      </w:pPr>
      <w:r>
        <w:rPr>
          <w:rFonts w:hint="eastAsia" w:ascii="宋体" w:hAnsi="宋体" w:cs="宋体"/>
          <w:sz w:val="24"/>
          <w:szCs w:val="28"/>
        </w:rPr>
        <w:t>（3）其他价格形式合同的进度付款申请单的提交</w:t>
      </w:r>
    </w:p>
    <w:p w14:paraId="01E4841A">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合同当事人可在专用合同条款中约定其他价格形式合同的进度付款申请单的编制和提交程序。</w:t>
      </w:r>
    </w:p>
    <w:p w14:paraId="6293341A">
      <w:pPr>
        <w:spacing w:line="360" w:lineRule="auto"/>
        <w:ind w:firstLine="480" w:firstLineChars="200"/>
        <w:jc w:val="left"/>
        <w:rPr>
          <w:rFonts w:ascii="宋体" w:hAnsi="宋体" w:cs="宋体"/>
          <w:sz w:val="24"/>
          <w:szCs w:val="28"/>
        </w:rPr>
      </w:pPr>
      <w:r>
        <w:rPr>
          <w:rFonts w:hint="eastAsia" w:ascii="宋体" w:hAnsi="宋体" w:cs="宋体"/>
          <w:sz w:val="24"/>
          <w:szCs w:val="28"/>
        </w:rPr>
        <w:t>12.4.4 进度款审核和支付</w:t>
      </w:r>
    </w:p>
    <w:p w14:paraId="4150671F">
      <w:pPr>
        <w:spacing w:line="360" w:lineRule="auto"/>
        <w:ind w:firstLine="480" w:firstLineChars="200"/>
        <w:jc w:val="left"/>
        <w:rPr>
          <w:rFonts w:ascii="宋体" w:hAnsi="宋体" w:cs="宋体"/>
          <w:sz w:val="24"/>
          <w:szCs w:val="28"/>
        </w:rPr>
      </w:pPr>
      <w:r>
        <w:rPr>
          <w:rFonts w:hint="eastAsia" w:ascii="宋体" w:hAnsi="宋体" w:cs="宋体"/>
          <w:sz w:val="24"/>
          <w:szCs w:val="28"/>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7A6A8C04">
      <w:pPr>
        <w:spacing w:line="360" w:lineRule="auto"/>
        <w:ind w:firstLine="480" w:firstLineChars="200"/>
        <w:jc w:val="left"/>
        <w:rPr>
          <w:rFonts w:ascii="宋体" w:hAnsi="宋体" w:cs="宋体"/>
          <w:sz w:val="24"/>
          <w:szCs w:val="28"/>
        </w:rPr>
      </w:pPr>
      <w:r>
        <w:rPr>
          <w:rFonts w:hint="eastAsia" w:ascii="宋体" w:hAnsi="宋体" w:cs="宋体"/>
          <w:sz w:val="24"/>
          <w:szCs w:val="28"/>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2E608608">
      <w:pPr>
        <w:spacing w:line="360" w:lineRule="auto"/>
        <w:ind w:firstLine="480" w:firstLineChars="200"/>
        <w:jc w:val="left"/>
        <w:rPr>
          <w:rFonts w:ascii="宋体" w:hAnsi="宋体" w:cs="宋体"/>
          <w:sz w:val="24"/>
          <w:szCs w:val="28"/>
        </w:rPr>
      </w:pPr>
      <w:r>
        <w:rPr>
          <w:rFonts w:hint="eastAsia" w:ascii="宋体" w:hAnsi="宋体" w:cs="宋体"/>
          <w:sz w:val="24"/>
          <w:szCs w:val="28"/>
        </w:rPr>
        <w:t>（2）除专用合同条款另有约定外，发包人应在进度款支付证书或临时进度款支付证书签发后14天内完成支付，发包人逾期支付进度款的，应按照中国人民银行发布的同期同类贷款基准利率支付违约金。</w:t>
      </w:r>
    </w:p>
    <w:p w14:paraId="514273BE">
      <w:pPr>
        <w:spacing w:line="360" w:lineRule="auto"/>
        <w:ind w:firstLine="480" w:firstLineChars="200"/>
        <w:jc w:val="left"/>
        <w:rPr>
          <w:rFonts w:ascii="宋体" w:hAnsi="宋体" w:cs="宋体"/>
          <w:sz w:val="24"/>
          <w:szCs w:val="28"/>
        </w:rPr>
      </w:pPr>
      <w:r>
        <w:rPr>
          <w:rFonts w:hint="eastAsia" w:ascii="宋体" w:hAnsi="宋体" w:cs="宋体"/>
          <w:sz w:val="24"/>
          <w:szCs w:val="28"/>
        </w:rPr>
        <w:t>（3）发包人签发进度款支付证书或临时进度款支付证书，不表明发包人已同意、批准或接受了承包人完成的相应部分的工作。</w:t>
      </w:r>
    </w:p>
    <w:p w14:paraId="688BC7BD">
      <w:pPr>
        <w:spacing w:line="360" w:lineRule="auto"/>
        <w:ind w:firstLine="480" w:firstLineChars="200"/>
        <w:jc w:val="left"/>
        <w:rPr>
          <w:rFonts w:ascii="宋体" w:hAnsi="宋体" w:cs="宋体"/>
          <w:sz w:val="24"/>
          <w:szCs w:val="28"/>
        </w:rPr>
      </w:pPr>
      <w:r>
        <w:rPr>
          <w:rFonts w:hint="eastAsia" w:ascii="宋体" w:hAnsi="宋体" w:cs="宋体"/>
          <w:sz w:val="24"/>
          <w:szCs w:val="28"/>
        </w:rPr>
        <w:t>12.4.5 进度付款的修正</w:t>
      </w:r>
    </w:p>
    <w:p w14:paraId="01CA27EF">
      <w:pPr>
        <w:spacing w:line="360" w:lineRule="auto"/>
        <w:ind w:firstLine="480" w:firstLineChars="200"/>
        <w:jc w:val="left"/>
        <w:rPr>
          <w:rFonts w:ascii="宋体" w:hAnsi="宋体" w:cs="宋体"/>
          <w:sz w:val="24"/>
          <w:szCs w:val="28"/>
        </w:rPr>
      </w:pPr>
      <w:r>
        <w:rPr>
          <w:rFonts w:hint="eastAsia" w:ascii="宋体" w:hAnsi="宋体" w:cs="宋体"/>
          <w:sz w:val="24"/>
          <w:szCs w:val="28"/>
        </w:rPr>
        <w:t>在对已签发的进度款支付证书进行阶段汇总和复核中发现错误、遗漏或重复的，发包人和承包人均有权提出修正申请。经发包人和承包人同意的修正，应在下期进度付款中支付或扣除。</w:t>
      </w:r>
    </w:p>
    <w:p w14:paraId="79F95F8C">
      <w:pPr>
        <w:spacing w:line="360" w:lineRule="auto"/>
        <w:ind w:firstLine="480" w:firstLineChars="200"/>
        <w:jc w:val="left"/>
        <w:rPr>
          <w:rFonts w:ascii="宋体" w:hAnsi="宋体" w:cs="宋体"/>
          <w:sz w:val="24"/>
          <w:szCs w:val="28"/>
        </w:rPr>
      </w:pPr>
      <w:r>
        <w:rPr>
          <w:rFonts w:hint="eastAsia" w:ascii="宋体" w:hAnsi="宋体" w:cs="宋体"/>
          <w:sz w:val="24"/>
          <w:szCs w:val="28"/>
        </w:rPr>
        <w:t>12.4.6 支付分解表</w:t>
      </w:r>
    </w:p>
    <w:p w14:paraId="1CAC5D82">
      <w:pPr>
        <w:spacing w:line="360" w:lineRule="auto"/>
        <w:ind w:firstLine="480" w:firstLineChars="200"/>
        <w:jc w:val="left"/>
        <w:rPr>
          <w:rFonts w:ascii="宋体" w:hAnsi="宋体" w:cs="宋体"/>
          <w:sz w:val="24"/>
          <w:szCs w:val="28"/>
        </w:rPr>
      </w:pPr>
      <w:r>
        <w:rPr>
          <w:rFonts w:hint="eastAsia" w:ascii="宋体" w:hAnsi="宋体" w:cs="宋体"/>
          <w:sz w:val="24"/>
          <w:szCs w:val="28"/>
        </w:rPr>
        <w:t>1.支付分解表的编制要求</w:t>
      </w:r>
    </w:p>
    <w:p w14:paraId="6FE51D60">
      <w:pPr>
        <w:spacing w:line="360" w:lineRule="auto"/>
        <w:ind w:firstLine="480" w:firstLineChars="200"/>
        <w:jc w:val="left"/>
        <w:rPr>
          <w:rFonts w:ascii="宋体" w:hAnsi="宋体" w:cs="宋体"/>
          <w:sz w:val="24"/>
          <w:szCs w:val="28"/>
        </w:rPr>
      </w:pPr>
      <w:r>
        <w:rPr>
          <w:rFonts w:hint="eastAsia" w:ascii="宋体" w:hAnsi="宋体" w:cs="宋体"/>
          <w:sz w:val="24"/>
          <w:szCs w:val="28"/>
        </w:rPr>
        <w:t>（1）支付分解表中所列的每期付款金额，应为第12.4.2项〔进度付款申请单的编制〕第（1）目的估算金额；</w:t>
      </w:r>
    </w:p>
    <w:p w14:paraId="16FBE5EE">
      <w:pPr>
        <w:spacing w:line="360" w:lineRule="auto"/>
        <w:ind w:firstLine="480" w:firstLineChars="200"/>
        <w:jc w:val="left"/>
        <w:rPr>
          <w:rFonts w:ascii="宋体" w:hAnsi="宋体" w:cs="宋体"/>
          <w:sz w:val="24"/>
          <w:szCs w:val="28"/>
        </w:rPr>
      </w:pPr>
      <w:r>
        <w:rPr>
          <w:rFonts w:hint="eastAsia" w:ascii="宋体" w:hAnsi="宋体" w:cs="宋体"/>
          <w:sz w:val="24"/>
          <w:szCs w:val="28"/>
        </w:rPr>
        <w:t>（2）实际进度与施工进度计划不一致的，合同当事人可按照第4.4款〔商定或确定〕修改支付分解表；</w:t>
      </w:r>
    </w:p>
    <w:p w14:paraId="54E59C3C">
      <w:pPr>
        <w:spacing w:line="360" w:lineRule="auto"/>
        <w:ind w:firstLine="480" w:firstLineChars="200"/>
        <w:jc w:val="left"/>
        <w:rPr>
          <w:rFonts w:ascii="宋体" w:hAnsi="宋体" w:cs="宋体"/>
          <w:sz w:val="24"/>
          <w:szCs w:val="28"/>
        </w:rPr>
      </w:pPr>
      <w:r>
        <w:rPr>
          <w:rFonts w:hint="eastAsia" w:ascii="宋体" w:hAnsi="宋体" w:cs="宋体"/>
          <w:sz w:val="24"/>
          <w:szCs w:val="28"/>
        </w:rPr>
        <w:t>（3）不采用支付分解表的，承包人应向发包人和监理人提交按季度编制的支付估算分解表，用于支付参考。</w:t>
      </w:r>
    </w:p>
    <w:p w14:paraId="6826D118">
      <w:pPr>
        <w:spacing w:line="360" w:lineRule="auto"/>
        <w:ind w:firstLine="480" w:firstLineChars="200"/>
        <w:jc w:val="left"/>
        <w:rPr>
          <w:rFonts w:ascii="宋体" w:hAnsi="宋体" w:cs="宋体"/>
          <w:sz w:val="24"/>
          <w:szCs w:val="28"/>
        </w:rPr>
      </w:pPr>
      <w:r>
        <w:rPr>
          <w:rFonts w:hint="eastAsia" w:ascii="宋体" w:hAnsi="宋体" w:cs="宋体"/>
          <w:sz w:val="24"/>
          <w:szCs w:val="28"/>
        </w:rPr>
        <w:t>2.总价合同支付分解表的编制与审批</w:t>
      </w:r>
    </w:p>
    <w:p w14:paraId="4B64F318">
      <w:pPr>
        <w:spacing w:line="360" w:lineRule="auto"/>
        <w:ind w:firstLine="480" w:firstLineChars="200"/>
        <w:jc w:val="left"/>
        <w:rPr>
          <w:rFonts w:ascii="宋体" w:hAnsi="宋体" w:cs="宋体"/>
          <w:sz w:val="24"/>
          <w:szCs w:val="28"/>
        </w:rPr>
      </w:pPr>
      <w:r>
        <w:rPr>
          <w:rFonts w:hint="eastAsia" w:ascii="宋体" w:hAnsi="宋体" w:cs="宋体"/>
          <w:sz w:val="24"/>
          <w:szCs w:val="28"/>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93D52B9">
      <w:pPr>
        <w:spacing w:line="360" w:lineRule="auto"/>
        <w:ind w:firstLine="480" w:firstLineChars="200"/>
        <w:jc w:val="left"/>
        <w:rPr>
          <w:rFonts w:ascii="宋体" w:hAnsi="宋体" w:cs="宋体"/>
          <w:sz w:val="24"/>
          <w:szCs w:val="28"/>
        </w:rPr>
      </w:pPr>
      <w:r>
        <w:rPr>
          <w:rFonts w:hint="eastAsia" w:ascii="宋体" w:hAnsi="宋体" w:cs="宋体"/>
          <w:sz w:val="24"/>
          <w:szCs w:val="28"/>
        </w:rPr>
        <w:t>（2）监理人应在收到支付分解表后7天内完成审核并报送发包人。发包人应在收到经监理人审核的支付分解表后7天内完成审批，经发包人批准的支付分解表为有约束力的支付分解表。</w:t>
      </w:r>
    </w:p>
    <w:p w14:paraId="57093519">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（3）发包人逾期未完成支付分解表审批的，也未及时要求承包人进行修正和提供补充资料的，则承包人提交的支付分解表视为已经获得发包人批准。</w:t>
      </w:r>
    </w:p>
    <w:p w14:paraId="33C470D6">
      <w:pPr>
        <w:spacing w:line="360" w:lineRule="auto"/>
        <w:ind w:firstLine="480" w:firstLineChars="200"/>
        <w:jc w:val="left"/>
        <w:rPr>
          <w:rFonts w:ascii="宋体" w:hAnsi="宋体" w:cs="宋体"/>
          <w:sz w:val="24"/>
          <w:szCs w:val="28"/>
        </w:rPr>
      </w:pPr>
      <w:r>
        <w:rPr>
          <w:rFonts w:hint="eastAsia" w:ascii="宋体" w:hAnsi="宋体" w:cs="宋体"/>
          <w:sz w:val="24"/>
          <w:szCs w:val="28"/>
        </w:rPr>
        <w:t>3.单价合同的总价项目支付分解表的编制与审批</w:t>
      </w:r>
    </w:p>
    <w:p w14:paraId="40E15713">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977AC24">
      <w:pPr>
        <w:spacing w:line="360" w:lineRule="auto"/>
        <w:ind w:firstLine="480" w:firstLineChars="200"/>
        <w:jc w:val="left"/>
        <w:rPr>
          <w:rFonts w:ascii="宋体" w:hAnsi="宋体" w:cs="宋体"/>
          <w:sz w:val="24"/>
          <w:szCs w:val="28"/>
        </w:rPr>
      </w:pPr>
      <w:r>
        <w:rPr>
          <w:rFonts w:hint="eastAsia" w:ascii="宋体" w:hAnsi="宋体" w:cs="宋体"/>
          <w:sz w:val="24"/>
          <w:szCs w:val="28"/>
        </w:rPr>
        <w:t>12.5支付账户</w:t>
      </w:r>
    </w:p>
    <w:p w14:paraId="49FD5C27">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发包人应将合同价款支付至合同协议书中约定的承包人账户。</w:t>
      </w:r>
    </w:p>
    <w:p w14:paraId="008B5A16">
      <w:pPr>
        <w:spacing w:line="360" w:lineRule="auto"/>
        <w:ind w:firstLine="480" w:firstLineChars="200"/>
        <w:jc w:val="left"/>
        <w:rPr>
          <w:rFonts w:ascii="宋体" w:hAnsi="宋体" w:cs="宋体"/>
          <w:sz w:val="24"/>
          <w:szCs w:val="28"/>
        </w:rPr>
      </w:pPr>
      <w:r>
        <w:rPr>
          <w:rFonts w:hint="eastAsia" w:ascii="宋体" w:hAnsi="宋体" w:cs="宋体"/>
          <w:sz w:val="24"/>
          <w:szCs w:val="28"/>
        </w:rPr>
        <w:t>13. 验收和工程试车</w:t>
      </w:r>
    </w:p>
    <w:p w14:paraId="15E494E2">
      <w:pPr>
        <w:spacing w:line="360" w:lineRule="auto"/>
        <w:ind w:firstLine="480" w:firstLineChars="200"/>
        <w:jc w:val="left"/>
        <w:rPr>
          <w:rFonts w:ascii="宋体" w:hAnsi="宋体" w:cs="宋体"/>
          <w:sz w:val="24"/>
          <w:szCs w:val="28"/>
        </w:rPr>
      </w:pPr>
      <w:r>
        <w:rPr>
          <w:rFonts w:hint="eastAsia" w:ascii="宋体" w:hAnsi="宋体" w:cs="宋体"/>
          <w:sz w:val="24"/>
          <w:szCs w:val="28"/>
        </w:rPr>
        <w:t>13.1分部分项工程验收</w:t>
      </w:r>
    </w:p>
    <w:p w14:paraId="4A925DDE">
      <w:pPr>
        <w:spacing w:line="360" w:lineRule="auto"/>
        <w:ind w:firstLine="480" w:firstLineChars="200"/>
        <w:jc w:val="left"/>
        <w:rPr>
          <w:rFonts w:ascii="宋体" w:hAnsi="宋体" w:cs="宋体"/>
          <w:sz w:val="24"/>
          <w:szCs w:val="28"/>
        </w:rPr>
      </w:pPr>
      <w:r>
        <w:rPr>
          <w:rFonts w:hint="eastAsia" w:ascii="宋体" w:hAnsi="宋体" w:cs="宋体"/>
          <w:sz w:val="24"/>
          <w:szCs w:val="28"/>
        </w:rPr>
        <w:t>13.1.1 分部分项工程质量应符合国家有关工程施工验收规范、标准及合同约定，承包人应按照施工组织设计的要求完成分部分项工程施工。</w:t>
      </w:r>
    </w:p>
    <w:p w14:paraId="4D12D0F5">
      <w:pPr>
        <w:spacing w:line="360" w:lineRule="auto"/>
        <w:ind w:firstLine="480" w:firstLineChars="200"/>
        <w:jc w:val="left"/>
        <w:rPr>
          <w:rFonts w:ascii="宋体" w:hAnsi="宋体" w:cs="宋体"/>
          <w:sz w:val="24"/>
          <w:szCs w:val="28"/>
        </w:rPr>
      </w:pPr>
      <w:r>
        <w:rPr>
          <w:rFonts w:hint="eastAsia" w:ascii="宋体" w:hAnsi="宋体" w:cs="宋体"/>
          <w:sz w:val="24"/>
          <w:szCs w:val="28"/>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7C0EA796">
      <w:pPr>
        <w:spacing w:line="360" w:lineRule="auto"/>
        <w:ind w:firstLine="480" w:firstLineChars="200"/>
        <w:jc w:val="left"/>
        <w:rPr>
          <w:rFonts w:ascii="宋体" w:hAnsi="宋体" w:cs="宋体"/>
          <w:sz w:val="24"/>
          <w:szCs w:val="28"/>
        </w:rPr>
      </w:pPr>
      <w:r>
        <w:rPr>
          <w:rFonts w:hint="eastAsia" w:ascii="宋体" w:hAnsi="宋体" w:cs="宋体"/>
          <w:sz w:val="24"/>
          <w:szCs w:val="28"/>
        </w:rPr>
        <w:t>分部分项工程的验收资料应当作为竣工资料的组成部分。</w:t>
      </w:r>
    </w:p>
    <w:p w14:paraId="20FE035E">
      <w:pPr>
        <w:spacing w:line="360" w:lineRule="auto"/>
        <w:ind w:firstLine="480" w:firstLineChars="200"/>
        <w:jc w:val="left"/>
        <w:rPr>
          <w:rFonts w:ascii="宋体" w:hAnsi="宋体" w:cs="宋体"/>
          <w:sz w:val="24"/>
          <w:szCs w:val="28"/>
        </w:rPr>
      </w:pPr>
      <w:r>
        <w:rPr>
          <w:rFonts w:hint="eastAsia" w:ascii="宋体" w:hAnsi="宋体" w:cs="宋体"/>
          <w:sz w:val="24"/>
          <w:szCs w:val="28"/>
        </w:rPr>
        <w:t>13.2竣工验收</w:t>
      </w:r>
    </w:p>
    <w:p w14:paraId="7016E135">
      <w:pPr>
        <w:spacing w:line="360" w:lineRule="auto"/>
        <w:ind w:firstLine="480" w:firstLineChars="200"/>
        <w:jc w:val="left"/>
        <w:rPr>
          <w:rFonts w:ascii="宋体" w:hAnsi="宋体" w:cs="宋体"/>
          <w:sz w:val="24"/>
          <w:szCs w:val="28"/>
        </w:rPr>
      </w:pPr>
      <w:r>
        <w:rPr>
          <w:rFonts w:hint="eastAsia" w:ascii="宋体" w:hAnsi="宋体" w:cs="宋体"/>
          <w:sz w:val="24"/>
          <w:szCs w:val="28"/>
        </w:rPr>
        <w:t>13.2.1竣工验收条件</w:t>
      </w:r>
    </w:p>
    <w:p w14:paraId="31CDEF4C">
      <w:pPr>
        <w:spacing w:line="360" w:lineRule="auto"/>
        <w:ind w:firstLine="480" w:firstLineChars="200"/>
        <w:jc w:val="left"/>
        <w:rPr>
          <w:rFonts w:ascii="宋体" w:hAnsi="宋体" w:cs="宋体"/>
          <w:sz w:val="24"/>
          <w:szCs w:val="28"/>
        </w:rPr>
      </w:pPr>
      <w:r>
        <w:rPr>
          <w:rFonts w:hint="eastAsia" w:ascii="宋体" w:hAnsi="宋体" w:cs="宋体"/>
          <w:sz w:val="24"/>
          <w:szCs w:val="28"/>
        </w:rPr>
        <w:t>工程具备以下条件的，承包人可以申请竣工验收：</w:t>
      </w:r>
    </w:p>
    <w:p w14:paraId="58168BA3">
      <w:pPr>
        <w:spacing w:line="360" w:lineRule="auto"/>
        <w:ind w:firstLine="480" w:firstLineChars="200"/>
        <w:jc w:val="left"/>
        <w:rPr>
          <w:rFonts w:ascii="宋体" w:hAnsi="宋体" w:cs="宋体"/>
          <w:sz w:val="24"/>
          <w:szCs w:val="28"/>
        </w:rPr>
      </w:pPr>
      <w:r>
        <w:rPr>
          <w:rFonts w:hint="eastAsia" w:ascii="宋体" w:hAnsi="宋体" w:cs="宋体"/>
          <w:sz w:val="24"/>
          <w:szCs w:val="28"/>
        </w:rPr>
        <w:t>（1）除发包人同意的甩项工作和缺陷修补工作外，合同范围内的全部工程以及有关工作，包括合同要求的试验、试运行以及检验均已完成，并符合合同要求；</w:t>
      </w:r>
    </w:p>
    <w:p w14:paraId="050AEAED">
      <w:pPr>
        <w:spacing w:line="360" w:lineRule="auto"/>
        <w:ind w:firstLine="480" w:firstLineChars="200"/>
        <w:jc w:val="left"/>
        <w:rPr>
          <w:rFonts w:ascii="宋体" w:hAnsi="宋体" w:cs="宋体"/>
          <w:sz w:val="24"/>
          <w:szCs w:val="28"/>
        </w:rPr>
      </w:pPr>
      <w:r>
        <w:rPr>
          <w:rFonts w:hint="eastAsia" w:ascii="宋体" w:hAnsi="宋体" w:cs="宋体"/>
          <w:sz w:val="24"/>
          <w:szCs w:val="28"/>
        </w:rPr>
        <w:t>（2）已按合同约定编制了甩项工作和缺陷修补工作清单以及相应的施工计划；</w:t>
      </w:r>
    </w:p>
    <w:p w14:paraId="48E00B7B">
      <w:pPr>
        <w:spacing w:line="360" w:lineRule="auto"/>
        <w:ind w:firstLine="480" w:firstLineChars="200"/>
        <w:jc w:val="left"/>
        <w:rPr>
          <w:rFonts w:ascii="宋体" w:hAnsi="宋体" w:cs="宋体"/>
          <w:sz w:val="24"/>
          <w:szCs w:val="28"/>
        </w:rPr>
      </w:pPr>
      <w:r>
        <w:rPr>
          <w:rFonts w:hint="eastAsia" w:ascii="宋体" w:hAnsi="宋体" w:cs="宋体"/>
          <w:sz w:val="24"/>
          <w:szCs w:val="28"/>
        </w:rPr>
        <w:t>（3）已按合同约定的内容和份数备齐竣工资料。</w:t>
      </w:r>
    </w:p>
    <w:p w14:paraId="7B0EEE2A">
      <w:pPr>
        <w:spacing w:line="360" w:lineRule="auto"/>
        <w:ind w:firstLine="480" w:firstLineChars="200"/>
        <w:jc w:val="left"/>
        <w:rPr>
          <w:rFonts w:ascii="宋体" w:hAnsi="宋体" w:cs="宋体"/>
          <w:sz w:val="24"/>
          <w:szCs w:val="28"/>
        </w:rPr>
      </w:pPr>
      <w:r>
        <w:rPr>
          <w:rFonts w:hint="eastAsia" w:ascii="宋体" w:hAnsi="宋体" w:cs="宋体"/>
          <w:sz w:val="24"/>
          <w:szCs w:val="28"/>
        </w:rPr>
        <w:t>13.2.2竣工验收程序</w:t>
      </w:r>
    </w:p>
    <w:p w14:paraId="0FE64612">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除专用合同条款另有约定外，承包人申请竣工验收的，应当按照以下程序进行：</w:t>
      </w:r>
    </w:p>
    <w:p w14:paraId="2C87A395">
      <w:pPr>
        <w:spacing w:line="360" w:lineRule="auto"/>
        <w:ind w:firstLine="480" w:firstLineChars="200"/>
        <w:jc w:val="left"/>
        <w:rPr>
          <w:rFonts w:ascii="宋体" w:hAnsi="宋体" w:cs="宋体"/>
          <w:sz w:val="24"/>
          <w:szCs w:val="28"/>
        </w:rPr>
      </w:pPr>
      <w:r>
        <w:rPr>
          <w:rFonts w:hint="eastAsia" w:ascii="宋体" w:hAnsi="宋体" w:cs="宋体"/>
          <w:sz w:val="24"/>
          <w:szCs w:val="28"/>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7A41779">
      <w:pPr>
        <w:spacing w:line="360" w:lineRule="auto"/>
        <w:ind w:firstLine="480" w:firstLineChars="200"/>
        <w:jc w:val="left"/>
        <w:rPr>
          <w:rFonts w:ascii="宋体" w:hAnsi="宋体" w:cs="宋体"/>
          <w:sz w:val="24"/>
          <w:szCs w:val="28"/>
        </w:rPr>
      </w:pPr>
      <w:r>
        <w:rPr>
          <w:rFonts w:hint="eastAsia" w:ascii="宋体" w:hAnsi="宋体" w:cs="宋体"/>
          <w:sz w:val="24"/>
          <w:szCs w:val="28"/>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3469FE4E">
      <w:pPr>
        <w:spacing w:line="360" w:lineRule="auto"/>
        <w:ind w:firstLine="480" w:firstLineChars="200"/>
        <w:jc w:val="left"/>
        <w:rPr>
          <w:rFonts w:ascii="宋体" w:hAnsi="宋体" w:cs="宋体"/>
          <w:sz w:val="24"/>
          <w:szCs w:val="28"/>
        </w:rPr>
      </w:pPr>
      <w:r>
        <w:rPr>
          <w:rFonts w:hint="eastAsia" w:ascii="宋体" w:hAnsi="宋体" w:cs="宋体"/>
          <w:sz w:val="24"/>
          <w:szCs w:val="28"/>
        </w:rPr>
        <w:t>（3）竣工验收合格的，发包人应在验收合格后14天内向承包人签发工程接收证书。发包人无正当理由逾期不颁发工程接收证书的，自验收合格后第15天起视为已颁发工程接收证书。</w:t>
      </w:r>
    </w:p>
    <w:p w14:paraId="22A0C7D2">
      <w:pPr>
        <w:spacing w:line="360" w:lineRule="auto"/>
        <w:ind w:firstLine="480" w:firstLineChars="200"/>
        <w:jc w:val="left"/>
        <w:rPr>
          <w:rFonts w:ascii="宋体" w:hAnsi="宋体" w:cs="宋体"/>
          <w:sz w:val="24"/>
          <w:szCs w:val="28"/>
        </w:rPr>
      </w:pPr>
      <w:r>
        <w:rPr>
          <w:rFonts w:hint="eastAsia" w:ascii="宋体" w:hAnsi="宋体" w:cs="宋体"/>
          <w:sz w:val="24"/>
          <w:szCs w:val="28"/>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08500D5">
      <w:pPr>
        <w:spacing w:line="360" w:lineRule="auto"/>
        <w:ind w:firstLine="480" w:firstLineChars="200"/>
        <w:jc w:val="left"/>
        <w:rPr>
          <w:rFonts w:ascii="宋体" w:hAnsi="宋体" w:cs="宋体"/>
          <w:sz w:val="24"/>
          <w:szCs w:val="28"/>
        </w:rPr>
      </w:pPr>
      <w:r>
        <w:rPr>
          <w:rFonts w:hint="eastAsia" w:ascii="宋体" w:hAnsi="宋体" w:cs="宋体"/>
          <w:sz w:val="24"/>
          <w:szCs w:val="28"/>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04D9A3E8">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除专用合同条款另有约定外，发包人不按照本项约定组织竣工验收、颁发工程接收证书的，每逾期一天，应以签约合同价为基数，按照中国人民银行发布的同期同类贷款基准利率支付违约金。</w:t>
      </w:r>
    </w:p>
    <w:p w14:paraId="46FFEEC6">
      <w:pPr>
        <w:spacing w:line="360" w:lineRule="auto"/>
        <w:ind w:firstLine="480" w:firstLineChars="200"/>
        <w:jc w:val="left"/>
        <w:rPr>
          <w:rFonts w:ascii="宋体" w:hAnsi="宋体" w:cs="宋体"/>
          <w:sz w:val="24"/>
          <w:szCs w:val="28"/>
        </w:rPr>
      </w:pPr>
      <w:r>
        <w:rPr>
          <w:rFonts w:hint="eastAsia" w:ascii="宋体" w:hAnsi="宋体" w:cs="宋体"/>
          <w:sz w:val="24"/>
          <w:szCs w:val="28"/>
        </w:rPr>
        <w:t>13.2.3竣工日期</w:t>
      </w:r>
    </w:p>
    <w:p w14:paraId="6310E6C6">
      <w:pPr>
        <w:spacing w:line="360" w:lineRule="auto"/>
        <w:ind w:firstLine="480" w:firstLineChars="200"/>
        <w:jc w:val="left"/>
        <w:rPr>
          <w:rFonts w:ascii="宋体" w:hAnsi="宋体" w:cs="宋体"/>
          <w:sz w:val="24"/>
          <w:szCs w:val="28"/>
        </w:rPr>
      </w:pPr>
      <w:r>
        <w:rPr>
          <w:rFonts w:hint="eastAsia" w:ascii="宋体" w:hAnsi="宋体" w:cs="宋体"/>
          <w:sz w:val="24"/>
          <w:szCs w:val="28"/>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14:paraId="60DBA6A1">
      <w:pPr>
        <w:spacing w:line="360" w:lineRule="auto"/>
        <w:ind w:firstLine="480" w:firstLineChars="200"/>
        <w:jc w:val="left"/>
        <w:rPr>
          <w:rFonts w:ascii="宋体" w:hAnsi="宋体" w:cs="宋体"/>
          <w:sz w:val="24"/>
          <w:szCs w:val="28"/>
        </w:rPr>
      </w:pPr>
      <w:r>
        <w:rPr>
          <w:rFonts w:hint="eastAsia" w:ascii="宋体" w:hAnsi="宋体" w:cs="宋体"/>
          <w:sz w:val="24"/>
          <w:szCs w:val="28"/>
        </w:rPr>
        <w:t>13.2.4 拒绝接收全部或部分工程</w:t>
      </w:r>
    </w:p>
    <w:p w14:paraId="7C44E85C">
      <w:pPr>
        <w:spacing w:line="360" w:lineRule="auto"/>
        <w:ind w:firstLine="480" w:firstLineChars="200"/>
        <w:jc w:val="left"/>
        <w:rPr>
          <w:rFonts w:ascii="宋体" w:hAnsi="宋体" w:cs="宋体"/>
          <w:sz w:val="24"/>
          <w:szCs w:val="28"/>
        </w:rPr>
      </w:pPr>
      <w:r>
        <w:rPr>
          <w:rFonts w:hint="eastAsia" w:ascii="宋体" w:hAnsi="宋体" w:cs="宋体"/>
          <w:sz w:val="24"/>
          <w:szCs w:val="28"/>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6971ED50">
      <w:pPr>
        <w:spacing w:line="360" w:lineRule="auto"/>
        <w:ind w:firstLine="480" w:firstLineChars="200"/>
        <w:jc w:val="left"/>
        <w:rPr>
          <w:rFonts w:ascii="宋体" w:hAnsi="宋体" w:cs="宋体"/>
          <w:sz w:val="24"/>
          <w:szCs w:val="28"/>
        </w:rPr>
      </w:pPr>
      <w:r>
        <w:rPr>
          <w:rFonts w:hint="eastAsia" w:ascii="宋体" w:hAnsi="宋体" w:cs="宋体"/>
          <w:sz w:val="24"/>
          <w:szCs w:val="28"/>
        </w:rPr>
        <w:t>13.2.5 移交、接收全部与部分工程</w:t>
      </w:r>
    </w:p>
    <w:p w14:paraId="63D6F787">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除专用合同条款另有约定外，合同当事人应当在颁发工程接收证书后7天内完成工程的移交。</w:t>
      </w:r>
    </w:p>
    <w:p w14:paraId="0F070B9B">
      <w:pPr>
        <w:spacing w:line="360" w:lineRule="auto"/>
        <w:ind w:firstLine="480" w:firstLineChars="200"/>
        <w:jc w:val="left"/>
        <w:rPr>
          <w:rFonts w:ascii="宋体" w:hAnsi="宋体" w:cs="宋体"/>
          <w:sz w:val="24"/>
          <w:szCs w:val="28"/>
        </w:rPr>
      </w:pPr>
      <w:r>
        <w:rPr>
          <w:rFonts w:hint="eastAsia" w:ascii="宋体" w:hAnsi="宋体" w:cs="宋体"/>
          <w:sz w:val="24"/>
          <w:szCs w:val="28"/>
        </w:rPr>
        <w:t>发包人无正当理由不接收工程的，发包人自应当接收工程之日起，承担工程照管、成品保护、保管等与工程有关的各项费用，合同当事人可以在专用合同条款中另行约定发包人逾期接收工程的违约责任。</w:t>
      </w:r>
    </w:p>
    <w:p w14:paraId="0D3A80E8">
      <w:pPr>
        <w:spacing w:line="360" w:lineRule="auto"/>
        <w:ind w:firstLine="480" w:firstLineChars="200"/>
        <w:jc w:val="left"/>
        <w:rPr>
          <w:rFonts w:ascii="宋体" w:hAnsi="宋体" w:cs="宋体"/>
          <w:sz w:val="24"/>
          <w:szCs w:val="28"/>
        </w:rPr>
      </w:pPr>
      <w:r>
        <w:rPr>
          <w:rFonts w:hint="eastAsia" w:ascii="宋体" w:hAnsi="宋体" w:cs="宋体"/>
          <w:sz w:val="24"/>
          <w:szCs w:val="28"/>
        </w:rPr>
        <w:t>承包人无正当理由不移交工程的，承包人应承担工程照管、成品保护、保管等与工程有关的各项费用，合同当事人可以在专用合同条款中另行约定承包人无正当理由不移交工程的违约责任。</w:t>
      </w:r>
    </w:p>
    <w:p w14:paraId="08E3445A">
      <w:pPr>
        <w:spacing w:line="360" w:lineRule="auto"/>
        <w:ind w:firstLine="480" w:firstLineChars="200"/>
        <w:jc w:val="left"/>
        <w:rPr>
          <w:rFonts w:ascii="宋体" w:hAnsi="宋体" w:cs="宋体"/>
          <w:sz w:val="24"/>
          <w:szCs w:val="28"/>
        </w:rPr>
      </w:pPr>
      <w:r>
        <w:rPr>
          <w:rFonts w:hint="eastAsia" w:ascii="宋体" w:hAnsi="宋体" w:cs="宋体"/>
          <w:sz w:val="24"/>
          <w:szCs w:val="28"/>
        </w:rPr>
        <w:t>13.3工程试车</w:t>
      </w:r>
    </w:p>
    <w:p w14:paraId="1C86A407">
      <w:pPr>
        <w:spacing w:line="360" w:lineRule="auto"/>
        <w:ind w:firstLine="480" w:firstLineChars="200"/>
        <w:jc w:val="left"/>
        <w:rPr>
          <w:rFonts w:ascii="宋体" w:hAnsi="宋体" w:cs="宋体"/>
          <w:sz w:val="24"/>
          <w:szCs w:val="28"/>
        </w:rPr>
      </w:pPr>
      <w:r>
        <w:rPr>
          <w:rFonts w:hint="eastAsia" w:ascii="宋体" w:hAnsi="宋体" w:cs="宋体"/>
          <w:sz w:val="24"/>
          <w:szCs w:val="28"/>
        </w:rPr>
        <w:t>13.3.1试车程序</w:t>
      </w:r>
    </w:p>
    <w:p w14:paraId="53DB8E6C">
      <w:pPr>
        <w:spacing w:line="360" w:lineRule="auto"/>
        <w:ind w:firstLine="480" w:firstLineChars="200"/>
        <w:jc w:val="left"/>
        <w:rPr>
          <w:rFonts w:ascii="宋体" w:hAnsi="宋体" w:cs="宋体"/>
          <w:sz w:val="24"/>
          <w:szCs w:val="28"/>
        </w:rPr>
      </w:pPr>
      <w:r>
        <w:rPr>
          <w:rFonts w:hint="eastAsia" w:ascii="宋体" w:hAnsi="宋体" w:cs="宋体"/>
          <w:sz w:val="24"/>
          <w:szCs w:val="28"/>
        </w:rPr>
        <w:t>工程需要试车的，除专用合同条款另有约定外，试车内容应与承包人承包范围相一致，试车费用由承包人承担。工程试车应按如下程序进行：</w:t>
      </w:r>
    </w:p>
    <w:p w14:paraId="3D7B1F80">
      <w:pPr>
        <w:spacing w:line="360" w:lineRule="auto"/>
        <w:ind w:firstLine="480" w:firstLineChars="200"/>
        <w:jc w:val="left"/>
        <w:rPr>
          <w:rFonts w:ascii="宋体" w:hAnsi="宋体" w:cs="宋体"/>
          <w:sz w:val="24"/>
          <w:szCs w:val="28"/>
        </w:rPr>
      </w:pPr>
      <w:r>
        <w:rPr>
          <w:rFonts w:hint="eastAsia" w:ascii="宋体" w:hAnsi="宋体" w:cs="宋体"/>
          <w:sz w:val="24"/>
          <w:szCs w:val="28"/>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42BE5B78">
      <w:pPr>
        <w:spacing w:line="360" w:lineRule="auto"/>
        <w:ind w:firstLine="480" w:firstLineChars="200"/>
        <w:jc w:val="left"/>
        <w:rPr>
          <w:rFonts w:ascii="宋体" w:hAnsi="宋体" w:cs="宋体"/>
          <w:sz w:val="24"/>
          <w:szCs w:val="28"/>
        </w:rPr>
      </w:pPr>
      <w:r>
        <w:rPr>
          <w:rFonts w:hint="eastAsia" w:ascii="宋体" w:hAnsi="宋体" w:cs="宋体"/>
          <w:sz w:val="24"/>
          <w:szCs w:val="28"/>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554C0813">
      <w:pPr>
        <w:spacing w:line="360" w:lineRule="auto"/>
        <w:ind w:firstLine="480" w:firstLineChars="200"/>
        <w:jc w:val="left"/>
        <w:rPr>
          <w:rFonts w:ascii="宋体" w:hAnsi="宋体" w:cs="宋体"/>
          <w:sz w:val="24"/>
          <w:szCs w:val="28"/>
        </w:rPr>
      </w:pPr>
      <w:r>
        <w:rPr>
          <w:rFonts w:hint="eastAsia" w:ascii="宋体" w:hAnsi="宋体" w:cs="宋体"/>
          <w:sz w:val="24"/>
          <w:szCs w:val="28"/>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000B0C09">
      <w:pPr>
        <w:spacing w:line="360" w:lineRule="auto"/>
        <w:ind w:firstLine="480" w:firstLineChars="200"/>
        <w:jc w:val="left"/>
        <w:rPr>
          <w:rFonts w:ascii="宋体" w:hAnsi="宋体" w:cs="宋体"/>
          <w:sz w:val="24"/>
          <w:szCs w:val="28"/>
        </w:rPr>
      </w:pPr>
      <w:r>
        <w:rPr>
          <w:rFonts w:hint="eastAsia" w:ascii="宋体" w:hAnsi="宋体" w:cs="宋体"/>
          <w:sz w:val="24"/>
          <w:szCs w:val="28"/>
        </w:rPr>
        <w:t>13.3.2 试车中的责任</w:t>
      </w:r>
    </w:p>
    <w:p w14:paraId="041686AF">
      <w:pPr>
        <w:spacing w:line="360" w:lineRule="auto"/>
        <w:ind w:firstLine="480" w:firstLineChars="200"/>
        <w:jc w:val="left"/>
        <w:rPr>
          <w:rFonts w:ascii="宋体" w:hAnsi="宋体" w:cs="宋体"/>
          <w:sz w:val="24"/>
          <w:szCs w:val="28"/>
        </w:rPr>
      </w:pPr>
      <w:r>
        <w:rPr>
          <w:rFonts w:hint="eastAsia" w:ascii="宋体" w:hAnsi="宋体" w:cs="宋体"/>
          <w:sz w:val="24"/>
          <w:szCs w:val="28"/>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29B1B5E5">
      <w:pPr>
        <w:spacing w:line="360" w:lineRule="auto"/>
        <w:ind w:firstLine="480" w:firstLineChars="200"/>
        <w:jc w:val="left"/>
        <w:rPr>
          <w:rFonts w:ascii="宋体" w:hAnsi="宋体" w:cs="宋体"/>
          <w:sz w:val="24"/>
          <w:szCs w:val="28"/>
        </w:rPr>
      </w:pPr>
      <w:r>
        <w:rPr>
          <w:rFonts w:hint="eastAsia" w:ascii="宋体" w:hAnsi="宋体" w:cs="宋体"/>
          <w:sz w:val="24"/>
          <w:szCs w:val="28"/>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B42E914">
      <w:pPr>
        <w:spacing w:line="360" w:lineRule="auto"/>
        <w:ind w:firstLine="480" w:firstLineChars="200"/>
        <w:jc w:val="left"/>
        <w:rPr>
          <w:rFonts w:ascii="宋体" w:hAnsi="宋体" w:cs="宋体"/>
          <w:sz w:val="24"/>
          <w:szCs w:val="28"/>
        </w:rPr>
      </w:pPr>
      <w:r>
        <w:rPr>
          <w:rFonts w:hint="eastAsia" w:ascii="宋体" w:hAnsi="宋体" w:cs="宋体"/>
          <w:sz w:val="24"/>
          <w:szCs w:val="28"/>
        </w:rPr>
        <w:t>13.3.3 投料试车</w:t>
      </w:r>
    </w:p>
    <w:p w14:paraId="11AE2E16">
      <w:pPr>
        <w:spacing w:line="360" w:lineRule="auto"/>
        <w:ind w:firstLine="480" w:firstLineChars="200"/>
        <w:jc w:val="left"/>
        <w:rPr>
          <w:rFonts w:ascii="宋体" w:hAnsi="宋体" w:cs="宋体"/>
          <w:sz w:val="24"/>
          <w:szCs w:val="28"/>
        </w:rPr>
      </w:pPr>
      <w:r>
        <w:rPr>
          <w:rFonts w:hint="eastAsia" w:ascii="宋体" w:hAnsi="宋体" w:cs="宋体"/>
          <w:sz w:val="24"/>
          <w:szCs w:val="28"/>
        </w:rPr>
        <w:t>如需进行投料试车的，发包人应在工程竣工验收后组织投料试车。发包人要求在工程竣工验收前进行或需要承包人配合时，应征得承包人同意，并在专用合同条款中约定有关事项。</w:t>
      </w:r>
    </w:p>
    <w:p w14:paraId="21AC8EC9">
      <w:pPr>
        <w:spacing w:line="360" w:lineRule="auto"/>
        <w:ind w:firstLine="480" w:firstLineChars="200"/>
        <w:jc w:val="left"/>
        <w:rPr>
          <w:rFonts w:ascii="宋体" w:hAnsi="宋体" w:cs="宋体"/>
          <w:sz w:val="24"/>
          <w:szCs w:val="28"/>
        </w:rPr>
      </w:pPr>
      <w:r>
        <w:rPr>
          <w:rFonts w:hint="eastAsia" w:ascii="宋体" w:hAnsi="宋体" w:cs="宋体"/>
          <w:sz w:val="24"/>
          <w:szCs w:val="28"/>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6A5F49C8">
      <w:pPr>
        <w:spacing w:line="360" w:lineRule="auto"/>
        <w:ind w:firstLine="480" w:firstLineChars="200"/>
        <w:jc w:val="left"/>
        <w:rPr>
          <w:rFonts w:ascii="宋体" w:hAnsi="宋体" w:cs="宋体"/>
          <w:sz w:val="24"/>
          <w:szCs w:val="28"/>
        </w:rPr>
      </w:pPr>
      <w:r>
        <w:rPr>
          <w:rFonts w:hint="eastAsia" w:ascii="宋体" w:hAnsi="宋体" w:cs="宋体"/>
          <w:sz w:val="24"/>
          <w:szCs w:val="28"/>
        </w:rPr>
        <w:t>13.4提前交付单位工程的验收</w:t>
      </w:r>
    </w:p>
    <w:p w14:paraId="7079054F">
      <w:pPr>
        <w:spacing w:line="360" w:lineRule="auto"/>
        <w:ind w:firstLine="480" w:firstLineChars="200"/>
        <w:jc w:val="left"/>
        <w:rPr>
          <w:rFonts w:ascii="宋体" w:hAnsi="宋体" w:cs="宋体"/>
          <w:sz w:val="24"/>
          <w:szCs w:val="28"/>
        </w:rPr>
      </w:pPr>
      <w:r>
        <w:rPr>
          <w:rFonts w:hint="eastAsia" w:ascii="宋体" w:hAnsi="宋体" w:cs="宋体"/>
          <w:sz w:val="24"/>
          <w:szCs w:val="28"/>
        </w:rPr>
        <w:t>13.4.1 发包人需要在工程竣工前使用单位工程的，或承包人提出提前交付已经竣工的单位工程且经发包人同意的，可进行单位工程验收，验收的程序按照第13.2款〔竣工验收〕的约定进行。</w:t>
      </w:r>
    </w:p>
    <w:p w14:paraId="0467B22C">
      <w:pPr>
        <w:spacing w:line="360" w:lineRule="auto"/>
        <w:ind w:firstLine="480" w:firstLineChars="200"/>
        <w:jc w:val="left"/>
        <w:rPr>
          <w:rFonts w:ascii="宋体" w:hAnsi="宋体" w:cs="宋体"/>
          <w:sz w:val="24"/>
          <w:szCs w:val="28"/>
        </w:rPr>
      </w:pPr>
      <w:r>
        <w:rPr>
          <w:rFonts w:hint="eastAsia" w:ascii="宋体" w:hAnsi="宋体" w:cs="宋体"/>
          <w:sz w:val="24"/>
          <w:szCs w:val="28"/>
        </w:rPr>
        <w:t>验收合格后，由监理人向承包人出具经发包人签认的单位工程接收证书。已签发单位工程接收证书的单位工程由发包人负责照管。单位工程的验收成果和结论作为整体工程竣工验收申请报告的附件。</w:t>
      </w:r>
    </w:p>
    <w:p w14:paraId="63D8EAB8">
      <w:pPr>
        <w:spacing w:line="360" w:lineRule="auto"/>
        <w:ind w:firstLine="480" w:firstLineChars="200"/>
        <w:jc w:val="left"/>
        <w:rPr>
          <w:rFonts w:ascii="宋体" w:hAnsi="宋体" w:cs="宋体"/>
          <w:sz w:val="24"/>
          <w:szCs w:val="28"/>
        </w:rPr>
      </w:pPr>
      <w:r>
        <w:rPr>
          <w:rFonts w:hint="eastAsia" w:ascii="宋体" w:hAnsi="宋体" w:cs="宋体"/>
          <w:sz w:val="24"/>
          <w:szCs w:val="28"/>
        </w:rPr>
        <w:t>13.4.2 发包人要求在工程竣工前交付单位工程，由此导致承包人费用增加和（或）工期延误的，由发包人承担由此增加的费用和（或）延误的工期，并支付承包人合理的利润。</w:t>
      </w:r>
    </w:p>
    <w:p w14:paraId="2A7580C7">
      <w:pPr>
        <w:spacing w:line="360" w:lineRule="auto"/>
        <w:ind w:firstLine="480" w:firstLineChars="200"/>
        <w:jc w:val="left"/>
        <w:rPr>
          <w:rFonts w:ascii="宋体" w:hAnsi="宋体" w:cs="宋体"/>
          <w:sz w:val="24"/>
          <w:szCs w:val="28"/>
        </w:rPr>
      </w:pPr>
      <w:r>
        <w:rPr>
          <w:rFonts w:hint="eastAsia" w:ascii="宋体" w:hAnsi="宋体" w:cs="宋体"/>
          <w:sz w:val="24"/>
          <w:szCs w:val="28"/>
        </w:rPr>
        <w:t>13.5 施工期运行</w:t>
      </w:r>
    </w:p>
    <w:p w14:paraId="07691862">
      <w:pPr>
        <w:spacing w:line="360" w:lineRule="auto"/>
        <w:ind w:firstLine="480" w:firstLineChars="200"/>
        <w:jc w:val="left"/>
        <w:rPr>
          <w:rFonts w:ascii="宋体" w:hAnsi="宋体" w:cs="宋体"/>
          <w:sz w:val="24"/>
          <w:szCs w:val="28"/>
        </w:rPr>
      </w:pPr>
      <w:r>
        <w:rPr>
          <w:rFonts w:hint="eastAsia" w:ascii="宋体" w:hAnsi="宋体" w:cs="宋体"/>
          <w:sz w:val="24"/>
          <w:szCs w:val="28"/>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1B0E524F">
      <w:pPr>
        <w:spacing w:line="360" w:lineRule="auto"/>
        <w:ind w:firstLine="480" w:firstLineChars="200"/>
        <w:jc w:val="left"/>
        <w:rPr>
          <w:rFonts w:ascii="宋体" w:hAnsi="宋体" w:cs="宋体"/>
          <w:sz w:val="24"/>
          <w:szCs w:val="28"/>
        </w:rPr>
      </w:pPr>
      <w:r>
        <w:rPr>
          <w:rFonts w:hint="eastAsia" w:ascii="宋体" w:hAnsi="宋体" w:cs="宋体"/>
          <w:sz w:val="24"/>
          <w:szCs w:val="28"/>
        </w:rPr>
        <w:t>13.5.2 在施工期运行中发现工程或工程设备损坏或存在缺陷的，由承包人按第15.2款〔缺陷责任期〕约定进行修复。</w:t>
      </w:r>
    </w:p>
    <w:p w14:paraId="081363B5">
      <w:pPr>
        <w:spacing w:line="360" w:lineRule="auto"/>
        <w:ind w:firstLine="480" w:firstLineChars="200"/>
        <w:jc w:val="left"/>
        <w:rPr>
          <w:rFonts w:ascii="宋体" w:hAnsi="宋体" w:cs="宋体"/>
          <w:sz w:val="24"/>
          <w:szCs w:val="28"/>
        </w:rPr>
      </w:pPr>
      <w:r>
        <w:rPr>
          <w:rFonts w:hint="eastAsia" w:ascii="宋体" w:hAnsi="宋体" w:cs="宋体"/>
          <w:sz w:val="24"/>
          <w:szCs w:val="28"/>
        </w:rPr>
        <w:t>13.6 竣工退场</w:t>
      </w:r>
    </w:p>
    <w:p w14:paraId="379E8269">
      <w:pPr>
        <w:spacing w:line="360" w:lineRule="auto"/>
        <w:ind w:firstLine="480" w:firstLineChars="200"/>
        <w:jc w:val="left"/>
        <w:rPr>
          <w:rFonts w:ascii="宋体" w:hAnsi="宋体" w:cs="宋体"/>
          <w:sz w:val="24"/>
          <w:szCs w:val="28"/>
        </w:rPr>
      </w:pPr>
      <w:r>
        <w:rPr>
          <w:rFonts w:hint="eastAsia" w:ascii="宋体" w:hAnsi="宋体" w:cs="宋体"/>
          <w:sz w:val="24"/>
          <w:szCs w:val="28"/>
        </w:rPr>
        <w:t>13.6.1 竣工退场</w:t>
      </w:r>
    </w:p>
    <w:p w14:paraId="7F6BC2F9">
      <w:pPr>
        <w:spacing w:line="360" w:lineRule="auto"/>
        <w:ind w:firstLine="480" w:firstLineChars="200"/>
        <w:jc w:val="left"/>
        <w:rPr>
          <w:rFonts w:ascii="宋体" w:hAnsi="宋体" w:cs="宋体"/>
          <w:sz w:val="24"/>
          <w:szCs w:val="28"/>
        </w:rPr>
      </w:pPr>
      <w:r>
        <w:rPr>
          <w:rFonts w:hint="eastAsia" w:ascii="宋体" w:hAnsi="宋体" w:cs="宋体"/>
          <w:sz w:val="24"/>
          <w:szCs w:val="28"/>
        </w:rPr>
        <w:t>颁发工程接收证书后，承包人应按以下要求对施工现场进行清理：</w:t>
      </w:r>
    </w:p>
    <w:p w14:paraId="4EE9A705">
      <w:pPr>
        <w:spacing w:line="360" w:lineRule="auto"/>
        <w:ind w:firstLine="480" w:firstLineChars="200"/>
        <w:jc w:val="left"/>
        <w:rPr>
          <w:rFonts w:ascii="宋体" w:hAnsi="宋体" w:cs="宋体"/>
          <w:sz w:val="24"/>
          <w:szCs w:val="28"/>
        </w:rPr>
      </w:pPr>
      <w:r>
        <w:rPr>
          <w:rFonts w:hint="eastAsia" w:ascii="宋体" w:hAnsi="宋体" w:cs="宋体"/>
          <w:sz w:val="24"/>
          <w:szCs w:val="28"/>
        </w:rPr>
        <w:t>（1）施工现场内残留的垃圾已全部清除出场；</w:t>
      </w:r>
    </w:p>
    <w:p w14:paraId="79D3FBD7">
      <w:pPr>
        <w:spacing w:line="360" w:lineRule="auto"/>
        <w:ind w:firstLine="480" w:firstLineChars="200"/>
        <w:jc w:val="left"/>
        <w:rPr>
          <w:rFonts w:ascii="宋体" w:hAnsi="宋体" w:cs="宋体"/>
          <w:sz w:val="24"/>
          <w:szCs w:val="28"/>
        </w:rPr>
      </w:pPr>
      <w:r>
        <w:rPr>
          <w:rFonts w:hint="eastAsia" w:ascii="宋体" w:hAnsi="宋体" w:cs="宋体"/>
          <w:sz w:val="24"/>
          <w:szCs w:val="28"/>
        </w:rPr>
        <w:t>（2）临时工程已拆除，场地已进行清理、平整或复原；</w:t>
      </w:r>
    </w:p>
    <w:p w14:paraId="013739D6">
      <w:pPr>
        <w:spacing w:line="360" w:lineRule="auto"/>
        <w:ind w:firstLine="480" w:firstLineChars="200"/>
        <w:jc w:val="left"/>
        <w:rPr>
          <w:rFonts w:ascii="宋体" w:hAnsi="宋体" w:cs="宋体"/>
          <w:sz w:val="24"/>
          <w:szCs w:val="28"/>
        </w:rPr>
      </w:pPr>
      <w:r>
        <w:rPr>
          <w:rFonts w:hint="eastAsia" w:ascii="宋体" w:hAnsi="宋体" w:cs="宋体"/>
          <w:sz w:val="24"/>
          <w:szCs w:val="28"/>
        </w:rPr>
        <w:t>（3）按合同约定应撤离的人员、承包人施工设备和剩余的材料，包括废弃的施工设备和材料，已按计划撤离施工现场；</w:t>
      </w:r>
    </w:p>
    <w:p w14:paraId="26F92018">
      <w:pPr>
        <w:spacing w:line="360" w:lineRule="auto"/>
        <w:ind w:firstLine="480" w:firstLineChars="200"/>
        <w:jc w:val="left"/>
        <w:rPr>
          <w:rFonts w:ascii="宋体" w:hAnsi="宋体" w:cs="宋体"/>
          <w:sz w:val="24"/>
          <w:szCs w:val="28"/>
        </w:rPr>
      </w:pPr>
      <w:r>
        <w:rPr>
          <w:rFonts w:hint="eastAsia" w:ascii="宋体" w:hAnsi="宋体" w:cs="宋体"/>
          <w:sz w:val="24"/>
          <w:szCs w:val="28"/>
        </w:rPr>
        <w:t>（4）施工现场周边及其附近道路、河道的施工堆积物，已全部清理；</w:t>
      </w:r>
    </w:p>
    <w:p w14:paraId="163BD7BD">
      <w:pPr>
        <w:spacing w:line="360" w:lineRule="auto"/>
        <w:ind w:firstLine="480" w:firstLineChars="200"/>
        <w:jc w:val="left"/>
        <w:rPr>
          <w:rFonts w:ascii="宋体" w:hAnsi="宋体" w:cs="宋体"/>
          <w:sz w:val="24"/>
          <w:szCs w:val="28"/>
        </w:rPr>
      </w:pPr>
      <w:r>
        <w:rPr>
          <w:rFonts w:hint="eastAsia" w:ascii="宋体" w:hAnsi="宋体" w:cs="宋体"/>
          <w:sz w:val="24"/>
          <w:szCs w:val="28"/>
        </w:rPr>
        <w:t>（5）施工现场其他场地清理工作已全部完成。</w:t>
      </w:r>
    </w:p>
    <w:p w14:paraId="2DE3A70D">
      <w:pPr>
        <w:spacing w:line="360" w:lineRule="auto"/>
        <w:ind w:firstLine="480" w:firstLineChars="200"/>
        <w:jc w:val="left"/>
        <w:rPr>
          <w:rFonts w:ascii="宋体" w:hAnsi="宋体" w:cs="宋体"/>
          <w:sz w:val="24"/>
          <w:szCs w:val="28"/>
        </w:rPr>
      </w:pPr>
      <w:r>
        <w:rPr>
          <w:rFonts w:hint="eastAsia" w:ascii="宋体" w:hAnsi="宋体" w:cs="宋体"/>
          <w:sz w:val="24"/>
          <w:szCs w:val="28"/>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0B68C818">
      <w:pPr>
        <w:spacing w:line="360" w:lineRule="auto"/>
        <w:ind w:firstLine="480" w:firstLineChars="200"/>
        <w:jc w:val="left"/>
        <w:rPr>
          <w:rFonts w:ascii="宋体" w:hAnsi="宋体" w:cs="宋体"/>
          <w:sz w:val="24"/>
          <w:szCs w:val="28"/>
        </w:rPr>
      </w:pPr>
      <w:r>
        <w:rPr>
          <w:rFonts w:hint="eastAsia" w:ascii="宋体" w:hAnsi="宋体" w:cs="宋体"/>
          <w:sz w:val="24"/>
          <w:szCs w:val="28"/>
        </w:rPr>
        <w:t>13.6.2 地表还原</w:t>
      </w:r>
    </w:p>
    <w:p w14:paraId="13349EDE">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承包人应按发包人要求恢复临时占地及清理场地，承包人未按发包人的要求恢复临时占地，或者场地清理未达到合同约定要求的，发包人有权委托其他人恢复或清理，所发生的费用由承包人承担。</w:t>
      </w:r>
    </w:p>
    <w:p w14:paraId="5148E334">
      <w:pPr>
        <w:spacing w:line="360" w:lineRule="auto"/>
        <w:ind w:firstLine="480" w:firstLineChars="200"/>
        <w:jc w:val="left"/>
        <w:rPr>
          <w:rFonts w:ascii="宋体" w:hAnsi="宋体" w:cs="宋体"/>
          <w:sz w:val="24"/>
          <w:szCs w:val="28"/>
        </w:rPr>
      </w:pPr>
      <w:r>
        <w:rPr>
          <w:rFonts w:hint="eastAsia" w:ascii="宋体" w:hAnsi="宋体" w:cs="宋体"/>
          <w:sz w:val="24"/>
          <w:szCs w:val="28"/>
        </w:rPr>
        <w:t>14. 竣工结算</w:t>
      </w:r>
    </w:p>
    <w:p w14:paraId="2C435A7B">
      <w:pPr>
        <w:spacing w:line="360" w:lineRule="auto"/>
        <w:ind w:firstLine="480" w:firstLineChars="200"/>
        <w:jc w:val="left"/>
        <w:rPr>
          <w:rFonts w:ascii="宋体" w:hAnsi="宋体" w:cs="宋体"/>
          <w:sz w:val="24"/>
          <w:szCs w:val="28"/>
        </w:rPr>
      </w:pPr>
      <w:r>
        <w:rPr>
          <w:rFonts w:hint="eastAsia" w:ascii="宋体" w:hAnsi="宋体" w:cs="宋体"/>
          <w:sz w:val="24"/>
          <w:szCs w:val="28"/>
        </w:rPr>
        <w:t>14.1 竣工结算申请</w:t>
      </w:r>
    </w:p>
    <w:p w14:paraId="373AF12C">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p>
    <w:p w14:paraId="320B9019">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除专用合同条款另有约定外，竣工结算申请单应包括以下内容：</w:t>
      </w:r>
    </w:p>
    <w:p w14:paraId="4CC37AEE">
      <w:pPr>
        <w:spacing w:line="360" w:lineRule="auto"/>
        <w:ind w:firstLine="480" w:firstLineChars="200"/>
        <w:jc w:val="left"/>
        <w:rPr>
          <w:rFonts w:ascii="宋体" w:hAnsi="宋体" w:cs="宋体"/>
          <w:sz w:val="24"/>
          <w:szCs w:val="28"/>
        </w:rPr>
      </w:pPr>
      <w:r>
        <w:rPr>
          <w:rFonts w:hint="eastAsia" w:ascii="宋体" w:hAnsi="宋体" w:cs="宋体"/>
          <w:sz w:val="24"/>
          <w:szCs w:val="28"/>
        </w:rPr>
        <w:t>（1）竣工结算合同价格；</w:t>
      </w:r>
    </w:p>
    <w:p w14:paraId="1CFEF753">
      <w:pPr>
        <w:spacing w:line="360" w:lineRule="auto"/>
        <w:ind w:firstLine="480" w:firstLineChars="200"/>
        <w:jc w:val="left"/>
        <w:rPr>
          <w:rFonts w:ascii="宋体" w:hAnsi="宋体" w:cs="宋体"/>
          <w:sz w:val="24"/>
          <w:szCs w:val="28"/>
        </w:rPr>
      </w:pPr>
      <w:r>
        <w:rPr>
          <w:rFonts w:hint="eastAsia" w:ascii="宋体" w:hAnsi="宋体" w:cs="宋体"/>
          <w:sz w:val="24"/>
          <w:szCs w:val="28"/>
        </w:rPr>
        <w:t>（2）发包人已支付承包人的款项；</w:t>
      </w:r>
    </w:p>
    <w:p w14:paraId="4339B705">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（3）应扣留的质量保证金。已缴纳履约保证金的或提供其他工程质量担保方式的除外； </w:t>
      </w:r>
    </w:p>
    <w:p w14:paraId="4176D86F">
      <w:pPr>
        <w:spacing w:line="360" w:lineRule="auto"/>
        <w:ind w:firstLine="480" w:firstLineChars="200"/>
        <w:jc w:val="left"/>
        <w:rPr>
          <w:rFonts w:ascii="宋体" w:hAnsi="宋体" w:cs="宋体"/>
          <w:sz w:val="24"/>
          <w:szCs w:val="28"/>
        </w:rPr>
      </w:pPr>
      <w:r>
        <w:rPr>
          <w:rFonts w:hint="eastAsia" w:ascii="宋体" w:hAnsi="宋体" w:cs="宋体"/>
          <w:sz w:val="24"/>
          <w:szCs w:val="28"/>
        </w:rPr>
        <w:t>（4）发包人应支付承包人的合同价款。</w:t>
      </w:r>
    </w:p>
    <w:p w14:paraId="2CF819F3">
      <w:pPr>
        <w:spacing w:line="360" w:lineRule="auto"/>
        <w:ind w:firstLine="480" w:firstLineChars="200"/>
        <w:jc w:val="left"/>
        <w:rPr>
          <w:rFonts w:ascii="宋体" w:hAnsi="宋体" w:cs="宋体"/>
          <w:sz w:val="24"/>
          <w:szCs w:val="28"/>
        </w:rPr>
      </w:pPr>
      <w:r>
        <w:rPr>
          <w:rFonts w:hint="eastAsia" w:ascii="宋体" w:hAnsi="宋体" w:cs="宋体"/>
          <w:sz w:val="24"/>
          <w:szCs w:val="28"/>
        </w:rPr>
        <w:t>14.2 竣工结算审核</w:t>
      </w:r>
    </w:p>
    <w:p w14:paraId="7DB67DC4">
      <w:pPr>
        <w:spacing w:line="360" w:lineRule="auto"/>
        <w:ind w:firstLine="480" w:firstLineChars="200"/>
        <w:jc w:val="left"/>
        <w:rPr>
          <w:rFonts w:ascii="宋体" w:hAnsi="宋体" w:cs="宋体"/>
          <w:sz w:val="24"/>
          <w:szCs w:val="28"/>
        </w:rPr>
      </w:pPr>
      <w:r>
        <w:rPr>
          <w:rFonts w:hint="eastAsia" w:ascii="宋体" w:hAnsi="宋体" w:cs="宋体"/>
          <w:sz w:val="24"/>
          <w:szCs w:val="28"/>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35235002">
      <w:pPr>
        <w:spacing w:line="360" w:lineRule="auto"/>
        <w:ind w:firstLine="480" w:firstLineChars="200"/>
        <w:jc w:val="left"/>
        <w:rPr>
          <w:rFonts w:ascii="宋体" w:hAnsi="宋体" w:cs="宋体"/>
          <w:sz w:val="24"/>
          <w:szCs w:val="28"/>
        </w:rPr>
      </w:pPr>
      <w:r>
        <w:rPr>
          <w:rFonts w:hint="eastAsia" w:ascii="宋体" w:hAnsi="宋体" w:cs="宋体"/>
          <w:sz w:val="24"/>
          <w:szCs w:val="28"/>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77F252B">
      <w:pPr>
        <w:spacing w:line="360" w:lineRule="auto"/>
        <w:ind w:firstLine="480" w:firstLineChars="200"/>
        <w:jc w:val="left"/>
        <w:rPr>
          <w:rFonts w:ascii="宋体" w:hAnsi="宋体" w:cs="宋体"/>
          <w:sz w:val="24"/>
          <w:szCs w:val="28"/>
        </w:rPr>
      </w:pPr>
      <w:r>
        <w:rPr>
          <w:rFonts w:hint="eastAsia" w:ascii="宋体" w:hAnsi="宋体" w:cs="宋体"/>
          <w:sz w:val="24"/>
          <w:szCs w:val="28"/>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2F339C61">
      <w:pPr>
        <w:spacing w:line="360" w:lineRule="auto"/>
        <w:ind w:firstLine="480" w:firstLineChars="200"/>
        <w:jc w:val="left"/>
        <w:rPr>
          <w:rFonts w:ascii="宋体" w:hAnsi="宋体" w:cs="宋体"/>
          <w:sz w:val="24"/>
          <w:szCs w:val="28"/>
        </w:rPr>
      </w:pPr>
      <w:r>
        <w:rPr>
          <w:rFonts w:hint="eastAsia" w:ascii="宋体" w:hAnsi="宋体" w:cs="宋体"/>
          <w:sz w:val="24"/>
          <w:szCs w:val="28"/>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18EBB929">
      <w:pPr>
        <w:spacing w:line="360" w:lineRule="auto"/>
        <w:ind w:firstLine="480" w:firstLineChars="200"/>
        <w:jc w:val="left"/>
        <w:rPr>
          <w:rFonts w:ascii="宋体" w:hAnsi="宋体" w:cs="宋体"/>
          <w:sz w:val="24"/>
          <w:szCs w:val="28"/>
        </w:rPr>
      </w:pPr>
      <w:r>
        <w:rPr>
          <w:rFonts w:hint="eastAsia" w:ascii="宋体" w:hAnsi="宋体" w:cs="宋体"/>
          <w:sz w:val="24"/>
          <w:szCs w:val="28"/>
        </w:rPr>
        <w:t>14.3 甩项竣工协议</w:t>
      </w:r>
    </w:p>
    <w:p w14:paraId="3E079DBA">
      <w:pPr>
        <w:spacing w:line="360" w:lineRule="auto"/>
        <w:ind w:firstLine="480" w:firstLineChars="200"/>
        <w:jc w:val="left"/>
        <w:rPr>
          <w:rFonts w:ascii="宋体" w:hAnsi="宋体" w:cs="宋体"/>
          <w:sz w:val="24"/>
          <w:szCs w:val="28"/>
        </w:rPr>
      </w:pPr>
      <w:r>
        <w:rPr>
          <w:rFonts w:hint="eastAsia" w:ascii="宋体" w:hAnsi="宋体" w:cs="宋体"/>
          <w:sz w:val="24"/>
          <w:szCs w:val="28"/>
        </w:rPr>
        <w:t>发包人要求甩项竣工的，合同当事人应签订甩项竣工协议。在甩项竣工协议中应明确，合同当事人按照第14.1款〔竣工结算申请〕及14.2款〔竣工结算审核〕的约定，对已完合格工程进行结算，并支付相应合同价款。</w:t>
      </w:r>
    </w:p>
    <w:p w14:paraId="20C65BA7">
      <w:pPr>
        <w:spacing w:line="360" w:lineRule="auto"/>
        <w:ind w:firstLine="480" w:firstLineChars="200"/>
        <w:jc w:val="left"/>
        <w:rPr>
          <w:rFonts w:ascii="宋体" w:hAnsi="宋体" w:cs="宋体"/>
          <w:sz w:val="24"/>
          <w:szCs w:val="28"/>
        </w:rPr>
      </w:pPr>
      <w:r>
        <w:rPr>
          <w:rFonts w:hint="eastAsia" w:ascii="宋体" w:hAnsi="宋体" w:cs="宋体"/>
          <w:sz w:val="24"/>
          <w:szCs w:val="28"/>
        </w:rPr>
        <w:t>14.4 最终结清</w:t>
      </w:r>
    </w:p>
    <w:p w14:paraId="56681FEB">
      <w:pPr>
        <w:spacing w:line="360" w:lineRule="auto"/>
        <w:ind w:firstLine="480" w:firstLineChars="200"/>
        <w:jc w:val="left"/>
        <w:rPr>
          <w:rFonts w:ascii="宋体" w:hAnsi="宋体" w:cs="宋体"/>
          <w:sz w:val="24"/>
          <w:szCs w:val="28"/>
        </w:rPr>
      </w:pPr>
      <w:r>
        <w:rPr>
          <w:rFonts w:hint="eastAsia" w:ascii="宋体" w:hAnsi="宋体" w:cs="宋体"/>
          <w:sz w:val="24"/>
          <w:szCs w:val="28"/>
        </w:rPr>
        <w:t>14.4.1 最终结清申请单</w:t>
      </w:r>
    </w:p>
    <w:p w14:paraId="42D904C5">
      <w:pPr>
        <w:spacing w:line="360" w:lineRule="auto"/>
        <w:ind w:firstLine="480" w:firstLineChars="200"/>
        <w:jc w:val="left"/>
        <w:rPr>
          <w:rFonts w:ascii="宋体" w:hAnsi="宋体" w:cs="宋体"/>
          <w:sz w:val="24"/>
          <w:szCs w:val="28"/>
        </w:rPr>
      </w:pPr>
      <w:r>
        <w:rPr>
          <w:rFonts w:hint="eastAsia" w:ascii="宋体" w:hAnsi="宋体" w:cs="宋体"/>
          <w:sz w:val="24"/>
          <w:szCs w:val="28"/>
        </w:rPr>
        <w:t>（1）除专用合同条款另有约定外，承包人应在缺陷责任期终止证书颁发后7天内，按专用合同条款约定的份数向发包人提交最终结清申请单，并提供相关证明材料。</w:t>
      </w:r>
    </w:p>
    <w:p w14:paraId="37908FF4">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除专用合同条款另有约定外，最终结清申请单应列明质量保证金、应扣除的质量保证金、缺陷责任期内发生的增减费用。</w:t>
      </w:r>
    </w:p>
    <w:p w14:paraId="1B084A95">
      <w:pPr>
        <w:spacing w:line="360" w:lineRule="auto"/>
        <w:ind w:firstLine="480" w:firstLineChars="200"/>
        <w:jc w:val="left"/>
        <w:rPr>
          <w:rFonts w:ascii="宋体" w:hAnsi="宋体" w:cs="宋体"/>
          <w:sz w:val="24"/>
          <w:szCs w:val="28"/>
        </w:rPr>
      </w:pPr>
      <w:r>
        <w:rPr>
          <w:rFonts w:hint="eastAsia" w:ascii="宋体" w:hAnsi="宋体" w:cs="宋体"/>
          <w:sz w:val="24"/>
          <w:szCs w:val="28"/>
        </w:rPr>
        <w:t>（2）发包人对最终结清申请单内容有异议的，有权要求承包人进行修正和提供补充资料，承包人应向发包人提交修正后的最终结清申请单。</w:t>
      </w:r>
    </w:p>
    <w:p w14:paraId="11FA51E0">
      <w:pPr>
        <w:spacing w:line="360" w:lineRule="auto"/>
        <w:ind w:firstLine="480" w:firstLineChars="200"/>
        <w:jc w:val="left"/>
        <w:rPr>
          <w:rFonts w:ascii="宋体" w:hAnsi="宋体" w:cs="宋体"/>
          <w:sz w:val="24"/>
          <w:szCs w:val="28"/>
        </w:rPr>
      </w:pPr>
      <w:r>
        <w:rPr>
          <w:rFonts w:hint="eastAsia" w:ascii="宋体" w:hAnsi="宋体" w:cs="宋体"/>
          <w:sz w:val="24"/>
          <w:szCs w:val="28"/>
        </w:rPr>
        <w:t>14.4.2 最终结清证书和支付</w:t>
      </w:r>
    </w:p>
    <w:p w14:paraId="14DE4993">
      <w:pPr>
        <w:spacing w:line="360" w:lineRule="auto"/>
        <w:ind w:firstLine="480" w:firstLineChars="200"/>
        <w:jc w:val="left"/>
        <w:rPr>
          <w:rFonts w:ascii="宋体" w:hAnsi="宋体" w:cs="宋体"/>
          <w:sz w:val="24"/>
          <w:szCs w:val="28"/>
        </w:rPr>
      </w:pPr>
      <w:r>
        <w:rPr>
          <w:rFonts w:hint="eastAsia" w:ascii="宋体" w:hAnsi="宋体" w:cs="宋体"/>
          <w:sz w:val="24"/>
          <w:szCs w:val="28"/>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4B4E818B">
      <w:pPr>
        <w:spacing w:line="360" w:lineRule="auto"/>
        <w:ind w:firstLine="480" w:firstLineChars="200"/>
        <w:jc w:val="left"/>
        <w:rPr>
          <w:rFonts w:ascii="宋体" w:hAnsi="宋体" w:cs="宋体"/>
          <w:sz w:val="24"/>
          <w:szCs w:val="28"/>
        </w:rPr>
      </w:pPr>
      <w:r>
        <w:rPr>
          <w:rFonts w:hint="eastAsia" w:ascii="宋体" w:hAnsi="宋体" w:cs="宋体"/>
          <w:sz w:val="24"/>
          <w:szCs w:val="28"/>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66C6352C">
      <w:pPr>
        <w:spacing w:line="360" w:lineRule="auto"/>
        <w:ind w:firstLine="480" w:firstLineChars="200"/>
        <w:jc w:val="left"/>
        <w:rPr>
          <w:rFonts w:ascii="宋体" w:hAnsi="宋体" w:cs="宋体"/>
          <w:sz w:val="24"/>
          <w:szCs w:val="28"/>
        </w:rPr>
      </w:pPr>
      <w:r>
        <w:rPr>
          <w:rFonts w:hint="eastAsia" w:ascii="宋体" w:hAnsi="宋体" w:cs="宋体"/>
          <w:sz w:val="24"/>
          <w:szCs w:val="28"/>
        </w:rPr>
        <w:t>（3）承包人对发包人颁发的最终结清证书有异议的，按第20条〔争议解决〕的约定办理。</w:t>
      </w:r>
    </w:p>
    <w:p w14:paraId="21888CB7">
      <w:pPr>
        <w:spacing w:line="360" w:lineRule="auto"/>
        <w:ind w:firstLine="480" w:firstLineChars="200"/>
        <w:jc w:val="left"/>
        <w:rPr>
          <w:rFonts w:ascii="宋体" w:hAnsi="宋体" w:cs="宋体"/>
          <w:sz w:val="24"/>
          <w:szCs w:val="28"/>
        </w:rPr>
      </w:pPr>
      <w:r>
        <w:rPr>
          <w:rFonts w:hint="eastAsia" w:ascii="宋体" w:hAnsi="宋体" w:cs="宋体"/>
          <w:sz w:val="24"/>
          <w:szCs w:val="28"/>
        </w:rPr>
        <w:t>15. 缺陷责任与保修</w:t>
      </w:r>
    </w:p>
    <w:p w14:paraId="3811977C">
      <w:pPr>
        <w:spacing w:line="360" w:lineRule="auto"/>
        <w:ind w:firstLine="480" w:firstLineChars="200"/>
        <w:jc w:val="left"/>
        <w:rPr>
          <w:rFonts w:ascii="宋体" w:hAnsi="宋体" w:cs="宋体"/>
          <w:sz w:val="24"/>
          <w:szCs w:val="28"/>
        </w:rPr>
      </w:pPr>
      <w:r>
        <w:rPr>
          <w:rFonts w:hint="eastAsia" w:ascii="宋体" w:hAnsi="宋体" w:cs="宋体"/>
          <w:sz w:val="24"/>
          <w:szCs w:val="28"/>
        </w:rPr>
        <w:t>15.1 工程保修的原则</w:t>
      </w:r>
    </w:p>
    <w:p w14:paraId="435B2B95">
      <w:pPr>
        <w:spacing w:line="360" w:lineRule="auto"/>
        <w:ind w:firstLine="480" w:firstLineChars="200"/>
        <w:jc w:val="left"/>
        <w:rPr>
          <w:rFonts w:ascii="宋体" w:hAnsi="宋体" w:cs="宋体"/>
          <w:sz w:val="24"/>
          <w:szCs w:val="28"/>
        </w:rPr>
      </w:pPr>
      <w:r>
        <w:rPr>
          <w:rFonts w:hint="eastAsia" w:ascii="宋体" w:hAnsi="宋体" w:cs="宋体"/>
          <w:sz w:val="24"/>
          <w:szCs w:val="28"/>
        </w:rPr>
        <w:t>在工程移交发包人后，因承包人原因产生的质量缺陷，承包人应承担质量缺陷责任和保修义务。缺陷责任期届满，承包人仍应按合同约定的工程各部位保修年限承担保修义务。</w:t>
      </w:r>
    </w:p>
    <w:p w14:paraId="7884C583">
      <w:pPr>
        <w:spacing w:line="360" w:lineRule="auto"/>
        <w:ind w:firstLine="480" w:firstLineChars="200"/>
        <w:jc w:val="left"/>
        <w:rPr>
          <w:rFonts w:ascii="宋体" w:hAnsi="宋体" w:cs="宋体"/>
          <w:sz w:val="24"/>
          <w:szCs w:val="28"/>
        </w:rPr>
      </w:pPr>
      <w:r>
        <w:rPr>
          <w:rFonts w:hint="eastAsia" w:ascii="宋体" w:hAnsi="宋体" w:cs="宋体"/>
          <w:sz w:val="24"/>
          <w:szCs w:val="28"/>
        </w:rPr>
        <w:t>15.2 缺陷责任期</w:t>
      </w:r>
    </w:p>
    <w:p w14:paraId="2A38F995">
      <w:pPr>
        <w:spacing w:line="360" w:lineRule="auto"/>
        <w:ind w:firstLine="480" w:firstLineChars="200"/>
        <w:jc w:val="left"/>
        <w:rPr>
          <w:rFonts w:ascii="宋体" w:hAnsi="宋体" w:cs="宋体"/>
          <w:sz w:val="24"/>
          <w:szCs w:val="28"/>
        </w:rPr>
      </w:pPr>
      <w:r>
        <w:rPr>
          <w:rFonts w:hint="eastAsia" w:ascii="宋体" w:hAnsi="宋体" w:cs="宋体"/>
          <w:sz w:val="24"/>
          <w:szCs w:val="28"/>
        </w:rPr>
        <w:t>15.2.1 缺陷责任期从工程通过竣工验收之日起计算，合同当事人应在专用合同条款约定缺陷责任期的具体期限，但该期限最长不超过24个月。</w:t>
      </w:r>
    </w:p>
    <w:p w14:paraId="40DBB3EE">
      <w:pPr>
        <w:spacing w:line="360" w:lineRule="auto"/>
        <w:ind w:firstLine="480" w:firstLineChars="200"/>
        <w:jc w:val="left"/>
        <w:rPr>
          <w:rFonts w:ascii="宋体" w:hAnsi="宋体" w:cs="宋体"/>
          <w:sz w:val="24"/>
          <w:szCs w:val="28"/>
        </w:rPr>
      </w:pPr>
      <w:r>
        <w:rPr>
          <w:rFonts w:hint="eastAsia" w:ascii="宋体" w:hAnsi="宋体" w:cs="宋体"/>
          <w:sz w:val="24"/>
          <w:szCs w:val="28"/>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51F0BEA3">
      <w:pPr>
        <w:spacing w:line="360" w:lineRule="auto"/>
        <w:ind w:firstLine="480" w:firstLineChars="200"/>
        <w:jc w:val="left"/>
        <w:rPr>
          <w:rFonts w:ascii="宋体" w:hAnsi="宋体" w:cs="宋体"/>
          <w:sz w:val="24"/>
          <w:szCs w:val="28"/>
        </w:rPr>
      </w:pPr>
      <w:r>
        <w:rPr>
          <w:rFonts w:hint="eastAsia" w:ascii="宋体" w:hAnsi="宋体" w:cs="宋体"/>
          <w:sz w:val="24"/>
          <w:szCs w:val="28"/>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42FF2C4B">
      <w:pPr>
        <w:spacing w:line="360" w:lineRule="auto"/>
        <w:ind w:firstLine="480" w:firstLineChars="200"/>
        <w:jc w:val="left"/>
        <w:rPr>
          <w:rFonts w:ascii="宋体" w:hAnsi="宋体" w:cs="宋体"/>
          <w:sz w:val="24"/>
          <w:szCs w:val="28"/>
        </w:rPr>
      </w:pPr>
      <w:r>
        <w:rPr>
          <w:rFonts w:hint="eastAsia" w:ascii="宋体" w:hAnsi="宋体" w:cs="宋体"/>
          <w:sz w:val="24"/>
          <w:szCs w:val="28"/>
        </w:rPr>
        <w:t>由他人原因造成的缺陷，发包人负责组织维修，承包人不承担费用，且发包人不得从保证金中扣除费用。</w:t>
      </w:r>
    </w:p>
    <w:p w14:paraId="425E5E7C">
      <w:pPr>
        <w:spacing w:line="360" w:lineRule="auto"/>
        <w:ind w:firstLine="480" w:firstLineChars="200"/>
        <w:jc w:val="left"/>
        <w:rPr>
          <w:rFonts w:ascii="宋体" w:hAnsi="宋体" w:cs="宋体"/>
          <w:sz w:val="24"/>
          <w:szCs w:val="28"/>
        </w:rPr>
      </w:pPr>
      <w:r>
        <w:rPr>
          <w:rFonts w:hint="eastAsia" w:ascii="宋体" w:hAnsi="宋体" w:cs="宋体"/>
          <w:sz w:val="24"/>
          <w:szCs w:val="28"/>
        </w:rPr>
        <w:t>15.2.3 任何一项缺陷或损坏修复后，经检查证明其影响了工程或工程设备的使用性能，承包人应重新进行合同约定的试验和试运行，试验和试运行的全部费用应由责任方承担。</w:t>
      </w:r>
    </w:p>
    <w:p w14:paraId="5489C381">
      <w:pPr>
        <w:spacing w:line="360" w:lineRule="auto"/>
        <w:ind w:firstLine="480" w:firstLineChars="200"/>
        <w:jc w:val="left"/>
        <w:rPr>
          <w:rFonts w:ascii="宋体" w:hAnsi="宋体" w:cs="宋体"/>
          <w:sz w:val="24"/>
          <w:szCs w:val="28"/>
        </w:rPr>
      </w:pPr>
      <w:r>
        <w:rPr>
          <w:rFonts w:hint="eastAsia" w:ascii="宋体" w:hAnsi="宋体" w:cs="宋体"/>
          <w:sz w:val="24"/>
          <w:szCs w:val="28"/>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7C5C4CB9">
      <w:pPr>
        <w:spacing w:line="360" w:lineRule="auto"/>
        <w:ind w:firstLine="480" w:firstLineChars="200"/>
        <w:jc w:val="left"/>
        <w:rPr>
          <w:rFonts w:ascii="宋体" w:hAnsi="宋体" w:cs="宋体"/>
          <w:sz w:val="24"/>
          <w:szCs w:val="28"/>
        </w:rPr>
      </w:pPr>
      <w:r>
        <w:rPr>
          <w:rFonts w:hint="eastAsia" w:ascii="宋体" w:hAnsi="宋体" w:cs="宋体"/>
          <w:sz w:val="24"/>
          <w:szCs w:val="28"/>
        </w:rPr>
        <w:t>15.3 质量保证金</w:t>
      </w:r>
    </w:p>
    <w:p w14:paraId="203785C7">
      <w:pPr>
        <w:spacing w:line="360" w:lineRule="auto"/>
        <w:ind w:firstLine="480" w:firstLineChars="200"/>
        <w:jc w:val="left"/>
        <w:rPr>
          <w:rFonts w:ascii="宋体" w:hAnsi="宋体" w:cs="宋体"/>
          <w:sz w:val="24"/>
          <w:szCs w:val="28"/>
        </w:rPr>
      </w:pPr>
      <w:r>
        <w:rPr>
          <w:rFonts w:hint="eastAsia" w:ascii="宋体" w:hAnsi="宋体" w:cs="宋体"/>
          <w:sz w:val="24"/>
          <w:szCs w:val="28"/>
        </w:rPr>
        <w:t>经合同当事人协商一致扣留质量保证金的，应在专用合同条款中予以明确。</w:t>
      </w:r>
    </w:p>
    <w:p w14:paraId="665675FB">
      <w:pPr>
        <w:spacing w:line="360" w:lineRule="auto"/>
        <w:ind w:firstLine="480" w:firstLineChars="200"/>
        <w:jc w:val="left"/>
        <w:rPr>
          <w:rFonts w:ascii="宋体" w:hAnsi="宋体" w:cs="宋体"/>
          <w:sz w:val="24"/>
          <w:szCs w:val="28"/>
        </w:rPr>
      </w:pPr>
      <w:r>
        <w:rPr>
          <w:rFonts w:hint="eastAsia" w:ascii="宋体" w:hAnsi="宋体" w:cs="宋体"/>
          <w:sz w:val="24"/>
          <w:szCs w:val="28"/>
        </w:rPr>
        <w:t>在工程项目竣工前，承包人已经提供履约担保的，发包人不得同时预留工程质量保证金。</w:t>
      </w:r>
    </w:p>
    <w:p w14:paraId="1C5F4F1C">
      <w:pPr>
        <w:spacing w:line="360" w:lineRule="auto"/>
        <w:ind w:firstLine="480" w:firstLineChars="200"/>
        <w:jc w:val="left"/>
        <w:rPr>
          <w:rFonts w:ascii="宋体" w:hAnsi="宋体" w:cs="宋体"/>
          <w:sz w:val="24"/>
          <w:szCs w:val="28"/>
        </w:rPr>
      </w:pPr>
      <w:r>
        <w:rPr>
          <w:rFonts w:hint="eastAsia" w:ascii="宋体" w:hAnsi="宋体" w:cs="宋体"/>
          <w:sz w:val="24"/>
          <w:szCs w:val="28"/>
        </w:rPr>
        <w:t>15.3.1 承包人提供质量保证金的方式</w:t>
      </w:r>
    </w:p>
    <w:p w14:paraId="2DCF5974">
      <w:pPr>
        <w:spacing w:line="360" w:lineRule="auto"/>
        <w:ind w:firstLine="480" w:firstLineChars="200"/>
        <w:jc w:val="left"/>
        <w:rPr>
          <w:rFonts w:ascii="宋体" w:hAnsi="宋体" w:cs="宋体"/>
          <w:sz w:val="24"/>
          <w:szCs w:val="28"/>
        </w:rPr>
      </w:pPr>
      <w:r>
        <w:rPr>
          <w:rFonts w:hint="eastAsia" w:ascii="宋体" w:hAnsi="宋体" w:cs="宋体"/>
          <w:sz w:val="24"/>
          <w:szCs w:val="28"/>
        </w:rPr>
        <w:t>承包人提供质量保证金有以下三种方式：</w:t>
      </w:r>
    </w:p>
    <w:p w14:paraId="0E707E57">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（1）质量保证金保函； </w:t>
      </w:r>
    </w:p>
    <w:p w14:paraId="3442196F">
      <w:pPr>
        <w:spacing w:line="360" w:lineRule="auto"/>
        <w:ind w:firstLine="480" w:firstLineChars="200"/>
        <w:jc w:val="left"/>
        <w:rPr>
          <w:rFonts w:ascii="宋体" w:hAnsi="宋体" w:cs="宋体"/>
          <w:sz w:val="24"/>
          <w:szCs w:val="28"/>
        </w:rPr>
      </w:pPr>
      <w:r>
        <w:rPr>
          <w:rFonts w:hint="eastAsia" w:ascii="宋体" w:hAnsi="宋体" w:cs="宋体"/>
          <w:sz w:val="24"/>
          <w:szCs w:val="28"/>
        </w:rPr>
        <w:t>（2）相应比例的工程款；</w:t>
      </w:r>
    </w:p>
    <w:p w14:paraId="02BDE1D4">
      <w:pPr>
        <w:spacing w:line="360" w:lineRule="auto"/>
        <w:ind w:firstLine="480" w:firstLineChars="200"/>
        <w:jc w:val="left"/>
        <w:rPr>
          <w:rFonts w:ascii="宋体" w:hAnsi="宋体" w:cs="宋体"/>
          <w:sz w:val="24"/>
          <w:szCs w:val="28"/>
        </w:rPr>
      </w:pPr>
      <w:r>
        <w:rPr>
          <w:rFonts w:hint="eastAsia" w:ascii="宋体" w:hAnsi="宋体" w:cs="宋体"/>
          <w:sz w:val="24"/>
          <w:szCs w:val="28"/>
        </w:rPr>
        <w:t>（3）双方约定的其他方式。</w:t>
      </w:r>
    </w:p>
    <w:p w14:paraId="5559EFE0">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除专用合同条款另有约定外，质量保证金原则上采用上述第（1）种方式。</w:t>
      </w:r>
    </w:p>
    <w:p w14:paraId="35C1BEEF">
      <w:pPr>
        <w:spacing w:line="360" w:lineRule="auto"/>
        <w:ind w:firstLine="480" w:firstLineChars="200"/>
        <w:jc w:val="left"/>
        <w:rPr>
          <w:rFonts w:ascii="宋体" w:hAnsi="宋体" w:cs="宋体"/>
          <w:sz w:val="24"/>
          <w:szCs w:val="28"/>
        </w:rPr>
      </w:pPr>
      <w:r>
        <w:rPr>
          <w:rFonts w:hint="eastAsia" w:ascii="宋体" w:hAnsi="宋体" w:cs="宋体"/>
          <w:sz w:val="24"/>
          <w:szCs w:val="28"/>
        </w:rPr>
        <w:t>15.3.2 质量保证金的扣留</w:t>
      </w:r>
    </w:p>
    <w:p w14:paraId="254A10B4">
      <w:pPr>
        <w:spacing w:line="360" w:lineRule="auto"/>
        <w:ind w:firstLine="480" w:firstLineChars="200"/>
        <w:jc w:val="left"/>
        <w:rPr>
          <w:rFonts w:ascii="宋体" w:hAnsi="宋体" w:cs="宋体"/>
          <w:sz w:val="24"/>
          <w:szCs w:val="28"/>
        </w:rPr>
      </w:pPr>
      <w:r>
        <w:rPr>
          <w:rFonts w:hint="eastAsia" w:ascii="宋体" w:hAnsi="宋体" w:cs="宋体"/>
          <w:sz w:val="24"/>
          <w:szCs w:val="28"/>
        </w:rPr>
        <w:t>质量保证金的扣留有以下三种方式：</w:t>
      </w:r>
    </w:p>
    <w:p w14:paraId="63C2083A">
      <w:pPr>
        <w:spacing w:line="360" w:lineRule="auto"/>
        <w:ind w:firstLine="480" w:firstLineChars="200"/>
        <w:jc w:val="left"/>
        <w:rPr>
          <w:rFonts w:ascii="宋体" w:hAnsi="宋体" w:cs="宋体"/>
          <w:sz w:val="24"/>
          <w:szCs w:val="28"/>
        </w:rPr>
      </w:pPr>
      <w:r>
        <w:rPr>
          <w:rFonts w:hint="eastAsia" w:ascii="宋体" w:hAnsi="宋体" w:cs="宋体"/>
          <w:sz w:val="24"/>
          <w:szCs w:val="28"/>
        </w:rPr>
        <w:t>（1）在支付工程进度款时逐次扣留，在此情形下，质量保证金的计算基数不包括预付款的支付、扣回以及价格调整的金额；</w:t>
      </w:r>
    </w:p>
    <w:p w14:paraId="4079FDED">
      <w:pPr>
        <w:spacing w:line="360" w:lineRule="auto"/>
        <w:ind w:firstLine="480" w:firstLineChars="200"/>
        <w:jc w:val="left"/>
        <w:rPr>
          <w:rFonts w:ascii="宋体" w:hAnsi="宋体" w:cs="宋体"/>
          <w:sz w:val="24"/>
          <w:szCs w:val="28"/>
        </w:rPr>
      </w:pPr>
      <w:r>
        <w:rPr>
          <w:rFonts w:hint="eastAsia" w:ascii="宋体" w:hAnsi="宋体" w:cs="宋体"/>
          <w:sz w:val="24"/>
          <w:szCs w:val="28"/>
        </w:rPr>
        <w:t>（2）工程竣工结算时一次性扣留质量保证金；</w:t>
      </w:r>
    </w:p>
    <w:p w14:paraId="2BD314D2">
      <w:pPr>
        <w:spacing w:line="360" w:lineRule="auto"/>
        <w:ind w:firstLine="480" w:firstLineChars="200"/>
        <w:jc w:val="left"/>
        <w:rPr>
          <w:rFonts w:ascii="宋体" w:hAnsi="宋体" w:cs="宋体"/>
          <w:sz w:val="24"/>
          <w:szCs w:val="28"/>
        </w:rPr>
      </w:pPr>
      <w:r>
        <w:rPr>
          <w:rFonts w:hint="eastAsia" w:ascii="宋体" w:hAnsi="宋体" w:cs="宋体"/>
          <w:sz w:val="24"/>
          <w:szCs w:val="28"/>
        </w:rPr>
        <w:t>（3）双方约定的其他扣留方式。</w:t>
      </w:r>
    </w:p>
    <w:p w14:paraId="68B1D401">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除专用合同条款另有约定外，质量保证金的扣留原则上采用上述第（1）种方式。</w:t>
      </w:r>
    </w:p>
    <w:p w14:paraId="732BBC4D">
      <w:pPr>
        <w:spacing w:line="360" w:lineRule="auto"/>
        <w:ind w:firstLine="480" w:firstLineChars="200"/>
        <w:jc w:val="left"/>
        <w:rPr>
          <w:rFonts w:ascii="宋体" w:hAnsi="宋体" w:cs="宋体"/>
          <w:sz w:val="24"/>
          <w:szCs w:val="28"/>
        </w:rPr>
      </w:pPr>
      <w:r>
        <w:rPr>
          <w:rFonts w:hint="eastAsia" w:ascii="宋体" w:hAnsi="宋体" w:cs="宋体"/>
          <w:sz w:val="24"/>
          <w:szCs w:val="28"/>
        </w:rPr>
        <w:t>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6D9774C2">
      <w:pPr>
        <w:spacing w:line="360" w:lineRule="auto"/>
        <w:ind w:firstLine="480" w:firstLineChars="200"/>
        <w:jc w:val="left"/>
        <w:rPr>
          <w:rFonts w:ascii="宋体" w:hAnsi="宋体" w:cs="宋体"/>
          <w:sz w:val="24"/>
          <w:szCs w:val="28"/>
        </w:rPr>
      </w:pPr>
      <w:r>
        <w:rPr>
          <w:rFonts w:hint="eastAsia" w:ascii="宋体" w:hAnsi="宋体" w:cs="宋体"/>
          <w:sz w:val="24"/>
          <w:szCs w:val="28"/>
        </w:rPr>
        <w:t>发包人在退还质量保证金的同时按照中国人民银行发布的同期同类贷款基准利率支付利息。</w:t>
      </w:r>
    </w:p>
    <w:p w14:paraId="71CBB537">
      <w:pPr>
        <w:spacing w:line="360" w:lineRule="auto"/>
        <w:ind w:firstLine="480" w:firstLineChars="200"/>
        <w:jc w:val="left"/>
        <w:rPr>
          <w:rFonts w:ascii="宋体" w:hAnsi="宋体" w:cs="宋体"/>
          <w:sz w:val="24"/>
          <w:szCs w:val="28"/>
        </w:rPr>
      </w:pPr>
      <w:r>
        <w:rPr>
          <w:rFonts w:hint="eastAsia" w:ascii="宋体" w:hAnsi="宋体" w:cs="宋体"/>
          <w:sz w:val="24"/>
          <w:szCs w:val="28"/>
        </w:rPr>
        <w:t>15.3.3 质量保证金的退还</w:t>
      </w:r>
    </w:p>
    <w:p w14:paraId="361E54FE">
      <w:pPr>
        <w:spacing w:line="360" w:lineRule="auto"/>
        <w:ind w:firstLine="480" w:firstLineChars="200"/>
        <w:jc w:val="left"/>
        <w:rPr>
          <w:rFonts w:ascii="宋体" w:hAnsi="宋体" w:cs="宋体"/>
          <w:sz w:val="24"/>
          <w:szCs w:val="28"/>
        </w:rPr>
      </w:pPr>
      <w:r>
        <w:rPr>
          <w:rFonts w:hint="eastAsia" w:ascii="宋体" w:hAnsi="宋体" w:cs="宋体"/>
          <w:sz w:val="24"/>
          <w:szCs w:val="28"/>
        </w:rPr>
        <w:t>缺陷责任期内，承包人认真履行合同约定的责任，到期后，承包人可向发包人申请返还保证金。</w:t>
      </w:r>
    </w:p>
    <w:p w14:paraId="1A7C744F">
      <w:pPr>
        <w:spacing w:line="360" w:lineRule="auto"/>
        <w:ind w:firstLine="480" w:firstLineChars="200"/>
        <w:jc w:val="left"/>
        <w:rPr>
          <w:rFonts w:ascii="宋体" w:hAnsi="宋体" w:cs="宋体"/>
          <w:sz w:val="24"/>
          <w:szCs w:val="28"/>
        </w:rPr>
      </w:pPr>
      <w:r>
        <w:rPr>
          <w:rFonts w:hint="eastAsia" w:ascii="宋体" w:hAnsi="宋体" w:cs="宋体"/>
          <w:sz w:val="24"/>
          <w:szCs w:val="28"/>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61A2A49B">
      <w:pPr>
        <w:spacing w:line="360" w:lineRule="auto"/>
        <w:ind w:firstLine="480" w:firstLineChars="200"/>
        <w:jc w:val="left"/>
        <w:rPr>
          <w:rFonts w:ascii="宋体" w:hAnsi="宋体" w:cs="宋体"/>
          <w:sz w:val="24"/>
          <w:szCs w:val="28"/>
        </w:rPr>
      </w:pPr>
      <w:r>
        <w:rPr>
          <w:rFonts w:hint="eastAsia" w:ascii="宋体" w:hAnsi="宋体" w:cs="宋体"/>
          <w:sz w:val="24"/>
          <w:szCs w:val="28"/>
        </w:rPr>
        <w:t>发包人和承包人对保证金预留、返还以及工程维修质量、费用有争议的，按本合同第20条约定的争议和纠纷解决程序处理。</w:t>
      </w:r>
    </w:p>
    <w:p w14:paraId="51C8D67E">
      <w:pPr>
        <w:spacing w:line="360" w:lineRule="auto"/>
        <w:ind w:firstLine="480" w:firstLineChars="200"/>
        <w:jc w:val="left"/>
        <w:rPr>
          <w:rFonts w:ascii="宋体" w:hAnsi="宋体" w:cs="宋体"/>
          <w:sz w:val="24"/>
          <w:szCs w:val="28"/>
        </w:rPr>
      </w:pPr>
      <w:r>
        <w:rPr>
          <w:rFonts w:hint="eastAsia" w:ascii="宋体" w:hAnsi="宋体" w:cs="宋体"/>
          <w:sz w:val="24"/>
          <w:szCs w:val="28"/>
        </w:rPr>
        <w:t>15.4 保修</w:t>
      </w:r>
    </w:p>
    <w:p w14:paraId="115B4C82">
      <w:pPr>
        <w:spacing w:line="360" w:lineRule="auto"/>
        <w:ind w:firstLine="480" w:firstLineChars="200"/>
        <w:jc w:val="left"/>
        <w:rPr>
          <w:rFonts w:ascii="宋体" w:hAnsi="宋体" w:cs="宋体"/>
          <w:sz w:val="24"/>
          <w:szCs w:val="28"/>
        </w:rPr>
      </w:pPr>
      <w:r>
        <w:rPr>
          <w:rFonts w:hint="eastAsia" w:ascii="宋体" w:hAnsi="宋体" w:cs="宋体"/>
          <w:sz w:val="24"/>
          <w:szCs w:val="28"/>
        </w:rPr>
        <w:t>15.4.1保修责任</w:t>
      </w:r>
    </w:p>
    <w:p w14:paraId="4B531FD7">
      <w:pPr>
        <w:spacing w:line="360" w:lineRule="auto"/>
        <w:ind w:firstLine="480" w:firstLineChars="200"/>
        <w:jc w:val="left"/>
        <w:rPr>
          <w:rFonts w:ascii="宋体" w:hAnsi="宋体" w:cs="宋体"/>
          <w:sz w:val="24"/>
          <w:szCs w:val="28"/>
        </w:rPr>
      </w:pPr>
      <w:r>
        <w:rPr>
          <w:rFonts w:hint="eastAsia" w:ascii="宋体" w:hAnsi="宋体" w:cs="宋体"/>
          <w:sz w:val="24"/>
          <w:szCs w:val="28"/>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477C81CB">
      <w:pPr>
        <w:spacing w:line="360" w:lineRule="auto"/>
        <w:ind w:firstLine="480" w:firstLineChars="200"/>
        <w:jc w:val="left"/>
        <w:rPr>
          <w:rFonts w:ascii="宋体" w:hAnsi="宋体" w:cs="宋体"/>
          <w:sz w:val="24"/>
          <w:szCs w:val="28"/>
        </w:rPr>
      </w:pPr>
      <w:r>
        <w:rPr>
          <w:rFonts w:hint="eastAsia" w:ascii="宋体" w:hAnsi="宋体" w:cs="宋体"/>
          <w:sz w:val="24"/>
          <w:szCs w:val="28"/>
        </w:rPr>
        <w:t>发包人未经竣工验收擅自使用工程的，保修期自转移占有之日起算。</w:t>
      </w:r>
    </w:p>
    <w:p w14:paraId="471B83A8">
      <w:pPr>
        <w:spacing w:line="360" w:lineRule="auto"/>
        <w:ind w:firstLine="480" w:firstLineChars="200"/>
        <w:jc w:val="left"/>
        <w:rPr>
          <w:rFonts w:ascii="宋体" w:hAnsi="宋体" w:cs="宋体"/>
          <w:sz w:val="24"/>
          <w:szCs w:val="28"/>
        </w:rPr>
      </w:pPr>
      <w:r>
        <w:rPr>
          <w:rFonts w:hint="eastAsia" w:ascii="宋体" w:hAnsi="宋体" w:cs="宋体"/>
          <w:sz w:val="24"/>
          <w:szCs w:val="28"/>
        </w:rPr>
        <w:t>15.4.2 修复费用</w:t>
      </w:r>
    </w:p>
    <w:p w14:paraId="1BF929CC">
      <w:pPr>
        <w:spacing w:line="360" w:lineRule="auto"/>
        <w:ind w:firstLine="480" w:firstLineChars="200"/>
        <w:jc w:val="left"/>
        <w:rPr>
          <w:rFonts w:ascii="宋体" w:hAnsi="宋体" w:cs="宋体"/>
          <w:sz w:val="24"/>
          <w:szCs w:val="28"/>
        </w:rPr>
      </w:pPr>
      <w:r>
        <w:rPr>
          <w:rFonts w:hint="eastAsia" w:ascii="宋体" w:hAnsi="宋体" w:cs="宋体"/>
          <w:sz w:val="24"/>
          <w:szCs w:val="28"/>
        </w:rPr>
        <w:t>保修期内，修复的费用按照以下约定处理：</w:t>
      </w:r>
    </w:p>
    <w:p w14:paraId="3CB7B070">
      <w:pPr>
        <w:spacing w:line="360" w:lineRule="auto"/>
        <w:ind w:firstLine="480" w:firstLineChars="200"/>
        <w:jc w:val="left"/>
        <w:rPr>
          <w:rFonts w:ascii="宋体" w:hAnsi="宋体" w:cs="宋体"/>
          <w:sz w:val="24"/>
          <w:szCs w:val="28"/>
        </w:rPr>
      </w:pPr>
      <w:r>
        <w:rPr>
          <w:rFonts w:hint="eastAsia" w:ascii="宋体" w:hAnsi="宋体" w:cs="宋体"/>
          <w:sz w:val="24"/>
          <w:szCs w:val="28"/>
        </w:rPr>
        <w:t>（1）保修期内，因承包人原因造成工程的缺陷、损坏，承包人应负责修复，并承担修复的费用以及因工程的缺陷、损坏造成的人身伤害和财产损失；</w:t>
      </w:r>
    </w:p>
    <w:p w14:paraId="0E23D4BE">
      <w:pPr>
        <w:spacing w:line="360" w:lineRule="auto"/>
        <w:ind w:firstLine="480" w:firstLineChars="200"/>
        <w:jc w:val="left"/>
        <w:rPr>
          <w:rFonts w:ascii="宋体" w:hAnsi="宋体" w:cs="宋体"/>
          <w:sz w:val="24"/>
          <w:szCs w:val="28"/>
        </w:rPr>
      </w:pPr>
      <w:r>
        <w:rPr>
          <w:rFonts w:hint="eastAsia" w:ascii="宋体" w:hAnsi="宋体" w:cs="宋体"/>
          <w:sz w:val="24"/>
          <w:szCs w:val="28"/>
        </w:rPr>
        <w:t>（2）保修期内，因发包人使用不当造成工程的缺陷、损坏，可以委托承包人修复，但发包人应承担修复的费用，并支付承包人合理利润；</w:t>
      </w:r>
    </w:p>
    <w:p w14:paraId="2D6237F0">
      <w:pPr>
        <w:spacing w:line="360" w:lineRule="auto"/>
        <w:ind w:firstLine="480" w:firstLineChars="200"/>
        <w:jc w:val="left"/>
        <w:rPr>
          <w:rFonts w:ascii="宋体" w:hAnsi="宋体" w:cs="宋体"/>
          <w:sz w:val="24"/>
          <w:szCs w:val="28"/>
        </w:rPr>
      </w:pPr>
      <w:r>
        <w:rPr>
          <w:rFonts w:hint="eastAsia" w:ascii="宋体" w:hAnsi="宋体" w:cs="宋体"/>
          <w:sz w:val="24"/>
          <w:szCs w:val="28"/>
        </w:rPr>
        <w:t>（3）因其他原因造成工程的缺陷、损坏，可以委托承包人修复，发包人应承担修复的费用，并支付承包人合理的利润，因工程的缺陷、损坏造成的人身伤害和财产损失由责任方承担。</w:t>
      </w:r>
    </w:p>
    <w:p w14:paraId="6E9FD618">
      <w:pPr>
        <w:spacing w:line="360" w:lineRule="auto"/>
        <w:ind w:firstLine="480" w:firstLineChars="200"/>
        <w:jc w:val="left"/>
        <w:rPr>
          <w:rFonts w:ascii="宋体" w:hAnsi="宋体" w:cs="宋体"/>
          <w:sz w:val="24"/>
          <w:szCs w:val="28"/>
        </w:rPr>
      </w:pPr>
      <w:r>
        <w:rPr>
          <w:rFonts w:hint="eastAsia" w:ascii="宋体" w:hAnsi="宋体" w:cs="宋体"/>
          <w:sz w:val="24"/>
          <w:szCs w:val="28"/>
        </w:rPr>
        <w:t>15.4.3 修复通知</w:t>
      </w:r>
    </w:p>
    <w:p w14:paraId="6B856801">
      <w:pPr>
        <w:spacing w:line="360" w:lineRule="auto"/>
        <w:ind w:firstLine="480" w:firstLineChars="200"/>
        <w:jc w:val="left"/>
        <w:rPr>
          <w:rFonts w:ascii="宋体" w:hAnsi="宋体" w:cs="宋体"/>
          <w:sz w:val="24"/>
          <w:szCs w:val="28"/>
        </w:rPr>
      </w:pPr>
      <w:r>
        <w:rPr>
          <w:rFonts w:hint="eastAsia" w:ascii="宋体" w:hAnsi="宋体" w:cs="宋体"/>
          <w:sz w:val="24"/>
          <w:szCs w:val="28"/>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484F5CF7">
      <w:pPr>
        <w:spacing w:line="360" w:lineRule="auto"/>
        <w:ind w:firstLine="480" w:firstLineChars="200"/>
        <w:jc w:val="left"/>
        <w:rPr>
          <w:rFonts w:ascii="宋体" w:hAnsi="宋体" w:cs="宋体"/>
          <w:sz w:val="24"/>
          <w:szCs w:val="28"/>
        </w:rPr>
      </w:pPr>
      <w:r>
        <w:rPr>
          <w:rFonts w:hint="eastAsia" w:ascii="宋体" w:hAnsi="宋体" w:cs="宋体"/>
          <w:sz w:val="24"/>
          <w:szCs w:val="28"/>
        </w:rPr>
        <w:t>15.4.4 未能修复</w:t>
      </w:r>
    </w:p>
    <w:p w14:paraId="50949737">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7A24F7D">
      <w:pPr>
        <w:spacing w:line="360" w:lineRule="auto"/>
        <w:ind w:firstLine="480" w:firstLineChars="200"/>
        <w:jc w:val="left"/>
        <w:rPr>
          <w:rFonts w:ascii="宋体" w:hAnsi="宋体" w:cs="宋体"/>
          <w:sz w:val="24"/>
          <w:szCs w:val="28"/>
        </w:rPr>
      </w:pPr>
      <w:r>
        <w:rPr>
          <w:rFonts w:hint="eastAsia" w:ascii="宋体" w:hAnsi="宋体" w:cs="宋体"/>
          <w:sz w:val="24"/>
          <w:szCs w:val="28"/>
        </w:rPr>
        <w:t>15.4.5 承包人出入权</w:t>
      </w:r>
    </w:p>
    <w:p w14:paraId="6E3BD18B">
      <w:pPr>
        <w:spacing w:line="360" w:lineRule="auto"/>
        <w:ind w:firstLine="480" w:firstLineChars="200"/>
        <w:jc w:val="left"/>
        <w:rPr>
          <w:rFonts w:ascii="宋体" w:hAnsi="宋体" w:cs="宋体"/>
          <w:sz w:val="24"/>
          <w:szCs w:val="28"/>
        </w:rPr>
      </w:pPr>
      <w:r>
        <w:rPr>
          <w:rFonts w:hint="eastAsia" w:ascii="宋体" w:hAnsi="宋体" w:cs="宋体"/>
          <w:sz w:val="24"/>
          <w:szCs w:val="28"/>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4309740C">
      <w:pPr>
        <w:spacing w:line="360" w:lineRule="auto"/>
        <w:ind w:firstLine="480" w:firstLineChars="200"/>
        <w:jc w:val="left"/>
        <w:rPr>
          <w:rFonts w:ascii="宋体" w:hAnsi="宋体" w:cs="宋体"/>
          <w:sz w:val="24"/>
          <w:szCs w:val="28"/>
        </w:rPr>
      </w:pPr>
      <w:r>
        <w:rPr>
          <w:rFonts w:hint="eastAsia" w:ascii="宋体" w:hAnsi="宋体" w:cs="宋体"/>
          <w:sz w:val="24"/>
          <w:szCs w:val="28"/>
        </w:rPr>
        <w:t>16. 违约</w:t>
      </w:r>
    </w:p>
    <w:p w14:paraId="32EC141D">
      <w:pPr>
        <w:spacing w:line="360" w:lineRule="auto"/>
        <w:ind w:firstLine="480" w:firstLineChars="200"/>
        <w:jc w:val="left"/>
        <w:rPr>
          <w:rFonts w:ascii="宋体" w:hAnsi="宋体" w:cs="宋体"/>
          <w:sz w:val="24"/>
          <w:szCs w:val="28"/>
        </w:rPr>
      </w:pPr>
      <w:r>
        <w:rPr>
          <w:rFonts w:hint="eastAsia" w:ascii="宋体" w:hAnsi="宋体" w:cs="宋体"/>
          <w:sz w:val="24"/>
          <w:szCs w:val="28"/>
        </w:rPr>
        <w:t>16.1 发包人违约</w:t>
      </w:r>
    </w:p>
    <w:p w14:paraId="2EDCAB62">
      <w:pPr>
        <w:spacing w:line="360" w:lineRule="auto"/>
        <w:ind w:firstLine="480" w:firstLineChars="200"/>
        <w:jc w:val="left"/>
        <w:rPr>
          <w:rFonts w:ascii="宋体" w:hAnsi="宋体" w:cs="宋体"/>
          <w:sz w:val="24"/>
          <w:szCs w:val="28"/>
        </w:rPr>
      </w:pPr>
      <w:r>
        <w:rPr>
          <w:rFonts w:hint="eastAsia" w:ascii="宋体" w:hAnsi="宋体" w:cs="宋体"/>
          <w:sz w:val="24"/>
          <w:szCs w:val="28"/>
        </w:rPr>
        <w:t>16.1.1 发包人违约的情形</w:t>
      </w:r>
    </w:p>
    <w:p w14:paraId="394C3B7D">
      <w:pPr>
        <w:spacing w:line="360" w:lineRule="auto"/>
        <w:ind w:firstLine="480" w:firstLineChars="200"/>
        <w:jc w:val="left"/>
        <w:rPr>
          <w:rFonts w:ascii="宋体" w:hAnsi="宋体" w:cs="宋体"/>
          <w:sz w:val="24"/>
          <w:szCs w:val="28"/>
        </w:rPr>
      </w:pPr>
      <w:r>
        <w:rPr>
          <w:rFonts w:hint="eastAsia" w:ascii="宋体" w:hAnsi="宋体" w:cs="宋体"/>
          <w:sz w:val="24"/>
          <w:szCs w:val="28"/>
        </w:rPr>
        <w:t>在合同履行过程中发生的下列情形，属于发包人违约：</w:t>
      </w:r>
    </w:p>
    <w:p w14:paraId="490C4872">
      <w:pPr>
        <w:spacing w:line="360" w:lineRule="auto"/>
        <w:ind w:firstLine="480" w:firstLineChars="200"/>
        <w:jc w:val="left"/>
        <w:rPr>
          <w:rFonts w:ascii="宋体" w:hAnsi="宋体" w:cs="宋体"/>
          <w:sz w:val="24"/>
          <w:szCs w:val="28"/>
        </w:rPr>
      </w:pPr>
      <w:r>
        <w:rPr>
          <w:rFonts w:hint="eastAsia" w:ascii="宋体" w:hAnsi="宋体" w:cs="宋体"/>
          <w:sz w:val="24"/>
          <w:szCs w:val="28"/>
        </w:rPr>
        <w:t>（1）因发包人原因未能在计划开工日期前7天内下达开工通知的；</w:t>
      </w:r>
    </w:p>
    <w:p w14:paraId="477AB283">
      <w:pPr>
        <w:spacing w:line="360" w:lineRule="auto"/>
        <w:ind w:firstLine="480" w:firstLineChars="200"/>
        <w:jc w:val="left"/>
        <w:rPr>
          <w:rFonts w:ascii="宋体" w:hAnsi="宋体" w:cs="宋体"/>
          <w:sz w:val="24"/>
          <w:szCs w:val="28"/>
        </w:rPr>
      </w:pPr>
      <w:r>
        <w:rPr>
          <w:rFonts w:hint="eastAsia" w:ascii="宋体" w:hAnsi="宋体" w:cs="宋体"/>
          <w:sz w:val="24"/>
          <w:szCs w:val="28"/>
        </w:rPr>
        <w:t>（2）因发包人原因未能按合同约定支付合同价款的；</w:t>
      </w:r>
    </w:p>
    <w:p w14:paraId="79D39C96">
      <w:pPr>
        <w:spacing w:line="360" w:lineRule="auto"/>
        <w:ind w:firstLine="480" w:firstLineChars="200"/>
        <w:jc w:val="left"/>
        <w:rPr>
          <w:rFonts w:ascii="宋体" w:hAnsi="宋体" w:cs="宋体"/>
          <w:sz w:val="24"/>
          <w:szCs w:val="28"/>
        </w:rPr>
      </w:pPr>
      <w:r>
        <w:rPr>
          <w:rFonts w:hint="eastAsia" w:ascii="宋体" w:hAnsi="宋体" w:cs="宋体"/>
          <w:sz w:val="24"/>
          <w:szCs w:val="28"/>
        </w:rPr>
        <w:t>（3）发包人违反第10.1款〔变更的范围〕第（2）项约定，自行实施被取消的工作或转由他人实施的；</w:t>
      </w:r>
    </w:p>
    <w:p w14:paraId="59190288">
      <w:pPr>
        <w:spacing w:line="360" w:lineRule="auto"/>
        <w:ind w:firstLine="480" w:firstLineChars="200"/>
        <w:jc w:val="left"/>
        <w:rPr>
          <w:rFonts w:ascii="宋体" w:hAnsi="宋体" w:cs="宋体"/>
          <w:sz w:val="24"/>
          <w:szCs w:val="28"/>
        </w:rPr>
      </w:pPr>
      <w:r>
        <w:rPr>
          <w:rFonts w:hint="eastAsia" w:ascii="宋体" w:hAnsi="宋体" w:cs="宋体"/>
          <w:sz w:val="24"/>
          <w:szCs w:val="28"/>
        </w:rPr>
        <w:t>（4）发包人提供的材料、工程设备的规格、数量或质量不符合合同约定，或因发包人原因导致交货日期延误或交货地点变更等情况的；</w:t>
      </w:r>
    </w:p>
    <w:p w14:paraId="2986E1AD">
      <w:pPr>
        <w:spacing w:line="360" w:lineRule="auto"/>
        <w:ind w:firstLine="480" w:firstLineChars="200"/>
        <w:jc w:val="left"/>
        <w:rPr>
          <w:rFonts w:ascii="宋体" w:hAnsi="宋体" w:cs="宋体"/>
          <w:sz w:val="24"/>
          <w:szCs w:val="28"/>
        </w:rPr>
      </w:pPr>
      <w:r>
        <w:rPr>
          <w:rFonts w:hint="eastAsia" w:ascii="宋体" w:hAnsi="宋体" w:cs="宋体"/>
          <w:sz w:val="24"/>
          <w:szCs w:val="28"/>
        </w:rPr>
        <w:t>（5）因发包人违反合同约定造成暂停施工的；</w:t>
      </w:r>
    </w:p>
    <w:p w14:paraId="26C76DF3">
      <w:pPr>
        <w:spacing w:line="360" w:lineRule="auto"/>
        <w:ind w:firstLine="480" w:firstLineChars="200"/>
        <w:jc w:val="left"/>
        <w:rPr>
          <w:rFonts w:ascii="宋体" w:hAnsi="宋体" w:cs="宋体"/>
          <w:sz w:val="24"/>
          <w:szCs w:val="28"/>
        </w:rPr>
      </w:pPr>
      <w:r>
        <w:rPr>
          <w:rFonts w:hint="eastAsia" w:ascii="宋体" w:hAnsi="宋体" w:cs="宋体"/>
          <w:sz w:val="24"/>
          <w:szCs w:val="28"/>
        </w:rPr>
        <w:t>（6）发包人无正当理由没有在约定期限内发出复工指示，导致承包人无法复工的；</w:t>
      </w:r>
    </w:p>
    <w:p w14:paraId="2DFDA9A1">
      <w:pPr>
        <w:spacing w:line="360" w:lineRule="auto"/>
        <w:ind w:firstLine="480" w:firstLineChars="200"/>
        <w:jc w:val="left"/>
        <w:rPr>
          <w:rFonts w:ascii="宋体" w:hAnsi="宋体" w:cs="宋体"/>
          <w:sz w:val="24"/>
          <w:szCs w:val="28"/>
        </w:rPr>
      </w:pPr>
      <w:r>
        <w:rPr>
          <w:rFonts w:hint="eastAsia" w:ascii="宋体" w:hAnsi="宋体" w:cs="宋体"/>
          <w:sz w:val="24"/>
          <w:szCs w:val="28"/>
        </w:rPr>
        <w:t>（7）发包人明确表示或者以其行为表明不履行合同主要义务的；</w:t>
      </w:r>
    </w:p>
    <w:p w14:paraId="356F7BF8">
      <w:pPr>
        <w:spacing w:line="360" w:lineRule="auto"/>
        <w:ind w:firstLine="480" w:firstLineChars="200"/>
        <w:jc w:val="left"/>
        <w:rPr>
          <w:rFonts w:ascii="宋体" w:hAnsi="宋体" w:cs="宋体"/>
          <w:sz w:val="24"/>
          <w:szCs w:val="28"/>
        </w:rPr>
      </w:pPr>
      <w:r>
        <w:rPr>
          <w:rFonts w:hint="eastAsia" w:ascii="宋体" w:hAnsi="宋体" w:cs="宋体"/>
          <w:sz w:val="24"/>
          <w:szCs w:val="28"/>
        </w:rPr>
        <w:t>（8）发包人未能按照合同约定履行其他义务的。</w:t>
      </w:r>
    </w:p>
    <w:p w14:paraId="069EC69E">
      <w:pPr>
        <w:spacing w:line="360" w:lineRule="auto"/>
        <w:ind w:firstLine="480" w:firstLineChars="200"/>
        <w:jc w:val="left"/>
        <w:rPr>
          <w:rFonts w:ascii="宋体" w:hAnsi="宋体" w:cs="宋体"/>
          <w:sz w:val="24"/>
          <w:szCs w:val="28"/>
        </w:rPr>
      </w:pPr>
      <w:r>
        <w:rPr>
          <w:rFonts w:hint="eastAsia" w:ascii="宋体" w:hAnsi="宋体" w:cs="宋体"/>
          <w:sz w:val="24"/>
          <w:szCs w:val="28"/>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0285C0E7">
      <w:pPr>
        <w:spacing w:line="360" w:lineRule="auto"/>
        <w:ind w:firstLine="480" w:firstLineChars="200"/>
        <w:jc w:val="left"/>
        <w:rPr>
          <w:rFonts w:ascii="宋体" w:hAnsi="宋体" w:cs="宋体"/>
          <w:sz w:val="24"/>
          <w:szCs w:val="28"/>
        </w:rPr>
      </w:pPr>
      <w:r>
        <w:rPr>
          <w:rFonts w:hint="eastAsia" w:ascii="宋体" w:hAnsi="宋体" w:cs="宋体"/>
          <w:sz w:val="24"/>
          <w:szCs w:val="28"/>
        </w:rPr>
        <w:t>16.1.2 发包人违约的责任</w:t>
      </w:r>
    </w:p>
    <w:p w14:paraId="4A780AA4">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发包人应承担因其违约给承包人增加的费用和（或）延误的工期，并支付承包人合理的利润。此外，合同当事人可在专用合同条款中另行约定发包人违约责任的承担方式和计算方法。</w:t>
      </w:r>
    </w:p>
    <w:p w14:paraId="5349D44C">
      <w:pPr>
        <w:spacing w:line="360" w:lineRule="auto"/>
        <w:ind w:firstLine="480" w:firstLineChars="200"/>
        <w:jc w:val="left"/>
        <w:rPr>
          <w:rFonts w:ascii="宋体" w:hAnsi="宋体" w:cs="宋体"/>
          <w:sz w:val="24"/>
          <w:szCs w:val="28"/>
        </w:rPr>
      </w:pPr>
      <w:r>
        <w:rPr>
          <w:rFonts w:hint="eastAsia" w:ascii="宋体" w:hAnsi="宋体" w:cs="宋体"/>
          <w:sz w:val="24"/>
          <w:szCs w:val="28"/>
        </w:rPr>
        <w:t>16.1.3 因发包人违约解除合同</w:t>
      </w:r>
    </w:p>
    <w:p w14:paraId="2F77B59E">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77B31929">
      <w:pPr>
        <w:spacing w:line="360" w:lineRule="auto"/>
        <w:ind w:firstLine="480" w:firstLineChars="200"/>
        <w:jc w:val="left"/>
        <w:rPr>
          <w:rFonts w:ascii="宋体" w:hAnsi="宋体" w:cs="宋体"/>
          <w:sz w:val="24"/>
          <w:szCs w:val="28"/>
        </w:rPr>
      </w:pPr>
      <w:r>
        <w:rPr>
          <w:rFonts w:hint="eastAsia" w:ascii="宋体" w:hAnsi="宋体" w:cs="宋体"/>
          <w:sz w:val="24"/>
          <w:szCs w:val="28"/>
        </w:rPr>
        <w:t>16.1.4 因发包人违约解除合同后的付款</w:t>
      </w:r>
    </w:p>
    <w:p w14:paraId="4565DC07">
      <w:pPr>
        <w:spacing w:line="360" w:lineRule="auto"/>
        <w:ind w:firstLine="480" w:firstLineChars="200"/>
        <w:jc w:val="left"/>
        <w:rPr>
          <w:rFonts w:ascii="宋体" w:hAnsi="宋体" w:cs="宋体"/>
          <w:sz w:val="24"/>
          <w:szCs w:val="28"/>
        </w:rPr>
      </w:pPr>
      <w:r>
        <w:rPr>
          <w:rFonts w:hint="eastAsia" w:ascii="宋体" w:hAnsi="宋体" w:cs="宋体"/>
          <w:sz w:val="24"/>
          <w:szCs w:val="28"/>
        </w:rPr>
        <w:t>承包人按照本款约定解除合同的，发包人应在解除合同后28天内支付下列款项，并解除履约担保：</w:t>
      </w:r>
    </w:p>
    <w:p w14:paraId="6E7B1BF4">
      <w:pPr>
        <w:spacing w:line="360" w:lineRule="auto"/>
        <w:ind w:firstLine="480" w:firstLineChars="200"/>
        <w:jc w:val="left"/>
        <w:rPr>
          <w:rFonts w:ascii="宋体" w:hAnsi="宋体" w:cs="宋体"/>
          <w:sz w:val="24"/>
          <w:szCs w:val="28"/>
        </w:rPr>
      </w:pPr>
      <w:r>
        <w:rPr>
          <w:rFonts w:hint="eastAsia" w:ascii="宋体" w:hAnsi="宋体" w:cs="宋体"/>
          <w:sz w:val="24"/>
          <w:szCs w:val="28"/>
        </w:rPr>
        <w:t>（1）合同解除前所完成工作的价款；</w:t>
      </w:r>
    </w:p>
    <w:p w14:paraId="7C1D28E2">
      <w:pPr>
        <w:spacing w:line="360" w:lineRule="auto"/>
        <w:ind w:firstLine="480" w:firstLineChars="200"/>
        <w:jc w:val="left"/>
        <w:rPr>
          <w:rFonts w:ascii="宋体" w:hAnsi="宋体" w:cs="宋体"/>
          <w:sz w:val="24"/>
          <w:szCs w:val="28"/>
        </w:rPr>
      </w:pPr>
      <w:r>
        <w:rPr>
          <w:rFonts w:hint="eastAsia" w:ascii="宋体" w:hAnsi="宋体" w:cs="宋体"/>
          <w:sz w:val="24"/>
          <w:szCs w:val="28"/>
        </w:rPr>
        <w:t>（2）承包人为工程施工订购并已付款的材料、工程设备和其他物品的价款；</w:t>
      </w:r>
    </w:p>
    <w:p w14:paraId="50D6A186">
      <w:pPr>
        <w:spacing w:line="360" w:lineRule="auto"/>
        <w:ind w:firstLine="480" w:firstLineChars="200"/>
        <w:jc w:val="left"/>
        <w:rPr>
          <w:rFonts w:ascii="宋体" w:hAnsi="宋体" w:cs="宋体"/>
          <w:sz w:val="24"/>
          <w:szCs w:val="28"/>
        </w:rPr>
      </w:pPr>
      <w:r>
        <w:rPr>
          <w:rFonts w:hint="eastAsia" w:ascii="宋体" w:hAnsi="宋体" w:cs="宋体"/>
          <w:sz w:val="24"/>
          <w:szCs w:val="28"/>
        </w:rPr>
        <w:t>（3）承包人撤离施工现场以及遣散承包人人员的款项；</w:t>
      </w:r>
    </w:p>
    <w:p w14:paraId="5B8B5B2D">
      <w:pPr>
        <w:spacing w:line="360" w:lineRule="auto"/>
        <w:ind w:firstLine="480" w:firstLineChars="200"/>
        <w:jc w:val="left"/>
        <w:rPr>
          <w:rFonts w:ascii="宋体" w:hAnsi="宋体" w:cs="宋体"/>
          <w:sz w:val="24"/>
          <w:szCs w:val="28"/>
        </w:rPr>
      </w:pPr>
      <w:r>
        <w:rPr>
          <w:rFonts w:hint="eastAsia" w:ascii="宋体" w:hAnsi="宋体" w:cs="宋体"/>
          <w:sz w:val="24"/>
          <w:szCs w:val="28"/>
        </w:rPr>
        <w:t>（4）按照合同约定在合同解除前应支付的违约金；</w:t>
      </w:r>
    </w:p>
    <w:p w14:paraId="3B88DAEC">
      <w:pPr>
        <w:spacing w:line="360" w:lineRule="auto"/>
        <w:ind w:firstLine="480" w:firstLineChars="200"/>
        <w:jc w:val="left"/>
        <w:rPr>
          <w:rFonts w:ascii="宋体" w:hAnsi="宋体" w:cs="宋体"/>
          <w:sz w:val="24"/>
          <w:szCs w:val="28"/>
        </w:rPr>
      </w:pPr>
      <w:r>
        <w:rPr>
          <w:rFonts w:hint="eastAsia" w:ascii="宋体" w:hAnsi="宋体" w:cs="宋体"/>
          <w:sz w:val="24"/>
          <w:szCs w:val="28"/>
        </w:rPr>
        <w:t>（5）按照合同约定应当支付给承包人的其他款项；</w:t>
      </w:r>
    </w:p>
    <w:p w14:paraId="56C1383A">
      <w:pPr>
        <w:spacing w:line="360" w:lineRule="auto"/>
        <w:ind w:firstLine="480" w:firstLineChars="200"/>
        <w:jc w:val="left"/>
        <w:rPr>
          <w:rFonts w:ascii="宋体" w:hAnsi="宋体" w:cs="宋体"/>
          <w:sz w:val="24"/>
          <w:szCs w:val="28"/>
        </w:rPr>
      </w:pPr>
      <w:r>
        <w:rPr>
          <w:rFonts w:hint="eastAsia" w:ascii="宋体" w:hAnsi="宋体" w:cs="宋体"/>
          <w:sz w:val="24"/>
          <w:szCs w:val="28"/>
        </w:rPr>
        <w:t>（6）按照合同约定应退还的质量保证金；</w:t>
      </w:r>
    </w:p>
    <w:p w14:paraId="2EACA330">
      <w:pPr>
        <w:spacing w:line="360" w:lineRule="auto"/>
        <w:ind w:firstLine="480" w:firstLineChars="200"/>
        <w:jc w:val="left"/>
        <w:rPr>
          <w:rFonts w:ascii="宋体" w:hAnsi="宋体" w:cs="宋体"/>
          <w:sz w:val="24"/>
          <w:szCs w:val="28"/>
        </w:rPr>
      </w:pPr>
      <w:r>
        <w:rPr>
          <w:rFonts w:hint="eastAsia" w:ascii="宋体" w:hAnsi="宋体" w:cs="宋体"/>
          <w:sz w:val="24"/>
          <w:szCs w:val="28"/>
        </w:rPr>
        <w:t>（7）因解除合同给承包人造成的损失。</w:t>
      </w:r>
    </w:p>
    <w:p w14:paraId="5AFDB8DD">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合同当事人未能就解除合同后的结清达成一致的，按照第20条〔争议解决〕的约定处理。</w:t>
      </w:r>
    </w:p>
    <w:p w14:paraId="169AAE88">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承包人应妥善做好已完工程和与工程有关的已购材料、工程设备的保护和移交工作，并将施工设备和人员撤出施工现场，发包人应为承包人撤出提供必要条件。</w:t>
      </w:r>
    </w:p>
    <w:p w14:paraId="25B40957">
      <w:pPr>
        <w:spacing w:line="360" w:lineRule="auto"/>
        <w:ind w:firstLine="480" w:firstLineChars="200"/>
        <w:jc w:val="left"/>
        <w:rPr>
          <w:rFonts w:ascii="宋体" w:hAnsi="宋体" w:cs="宋体"/>
          <w:sz w:val="24"/>
          <w:szCs w:val="28"/>
        </w:rPr>
      </w:pPr>
      <w:r>
        <w:rPr>
          <w:rFonts w:hint="eastAsia" w:ascii="宋体" w:hAnsi="宋体" w:cs="宋体"/>
          <w:sz w:val="24"/>
          <w:szCs w:val="28"/>
        </w:rPr>
        <w:t>16.2 承包人违约</w:t>
      </w:r>
    </w:p>
    <w:p w14:paraId="28EFC266">
      <w:pPr>
        <w:spacing w:line="360" w:lineRule="auto"/>
        <w:ind w:firstLine="480" w:firstLineChars="200"/>
        <w:jc w:val="left"/>
        <w:rPr>
          <w:rFonts w:ascii="宋体" w:hAnsi="宋体" w:cs="宋体"/>
          <w:sz w:val="24"/>
          <w:szCs w:val="28"/>
        </w:rPr>
      </w:pPr>
      <w:r>
        <w:rPr>
          <w:rFonts w:hint="eastAsia" w:ascii="宋体" w:hAnsi="宋体" w:cs="宋体"/>
          <w:sz w:val="24"/>
          <w:szCs w:val="28"/>
        </w:rPr>
        <w:t>16.2.1 承包人违约的情形</w:t>
      </w:r>
    </w:p>
    <w:p w14:paraId="35B4B531">
      <w:pPr>
        <w:spacing w:line="360" w:lineRule="auto"/>
        <w:ind w:firstLine="480" w:firstLineChars="200"/>
        <w:jc w:val="left"/>
        <w:rPr>
          <w:rFonts w:ascii="宋体" w:hAnsi="宋体" w:cs="宋体"/>
          <w:sz w:val="24"/>
          <w:szCs w:val="28"/>
        </w:rPr>
      </w:pPr>
      <w:r>
        <w:rPr>
          <w:rFonts w:hint="eastAsia" w:ascii="宋体" w:hAnsi="宋体" w:cs="宋体"/>
          <w:sz w:val="24"/>
          <w:szCs w:val="28"/>
        </w:rPr>
        <w:t>在合同履行过程中发生的下列情形，属于承包人违约：</w:t>
      </w:r>
    </w:p>
    <w:p w14:paraId="09BF0B0F">
      <w:pPr>
        <w:spacing w:line="360" w:lineRule="auto"/>
        <w:ind w:firstLine="480" w:firstLineChars="200"/>
        <w:jc w:val="left"/>
        <w:rPr>
          <w:rFonts w:ascii="宋体" w:hAnsi="宋体" w:cs="宋体"/>
          <w:sz w:val="24"/>
          <w:szCs w:val="28"/>
        </w:rPr>
      </w:pPr>
      <w:r>
        <w:rPr>
          <w:rFonts w:hint="eastAsia" w:ascii="宋体" w:hAnsi="宋体" w:cs="宋体"/>
          <w:sz w:val="24"/>
          <w:szCs w:val="28"/>
        </w:rPr>
        <w:t>（1）承包人违反合同约定进行转包或违法分包的；</w:t>
      </w:r>
    </w:p>
    <w:p w14:paraId="114B8E7B">
      <w:pPr>
        <w:spacing w:line="360" w:lineRule="auto"/>
        <w:ind w:firstLine="480" w:firstLineChars="200"/>
        <w:jc w:val="left"/>
        <w:rPr>
          <w:rFonts w:ascii="宋体" w:hAnsi="宋体" w:cs="宋体"/>
          <w:sz w:val="24"/>
          <w:szCs w:val="28"/>
        </w:rPr>
      </w:pPr>
      <w:r>
        <w:rPr>
          <w:rFonts w:hint="eastAsia" w:ascii="宋体" w:hAnsi="宋体" w:cs="宋体"/>
          <w:sz w:val="24"/>
          <w:szCs w:val="28"/>
        </w:rPr>
        <w:t>（2）承包人违反合同约定采购和使用不合格的材料和工程设备的；</w:t>
      </w:r>
    </w:p>
    <w:p w14:paraId="57ECF786">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（3）因承包人原因导致工程质量不符合合同要求的； </w:t>
      </w:r>
    </w:p>
    <w:p w14:paraId="65595CF3">
      <w:pPr>
        <w:spacing w:line="360" w:lineRule="auto"/>
        <w:ind w:firstLine="480" w:firstLineChars="200"/>
        <w:jc w:val="left"/>
        <w:rPr>
          <w:rFonts w:ascii="宋体" w:hAnsi="宋体" w:cs="宋体"/>
          <w:sz w:val="24"/>
          <w:szCs w:val="28"/>
        </w:rPr>
      </w:pPr>
      <w:r>
        <w:rPr>
          <w:rFonts w:hint="eastAsia" w:ascii="宋体" w:hAnsi="宋体" w:cs="宋体"/>
          <w:sz w:val="24"/>
          <w:szCs w:val="28"/>
        </w:rPr>
        <w:t>（4）承包人违反第8.9款〔材料与设备专用要求〕的约定，未经批准，私自将已按照合同约定进入施工现场的材料或设备撤离施工现场的；</w:t>
      </w:r>
    </w:p>
    <w:p w14:paraId="0E3C4E23">
      <w:pPr>
        <w:spacing w:line="360" w:lineRule="auto"/>
        <w:ind w:firstLine="480" w:firstLineChars="200"/>
        <w:jc w:val="left"/>
        <w:rPr>
          <w:rFonts w:ascii="宋体" w:hAnsi="宋体" w:cs="宋体"/>
          <w:sz w:val="24"/>
          <w:szCs w:val="28"/>
        </w:rPr>
      </w:pPr>
      <w:r>
        <w:rPr>
          <w:rFonts w:hint="eastAsia" w:ascii="宋体" w:hAnsi="宋体" w:cs="宋体"/>
          <w:sz w:val="24"/>
          <w:szCs w:val="28"/>
        </w:rPr>
        <w:t>（5）承包人未能按施工进度计划及时完成合同约定的工作，造成工期延误的；</w:t>
      </w:r>
    </w:p>
    <w:p w14:paraId="0E887023">
      <w:pPr>
        <w:spacing w:line="360" w:lineRule="auto"/>
        <w:ind w:firstLine="480" w:firstLineChars="200"/>
        <w:jc w:val="left"/>
        <w:rPr>
          <w:rFonts w:ascii="宋体" w:hAnsi="宋体" w:cs="宋体"/>
          <w:sz w:val="24"/>
          <w:szCs w:val="28"/>
        </w:rPr>
      </w:pPr>
      <w:r>
        <w:rPr>
          <w:rFonts w:hint="eastAsia" w:ascii="宋体" w:hAnsi="宋体" w:cs="宋体"/>
          <w:sz w:val="24"/>
          <w:szCs w:val="28"/>
        </w:rPr>
        <w:t>（6）承包人在缺陷责任期及保修期内，未能在合理期限对工程缺陷进行修复，或拒绝按发包人要求进行修复的；</w:t>
      </w:r>
    </w:p>
    <w:p w14:paraId="251ED89A">
      <w:pPr>
        <w:spacing w:line="360" w:lineRule="auto"/>
        <w:ind w:firstLine="480" w:firstLineChars="200"/>
        <w:jc w:val="left"/>
        <w:rPr>
          <w:rFonts w:ascii="宋体" w:hAnsi="宋体" w:cs="宋体"/>
          <w:sz w:val="24"/>
          <w:szCs w:val="28"/>
        </w:rPr>
      </w:pPr>
      <w:r>
        <w:rPr>
          <w:rFonts w:hint="eastAsia" w:ascii="宋体" w:hAnsi="宋体" w:cs="宋体"/>
          <w:sz w:val="24"/>
          <w:szCs w:val="28"/>
        </w:rPr>
        <w:t>（7）承包人明确表示或者以其行为表明不履行合同主要义务的；</w:t>
      </w:r>
    </w:p>
    <w:p w14:paraId="10196ED3">
      <w:pPr>
        <w:spacing w:line="360" w:lineRule="auto"/>
        <w:ind w:firstLine="480" w:firstLineChars="200"/>
        <w:jc w:val="left"/>
        <w:rPr>
          <w:rFonts w:ascii="宋体" w:hAnsi="宋体" w:cs="宋体"/>
          <w:sz w:val="24"/>
          <w:szCs w:val="28"/>
        </w:rPr>
      </w:pPr>
      <w:r>
        <w:rPr>
          <w:rFonts w:hint="eastAsia" w:ascii="宋体" w:hAnsi="宋体" w:cs="宋体"/>
          <w:sz w:val="24"/>
          <w:szCs w:val="28"/>
        </w:rPr>
        <w:t>（8）承包人未能按照合同约定履行其他义务的。</w:t>
      </w:r>
    </w:p>
    <w:p w14:paraId="023825D2">
      <w:pPr>
        <w:spacing w:line="360" w:lineRule="auto"/>
        <w:ind w:firstLine="480" w:firstLineChars="200"/>
        <w:jc w:val="left"/>
        <w:rPr>
          <w:rFonts w:ascii="宋体" w:hAnsi="宋体" w:cs="宋体"/>
          <w:sz w:val="24"/>
          <w:szCs w:val="28"/>
        </w:rPr>
      </w:pPr>
      <w:r>
        <w:rPr>
          <w:rFonts w:hint="eastAsia" w:ascii="宋体" w:hAnsi="宋体" w:cs="宋体"/>
          <w:sz w:val="24"/>
          <w:szCs w:val="28"/>
        </w:rPr>
        <w:t>承包人发生除本项第（7）目约定以外的其他违约情况时，监理人可向承包人发出整改通知，要求其在指定的期限内改正。</w:t>
      </w:r>
    </w:p>
    <w:p w14:paraId="787EFBCF">
      <w:pPr>
        <w:spacing w:line="360" w:lineRule="auto"/>
        <w:ind w:firstLine="480" w:firstLineChars="200"/>
        <w:jc w:val="left"/>
        <w:rPr>
          <w:rFonts w:ascii="宋体" w:hAnsi="宋体" w:cs="宋体"/>
          <w:sz w:val="24"/>
          <w:szCs w:val="28"/>
        </w:rPr>
      </w:pPr>
      <w:r>
        <w:rPr>
          <w:rFonts w:hint="eastAsia" w:ascii="宋体" w:hAnsi="宋体" w:cs="宋体"/>
          <w:sz w:val="24"/>
          <w:szCs w:val="28"/>
        </w:rPr>
        <w:t>16.2.2 承包人违约的责任</w:t>
      </w:r>
    </w:p>
    <w:p w14:paraId="260C360F">
      <w:pPr>
        <w:spacing w:line="360" w:lineRule="auto"/>
        <w:ind w:firstLine="480" w:firstLineChars="200"/>
        <w:jc w:val="left"/>
        <w:rPr>
          <w:rFonts w:ascii="宋体" w:hAnsi="宋体" w:cs="宋体"/>
          <w:sz w:val="24"/>
          <w:szCs w:val="28"/>
        </w:rPr>
      </w:pPr>
      <w:r>
        <w:rPr>
          <w:rFonts w:hint="eastAsia" w:ascii="宋体" w:hAnsi="宋体" w:cs="宋体"/>
          <w:sz w:val="24"/>
          <w:szCs w:val="28"/>
        </w:rPr>
        <w:t>承包人应承担因其违约行为而增加的费用和（或）延误的工期。此外，合同当事人可在专用合同条款中另行约定承包人违约责任的承担方式和计算方法。</w:t>
      </w:r>
    </w:p>
    <w:p w14:paraId="42DD9FC0">
      <w:pPr>
        <w:spacing w:line="360" w:lineRule="auto"/>
        <w:ind w:firstLine="480" w:firstLineChars="200"/>
        <w:jc w:val="left"/>
        <w:rPr>
          <w:rFonts w:ascii="宋体" w:hAnsi="宋体" w:cs="宋体"/>
          <w:sz w:val="24"/>
          <w:szCs w:val="28"/>
        </w:rPr>
      </w:pPr>
      <w:r>
        <w:rPr>
          <w:rFonts w:hint="eastAsia" w:ascii="宋体" w:hAnsi="宋体" w:cs="宋体"/>
          <w:sz w:val="24"/>
          <w:szCs w:val="28"/>
        </w:rPr>
        <w:t>16.2.3 因承包人违约解除合同</w:t>
      </w:r>
    </w:p>
    <w:p w14:paraId="303FFF53">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52A9AA3A">
      <w:pPr>
        <w:spacing w:line="360" w:lineRule="auto"/>
        <w:ind w:firstLine="480" w:firstLineChars="200"/>
        <w:jc w:val="left"/>
        <w:rPr>
          <w:rFonts w:ascii="宋体" w:hAnsi="宋体" w:cs="宋体"/>
          <w:sz w:val="24"/>
          <w:szCs w:val="28"/>
        </w:rPr>
      </w:pPr>
      <w:r>
        <w:rPr>
          <w:rFonts w:hint="eastAsia" w:ascii="宋体" w:hAnsi="宋体" w:cs="宋体"/>
          <w:sz w:val="24"/>
          <w:szCs w:val="28"/>
        </w:rPr>
        <w:t>16.2.4因承包人违约解除合同后的处理</w:t>
      </w:r>
    </w:p>
    <w:p w14:paraId="6028461F">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因承包人原因导致合同解除的，则合同当事人应在合同解除后28天内完成估价、付款和清算，并按以下约定执行：</w:t>
      </w:r>
    </w:p>
    <w:p w14:paraId="0BCD8C38">
      <w:pPr>
        <w:spacing w:line="360" w:lineRule="auto"/>
        <w:ind w:firstLine="480" w:firstLineChars="200"/>
        <w:jc w:val="left"/>
        <w:rPr>
          <w:rFonts w:ascii="宋体" w:hAnsi="宋体" w:cs="宋体"/>
          <w:sz w:val="24"/>
          <w:szCs w:val="28"/>
        </w:rPr>
      </w:pPr>
      <w:r>
        <w:rPr>
          <w:rFonts w:hint="eastAsia" w:ascii="宋体" w:hAnsi="宋体" w:cs="宋体"/>
          <w:sz w:val="24"/>
          <w:szCs w:val="28"/>
        </w:rPr>
        <w:t>（1）合同解除后，按第4.4款〔商定或确定〕商定或确定承包人实际完成工作对应的合同价款，以及承包人已提供的材料、工程设备、施工设备和临时工程等的价值；</w:t>
      </w:r>
    </w:p>
    <w:p w14:paraId="214DCAA2">
      <w:pPr>
        <w:spacing w:line="360" w:lineRule="auto"/>
        <w:ind w:firstLine="480" w:firstLineChars="200"/>
        <w:jc w:val="left"/>
        <w:rPr>
          <w:rFonts w:ascii="宋体" w:hAnsi="宋体" w:cs="宋体"/>
          <w:sz w:val="24"/>
          <w:szCs w:val="28"/>
        </w:rPr>
      </w:pPr>
      <w:r>
        <w:rPr>
          <w:rFonts w:hint="eastAsia" w:ascii="宋体" w:hAnsi="宋体" w:cs="宋体"/>
          <w:sz w:val="24"/>
          <w:szCs w:val="28"/>
        </w:rPr>
        <w:t>（2）合同解除后，承包人应支付的违约金；</w:t>
      </w:r>
    </w:p>
    <w:p w14:paraId="2DB1A517">
      <w:pPr>
        <w:spacing w:line="360" w:lineRule="auto"/>
        <w:ind w:firstLine="480" w:firstLineChars="200"/>
        <w:jc w:val="left"/>
        <w:rPr>
          <w:rFonts w:ascii="宋体" w:hAnsi="宋体" w:cs="宋体"/>
          <w:sz w:val="24"/>
          <w:szCs w:val="28"/>
        </w:rPr>
      </w:pPr>
      <w:r>
        <w:rPr>
          <w:rFonts w:hint="eastAsia" w:ascii="宋体" w:hAnsi="宋体" w:cs="宋体"/>
          <w:sz w:val="24"/>
          <w:szCs w:val="28"/>
        </w:rPr>
        <w:t>（3）合同解除后，因解除合同给发包人造成的损失；</w:t>
      </w:r>
    </w:p>
    <w:p w14:paraId="0E841472">
      <w:pPr>
        <w:spacing w:line="360" w:lineRule="auto"/>
        <w:ind w:firstLine="480" w:firstLineChars="200"/>
        <w:jc w:val="left"/>
        <w:rPr>
          <w:rFonts w:ascii="宋体" w:hAnsi="宋体" w:cs="宋体"/>
          <w:sz w:val="24"/>
          <w:szCs w:val="28"/>
        </w:rPr>
      </w:pPr>
      <w:r>
        <w:rPr>
          <w:rFonts w:hint="eastAsia" w:ascii="宋体" w:hAnsi="宋体" w:cs="宋体"/>
          <w:sz w:val="24"/>
          <w:szCs w:val="28"/>
        </w:rPr>
        <w:t>（4）合同解除后，承包人应按照发包人要求和监理人的指示完成现场的清理和撤离；</w:t>
      </w:r>
    </w:p>
    <w:p w14:paraId="3C2CAF80">
      <w:pPr>
        <w:spacing w:line="360" w:lineRule="auto"/>
        <w:ind w:firstLine="480" w:firstLineChars="200"/>
        <w:jc w:val="left"/>
        <w:rPr>
          <w:rFonts w:ascii="宋体" w:hAnsi="宋体" w:cs="宋体"/>
          <w:sz w:val="24"/>
          <w:szCs w:val="28"/>
        </w:rPr>
      </w:pPr>
      <w:r>
        <w:rPr>
          <w:rFonts w:hint="eastAsia" w:ascii="宋体" w:hAnsi="宋体" w:cs="宋体"/>
          <w:sz w:val="24"/>
          <w:szCs w:val="28"/>
        </w:rPr>
        <w:t>（5）发包人和承包人应在合同解除后进行清算，出具最终结清付款证书，结清全部款项。</w:t>
      </w:r>
    </w:p>
    <w:p w14:paraId="0A0DD9DA">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因承包人违约解除合同的，发包人有权暂停对承包人的付款，查清各项付款和已扣款项。发包人和承包人未能就合同解除后的清算和款项支付达成一致的，按照第20条〔争议解决〕的约定处理。</w:t>
      </w:r>
    </w:p>
    <w:p w14:paraId="2E805E82">
      <w:pPr>
        <w:spacing w:line="360" w:lineRule="auto"/>
        <w:ind w:firstLine="480" w:firstLineChars="200"/>
        <w:jc w:val="left"/>
        <w:rPr>
          <w:rFonts w:ascii="宋体" w:hAnsi="宋体" w:cs="宋体"/>
          <w:sz w:val="24"/>
          <w:szCs w:val="28"/>
        </w:rPr>
      </w:pPr>
      <w:r>
        <w:rPr>
          <w:rFonts w:hint="eastAsia" w:ascii="宋体" w:hAnsi="宋体" w:cs="宋体"/>
          <w:sz w:val="24"/>
          <w:szCs w:val="28"/>
        </w:rPr>
        <w:t>16.2.5采购合同权益转让</w:t>
      </w:r>
    </w:p>
    <w:p w14:paraId="3E2B07DB">
      <w:pPr>
        <w:spacing w:line="360" w:lineRule="auto"/>
        <w:ind w:firstLine="480" w:firstLineChars="200"/>
        <w:jc w:val="left"/>
        <w:rPr>
          <w:rFonts w:ascii="宋体" w:hAnsi="宋体" w:cs="宋体"/>
          <w:sz w:val="24"/>
          <w:szCs w:val="28"/>
        </w:rPr>
      </w:pPr>
      <w:r>
        <w:rPr>
          <w:rFonts w:hint="eastAsia" w:ascii="宋体" w:hAnsi="宋体" w:cs="宋体"/>
          <w:sz w:val="24"/>
          <w:szCs w:val="28"/>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5A0E57F3">
      <w:pPr>
        <w:spacing w:line="360" w:lineRule="auto"/>
        <w:ind w:firstLine="480" w:firstLineChars="200"/>
        <w:jc w:val="left"/>
        <w:rPr>
          <w:rFonts w:ascii="宋体" w:hAnsi="宋体" w:cs="宋体"/>
          <w:sz w:val="24"/>
          <w:szCs w:val="28"/>
        </w:rPr>
      </w:pPr>
      <w:r>
        <w:rPr>
          <w:rFonts w:hint="eastAsia" w:ascii="宋体" w:hAnsi="宋体" w:cs="宋体"/>
          <w:sz w:val="24"/>
          <w:szCs w:val="28"/>
        </w:rPr>
        <w:t>16.3 第三人造成的违约</w:t>
      </w:r>
    </w:p>
    <w:p w14:paraId="0E702F29">
      <w:pPr>
        <w:spacing w:line="360" w:lineRule="auto"/>
        <w:ind w:firstLine="480" w:firstLineChars="200"/>
        <w:jc w:val="left"/>
        <w:rPr>
          <w:rFonts w:ascii="宋体" w:hAnsi="宋体" w:cs="宋体"/>
          <w:sz w:val="24"/>
          <w:szCs w:val="28"/>
        </w:rPr>
      </w:pPr>
      <w:r>
        <w:rPr>
          <w:rFonts w:hint="eastAsia" w:ascii="宋体" w:hAnsi="宋体" w:cs="宋体"/>
          <w:sz w:val="24"/>
          <w:szCs w:val="28"/>
        </w:rPr>
        <w:t>在履行合同过程中，一方当事人因第三人的原因造成违约的，应当向对方当事人承担违约责任。一方当事人和第三人之间的纠纷，依照法律规定或者按照约定解决。</w:t>
      </w:r>
    </w:p>
    <w:p w14:paraId="5E22F846">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17. 不可抗力 </w:t>
      </w:r>
    </w:p>
    <w:p w14:paraId="595350B5">
      <w:pPr>
        <w:spacing w:line="360" w:lineRule="auto"/>
        <w:ind w:firstLine="480" w:firstLineChars="200"/>
        <w:jc w:val="left"/>
        <w:rPr>
          <w:rFonts w:ascii="宋体" w:hAnsi="宋体" w:cs="宋体"/>
          <w:sz w:val="24"/>
          <w:szCs w:val="28"/>
        </w:rPr>
      </w:pPr>
      <w:r>
        <w:rPr>
          <w:rFonts w:hint="eastAsia" w:ascii="宋体" w:hAnsi="宋体" w:cs="宋体"/>
          <w:sz w:val="24"/>
          <w:szCs w:val="28"/>
        </w:rPr>
        <w:t>17.1 不可抗力的确认</w:t>
      </w:r>
    </w:p>
    <w:p w14:paraId="1192111D">
      <w:pPr>
        <w:spacing w:line="360" w:lineRule="auto"/>
        <w:ind w:firstLine="480" w:firstLineChars="200"/>
        <w:jc w:val="left"/>
        <w:rPr>
          <w:rFonts w:ascii="宋体" w:hAnsi="宋体" w:cs="宋体"/>
          <w:sz w:val="24"/>
          <w:szCs w:val="28"/>
        </w:rPr>
      </w:pPr>
      <w:r>
        <w:rPr>
          <w:rFonts w:hint="eastAsia" w:ascii="宋体" w:hAnsi="宋体" w:cs="宋体"/>
          <w:sz w:val="24"/>
          <w:szCs w:val="28"/>
        </w:rPr>
        <w:t>不可抗力是指合同当事人在签订合同时不可预见，在合同履行过程中不可避免且不能克服的自然灾害和社会性突发事件，如地震、海啸、瘟疫、骚乱、戒严、暴动、战争和专用合同条款中约定的其他情形。</w:t>
      </w:r>
    </w:p>
    <w:p w14:paraId="1C963D90">
      <w:pPr>
        <w:spacing w:line="360" w:lineRule="auto"/>
        <w:ind w:firstLine="480" w:firstLineChars="200"/>
        <w:jc w:val="left"/>
        <w:rPr>
          <w:rFonts w:ascii="宋体" w:hAnsi="宋体" w:cs="宋体"/>
          <w:sz w:val="24"/>
          <w:szCs w:val="28"/>
        </w:rPr>
      </w:pPr>
      <w:r>
        <w:rPr>
          <w:rFonts w:hint="eastAsia" w:ascii="宋体" w:hAnsi="宋体" w:cs="宋体"/>
          <w:sz w:val="24"/>
          <w:szCs w:val="28"/>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6087C293">
      <w:pPr>
        <w:spacing w:line="360" w:lineRule="auto"/>
        <w:ind w:firstLine="480" w:firstLineChars="200"/>
        <w:jc w:val="left"/>
        <w:rPr>
          <w:rFonts w:ascii="宋体" w:hAnsi="宋体" w:cs="宋体"/>
          <w:sz w:val="24"/>
          <w:szCs w:val="28"/>
        </w:rPr>
      </w:pPr>
      <w:r>
        <w:rPr>
          <w:rFonts w:hint="eastAsia" w:ascii="宋体" w:hAnsi="宋体" w:cs="宋体"/>
          <w:sz w:val="24"/>
          <w:szCs w:val="28"/>
        </w:rPr>
        <w:t>17.2 不可抗力的通知</w:t>
      </w:r>
    </w:p>
    <w:p w14:paraId="3B23A9EE">
      <w:pPr>
        <w:spacing w:line="360" w:lineRule="auto"/>
        <w:ind w:firstLine="480" w:firstLineChars="200"/>
        <w:jc w:val="left"/>
        <w:rPr>
          <w:rFonts w:ascii="宋体" w:hAnsi="宋体" w:cs="宋体"/>
          <w:sz w:val="24"/>
          <w:szCs w:val="28"/>
        </w:rPr>
      </w:pPr>
      <w:r>
        <w:rPr>
          <w:rFonts w:hint="eastAsia" w:ascii="宋体" w:hAnsi="宋体" w:cs="宋体"/>
          <w:sz w:val="24"/>
          <w:szCs w:val="28"/>
        </w:rPr>
        <w:t>合同一方当事人遇到不可抗力事件，使其履行合同义务受到阻碍时，应立即通知合同另一方当事人和监理人，书面说明不可抗力和受阻碍的详细情况，并提供必要的证明。</w:t>
      </w:r>
    </w:p>
    <w:p w14:paraId="17A8F91F">
      <w:pPr>
        <w:spacing w:line="360" w:lineRule="auto"/>
        <w:ind w:firstLine="480" w:firstLineChars="200"/>
        <w:jc w:val="left"/>
        <w:rPr>
          <w:rFonts w:ascii="宋体" w:hAnsi="宋体" w:cs="宋体"/>
          <w:sz w:val="24"/>
          <w:szCs w:val="28"/>
        </w:rPr>
      </w:pPr>
      <w:r>
        <w:rPr>
          <w:rFonts w:hint="eastAsia" w:ascii="宋体" w:hAnsi="宋体" w:cs="宋体"/>
          <w:sz w:val="24"/>
          <w:szCs w:val="28"/>
        </w:rPr>
        <w:t>不可抗力持续发生的，合同一方当事人应及时向合同另一方当事人和监理人提交中间报告，说明不可抗力和履行合同受阻的情况，并于不可抗力事件结束后28天内提交最终报告及有关资料。</w:t>
      </w:r>
    </w:p>
    <w:p w14:paraId="5EC6DBBA">
      <w:pPr>
        <w:spacing w:line="360" w:lineRule="auto"/>
        <w:ind w:firstLine="480" w:firstLineChars="200"/>
        <w:jc w:val="left"/>
        <w:rPr>
          <w:rFonts w:ascii="宋体" w:hAnsi="宋体" w:cs="宋体"/>
          <w:sz w:val="24"/>
          <w:szCs w:val="28"/>
        </w:rPr>
      </w:pPr>
      <w:r>
        <w:rPr>
          <w:rFonts w:hint="eastAsia" w:ascii="宋体" w:hAnsi="宋体" w:cs="宋体"/>
          <w:sz w:val="24"/>
          <w:szCs w:val="28"/>
        </w:rPr>
        <w:t>17.3 不可抗力后果的承担</w:t>
      </w:r>
    </w:p>
    <w:p w14:paraId="18835B73">
      <w:pPr>
        <w:spacing w:line="360" w:lineRule="auto"/>
        <w:ind w:firstLine="480" w:firstLineChars="200"/>
        <w:jc w:val="left"/>
        <w:rPr>
          <w:rFonts w:ascii="宋体" w:hAnsi="宋体" w:cs="宋体"/>
          <w:sz w:val="24"/>
          <w:szCs w:val="28"/>
        </w:rPr>
      </w:pPr>
      <w:r>
        <w:rPr>
          <w:rFonts w:hint="eastAsia" w:ascii="宋体" w:hAnsi="宋体" w:cs="宋体"/>
          <w:sz w:val="24"/>
          <w:szCs w:val="28"/>
        </w:rPr>
        <w:t>17.3.1 不可抗力引起的后果及造成的损失由合同当事人按照法律规定及合同约定各自承担。不可抗力发生前已完成的工程应当按照合同约定进行计量支付。</w:t>
      </w:r>
    </w:p>
    <w:p w14:paraId="48BF25A6">
      <w:pPr>
        <w:spacing w:line="360" w:lineRule="auto"/>
        <w:ind w:firstLine="480" w:firstLineChars="200"/>
        <w:jc w:val="left"/>
        <w:rPr>
          <w:rFonts w:ascii="宋体" w:hAnsi="宋体" w:cs="宋体"/>
          <w:sz w:val="24"/>
          <w:szCs w:val="28"/>
        </w:rPr>
      </w:pPr>
      <w:r>
        <w:rPr>
          <w:rFonts w:hint="eastAsia" w:ascii="宋体" w:hAnsi="宋体" w:cs="宋体"/>
          <w:sz w:val="24"/>
          <w:szCs w:val="28"/>
        </w:rPr>
        <w:t>17.3.2 不可抗力导致的人员伤亡、财产损失、费用增加和（或）工期延误等后果，由合同当事人按以下原则承担：</w:t>
      </w:r>
    </w:p>
    <w:p w14:paraId="50A1D44A">
      <w:pPr>
        <w:spacing w:line="360" w:lineRule="auto"/>
        <w:ind w:firstLine="480" w:firstLineChars="200"/>
        <w:jc w:val="left"/>
        <w:rPr>
          <w:rFonts w:ascii="宋体" w:hAnsi="宋体" w:cs="宋体"/>
          <w:sz w:val="24"/>
          <w:szCs w:val="28"/>
        </w:rPr>
      </w:pPr>
      <w:r>
        <w:rPr>
          <w:rFonts w:hint="eastAsia" w:ascii="宋体" w:hAnsi="宋体" w:cs="宋体"/>
          <w:sz w:val="24"/>
          <w:szCs w:val="28"/>
        </w:rPr>
        <w:t>（1）永久工程、已运至施工现场的材料和工程设备的损坏，以及因工程损坏造成的第三人人员伤亡和财产损失由发包人承担；</w:t>
      </w:r>
    </w:p>
    <w:p w14:paraId="4DCF49F9">
      <w:pPr>
        <w:spacing w:line="360" w:lineRule="auto"/>
        <w:ind w:firstLine="480" w:firstLineChars="200"/>
        <w:jc w:val="left"/>
        <w:rPr>
          <w:rFonts w:ascii="宋体" w:hAnsi="宋体" w:cs="宋体"/>
          <w:sz w:val="24"/>
          <w:szCs w:val="28"/>
        </w:rPr>
      </w:pPr>
      <w:r>
        <w:rPr>
          <w:rFonts w:hint="eastAsia" w:ascii="宋体" w:hAnsi="宋体" w:cs="宋体"/>
          <w:sz w:val="24"/>
          <w:szCs w:val="28"/>
        </w:rPr>
        <w:t>（2）承包人施工设备的损坏由承包人承担；</w:t>
      </w:r>
    </w:p>
    <w:p w14:paraId="48C971BC">
      <w:pPr>
        <w:spacing w:line="360" w:lineRule="auto"/>
        <w:ind w:firstLine="480" w:firstLineChars="200"/>
        <w:jc w:val="left"/>
        <w:rPr>
          <w:rFonts w:ascii="宋体" w:hAnsi="宋体" w:cs="宋体"/>
          <w:sz w:val="24"/>
          <w:szCs w:val="28"/>
        </w:rPr>
      </w:pPr>
      <w:r>
        <w:rPr>
          <w:rFonts w:hint="eastAsia" w:ascii="宋体" w:hAnsi="宋体" w:cs="宋体"/>
          <w:sz w:val="24"/>
          <w:szCs w:val="28"/>
        </w:rPr>
        <w:t>（3）发包人和承包人承担各自人员伤亡和财产的损失；</w:t>
      </w:r>
    </w:p>
    <w:p w14:paraId="18D342FB">
      <w:pPr>
        <w:spacing w:line="360" w:lineRule="auto"/>
        <w:ind w:firstLine="480" w:firstLineChars="200"/>
        <w:jc w:val="left"/>
        <w:rPr>
          <w:rFonts w:ascii="宋体" w:hAnsi="宋体" w:cs="宋体"/>
          <w:sz w:val="24"/>
          <w:szCs w:val="28"/>
        </w:rPr>
      </w:pPr>
      <w:r>
        <w:rPr>
          <w:rFonts w:hint="eastAsia" w:ascii="宋体" w:hAnsi="宋体" w:cs="宋体"/>
          <w:sz w:val="24"/>
          <w:szCs w:val="28"/>
        </w:rPr>
        <w:t>（4）因不可抗力影响承包人履行合同约定的义务，已经引起或将引起工期延误的，应当顺延工期，由此导致承包人停工的费用损失由发包人和承包人合理分担，停工期间必须支付的工人工资由发包人承担；</w:t>
      </w:r>
    </w:p>
    <w:p w14:paraId="726C2962">
      <w:pPr>
        <w:spacing w:line="360" w:lineRule="auto"/>
        <w:ind w:firstLine="480" w:firstLineChars="200"/>
        <w:jc w:val="left"/>
        <w:rPr>
          <w:rFonts w:ascii="宋体" w:hAnsi="宋体" w:cs="宋体"/>
          <w:sz w:val="24"/>
          <w:szCs w:val="28"/>
        </w:rPr>
      </w:pPr>
      <w:r>
        <w:rPr>
          <w:rFonts w:hint="eastAsia" w:ascii="宋体" w:hAnsi="宋体" w:cs="宋体"/>
          <w:sz w:val="24"/>
          <w:szCs w:val="28"/>
        </w:rPr>
        <w:t>（5）因不可抗力引起或将引起工期延误，发包人要求赶工的，由此增加的赶工费用由发包人承担；</w:t>
      </w:r>
    </w:p>
    <w:p w14:paraId="4F7C73A7">
      <w:pPr>
        <w:spacing w:line="360" w:lineRule="auto"/>
        <w:ind w:firstLine="480" w:firstLineChars="200"/>
        <w:jc w:val="left"/>
        <w:rPr>
          <w:rFonts w:ascii="宋体" w:hAnsi="宋体" w:cs="宋体"/>
          <w:sz w:val="24"/>
          <w:szCs w:val="28"/>
        </w:rPr>
      </w:pPr>
      <w:r>
        <w:rPr>
          <w:rFonts w:hint="eastAsia" w:ascii="宋体" w:hAnsi="宋体" w:cs="宋体"/>
          <w:sz w:val="24"/>
          <w:szCs w:val="28"/>
        </w:rPr>
        <w:t>（6）承包人在停工期间按照发包人要求照管、清理和修复工程的费用由发包人承担。</w:t>
      </w:r>
    </w:p>
    <w:p w14:paraId="5311A7A2">
      <w:pPr>
        <w:spacing w:line="360" w:lineRule="auto"/>
        <w:ind w:firstLine="480" w:firstLineChars="200"/>
        <w:jc w:val="left"/>
        <w:rPr>
          <w:rFonts w:ascii="宋体" w:hAnsi="宋体" w:cs="宋体"/>
          <w:sz w:val="24"/>
          <w:szCs w:val="28"/>
        </w:rPr>
      </w:pPr>
      <w:r>
        <w:rPr>
          <w:rFonts w:hint="eastAsia" w:ascii="宋体" w:hAnsi="宋体" w:cs="宋体"/>
          <w:sz w:val="24"/>
          <w:szCs w:val="28"/>
        </w:rPr>
        <w:t>不可抗力发生后，合同当事人均应采取措施尽量避免和减少损失的扩大，任何一方当事人没有采取有效措施导致损失扩大的，应对扩大的损失承担责任。</w:t>
      </w:r>
    </w:p>
    <w:p w14:paraId="0EE9A5F4">
      <w:pPr>
        <w:spacing w:line="360" w:lineRule="auto"/>
        <w:ind w:firstLine="480" w:firstLineChars="200"/>
        <w:jc w:val="left"/>
        <w:rPr>
          <w:rFonts w:ascii="宋体" w:hAnsi="宋体" w:cs="宋体"/>
          <w:sz w:val="24"/>
          <w:szCs w:val="28"/>
        </w:rPr>
      </w:pPr>
      <w:r>
        <w:rPr>
          <w:rFonts w:hint="eastAsia" w:ascii="宋体" w:hAnsi="宋体" w:cs="宋体"/>
          <w:sz w:val="24"/>
          <w:szCs w:val="28"/>
        </w:rPr>
        <w:t>因合同一方迟延履行合同义务，在迟延履行期间遭遇不可抗力的，不免除其违约责任。</w:t>
      </w:r>
    </w:p>
    <w:p w14:paraId="598ECF95">
      <w:pPr>
        <w:spacing w:line="360" w:lineRule="auto"/>
        <w:ind w:firstLine="480" w:firstLineChars="200"/>
        <w:jc w:val="left"/>
        <w:rPr>
          <w:rFonts w:ascii="宋体" w:hAnsi="宋体" w:cs="宋体"/>
          <w:sz w:val="24"/>
          <w:szCs w:val="28"/>
        </w:rPr>
      </w:pPr>
      <w:r>
        <w:rPr>
          <w:rFonts w:hint="eastAsia" w:ascii="宋体" w:hAnsi="宋体" w:cs="宋体"/>
          <w:sz w:val="24"/>
          <w:szCs w:val="28"/>
        </w:rPr>
        <w:t>17.4 因不可抗力解除合同</w:t>
      </w:r>
    </w:p>
    <w:p w14:paraId="5BB2D41D">
      <w:pPr>
        <w:spacing w:line="360" w:lineRule="auto"/>
        <w:ind w:firstLine="480" w:firstLineChars="200"/>
        <w:jc w:val="left"/>
        <w:rPr>
          <w:rFonts w:ascii="宋体" w:hAnsi="宋体" w:cs="宋体"/>
          <w:sz w:val="24"/>
          <w:szCs w:val="28"/>
        </w:rPr>
      </w:pPr>
      <w:r>
        <w:rPr>
          <w:rFonts w:hint="eastAsia" w:ascii="宋体" w:hAnsi="宋体" w:cs="宋体"/>
          <w:sz w:val="24"/>
          <w:szCs w:val="28"/>
        </w:rPr>
        <w:t>因不可抗力导致合同无法履行连续超过84天或累计超过140天的，发包人和承包人均有权解除合同。合同解除后，由双方当事人按照第4.4款〔商定或确定〕商定或确定发包人应支付的款项，该款项包括：</w:t>
      </w:r>
    </w:p>
    <w:p w14:paraId="589662EF">
      <w:pPr>
        <w:spacing w:line="360" w:lineRule="auto"/>
        <w:ind w:firstLine="480" w:firstLineChars="200"/>
        <w:jc w:val="left"/>
        <w:rPr>
          <w:rFonts w:ascii="宋体" w:hAnsi="宋体" w:cs="宋体"/>
          <w:sz w:val="24"/>
          <w:szCs w:val="28"/>
        </w:rPr>
      </w:pPr>
      <w:r>
        <w:rPr>
          <w:rFonts w:hint="eastAsia" w:ascii="宋体" w:hAnsi="宋体" w:cs="宋体"/>
          <w:sz w:val="24"/>
          <w:szCs w:val="28"/>
        </w:rPr>
        <w:t>（1）合同解除前承包人已完成工作的价款；</w:t>
      </w:r>
    </w:p>
    <w:p w14:paraId="75966893">
      <w:pPr>
        <w:spacing w:line="360" w:lineRule="auto"/>
        <w:ind w:firstLine="480" w:firstLineChars="200"/>
        <w:jc w:val="left"/>
        <w:rPr>
          <w:rFonts w:ascii="宋体" w:hAnsi="宋体" w:cs="宋体"/>
          <w:sz w:val="24"/>
          <w:szCs w:val="28"/>
        </w:rPr>
      </w:pPr>
      <w:r>
        <w:rPr>
          <w:rFonts w:hint="eastAsia" w:ascii="宋体" w:hAnsi="宋体" w:cs="宋体"/>
          <w:sz w:val="24"/>
          <w:szCs w:val="28"/>
        </w:rPr>
        <w:t>（2）承包人为工程订购的并已交付给承包人，或承包人有责任接受交付的材料、工程设备和其他物品的价款；</w:t>
      </w:r>
    </w:p>
    <w:p w14:paraId="62738DA7">
      <w:pPr>
        <w:spacing w:line="360" w:lineRule="auto"/>
        <w:ind w:firstLine="480" w:firstLineChars="200"/>
        <w:jc w:val="left"/>
        <w:rPr>
          <w:rFonts w:ascii="宋体" w:hAnsi="宋体" w:cs="宋体"/>
          <w:sz w:val="24"/>
          <w:szCs w:val="28"/>
        </w:rPr>
      </w:pPr>
      <w:r>
        <w:rPr>
          <w:rFonts w:hint="eastAsia" w:ascii="宋体" w:hAnsi="宋体" w:cs="宋体"/>
          <w:sz w:val="24"/>
          <w:szCs w:val="28"/>
        </w:rPr>
        <w:t>（3）发包人要求承包人退货或解除订货合同而产生的费用，或因不能退货或解除合同而产生的损失；</w:t>
      </w:r>
    </w:p>
    <w:p w14:paraId="33DE6665">
      <w:pPr>
        <w:spacing w:line="360" w:lineRule="auto"/>
        <w:ind w:firstLine="480" w:firstLineChars="200"/>
        <w:jc w:val="left"/>
        <w:rPr>
          <w:rFonts w:ascii="宋体" w:hAnsi="宋体" w:cs="宋体"/>
          <w:sz w:val="24"/>
          <w:szCs w:val="28"/>
        </w:rPr>
      </w:pPr>
      <w:r>
        <w:rPr>
          <w:rFonts w:hint="eastAsia" w:ascii="宋体" w:hAnsi="宋体" w:cs="宋体"/>
          <w:sz w:val="24"/>
          <w:szCs w:val="28"/>
        </w:rPr>
        <w:t>（4）承包人撤离施工现场以及遣散承包人人员的费用；</w:t>
      </w:r>
    </w:p>
    <w:p w14:paraId="6A73EBA2">
      <w:pPr>
        <w:spacing w:line="360" w:lineRule="auto"/>
        <w:ind w:firstLine="480" w:firstLineChars="200"/>
        <w:jc w:val="left"/>
        <w:rPr>
          <w:rFonts w:ascii="宋体" w:hAnsi="宋体" w:cs="宋体"/>
          <w:sz w:val="24"/>
          <w:szCs w:val="28"/>
        </w:rPr>
      </w:pPr>
      <w:r>
        <w:rPr>
          <w:rFonts w:hint="eastAsia" w:ascii="宋体" w:hAnsi="宋体" w:cs="宋体"/>
          <w:sz w:val="24"/>
          <w:szCs w:val="28"/>
        </w:rPr>
        <w:t>（5）按照合同约定在合同解除前应支付给承包人的其他款项；</w:t>
      </w:r>
    </w:p>
    <w:p w14:paraId="4A676DE5">
      <w:pPr>
        <w:spacing w:line="360" w:lineRule="auto"/>
        <w:ind w:firstLine="480" w:firstLineChars="200"/>
        <w:jc w:val="left"/>
        <w:rPr>
          <w:rFonts w:ascii="宋体" w:hAnsi="宋体" w:cs="宋体"/>
          <w:sz w:val="24"/>
          <w:szCs w:val="28"/>
        </w:rPr>
      </w:pPr>
      <w:r>
        <w:rPr>
          <w:rFonts w:hint="eastAsia" w:ascii="宋体" w:hAnsi="宋体" w:cs="宋体"/>
          <w:sz w:val="24"/>
          <w:szCs w:val="28"/>
        </w:rPr>
        <w:t>（6）扣减承包人按照合同约定应向发包人支付的款项；</w:t>
      </w:r>
    </w:p>
    <w:p w14:paraId="575740F2">
      <w:pPr>
        <w:spacing w:line="360" w:lineRule="auto"/>
        <w:ind w:firstLine="480" w:firstLineChars="200"/>
        <w:jc w:val="left"/>
        <w:rPr>
          <w:rFonts w:ascii="宋体" w:hAnsi="宋体" w:cs="宋体"/>
          <w:sz w:val="24"/>
          <w:szCs w:val="28"/>
        </w:rPr>
      </w:pPr>
      <w:r>
        <w:rPr>
          <w:rFonts w:hint="eastAsia" w:ascii="宋体" w:hAnsi="宋体" w:cs="宋体"/>
          <w:sz w:val="24"/>
          <w:szCs w:val="28"/>
        </w:rPr>
        <w:t>（7）双方商定或确定的其他款项。</w:t>
      </w:r>
    </w:p>
    <w:p w14:paraId="706FC4E2">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除专用合同条款另有约定外，合同解除后，发包人应在商定或确定上述款项后28天内完成上述款项的支付。</w:t>
      </w:r>
    </w:p>
    <w:p w14:paraId="78045A00">
      <w:pPr>
        <w:spacing w:line="360" w:lineRule="auto"/>
        <w:ind w:firstLine="480" w:firstLineChars="200"/>
        <w:jc w:val="left"/>
        <w:rPr>
          <w:rFonts w:ascii="宋体" w:hAnsi="宋体" w:cs="宋体"/>
          <w:sz w:val="24"/>
          <w:szCs w:val="28"/>
        </w:rPr>
      </w:pPr>
      <w:r>
        <w:rPr>
          <w:rFonts w:hint="eastAsia" w:ascii="宋体" w:hAnsi="宋体" w:cs="宋体"/>
          <w:sz w:val="24"/>
          <w:szCs w:val="28"/>
        </w:rPr>
        <w:t>18. 保险</w:t>
      </w:r>
    </w:p>
    <w:p w14:paraId="079AB8B7">
      <w:pPr>
        <w:spacing w:line="360" w:lineRule="auto"/>
        <w:ind w:firstLine="480" w:firstLineChars="200"/>
        <w:jc w:val="left"/>
        <w:rPr>
          <w:rFonts w:ascii="宋体" w:hAnsi="宋体" w:cs="宋体"/>
          <w:sz w:val="24"/>
          <w:szCs w:val="28"/>
        </w:rPr>
      </w:pPr>
      <w:r>
        <w:rPr>
          <w:rFonts w:hint="eastAsia" w:ascii="宋体" w:hAnsi="宋体" w:cs="宋体"/>
          <w:sz w:val="24"/>
          <w:szCs w:val="28"/>
        </w:rPr>
        <w:t>18.1 工程保险</w:t>
      </w:r>
    </w:p>
    <w:p w14:paraId="4A4851FA">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除专用合同条款另有约定外，发包人应投保建筑工程一切险或安装工程一切险；发包人委托承包人投保的，因投保产生的保险费和其他相关费用由发包人承担。</w:t>
      </w:r>
    </w:p>
    <w:p w14:paraId="43B2410C">
      <w:pPr>
        <w:spacing w:line="360" w:lineRule="auto"/>
        <w:ind w:firstLine="480" w:firstLineChars="200"/>
        <w:jc w:val="left"/>
        <w:rPr>
          <w:rFonts w:ascii="宋体" w:hAnsi="宋体" w:cs="宋体"/>
          <w:sz w:val="24"/>
          <w:szCs w:val="28"/>
        </w:rPr>
      </w:pPr>
      <w:r>
        <w:rPr>
          <w:rFonts w:hint="eastAsia" w:ascii="宋体" w:hAnsi="宋体" w:cs="宋体"/>
          <w:sz w:val="24"/>
          <w:szCs w:val="28"/>
        </w:rPr>
        <w:t>18.2 工伤保险</w:t>
      </w:r>
    </w:p>
    <w:p w14:paraId="253CD1F5">
      <w:pPr>
        <w:spacing w:line="360" w:lineRule="auto"/>
        <w:ind w:firstLine="480" w:firstLineChars="200"/>
        <w:jc w:val="left"/>
        <w:rPr>
          <w:rFonts w:ascii="宋体" w:hAnsi="宋体" w:cs="宋体"/>
          <w:sz w:val="24"/>
          <w:szCs w:val="28"/>
        </w:rPr>
      </w:pPr>
      <w:r>
        <w:rPr>
          <w:rFonts w:hint="eastAsia" w:ascii="宋体" w:hAnsi="宋体" w:cs="宋体"/>
          <w:sz w:val="24"/>
          <w:szCs w:val="28"/>
        </w:rPr>
        <w:t>18.2.1 发包人应依照法律规定参加工伤保险，并为在施工现场的全部员工办理工伤保险，缴纳工伤保险费，并要求监理人及由发包人为履行合同聘请的第三方依法参加工伤保险。</w:t>
      </w:r>
    </w:p>
    <w:p w14:paraId="53C6F54A">
      <w:pPr>
        <w:spacing w:line="360" w:lineRule="auto"/>
        <w:ind w:firstLine="480" w:firstLineChars="200"/>
        <w:jc w:val="left"/>
        <w:rPr>
          <w:rFonts w:ascii="宋体" w:hAnsi="宋体" w:cs="宋体"/>
          <w:sz w:val="24"/>
          <w:szCs w:val="28"/>
        </w:rPr>
      </w:pPr>
      <w:r>
        <w:rPr>
          <w:rFonts w:hint="eastAsia" w:ascii="宋体" w:hAnsi="宋体" w:cs="宋体"/>
          <w:sz w:val="24"/>
          <w:szCs w:val="28"/>
        </w:rPr>
        <w:t>18.2.2 承包人应依照法律规定参加工伤保险，并为其履行合同的全部员工办理工伤保险，缴纳工伤保险费，并要求分包人及由承包人为履行合同聘请的第三方依法参加工伤保险。</w:t>
      </w:r>
    </w:p>
    <w:p w14:paraId="59B7CFEE">
      <w:pPr>
        <w:spacing w:line="360" w:lineRule="auto"/>
        <w:ind w:firstLine="480" w:firstLineChars="200"/>
        <w:jc w:val="left"/>
        <w:rPr>
          <w:rFonts w:ascii="宋体" w:hAnsi="宋体" w:cs="宋体"/>
          <w:sz w:val="24"/>
          <w:szCs w:val="28"/>
        </w:rPr>
      </w:pPr>
      <w:r>
        <w:rPr>
          <w:rFonts w:hint="eastAsia" w:ascii="宋体" w:hAnsi="宋体" w:cs="宋体"/>
          <w:sz w:val="24"/>
          <w:szCs w:val="28"/>
        </w:rPr>
        <w:t>18.3其他保险</w:t>
      </w:r>
    </w:p>
    <w:p w14:paraId="7B06375C">
      <w:pPr>
        <w:spacing w:line="360" w:lineRule="auto"/>
        <w:ind w:firstLine="480" w:firstLineChars="200"/>
        <w:jc w:val="left"/>
        <w:rPr>
          <w:rFonts w:ascii="宋体" w:hAnsi="宋体" w:cs="宋体"/>
          <w:sz w:val="24"/>
          <w:szCs w:val="28"/>
        </w:rPr>
      </w:pPr>
      <w:r>
        <w:rPr>
          <w:rFonts w:hint="eastAsia" w:ascii="宋体" w:hAnsi="宋体" w:cs="宋体"/>
          <w:sz w:val="24"/>
          <w:szCs w:val="28"/>
        </w:rPr>
        <w:t>发包人和承包人可以为其施工现场的全部人员办理意外伤害保险并支付保险费，包括其员工及为履行合同聘请的第三方的人员，具体事项由合同当事人在专用合同条款约定。</w:t>
      </w:r>
    </w:p>
    <w:p w14:paraId="48E942B9">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除专用合同条款另有约定外，承包人应为其施工设备等办理财产保险。</w:t>
      </w:r>
    </w:p>
    <w:p w14:paraId="37A09676">
      <w:pPr>
        <w:spacing w:line="360" w:lineRule="auto"/>
        <w:ind w:firstLine="480" w:firstLineChars="200"/>
        <w:jc w:val="left"/>
        <w:rPr>
          <w:rFonts w:ascii="宋体" w:hAnsi="宋体" w:cs="宋体"/>
          <w:sz w:val="24"/>
          <w:szCs w:val="28"/>
        </w:rPr>
      </w:pPr>
      <w:r>
        <w:rPr>
          <w:rFonts w:hint="eastAsia" w:ascii="宋体" w:hAnsi="宋体" w:cs="宋体"/>
          <w:sz w:val="24"/>
          <w:szCs w:val="28"/>
        </w:rPr>
        <w:t>18.4持续保险</w:t>
      </w:r>
    </w:p>
    <w:p w14:paraId="1FB82BF8">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合同当事人应与保险人保持联系，使保险人能够随时了解工程实施中的变动，并确保按保险合同条款要求持续保险。</w:t>
      </w:r>
    </w:p>
    <w:p w14:paraId="5157AEB8">
      <w:pPr>
        <w:spacing w:line="360" w:lineRule="auto"/>
        <w:ind w:firstLine="480" w:firstLineChars="200"/>
        <w:jc w:val="left"/>
        <w:rPr>
          <w:rFonts w:ascii="宋体" w:hAnsi="宋体" w:cs="宋体"/>
          <w:sz w:val="24"/>
          <w:szCs w:val="28"/>
        </w:rPr>
      </w:pPr>
      <w:r>
        <w:rPr>
          <w:rFonts w:hint="eastAsia" w:ascii="宋体" w:hAnsi="宋体" w:cs="宋体"/>
          <w:sz w:val="24"/>
          <w:szCs w:val="28"/>
        </w:rPr>
        <w:t>18.5 保险凭证</w:t>
      </w:r>
    </w:p>
    <w:p w14:paraId="1A6EAEEC">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合同当事人应及时向另一方当事人提交其已投保的各项保险的凭证和保险单复印件。</w:t>
      </w:r>
    </w:p>
    <w:p w14:paraId="77796858">
      <w:pPr>
        <w:spacing w:line="360" w:lineRule="auto"/>
        <w:ind w:firstLine="480" w:firstLineChars="200"/>
        <w:jc w:val="left"/>
        <w:rPr>
          <w:rFonts w:ascii="宋体" w:hAnsi="宋体" w:cs="宋体"/>
          <w:sz w:val="24"/>
          <w:szCs w:val="28"/>
        </w:rPr>
      </w:pPr>
      <w:r>
        <w:rPr>
          <w:rFonts w:hint="eastAsia" w:ascii="宋体" w:hAnsi="宋体" w:cs="宋体"/>
          <w:sz w:val="24"/>
          <w:szCs w:val="28"/>
        </w:rPr>
        <w:t>18.6 未按约定投保的补救</w:t>
      </w:r>
    </w:p>
    <w:p w14:paraId="3608F57F">
      <w:pPr>
        <w:spacing w:line="360" w:lineRule="auto"/>
        <w:ind w:firstLine="480" w:firstLineChars="200"/>
        <w:jc w:val="left"/>
        <w:rPr>
          <w:rFonts w:ascii="宋体" w:hAnsi="宋体" w:cs="宋体"/>
          <w:sz w:val="24"/>
          <w:szCs w:val="28"/>
        </w:rPr>
      </w:pPr>
      <w:r>
        <w:rPr>
          <w:rFonts w:hint="eastAsia" w:ascii="宋体" w:hAnsi="宋体" w:cs="宋体"/>
          <w:sz w:val="24"/>
          <w:szCs w:val="28"/>
        </w:rPr>
        <w:t>18.6.1发包人未按合同约定办理保险，或未能使保险持续有效的，则承包人可代为办理，所需费用由发包人承担。发包人未按合同约定办理保险，导致未能得到足额赔偿的，由发包人负责补足。</w:t>
      </w:r>
    </w:p>
    <w:p w14:paraId="099A5A2D">
      <w:pPr>
        <w:spacing w:line="360" w:lineRule="auto"/>
        <w:ind w:firstLine="480" w:firstLineChars="200"/>
        <w:jc w:val="left"/>
        <w:rPr>
          <w:rFonts w:ascii="宋体" w:hAnsi="宋体" w:cs="宋体"/>
          <w:sz w:val="24"/>
          <w:szCs w:val="28"/>
        </w:rPr>
      </w:pPr>
      <w:r>
        <w:rPr>
          <w:rFonts w:hint="eastAsia" w:ascii="宋体" w:hAnsi="宋体" w:cs="宋体"/>
          <w:sz w:val="24"/>
          <w:szCs w:val="28"/>
        </w:rPr>
        <w:t>18.6.2承包人未按合同约定办理保险，或未能使保险持续有效的，则发包人可代为办理，所需费用由承包人承担。承包人未按合同约定办理保险，导致未能得到足额赔偿的，由承包人负责补足。</w:t>
      </w:r>
    </w:p>
    <w:p w14:paraId="4C9C2F19">
      <w:pPr>
        <w:spacing w:line="360" w:lineRule="auto"/>
        <w:ind w:firstLine="480" w:firstLineChars="200"/>
        <w:jc w:val="left"/>
        <w:rPr>
          <w:rFonts w:ascii="宋体" w:hAnsi="宋体" w:cs="宋体"/>
          <w:sz w:val="24"/>
          <w:szCs w:val="28"/>
        </w:rPr>
      </w:pPr>
      <w:r>
        <w:rPr>
          <w:rFonts w:hint="eastAsia" w:ascii="宋体" w:hAnsi="宋体" w:cs="宋体"/>
          <w:sz w:val="24"/>
          <w:szCs w:val="28"/>
        </w:rPr>
        <w:t>18.7 通知义务</w:t>
      </w:r>
    </w:p>
    <w:p w14:paraId="6210C664">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除专用合同条款另有约定外，发包人变更除工伤保险之外的保险合同时，应事先征得承包人同意，并通知监理人；承包人变更除工伤保险之外的保险合同时，应事先征得发包人同意，并通知监理人。</w:t>
      </w:r>
    </w:p>
    <w:p w14:paraId="56B79442">
      <w:pPr>
        <w:spacing w:line="360" w:lineRule="auto"/>
        <w:ind w:firstLine="480" w:firstLineChars="200"/>
        <w:jc w:val="left"/>
        <w:rPr>
          <w:rFonts w:ascii="宋体" w:hAnsi="宋体" w:cs="宋体"/>
          <w:sz w:val="24"/>
          <w:szCs w:val="28"/>
        </w:rPr>
      </w:pPr>
      <w:r>
        <w:rPr>
          <w:rFonts w:hint="eastAsia" w:ascii="宋体" w:hAnsi="宋体" w:cs="宋体"/>
          <w:sz w:val="24"/>
          <w:szCs w:val="28"/>
        </w:rPr>
        <w:t>保险事故发生时，投保人应按照保险合同规定的条件和期限及时向保险人报告。发包人和承包人应当在知道保险事故发生后及时通知对方。</w:t>
      </w:r>
    </w:p>
    <w:p w14:paraId="3E6FD55A">
      <w:pPr>
        <w:spacing w:line="360" w:lineRule="auto"/>
        <w:ind w:firstLine="480" w:firstLineChars="200"/>
        <w:jc w:val="left"/>
        <w:rPr>
          <w:rFonts w:ascii="宋体" w:hAnsi="宋体" w:cs="宋体"/>
          <w:sz w:val="24"/>
          <w:szCs w:val="28"/>
        </w:rPr>
      </w:pPr>
      <w:r>
        <w:rPr>
          <w:rFonts w:hint="eastAsia" w:ascii="宋体" w:hAnsi="宋体" w:cs="宋体"/>
          <w:sz w:val="24"/>
          <w:szCs w:val="28"/>
        </w:rPr>
        <w:t>19. 索赔</w:t>
      </w:r>
    </w:p>
    <w:p w14:paraId="52A7D27B">
      <w:pPr>
        <w:spacing w:line="360" w:lineRule="auto"/>
        <w:ind w:firstLine="480" w:firstLineChars="200"/>
        <w:jc w:val="left"/>
        <w:rPr>
          <w:rFonts w:ascii="宋体" w:hAnsi="宋体" w:cs="宋体"/>
          <w:sz w:val="24"/>
          <w:szCs w:val="28"/>
        </w:rPr>
      </w:pPr>
      <w:r>
        <w:rPr>
          <w:rFonts w:hint="eastAsia" w:ascii="宋体" w:hAnsi="宋体" w:cs="宋体"/>
          <w:sz w:val="24"/>
          <w:szCs w:val="28"/>
        </w:rPr>
        <w:t>19.1承包人的索赔</w:t>
      </w:r>
    </w:p>
    <w:p w14:paraId="7D25AB70">
      <w:pPr>
        <w:spacing w:line="360" w:lineRule="auto"/>
        <w:ind w:firstLine="480" w:firstLineChars="200"/>
        <w:jc w:val="left"/>
        <w:rPr>
          <w:rFonts w:ascii="宋体" w:hAnsi="宋体" w:cs="宋体"/>
          <w:sz w:val="24"/>
          <w:szCs w:val="28"/>
        </w:rPr>
      </w:pPr>
      <w:r>
        <w:rPr>
          <w:rFonts w:hint="eastAsia" w:ascii="宋体" w:hAnsi="宋体" w:cs="宋体"/>
          <w:sz w:val="24"/>
          <w:szCs w:val="28"/>
        </w:rPr>
        <w:t>根据合同约定，承包人认为有权得到追加付款和（或）延长工期的，应按以下程序向发包人提出索赔：</w:t>
      </w:r>
    </w:p>
    <w:p w14:paraId="76B6556E">
      <w:pPr>
        <w:spacing w:line="360" w:lineRule="auto"/>
        <w:ind w:firstLine="480" w:firstLineChars="200"/>
        <w:jc w:val="left"/>
        <w:rPr>
          <w:rFonts w:ascii="宋体" w:hAnsi="宋体" w:cs="宋体"/>
          <w:sz w:val="24"/>
          <w:szCs w:val="28"/>
        </w:rPr>
      </w:pPr>
      <w:r>
        <w:rPr>
          <w:rFonts w:hint="eastAsia" w:ascii="宋体" w:hAnsi="宋体" w:cs="宋体"/>
          <w:sz w:val="24"/>
          <w:szCs w:val="28"/>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58D06540">
      <w:pPr>
        <w:spacing w:line="360" w:lineRule="auto"/>
        <w:ind w:firstLine="480" w:firstLineChars="200"/>
        <w:jc w:val="left"/>
        <w:rPr>
          <w:rFonts w:ascii="宋体" w:hAnsi="宋体" w:cs="宋体"/>
          <w:sz w:val="24"/>
          <w:szCs w:val="28"/>
        </w:rPr>
      </w:pPr>
      <w:r>
        <w:rPr>
          <w:rFonts w:hint="eastAsia" w:ascii="宋体" w:hAnsi="宋体" w:cs="宋体"/>
          <w:sz w:val="24"/>
          <w:szCs w:val="28"/>
        </w:rPr>
        <w:t>（2）承包人应在发出索赔意向通知书后28天内，向监理人正式递交索赔报告；索赔报告应详细说明索赔理由以及要求追加的付款金额和（或）延长的工期，并附必要的记录和证明材料；</w:t>
      </w:r>
    </w:p>
    <w:p w14:paraId="1A4813C6">
      <w:pPr>
        <w:spacing w:line="360" w:lineRule="auto"/>
        <w:ind w:firstLine="480" w:firstLineChars="200"/>
        <w:jc w:val="left"/>
        <w:rPr>
          <w:rFonts w:ascii="宋体" w:hAnsi="宋体" w:cs="宋体"/>
          <w:sz w:val="24"/>
          <w:szCs w:val="28"/>
        </w:rPr>
      </w:pPr>
      <w:r>
        <w:rPr>
          <w:rFonts w:hint="eastAsia" w:ascii="宋体" w:hAnsi="宋体" w:cs="宋体"/>
          <w:sz w:val="24"/>
          <w:szCs w:val="28"/>
        </w:rPr>
        <w:t>（3）索赔事件具有持续影响的，承包人应按合理时间间隔继续递交延续索赔通知，说明持续影响的实际情况和记录，列出累计的追加付款金额和（或）工期延长天数；</w:t>
      </w:r>
    </w:p>
    <w:p w14:paraId="1478716C">
      <w:pPr>
        <w:spacing w:line="360" w:lineRule="auto"/>
        <w:ind w:firstLine="480" w:firstLineChars="200"/>
        <w:jc w:val="left"/>
        <w:rPr>
          <w:rFonts w:ascii="宋体" w:hAnsi="宋体" w:cs="宋体"/>
          <w:sz w:val="24"/>
          <w:szCs w:val="28"/>
        </w:rPr>
      </w:pPr>
      <w:r>
        <w:rPr>
          <w:rFonts w:hint="eastAsia" w:ascii="宋体" w:hAnsi="宋体" w:cs="宋体"/>
          <w:sz w:val="24"/>
          <w:szCs w:val="28"/>
        </w:rPr>
        <w:t>（4）在索赔事件影响结束后28天内，承包人应向监理人递交最终索赔报告，说明最终要求索赔的追加付款金额和（或）延长的工期，并附必要的记录和证明材料。</w:t>
      </w:r>
    </w:p>
    <w:p w14:paraId="7BF203EF">
      <w:pPr>
        <w:spacing w:line="360" w:lineRule="auto"/>
        <w:ind w:firstLine="480" w:firstLineChars="200"/>
        <w:jc w:val="left"/>
        <w:rPr>
          <w:rFonts w:ascii="宋体" w:hAnsi="宋体" w:cs="宋体"/>
          <w:sz w:val="24"/>
          <w:szCs w:val="28"/>
        </w:rPr>
      </w:pPr>
      <w:r>
        <w:rPr>
          <w:rFonts w:hint="eastAsia" w:ascii="宋体" w:hAnsi="宋体" w:cs="宋体"/>
          <w:sz w:val="24"/>
          <w:szCs w:val="28"/>
        </w:rPr>
        <w:t>19.2 对承包人索赔的处理</w:t>
      </w:r>
    </w:p>
    <w:p w14:paraId="41BC5583">
      <w:pPr>
        <w:spacing w:line="360" w:lineRule="auto"/>
        <w:ind w:firstLine="480" w:firstLineChars="200"/>
        <w:jc w:val="left"/>
        <w:rPr>
          <w:rFonts w:ascii="宋体" w:hAnsi="宋体" w:cs="宋体"/>
          <w:sz w:val="24"/>
          <w:szCs w:val="28"/>
        </w:rPr>
      </w:pPr>
      <w:r>
        <w:rPr>
          <w:rFonts w:hint="eastAsia" w:ascii="宋体" w:hAnsi="宋体" w:cs="宋体"/>
          <w:sz w:val="24"/>
          <w:szCs w:val="28"/>
        </w:rPr>
        <w:t>对承包人索赔的处理如下：</w:t>
      </w:r>
    </w:p>
    <w:p w14:paraId="4A1A87DE">
      <w:pPr>
        <w:spacing w:line="360" w:lineRule="auto"/>
        <w:ind w:firstLine="480" w:firstLineChars="200"/>
        <w:jc w:val="left"/>
        <w:rPr>
          <w:rFonts w:ascii="宋体" w:hAnsi="宋体" w:cs="宋体"/>
          <w:sz w:val="24"/>
          <w:szCs w:val="28"/>
        </w:rPr>
      </w:pPr>
      <w:r>
        <w:rPr>
          <w:rFonts w:hint="eastAsia" w:ascii="宋体" w:hAnsi="宋体" w:cs="宋体"/>
          <w:sz w:val="24"/>
          <w:szCs w:val="28"/>
        </w:rPr>
        <w:t>（1）监理人应在收到索赔报告后14天内完成审查并报送发包人。监理人对索赔报告存在异议的，有权要求承包人提交全部原始记录副本；</w:t>
      </w:r>
    </w:p>
    <w:p w14:paraId="74B3C379">
      <w:pPr>
        <w:spacing w:line="360" w:lineRule="auto"/>
        <w:ind w:firstLine="480" w:firstLineChars="200"/>
        <w:jc w:val="left"/>
        <w:rPr>
          <w:rFonts w:ascii="宋体" w:hAnsi="宋体" w:cs="宋体"/>
          <w:sz w:val="24"/>
          <w:szCs w:val="28"/>
        </w:rPr>
      </w:pPr>
      <w:r>
        <w:rPr>
          <w:rFonts w:hint="eastAsia" w:ascii="宋体" w:hAnsi="宋体" w:cs="宋体"/>
          <w:sz w:val="24"/>
          <w:szCs w:val="28"/>
        </w:rPr>
        <w:t>（2）发包人应在监理人收到索赔报告或有关索赔的进一步证明材料后的28天内，由监理人向承包人出具经发包人签认的索赔处理结果。发包人逾期答复的，则视为认可承包人的索赔要求；</w:t>
      </w:r>
    </w:p>
    <w:p w14:paraId="47B9F793">
      <w:pPr>
        <w:spacing w:line="360" w:lineRule="auto"/>
        <w:ind w:firstLine="480" w:firstLineChars="200"/>
        <w:jc w:val="left"/>
        <w:rPr>
          <w:rFonts w:ascii="宋体" w:hAnsi="宋体" w:cs="宋体"/>
          <w:sz w:val="24"/>
          <w:szCs w:val="28"/>
        </w:rPr>
      </w:pPr>
      <w:r>
        <w:rPr>
          <w:rFonts w:hint="eastAsia" w:ascii="宋体" w:hAnsi="宋体" w:cs="宋体"/>
          <w:sz w:val="24"/>
          <w:szCs w:val="28"/>
        </w:rPr>
        <w:t>（3）承包人接受索赔处理结果的，索赔款项在当期进度款中进行支付；承包人不接受索赔处理结果的，按照第20条〔争议解决〕约定处理。</w:t>
      </w:r>
    </w:p>
    <w:p w14:paraId="754EDF54">
      <w:pPr>
        <w:spacing w:line="360" w:lineRule="auto"/>
        <w:ind w:firstLine="480" w:firstLineChars="200"/>
        <w:jc w:val="left"/>
        <w:rPr>
          <w:rFonts w:ascii="宋体" w:hAnsi="宋体" w:cs="宋体"/>
          <w:sz w:val="24"/>
          <w:szCs w:val="28"/>
        </w:rPr>
      </w:pPr>
      <w:r>
        <w:rPr>
          <w:rFonts w:hint="eastAsia" w:ascii="宋体" w:hAnsi="宋体" w:cs="宋体"/>
          <w:sz w:val="24"/>
          <w:szCs w:val="28"/>
        </w:rPr>
        <w:t>19.3发包人的索赔</w:t>
      </w:r>
    </w:p>
    <w:p w14:paraId="3515F60A">
      <w:pPr>
        <w:spacing w:line="360" w:lineRule="auto"/>
        <w:ind w:firstLine="480" w:firstLineChars="200"/>
        <w:jc w:val="left"/>
        <w:rPr>
          <w:rFonts w:ascii="宋体" w:hAnsi="宋体" w:cs="宋体"/>
          <w:sz w:val="24"/>
          <w:szCs w:val="28"/>
        </w:rPr>
      </w:pPr>
      <w:r>
        <w:rPr>
          <w:rFonts w:hint="eastAsia" w:ascii="宋体" w:hAnsi="宋体" w:cs="宋体"/>
          <w:sz w:val="24"/>
          <w:szCs w:val="28"/>
        </w:rPr>
        <w:t>根据合同约定，发包人认为有权得到赔付金额和（或）延长缺陷责任期的，监理人应向承包人发出通知并附有详细的证明。</w:t>
      </w:r>
    </w:p>
    <w:p w14:paraId="39245C10">
      <w:pPr>
        <w:spacing w:line="360" w:lineRule="auto"/>
        <w:ind w:firstLine="480" w:firstLineChars="200"/>
        <w:jc w:val="left"/>
        <w:rPr>
          <w:rFonts w:ascii="宋体" w:hAnsi="宋体" w:cs="宋体"/>
          <w:sz w:val="24"/>
          <w:szCs w:val="28"/>
        </w:rPr>
      </w:pPr>
      <w:r>
        <w:rPr>
          <w:rFonts w:hint="eastAsia" w:ascii="宋体" w:hAnsi="宋体" w:cs="宋体"/>
          <w:sz w:val="24"/>
          <w:szCs w:val="28"/>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7E5B7395">
      <w:pPr>
        <w:spacing w:line="360" w:lineRule="auto"/>
        <w:ind w:firstLine="480" w:firstLineChars="200"/>
        <w:jc w:val="left"/>
        <w:rPr>
          <w:rFonts w:ascii="宋体" w:hAnsi="宋体" w:cs="宋体"/>
          <w:sz w:val="24"/>
          <w:szCs w:val="28"/>
        </w:rPr>
      </w:pPr>
      <w:r>
        <w:rPr>
          <w:rFonts w:hint="eastAsia" w:ascii="宋体" w:hAnsi="宋体" w:cs="宋体"/>
          <w:sz w:val="24"/>
          <w:szCs w:val="28"/>
        </w:rPr>
        <w:t>19.4 对发包人索赔的处理</w:t>
      </w:r>
    </w:p>
    <w:p w14:paraId="586AF64B">
      <w:pPr>
        <w:spacing w:line="360" w:lineRule="auto"/>
        <w:ind w:firstLine="480" w:firstLineChars="200"/>
        <w:jc w:val="left"/>
        <w:rPr>
          <w:rFonts w:ascii="宋体" w:hAnsi="宋体" w:cs="宋体"/>
          <w:sz w:val="24"/>
          <w:szCs w:val="28"/>
        </w:rPr>
      </w:pPr>
      <w:r>
        <w:rPr>
          <w:rFonts w:hint="eastAsia" w:ascii="宋体" w:hAnsi="宋体" w:cs="宋体"/>
          <w:sz w:val="24"/>
          <w:szCs w:val="28"/>
        </w:rPr>
        <w:t>对发包人索赔的处理如下：</w:t>
      </w:r>
    </w:p>
    <w:p w14:paraId="572D19C5">
      <w:pPr>
        <w:spacing w:line="360" w:lineRule="auto"/>
        <w:ind w:firstLine="480" w:firstLineChars="200"/>
        <w:jc w:val="left"/>
        <w:rPr>
          <w:rFonts w:ascii="宋体" w:hAnsi="宋体" w:cs="宋体"/>
          <w:sz w:val="24"/>
          <w:szCs w:val="28"/>
        </w:rPr>
      </w:pPr>
      <w:r>
        <w:rPr>
          <w:rFonts w:hint="eastAsia" w:ascii="宋体" w:hAnsi="宋体" w:cs="宋体"/>
          <w:sz w:val="24"/>
          <w:szCs w:val="28"/>
        </w:rPr>
        <w:t>（1）承包人收到发包人提交的索赔报告后，应及时审查索赔报告的内容、查验发包人证明材料；</w:t>
      </w:r>
    </w:p>
    <w:p w14:paraId="78FFB09B">
      <w:pPr>
        <w:spacing w:line="360" w:lineRule="auto"/>
        <w:ind w:firstLine="480" w:firstLineChars="200"/>
        <w:jc w:val="left"/>
        <w:rPr>
          <w:rFonts w:ascii="宋体" w:hAnsi="宋体" w:cs="宋体"/>
          <w:sz w:val="24"/>
          <w:szCs w:val="28"/>
        </w:rPr>
      </w:pPr>
      <w:r>
        <w:rPr>
          <w:rFonts w:hint="eastAsia" w:ascii="宋体" w:hAnsi="宋体" w:cs="宋体"/>
          <w:sz w:val="24"/>
          <w:szCs w:val="28"/>
        </w:rPr>
        <w:t>（2）承包人应在收到索赔报告或有关索赔的进一步证明材料后28天内，将索赔处理结果答复发包人。如果承包人未在上述期限内作出答复的，则视为对发包人索赔要求的认可；</w:t>
      </w:r>
    </w:p>
    <w:p w14:paraId="55CC12B1">
      <w:pPr>
        <w:spacing w:line="360" w:lineRule="auto"/>
        <w:ind w:firstLine="480" w:firstLineChars="200"/>
        <w:jc w:val="left"/>
        <w:rPr>
          <w:rFonts w:ascii="宋体" w:hAnsi="宋体" w:cs="宋体"/>
          <w:sz w:val="24"/>
          <w:szCs w:val="28"/>
        </w:rPr>
      </w:pPr>
      <w:r>
        <w:rPr>
          <w:rFonts w:hint="eastAsia" w:ascii="宋体" w:hAnsi="宋体" w:cs="宋体"/>
          <w:sz w:val="24"/>
          <w:szCs w:val="28"/>
        </w:rPr>
        <w:t>（3）承包人接受索赔处理结果的，发包人可从应支付给承包人的合同价款中扣除赔付的金额或延长缺陷责任期；发包人不接受索赔处理结果的，按第20条〔争议解决〕约定处理。</w:t>
      </w:r>
    </w:p>
    <w:p w14:paraId="20377ACA">
      <w:pPr>
        <w:spacing w:line="360" w:lineRule="auto"/>
        <w:ind w:firstLine="480" w:firstLineChars="200"/>
        <w:jc w:val="left"/>
        <w:rPr>
          <w:rFonts w:ascii="宋体" w:hAnsi="宋体" w:cs="宋体"/>
          <w:sz w:val="24"/>
          <w:szCs w:val="28"/>
        </w:rPr>
      </w:pPr>
      <w:r>
        <w:rPr>
          <w:rFonts w:hint="eastAsia" w:ascii="宋体" w:hAnsi="宋体" w:cs="宋体"/>
          <w:sz w:val="24"/>
          <w:szCs w:val="28"/>
        </w:rPr>
        <w:t>19.5 提出索赔的期限</w:t>
      </w:r>
    </w:p>
    <w:p w14:paraId="72EA6A60">
      <w:pPr>
        <w:spacing w:line="360" w:lineRule="auto"/>
        <w:ind w:firstLine="480" w:firstLineChars="200"/>
        <w:jc w:val="left"/>
        <w:rPr>
          <w:rFonts w:ascii="宋体" w:hAnsi="宋体" w:cs="宋体"/>
          <w:sz w:val="24"/>
          <w:szCs w:val="28"/>
        </w:rPr>
      </w:pPr>
      <w:r>
        <w:rPr>
          <w:rFonts w:hint="eastAsia" w:ascii="宋体" w:hAnsi="宋体" w:cs="宋体"/>
          <w:sz w:val="24"/>
          <w:szCs w:val="28"/>
        </w:rPr>
        <w:t>（1）承包人按第14.2款〔竣工结算审核〕约定接收竣工付款证书后，应被视为已无权再提出在工程接收证书颁发前所发生的任何索赔。</w:t>
      </w:r>
    </w:p>
    <w:p w14:paraId="42FDE80F">
      <w:pPr>
        <w:spacing w:line="360" w:lineRule="auto"/>
        <w:ind w:firstLine="480" w:firstLineChars="200"/>
        <w:jc w:val="left"/>
        <w:rPr>
          <w:rFonts w:ascii="宋体" w:hAnsi="宋体" w:cs="宋体"/>
          <w:sz w:val="24"/>
          <w:szCs w:val="28"/>
        </w:rPr>
      </w:pPr>
      <w:r>
        <w:rPr>
          <w:rFonts w:hint="eastAsia" w:ascii="宋体" w:hAnsi="宋体" w:cs="宋体"/>
          <w:sz w:val="24"/>
          <w:szCs w:val="28"/>
        </w:rPr>
        <w:t>（2）承包人按第14.4款〔最终结清〕提交的最终结清申请单中，只限于提出工程接收证书颁发后发生的索赔。提出索赔的期限自接受最终结清证书时终止。</w:t>
      </w:r>
    </w:p>
    <w:p w14:paraId="596451EB">
      <w:pPr>
        <w:spacing w:line="360" w:lineRule="auto"/>
        <w:ind w:firstLine="480" w:firstLineChars="200"/>
        <w:jc w:val="left"/>
        <w:rPr>
          <w:rFonts w:ascii="宋体" w:hAnsi="宋体" w:cs="宋体"/>
          <w:sz w:val="24"/>
          <w:szCs w:val="28"/>
        </w:rPr>
      </w:pPr>
      <w:r>
        <w:rPr>
          <w:rFonts w:hint="eastAsia" w:ascii="宋体" w:hAnsi="宋体" w:cs="宋体"/>
          <w:sz w:val="24"/>
          <w:szCs w:val="28"/>
        </w:rPr>
        <w:t>20. 争议解决</w:t>
      </w:r>
    </w:p>
    <w:p w14:paraId="323C6536">
      <w:pPr>
        <w:spacing w:line="360" w:lineRule="auto"/>
        <w:ind w:firstLine="480" w:firstLineChars="200"/>
        <w:jc w:val="left"/>
        <w:rPr>
          <w:rFonts w:ascii="宋体" w:hAnsi="宋体" w:cs="宋体"/>
          <w:sz w:val="24"/>
          <w:szCs w:val="28"/>
        </w:rPr>
      </w:pPr>
      <w:r>
        <w:rPr>
          <w:rFonts w:hint="eastAsia" w:ascii="宋体" w:hAnsi="宋体" w:cs="宋体"/>
          <w:sz w:val="24"/>
          <w:szCs w:val="28"/>
        </w:rPr>
        <w:t>20.1和解</w:t>
      </w:r>
    </w:p>
    <w:p w14:paraId="69EFCEA3">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合同当事人可以就争议自行和解，自行和解达成协议的经双方签字并盖章后作为合同补充文件，双方均应遵照执行。</w:t>
      </w:r>
    </w:p>
    <w:p w14:paraId="20D3A564">
      <w:pPr>
        <w:spacing w:line="360" w:lineRule="auto"/>
        <w:ind w:firstLine="480" w:firstLineChars="200"/>
        <w:jc w:val="left"/>
        <w:rPr>
          <w:rFonts w:ascii="宋体" w:hAnsi="宋体" w:cs="宋体"/>
          <w:sz w:val="24"/>
          <w:szCs w:val="28"/>
        </w:rPr>
      </w:pPr>
      <w:r>
        <w:rPr>
          <w:rFonts w:hint="eastAsia" w:ascii="宋体" w:hAnsi="宋体" w:cs="宋体"/>
          <w:sz w:val="24"/>
          <w:szCs w:val="28"/>
        </w:rPr>
        <w:t>20.2调解</w:t>
      </w:r>
    </w:p>
    <w:p w14:paraId="48834146">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合同当事人可以就争议请求建设行政主管部门、行业协会或其他第三方进行调解，调解达成协议的，经双方签字并盖章后作为合同补充文件，双方均应遵照执行。</w:t>
      </w:r>
    </w:p>
    <w:p w14:paraId="78A7AF01">
      <w:pPr>
        <w:spacing w:line="360" w:lineRule="auto"/>
        <w:ind w:firstLine="480" w:firstLineChars="200"/>
        <w:jc w:val="left"/>
        <w:rPr>
          <w:rFonts w:ascii="宋体" w:hAnsi="宋体" w:cs="宋体"/>
          <w:sz w:val="24"/>
          <w:szCs w:val="28"/>
        </w:rPr>
      </w:pPr>
      <w:r>
        <w:rPr>
          <w:rFonts w:hint="eastAsia" w:ascii="宋体" w:hAnsi="宋体" w:cs="宋体"/>
          <w:sz w:val="24"/>
          <w:szCs w:val="28"/>
        </w:rPr>
        <w:t>20.3争议评审</w:t>
      </w:r>
    </w:p>
    <w:p w14:paraId="3D9B204F">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合同当事人在专用合同条款中约定采取争议评审方式解决争议以及评审规则，并按下列约定执行： </w:t>
      </w:r>
    </w:p>
    <w:p w14:paraId="74DD87B6">
      <w:pPr>
        <w:spacing w:line="360" w:lineRule="auto"/>
        <w:ind w:firstLine="480" w:firstLineChars="200"/>
        <w:jc w:val="left"/>
        <w:rPr>
          <w:rFonts w:ascii="宋体" w:hAnsi="宋体" w:cs="宋体"/>
          <w:sz w:val="24"/>
          <w:szCs w:val="28"/>
        </w:rPr>
      </w:pPr>
      <w:r>
        <w:rPr>
          <w:rFonts w:hint="eastAsia" w:ascii="宋体" w:hAnsi="宋体" w:cs="宋体"/>
          <w:sz w:val="24"/>
          <w:szCs w:val="28"/>
        </w:rPr>
        <w:t>20.3.1 争议评审小组的确定</w:t>
      </w:r>
    </w:p>
    <w:p w14:paraId="4BA55C0E">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合同当事人可以共同选择一名或三名争议评审员，组成争议评审小组。除专用合同条款另有约定外，合同当事人应当自合同签订后28天内，或者争议发生后14天内，选定争议评审员。</w:t>
      </w:r>
    </w:p>
    <w:p w14:paraId="10FDBA03">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291CE7DF">
      <w:pPr>
        <w:spacing w:line="360" w:lineRule="auto"/>
        <w:ind w:firstLine="480" w:firstLineChars="200"/>
        <w:jc w:val="left"/>
        <w:rPr>
          <w:rFonts w:ascii="宋体" w:hAnsi="宋体" w:cs="宋体"/>
          <w:sz w:val="24"/>
          <w:szCs w:val="28"/>
        </w:rPr>
      </w:pPr>
      <w:r>
        <w:rPr>
          <w:rFonts w:hint="eastAsia" w:ascii="宋体" w:hAnsi="宋体" w:cs="宋体"/>
          <w:sz w:val="24"/>
          <w:szCs w:val="28"/>
        </w:rPr>
        <w:t>除专用合同条款另有约定外，评审员报酬由发包人和承包人各承担一半。</w:t>
      </w:r>
    </w:p>
    <w:p w14:paraId="18C7BC60">
      <w:pPr>
        <w:spacing w:line="360" w:lineRule="auto"/>
        <w:ind w:firstLine="480" w:firstLineChars="200"/>
        <w:jc w:val="left"/>
        <w:rPr>
          <w:rFonts w:ascii="宋体" w:hAnsi="宋体" w:cs="宋体"/>
          <w:sz w:val="24"/>
          <w:szCs w:val="28"/>
        </w:rPr>
      </w:pPr>
      <w:r>
        <w:rPr>
          <w:rFonts w:hint="eastAsia" w:ascii="宋体" w:hAnsi="宋体" w:cs="宋体"/>
          <w:sz w:val="24"/>
          <w:szCs w:val="28"/>
        </w:rPr>
        <w:t>20.3.2 争议评审小组的决定</w:t>
      </w:r>
    </w:p>
    <w:p w14:paraId="0C61CAEE">
      <w:pPr>
        <w:spacing w:line="360" w:lineRule="auto"/>
        <w:ind w:firstLine="480" w:firstLineChars="200"/>
        <w:jc w:val="left"/>
        <w:rPr>
          <w:rFonts w:ascii="宋体" w:hAnsi="宋体" w:cs="宋体"/>
          <w:sz w:val="24"/>
          <w:szCs w:val="28"/>
        </w:rPr>
      </w:pPr>
      <w:r>
        <w:rPr>
          <w:rFonts w:hint="eastAsia" w:ascii="宋体" w:hAnsi="宋体" w:cs="宋体"/>
          <w:sz w:val="24"/>
          <w:szCs w:val="28"/>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7453B62F">
      <w:pPr>
        <w:spacing w:line="360" w:lineRule="auto"/>
        <w:ind w:firstLine="480" w:firstLineChars="200"/>
        <w:jc w:val="left"/>
        <w:rPr>
          <w:rFonts w:ascii="宋体" w:hAnsi="宋体" w:cs="宋体"/>
          <w:sz w:val="24"/>
          <w:szCs w:val="28"/>
        </w:rPr>
      </w:pPr>
      <w:r>
        <w:rPr>
          <w:rFonts w:hint="eastAsia" w:ascii="宋体" w:hAnsi="宋体" w:cs="宋体"/>
          <w:sz w:val="24"/>
          <w:szCs w:val="28"/>
        </w:rPr>
        <w:t>20.3.3 争议评审小组决定的效力</w:t>
      </w:r>
    </w:p>
    <w:p w14:paraId="3CC15EF9">
      <w:pPr>
        <w:spacing w:line="360" w:lineRule="auto"/>
        <w:ind w:firstLine="480" w:firstLineChars="200"/>
        <w:jc w:val="left"/>
        <w:rPr>
          <w:rFonts w:ascii="宋体" w:hAnsi="宋体" w:cs="宋体"/>
          <w:sz w:val="24"/>
          <w:szCs w:val="28"/>
        </w:rPr>
      </w:pPr>
      <w:r>
        <w:rPr>
          <w:rFonts w:hint="eastAsia" w:ascii="宋体" w:hAnsi="宋体" w:cs="宋体"/>
          <w:sz w:val="24"/>
          <w:szCs w:val="28"/>
        </w:rPr>
        <w:t>争议评审小组作出的书面决定经合同当事人签字确认后，对双方具有约束力，双方应遵照执行。</w:t>
      </w:r>
    </w:p>
    <w:p w14:paraId="1778E776">
      <w:pPr>
        <w:spacing w:line="360" w:lineRule="auto"/>
        <w:ind w:firstLine="480" w:firstLineChars="200"/>
        <w:jc w:val="left"/>
        <w:rPr>
          <w:rFonts w:ascii="宋体" w:hAnsi="宋体" w:cs="宋体"/>
          <w:sz w:val="24"/>
          <w:szCs w:val="28"/>
        </w:rPr>
      </w:pPr>
      <w:r>
        <w:rPr>
          <w:rFonts w:hint="eastAsia" w:ascii="宋体" w:hAnsi="宋体" w:cs="宋体"/>
          <w:sz w:val="24"/>
          <w:szCs w:val="28"/>
        </w:rPr>
        <w:t>任何一方当事人不接受争议评审小组决定或不履行争议评审小组决定的，双方可选择采用其他争议解决方式。</w:t>
      </w:r>
    </w:p>
    <w:p w14:paraId="2216F040">
      <w:pPr>
        <w:spacing w:line="360" w:lineRule="auto"/>
        <w:ind w:firstLine="480" w:firstLineChars="200"/>
        <w:jc w:val="left"/>
        <w:rPr>
          <w:rFonts w:ascii="宋体" w:hAnsi="宋体" w:cs="宋体"/>
          <w:sz w:val="24"/>
          <w:szCs w:val="28"/>
        </w:rPr>
      </w:pPr>
      <w:r>
        <w:rPr>
          <w:rFonts w:hint="eastAsia" w:ascii="宋体" w:hAnsi="宋体" w:cs="宋体"/>
          <w:sz w:val="24"/>
          <w:szCs w:val="28"/>
        </w:rPr>
        <w:t>20.4仲裁或诉讼</w:t>
      </w:r>
    </w:p>
    <w:p w14:paraId="4432C0D2">
      <w:pPr>
        <w:spacing w:line="360" w:lineRule="auto"/>
        <w:ind w:firstLine="480" w:firstLineChars="200"/>
        <w:jc w:val="left"/>
        <w:rPr>
          <w:rFonts w:ascii="宋体" w:hAnsi="宋体" w:cs="宋体"/>
          <w:sz w:val="24"/>
          <w:szCs w:val="28"/>
        </w:rPr>
      </w:pPr>
      <w:r>
        <w:rPr>
          <w:rFonts w:hint="eastAsia" w:ascii="宋体" w:hAnsi="宋体" w:cs="宋体"/>
          <w:sz w:val="24"/>
          <w:szCs w:val="28"/>
        </w:rPr>
        <w:t>因合同及合同有关事项产生的争议，合同当事人可以在专用合同条款中约定以下一种方式解决争议：</w:t>
      </w:r>
    </w:p>
    <w:p w14:paraId="047D45F3">
      <w:pPr>
        <w:spacing w:line="360" w:lineRule="auto"/>
        <w:ind w:firstLine="480" w:firstLineChars="200"/>
        <w:jc w:val="left"/>
        <w:rPr>
          <w:rFonts w:ascii="宋体" w:hAnsi="宋体" w:cs="宋体"/>
          <w:sz w:val="24"/>
          <w:szCs w:val="28"/>
        </w:rPr>
      </w:pPr>
      <w:r>
        <w:rPr>
          <w:rFonts w:hint="eastAsia" w:ascii="宋体" w:hAnsi="宋体" w:cs="宋体"/>
          <w:sz w:val="24"/>
          <w:szCs w:val="28"/>
        </w:rPr>
        <w:t>（1）向约定的仲裁委员会申请仲裁；</w:t>
      </w:r>
    </w:p>
    <w:p w14:paraId="15E388F5">
      <w:pPr>
        <w:spacing w:line="360" w:lineRule="auto"/>
        <w:ind w:firstLine="480" w:firstLineChars="200"/>
        <w:jc w:val="left"/>
        <w:rPr>
          <w:rFonts w:ascii="宋体" w:hAnsi="宋体" w:cs="宋体"/>
          <w:sz w:val="24"/>
          <w:szCs w:val="28"/>
        </w:rPr>
      </w:pPr>
      <w:r>
        <w:rPr>
          <w:rFonts w:hint="eastAsia" w:ascii="宋体" w:hAnsi="宋体" w:cs="宋体"/>
          <w:sz w:val="24"/>
          <w:szCs w:val="28"/>
        </w:rPr>
        <w:t>（2）向有管辖权的人民法院起诉。</w:t>
      </w:r>
    </w:p>
    <w:p w14:paraId="6EB806E4">
      <w:pPr>
        <w:spacing w:line="360" w:lineRule="auto"/>
        <w:ind w:firstLine="480" w:firstLineChars="200"/>
        <w:jc w:val="left"/>
        <w:rPr>
          <w:rFonts w:ascii="宋体" w:hAnsi="宋体" w:cs="宋体"/>
          <w:sz w:val="24"/>
          <w:szCs w:val="28"/>
        </w:rPr>
      </w:pPr>
      <w:r>
        <w:rPr>
          <w:rFonts w:hint="eastAsia" w:ascii="宋体" w:hAnsi="宋体" w:cs="宋体"/>
          <w:sz w:val="24"/>
          <w:szCs w:val="28"/>
        </w:rPr>
        <w:t>20.5争议解决条款效力</w:t>
      </w:r>
    </w:p>
    <w:p w14:paraId="2518235D">
      <w:pPr>
        <w:spacing w:line="360" w:lineRule="auto"/>
        <w:ind w:firstLine="480" w:firstLineChars="200"/>
        <w:jc w:val="left"/>
        <w:rPr>
          <w:rFonts w:ascii="宋体" w:hAnsi="宋体" w:cs="宋体"/>
          <w:szCs w:val="24"/>
        </w:rPr>
      </w:pPr>
      <w:r>
        <w:rPr>
          <w:rFonts w:hint="eastAsia" w:ascii="宋体" w:hAnsi="宋体" w:cs="宋体"/>
          <w:sz w:val="24"/>
          <w:szCs w:val="28"/>
        </w:rPr>
        <w:t>合同有关争议解决的条款独立存在，合同的变更、解除、终止、无效或者被撤销均不影响其效力。</w:t>
      </w:r>
    </w:p>
    <w:p w14:paraId="18A9DD3A">
      <w:pPr>
        <w:spacing w:line="360" w:lineRule="auto"/>
        <w:jc w:val="center"/>
        <w:rPr>
          <w:rFonts w:ascii="宋体" w:hAnsi="宋体" w:cs="宋体"/>
          <w:szCs w:val="24"/>
        </w:rPr>
      </w:pPr>
    </w:p>
    <w:p w14:paraId="267DE4B6">
      <w:pPr>
        <w:spacing w:line="360" w:lineRule="auto"/>
        <w:jc w:val="center"/>
        <w:rPr>
          <w:rFonts w:ascii="宋体" w:hAnsi="宋体" w:cs="宋体"/>
          <w:szCs w:val="24"/>
        </w:rPr>
      </w:pPr>
    </w:p>
    <w:p w14:paraId="5FE52193">
      <w:pPr>
        <w:spacing w:line="360" w:lineRule="auto"/>
        <w:jc w:val="center"/>
        <w:rPr>
          <w:rFonts w:ascii="宋体" w:hAnsi="宋体" w:cs="宋体"/>
          <w:szCs w:val="24"/>
        </w:rPr>
      </w:pPr>
    </w:p>
    <w:p w14:paraId="72AA74C8">
      <w:pPr>
        <w:spacing w:line="360" w:lineRule="auto"/>
        <w:jc w:val="center"/>
        <w:rPr>
          <w:rFonts w:ascii="宋体" w:hAnsi="宋体" w:cs="宋体"/>
          <w:szCs w:val="24"/>
        </w:rPr>
      </w:pPr>
    </w:p>
    <w:p w14:paraId="138C83FF">
      <w:pPr>
        <w:spacing w:line="360" w:lineRule="auto"/>
        <w:jc w:val="center"/>
        <w:rPr>
          <w:rFonts w:ascii="宋体" w:hAnsi="宋体" w:cs="宋体"/>
          <w:szCs w:val="24"/>
        </w:rPr>
      </w:pPr>
    </w:p>
    <w:p w14:paraId="322E714F">
      <w:pPr>
        <w:spacing w:line="360" w:lineRule="auto"/>
        <w:jc w:val="center"/>
        <w:rPr>
          <w:rFonts w:ascii="宋体" w:hAnsi="宋体" w:cs="宋体"/>
          <w:szCs w:val="24"/>
        </w:rPr>
      </w:pPr>
    </w:p>
    <w:p w14:paraId="77255B0D">
      <w:pPr>
        <w:spacing w:line="360" w:lineRule="auto"/>
        <w:jc w:val="center"/>
        <w:rPr>
          <w:rFonts w:ascii="宋体" w:hAnsi="宋体" w:cs="宋体"/>
          <w:sz w:val="28"/>
          <w:szCs w:val="32"/>
        </w:rPr>
      </w:pPr>
      <w:bookmarkStart w:id="218" w:name="_Toc13766"/>
      <w:bookmarkStart w:id="219" w:name="_Toc17663"/>
      <w:bookmarkStart w:id="220" w:name="_Toc518573636"/>
      <w:bookmarkStart w:id="221" w:name="_Toc11532"/>
      <w:bookmarkStart w:id="222" w:name="_Toc11716"/>
      <w:bookmarkStart w:id="223" w:name="_Toc20702"/>
      <w:bookmarkStart w:id="224" w:name="_Toc22170"/>
      <w:bookmarkStart w:id="225" w:name="_Toc518240084"/>
      <w:bookmarkStart w:id="226" w:name="_Toc32406"/>
      <w:bookmarkStart w:id="227" w:name="_Toc518573520"/>
      <w:r>
        <w:rPr>
          <w:rFonts w:hint="eastAsia" w:ascii="宋体" w:hAnsi="宋体" w:cs="宋体"/>
          <w:sz w:val="28"/>
          <w:szCs w:val="32"/>
        </w:rPr>
        <w:t>第三部分 专用合同条款</w:t>
      </w:r>
      <w:bookmarkEnd w:id="216"/>
      <w:bookmarkEnd w:id="218"/>
      <w:bookmarkEnd w:id="219"/>
      <w:bookmarkEnd w:id="220"/>
      <w:bookmarkEnd w:id="221"/>
      <w:bookmarkEnd w:id="222"/>
      <w:bookmarkEnd w:id="223"/>
      <w:bookmarkEnd w:id="224"/>
      <w:bookmarkEnd w:id="225"/>
      <w:bookmarkEnd w:id="226"/>
      <w:bookmarkEnd w:id="227"/>
    </w:p>
    <w:p w14:paraId="057B4FDF">
      <w:pPr>
        <w:spacing w:line="360" w:lineRule="auto"/>
        <w:rPr>
          <w:rFonts w:ascii="宋体" w:hAnsi="宋体" w:cs="宋体"/>
          <w:color w:val="000000"/>
          <w:sz w:val="24"/>
          <w:szCs w:val="24"/>
        </w:rPr>
      </w:pPr>
      <w:bookmarkStart w:id="228" w:name="_Toc18825"/>
      <w:r>
        <w:rPr>
          <w:rFonts w:hint="eastAsia" w:ascii="宋体" w:hAnsi="宋体" w:cs="宋体"/>
          <w:color w:val="000000"/>
          <w:sz w:val="24"/>
          <w:szCs w:val="24"/>
        </w:rPr>
        <w:t>1</w:t>
      </w:r>
      <w:bookmarkStart w:id="229" w:name="_Toc292559866"/>
      <w:bookmarkStart w:id="230" w:name="_Toc292559361"/>
      <w:bookmarkStart w:id="231" w:name="_Toc296944495"/>
      <w:bookmarkStart w:id="232" w:name="_Toc297048342"/>
      <w:bookmarkStart w:id="233" w:name="_Toc297120456"/>
      <w:bookmarkStart w:id="234" w:name="_Toc296346657"/>
      <w:bookmarkStart w:id="235" w:name="_Toc296890984"/>
      <w:bookmarkStart w:id="236" w:name="_Toc296503156"/>
      <w:bookmarkStart w:id="237" w:name="_Toc296891196"/>
      <w:bookmarkStart w:id="238" w:name="_Toc296347155"/>
      <w:r>
        <w:rPr>
          <w:rFonts w:hint="eastAsia" w:ascii="宋体" w:hAnsi="宋体" w:cs="宋体"/>
          <w:color w:val="000000"/>
          <w:sz w:val="24"/>
          <w:szCs w:val="24"/>
        </w:rPr>
        <w:t>. 一般约定</w:t>
      </w:r>
      <w:bookmarkEnd w:id="228"/>
    </w:p>
    <w:bookmarkEnd w:id="229"/>
    <w:bookmarkEnd w:id="230"/>
    <w:bookmarkEnd w:id="231"/>
    <w:bookmarkEnd w:id="232"/>
    <w:bookmarkEnd w:id="233"/>
    <w:bookmarkEnd w:id="234"/>
    <w:bookmarkEnd w:id="235"/>
    <w:bookmarkEnd w:id="236"/>
    <w:bookmarkEnd w:id="237"/>
    <w:bookmarkEnd w:id="238"/>
    <w:p w14:paraId="3D29A855">
      <w:pPr>
        <w:spacing w:line="360" w:lineRule="auto"/>
        <w:ind w:firstLine="480" w:firstLineChars="200"/>
        <w:rPr>
          <w:rFonts w:ascii="宋体" w:hAnsi="宋体" w:cs="宋体"/>
          <w:color w:val="000000"/>
          <w:sz w:val="24"/>
          <w:szCs w:val="24"/>
        </w:rPr>
      </w:pPr>
      <w:bookmarkStart w:id="239" w:name="_Toc7051"/>
      <w:bookmarkStart w:id="240" w:name="_Toc518240085"/>
      <w:bookmarkStart w:id="241" w:name="_Toc11059"/>
      <w:bookmarkStart w:id="242" w:name="_Toc8306"/>
      <w:bookmarkStart w:id="243" w:name="_Toc27988"/>
      <w:bookmarkStart w:id="244" w:name="_Toc518573637"/>
      <w:bookmarkStart w:id="245" w:name="_Toc6935"/>
      <w:bookmarkStart w:id="246" w:name="_Toc15087"/>
      <w:bookmarkStart w:id="247" w:name="_Toc2219"/>
      <w:bookmarkStart w:id="248" w:name="_Toc16835"/>
      <w:bookmarkStart w:id="249" w:name="_Toc26964"/>
      <w:bookmarkStart w:id="250" w:name="_Toc26844"/>
      <w:bookmarkStart w:id="251" w:name="_Toc13334"/>
      <w:bookmarkStart w:id="252" w:name="_Toc518573521"/>
      <w:bookmarkStart w:id="253" w:name="_Toc21540"/>
      <w:bookmarkStart w:id="254" w:name="_Toc4867"/>
      <w:r>
        <w:rPr>
          <w:rFonts w:hint="eastAsia" w:ascii="宋体" w:hAnsi="宋体" w:cs="宋体"/>
          <w:color w:val="000000"/>
          <w:sz w:val="24"/>
          <w:szCs w:val="24"/>
        </w:rPr>
        <w:t>1.1 词语定义</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70AD558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1.1.1合同</w:t>
      </w:r>
    </w:p>
    <w:p w14:paraId="2B19189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1.1.1.10其他合同文件包括：</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6D28D11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1.1.2 合同当事人及其他相关方</w:t>
      </w:r>
    </w:p>
    <w:p w14:paraId="29D92BE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1.1.2.4监理人：</w:t>
      </w:r>
    </w:p>
    <w:p w14:paraId="0D65546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名    称：</w:t>
      </w:r>
      <w:r>
        <w:rPr>
          <w:rFonts w:hint="eastAsia" w:ascii="宋体" w:hAnsi="宋体" w:cs="宋体"/>
          <w:color w:val="000000"/>
          <w:sz w:val="24"/>
          <w:szCs w:val="24"/>
          <w:u w:val="single"/>
        </w:rPr>
        <w:t xml:space="preserve">                </w:t>
      </w:r>
      <w:r>
        <w:rPr>
          <w:rFonts w:hint="eastAsia" w:ascii="宋体" w:hAnsi="宋体" w:cs="宋体"/>
          <w:color w:val="000000"/>
          <w:sz w:val="24"/>
          <w:szCs w:val="24"/>
        </w:rPr>
        <w:t>；</w:t>
      </w:r>
    </w:p>
    <w:p w14:paraId="226BDCA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资质类别和等级：</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4058ECF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                </w:t>
      </w:r>
      <w:r>
        <w:rPr>
          <w:rFonts w:hint="eastAsia" w:ascii="宋体" w:hAnsi="宋体" w:cs="宋体"/>
          <w:color w:val="000000"/>
          <w:sz w:val="24"/>
          <w:szCs w:val="24"/>
        </w:rPr>
        <w:t>；</w:t>
      </w:r>
    </w:p>
    <w:p w14:paraId="090F01E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电子信箱：</w:t>
      </w:r>
      <w:r>
        <w:rPr>
          <w:rFonts w:hint="eastAsia" w:ascii="宋体" w:hAnsi="宋体" w:cs="宋体"/>
          <w:color w:val="000000"/>
          <w:sz w:val="24"/>
          <w:szCs w:val="24"/>
          <w:u w:val="single"/>
        </w:rPr>
        <w:t>                </w:t>
      </w:r>
      <w:r>
        <w:rPr>
          <w:rFonts w:hint="eastAsia" w:ascii="宋体" w:hAnsi="宋体" w:cs="宋体"/>
          <w:color w:val="000000"/>
          <w:sz w:val="24"/>
          <w:szCs w:val="24"/>
        </w:rPr>
        <w:t>；</w:t>
      </w:r>
    </w:p>
    <w:p w14:paraId="2FFF719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通信地址：</w:t>
      </w:r>
      <w:r>
        <w:rPr>
          <w:rFonts w:hint="eastAsia" w:ascii="宋体" w:hAnsi="宋体" w:cs="宋体"/>
          <w:color w:val="000000"/>
          <w:sz w:val="24"/>
          <w:szCs w:val="24"/>
          <w:u w:val="single"/>
        </w:rPr>
        <w:t>                </w:t>
      </w:r>
      <w:r>
        <w:rPr>
          <w:rFonts w:hint="eastAsia" w:ascii="宋体" w:hAnsi="宋体" w:cs="宋体"/>
          <w:color w:val="000000"/>
          <w:sz w:val="24"/>
          <w:szCs w:val="24"/>
        </w:rPr>
        <w:t>。</w:t>
      </w:r>
    </w:p>
    <w:p w14:paraId="2C94E41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1.1.2.5 设计人：</w:t>
      </w:r>
    </w:p>
    <w:p w14:paraId="1D7CB84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名    称：</w:t>
      </w:r>
      <w:r>
        <w:rPr>
          <w:rFonts w:hint="eastAsia" w:ascii="宋体" w:hAnsi="宋体" w:cs="宋体"/>
          <w:color w:val="000000"/>
          <w:sz w:val="24"/>
          <w:szCs w:val="24"/>
          <w:u w:val="single"/>
        </w:rPr>
        <w:t xml:space="preserve">                 </w:t>
      </w:r>
      <w:r>
        <w:rPr>
          <w:rFonts w:hint="eastAsia" w:ascii="宋体" w:hAnsi="宋体" w:cs="宋体"/>
          <w:color w:val="000000"/>
          <w:sz w:val="24"/>
          <w:szCs w:val="24"/>
        </w:rPr>
        <w:t>；</w:t>
      </w:r>
    </w:p>
    <w:p w14:paraId="3C41322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资质类别和等级：</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55F0DDD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71B0209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电子信箱：</w:t>
      </w:r>
      <w:r>
        <w:rPr>
          <w:rFonts w:hint="eastAsia" w:ascii="宋体" w:hAnsi="宋体" w:cs="宋体"/>
          <w:color w:val="000000"/>
          <w:sz w:val="24"/>
          <w:szCs w:val="24"/>
          <w:u w:val="single"/>
        </w:rPr>
        <w:t xml:space="preserve">                    </w:t>
      </w:r>
      <w:r>
        <w:rPr>
          <w:rFonts w:hint="eastAsia" w:ascii="宋体" w:hAnsi="宋体" w:cs="宋体"/>
          <w:color w:val="000000"/>
          <w:sz w:val="24"/>
          <w:szCs w:val="24"/>
        </w:rPr>
        <w:t>；</w:t>
      </w:r>
    </w:p>
    <w:p w14:paraId="5D997C6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通信地址：</w:t>
      </w:r>
      <w:r>
        <w:rPr>
          <w:rFonts w:hint="eastAsia" w:ascii="宋体" w:hAnsi="宋体" w:cs="宋体"/>
          <w:color w:val="000000"/>
          <w:sz w:val="24"/>
          <w:szCs w:val="24"/>
          <w:u w:val="single"/>
        </w:rPr>
        <w:t>                </w:t>
      </w:r>
      <w:r>
        <w:rPr>
          <w:rFonts w:hint="eastAsia" w:ascii="宋体" w:hAnsi="宋体" w:cs="宋体"/>
          <w:color w:val="000000"/>
          <w:sz w:val="24"/>
          <w:szCs w:val="24"/>
        </w:rPr>
        <w:t>。</w:t>
      </w:r>
    </w:p>
    <w:p w14:paraId="504225C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1.1.3 工程和设备</w:t>
      </w:r>
    </w:p>
    <w:p w14:paraId="42104E2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1.1.3.7 作为施工现场组成部分的其他场所包括：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AB0730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1.1.3.9 永久占地包括：</w:t>
      </w:r>
      <w:r>
        <w:rPr>
          <w:rFonts w:hint="eastAsia" w:ascii="宋体" w:hAnsi="宋体" w:cs="宋体"/>
          <w:color w:val="000000"/>
          <w:sz w:val="24"/>
          <w:szCs w:val="24"/>
          <w:u w:val="single"/>
        </w:rPr>
        <w:t xml:space="preserve">                        </w:t>
      </w:r>
      <w:r>
        <w:rPr>
          <w:rFonts w:hint="eastAsia" w:ascii="宋体" w:hAnsi="宋体" w:cs="宋体"/>
          <w:color w:val="000000"/>
          <w:sz w:val="24"/>
          <w:szCs w:val="24"/>
        </w:rPr>
        <w:t>。</w:t>
      </w:r>
    </w:p>
    <w:p w14:paraId="0F018F3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1.1.3.10 临时占地包括：</w:t>
      </w:r>
      <w:r>
        <w:rPr>
          <w:rFonts w:hint="eastAsia" w:ascii="宋体" w:hAnsi="宋体" w:cs="宋体"/>
          <w:color w:val="000000"/>
          <w:sz w:val="24"/>
          <w:szCs w:val="24"/>
          <w:u w:val="single"/>
        </w:rPr>
        <w:t xml:space="preserve">                       </w:t>
      </w:r>
      <w:r>
        <w:rPr>
          <w:rFonts w:hint="eastAsia" w:ascii="宋体" w:hAnsi="宋体" w:cs="宋体"/>
          <w:color w:val="000000"/>
          <w:sz w:val="24"/>
          <w:szCs w:val="24"/>
        </w:rPr>
        <w:t>。</w:t>
      </w:r>
    </w:p>
    <w:p w14:paraId="5792996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 xml:space="preserve">1.3法律 </w:t>
      </w:r>
    </w:p>
    <w:p w14:paraId="06AC728D">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适用于合同的其他规范性文件：</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649F0F1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1.4 标准和规范</w:t>
      </w:r>
    </w:p>
    <w:p w14:paraId="3FF0769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1.4.1适用于工程的标准规范包括：</w:t>
      </w:r>
      <w:r>
        <w:rPr>
          <w:rFonts w:hint="eastAsia" w:ascii="宋体" w:hAnsi="宋体" w:cs="宋体"/>
          <w:color w:val="000000"/>
          <w:sz w:val="24"/>
          <w:szCs w:val="24"/>
          <w:u w:val="single"/>
        </w:rPr>
        <w:t>                    </w:t>
      </w:r>
      <w:r>
        <w:rPr>
          <w:rFonts w:hint="eastAsia" w:ascii="宋体" w:hAnsi="宋体" w:cs="宋体"/>
          <w:color w:val="000000"/>
          <w:sz w:val="24"/>
          <w:szCs w:val="24"/>
        </w:rPr>
        <w:t>。</w:t>
      </w:r>
    </w:p>
    <w:p w14:paraId="1991CD24">
      <w:pPr>
        <w:spacing w:line="360" w:lineRule="auto"/>
        <w:ind w:firstLine="480" w:firstLineChars="200"/>
        <w:rPr>
          <w:rFonts w:ascii="宋体" w:hAnsi="宋体" w:cs="宋体"/>
          <w:color w:val="000000"/>
          <w:sz w:val="24"/>
          <w:szCs w:val="24"/>
        </w:rPr>
      </w:pPr>
      <w:bookmarkStart w:id="255" w:name="_Toc19801"/>
      <w:bookmarkStart w:id="256" w:name="_Toc12323"/>
      <w:bookmarkStart w:id="257" w:name="_Toc19834"/>
      <w:bookmarkStart w:id="258" w:name="_Toc518573522"/>
      <w:bookmarkStart w:id="259" w:name="_Toc21825"/>
      <w:bookmarkStart w:id="260" w:name="_Toc7159"/>
      <w:bookmarkStart w:id="261" w:name="_Toc7395"/>
      <w:bookmarkStart w:id="262" w:name="_Toc13379"/>
      <w:bookmarkStart w:id="263" w:name="_Toc4100"/>
      <w:bookmarkStart w:id="264" w:name="_Toc6743"/>
      <w:bookmarkStart w:id="265" w:name="_Toc518573638"/>
      <w:bookmarkStart w:id="266" w:name="_Toc29608"/>
      <w:bookmarkStart w:id="267" w:name="_Toc8359"/>
      <w:bookmarkStart w:id="268" w:name="_Toc17647"/>
      <w:bookmarkStart w:id="269" w:name="_Toc518240086"/>
      <w:bookmarkStart w:id="270" w:name="_Toc26711"/>
      <w:r>
        <w:rPr>
          <w:rFonts w:hint="eastAsia" w:ascii="宋体" w:hAnsi="宋体" w:cs="宋体"/>
          <w:color w:val="000000"/>
          <w:sz w:val="24"/>
          <w:szCs w:val="24"/>
        </w:rPr>
        <w:t>1.4.2 发包人提供国外标准、规范的名称：</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Pr>
          <w:rFonts w:hint="eastAsia" w:ascii="宋体" w:hAnsi="宋体" w:cs="宋体"/>
          <w:color w:val="000000"/>
          <w:sz w:val="24"/>
          <w:szCs w:val="24"/>
          <w:u w:val="single"/>
        </w:rPr>
        <w:t xml:space="preserve">               </w:t>
      </w:r>
      <w:r>
        <w:rPr>
          <w:rFonts w:hint="eastAsia" w:ascii="宋体" w:hAnsi="宋体" w:cs="宋体"/>
          <w:color w:val="000000"/>
          <w:sz w:val="24"/>
          <w:szCs w:val="24"/>
        </w:rPr>
        <w:t>；</w:t>
      </w:r>
      <w:bookmarkEnd w:id="270"/>
    </w:p>
    <w:p w14:paraId="3A40FE5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发包人提供国外标准、规范的份数：</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7C1B59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发包人提供国外标准、规范的名称：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AB72744">
      <w:pPr>
        <w:spacing w:line="360" w:lineRule="auto"/>
        <w:ind w:left="596" w:leftChars="284"/>
        <w:rPr>
          <w:rFonts w:ascii="宋体" w:hAnsi="宋体" w:cs="宋体"/>
          <w:color w:val="000000"/>
          <w:sz w:val="24"/>
          <w:szCs w:val="24"/>
        </w:rPr>
      </w:pPr>
      <w:r>
        <w:rPr>
          <w:rFonts w:hint="eastAsia" w:ascii="宋体" w:hAnsi="宋体" w:cs="宋体"/>
          <w:color w:val="000000"/>
          <w:sz w:val="24"/>
          <w:szCs w:val="24"/>
        </w:rPr>
        <w:t>1.4.3发包人对工程的技术标准和功能要求的特殊要求：</w:t>
      </w:r>
      <w:r>
        <w:rPr>
          <w:rFonts w:hint="eastAsia" w:ascii="宋体" w:hAnsi="宋体" w:cs="宋体"/>
          <w:color w:val="000000"/>
          <w:sz w:val="24"/>
          <w:szCs w:val="24"/>
          <w:u w:val="single"/>
        </w:rPr>
        <w:t></w:t>
      </w:r>
      <w:r>
        <w:rPr>
          <w:rFonts w:hint="eastAsia" w:ascii="宋体" w:hAnsi="宋体" w:cs="宋体"/>
          <w:color w:val="000000"/>
          <w:sz w:val="24"/>
          <w:szCs w:val="24"/>
        </w:rPr>
        <w:t>。</w:t>
      </w:r>
    </w:p>
    <w:p w14:paraId="6F5925A4">
      <w:pPr>
        <w:spacing w:line="360" w:lineRule="auto"/>
        <w:ind w:firstLine="480" w:firstLineChars="200"/>
        <w:rPr>
          <w:rFonts w:ascii="宋体" w:hAnsi="宋体" w:cs="宋体"/>
          <w:color w:val="000000"/>
          <w:sz w:val="24"/>
          <w:szCs w:val="24"/>
        </w:rPr>
      </w:pPr>
      <w:bookmarkStart w:id="271" w:name="_Toc1679"/>
      <w:bookmarkStart w:id="272" w:name="_Toc13495"/>
      <w:bookmarkStart w:id="273" w:name="_Toc6375"/>
      <w:bookmarkStart w:id="274" w:name="_Toc3100"/>
      <w:bookmarkStart w:id="275" w:name="_Toc518240087"/>
      <w:bookmarkStart w:id="276" w:name="_Toc518573639"/>
      <w:bookmarkStart w:id="277" w:name="_Toc518573523"/>
      <w:bookmarkStart w:id="278" w:name="_Toc29738"/>
      <w:bookmarkStart w:id="279" w:name="_Toc9424"/>
      <w:bookmarkStart w:id="280" w:name="_Toc32291"/>
      <w:bookmarkStart w:id="281" w:name="_Toc30247"/>
      <w:bookmarkStart w:id="282" w:name="_Toc605"/>
      <w:bookmarkStart w:id="283" w:name="_Toc7892"/>
      <w:bookmarkStart w:id="284" w:name="_Toc11125"/>
      <w:bookmarkStart w:id="285" w:name="_Toc27451"/>
      <w:bookmarkStart w:id="286" w:name="_Toc439"/>
      <w:r>
        <w:rPr>
          <w:rFonts w:hint="eastAsia" w:ascii="宋体" w:hAnsi="宋体" w:cs="宋体"/>
          <w:color w:val="000000"/>
          <w:sz w:val="24"/>
          <w:szCs w:val="24"/>
        </w:rPr>
        <w:t>1.5 合同文件的优先顺序</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67E1983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合同文件组成及优先顺序为：</w:t>
      </w:r>
      <w:r>
        <w:rPr>
          <w:rFonts w:hint="eastAsia" w:ascii="宋体" w:hAnsi="宋体" w:cs="宋体"/>
          <w:color w:val="000000"/>
          <w:sz w:val="24"/>
          <w:szCs w:val="24"/>
          <w:u w:val="single"/>
        </w:rPr>
        <w:t></w:t>
      </w:r>
      <w:r>
        <w:rPr>
          <w:rFonts w:hint="eastAsia" w:ascii="宋体" w:hAnsi="宋体" w:cs="宋体"/>
          <w:color w:val="000000"/>
          <w:sz w:val="24"/>
          <w:szCs w:val="24"/>
        </w:rPr>
        <w:t>。</w:t>
      </w:r>
    </w:p>
    <w:p w14:paraId="3F20DFF1">
      <w:pPr>
        <w:spacing w:line="360" w:lineRule="auto"/>
        <w:ind w:firstLine="480" w:firstLineChars="200"/>
        <w:rPr>
          <w:rFonts w:ascii="宋体" w:hAnsi="宋体" w:cs="宋体"/>
          <w:color w:val="000000"/>
          <w:sz w:val="24"/>
          <w:szCs w:val="24"/>
        </w:rPr>
      </w:pPr>
      <w:bookmarkStart w:id="287" w:name="_Toc21378"/>
      <w:bookmarkStart w:id="288" w:name="_Toc13685"/>
      <w:bookmarkStart w:id="289" w:name="_Toc2080"/>
      <w:bookmarkStart w:id="290" w:name="_Toc8373"/>
      <w:bookmarkStart w:id="291" w:name="_Toc31739"/>
      <w:bookmarkStart w:id="292" w:name="_Toc3529"/>
      <w:bookmarkStart w:id="293" w:name="_Toc518240088"/>
      <w:bookmarkStart w:id="294" w:name="_Toc4307"/>
      <w:bookmarkStart w:id="295" w:name="_Toc13094"/>
      <w:bookmarkStart w:id="296" w:name="_Toc922"/>
      <w:bookmarkStart w:id="297" w:name="_Toc518573640"/>
      <w:bookmarkStart w:id="298" w:name="_Toc23727"/>
      <w:bookmarkStart w:id="299" w:name="_Toc8625"/>
      <w:bookmarkStart w:id="300" w:name="_Toc21547"/>
      <w:bookmarkStart w:id="301" w:name="_Toc7376"/>
      <w:bookmarkStart w:id="302" w:name="_Toc518573524"/>
      <w:r>
        <w:rPr>
          <w:rFonts w:hint="eastAsia" w:ascii="宋体" w:hAnsi="宋体" w:cs="宋体"/>
          <w:color w:val="000000"/>
          <w:sz w:val="24"/>
          <w:szCs w:val="24"/>
        </w:rPr>
        <w:t>1.6 图纸和承包人文件</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Fonts w:hint="eastAsia" w:ascii="宋体" w:hAnsi="宋体" w:cs="宋体"/>
          <w:color w:val="000000"/>
          <w:sz w:val="24"/>
          <w:szCs w:val="24"/>
        </w:rPr>
        <w:tab/>
      </w:r>
    </w:p>
    <w:p w14:paraId="0E6F045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1.6.1 图纸的提供</w:t>
      </w:r>
    </w:p>
    <w:p w14:paraId="183398C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发包人向承包人提供图纸的期限：</w:t>
      </w:r>
      <w:r>
        <w:rPr>
          <w:rFonts w:hint="eastAsia" w:ascii="宋体" w:hAnsi="宋体" w:cs="宋体"/>
          <w:color w:val="000000"/>
          <w:sz w:val="24"/>
          <w:szCs w:val="24"/>
          <w:u w:val="single"/>
        </w:rPr>
        <w:t>    </w:t>
      </w:r>
      <w:r>
        <w:rPr>
          <w:rFonts w:hint="eastAsia" w:ascii="宋体" w:hAnsi="宋体" w:cs="宋体"/>
          <w:color w:val="000000"/>
          <w:sz w:val="24"/>
          <w:szCs w:val="24"/>
        </w:rPr>
        <w:t>；</w:t>
      </w:r>
    </w:p>
    <w:p w14:paraId="18F0532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发包人向承包人提供图纸的数量：</w:t>
      </w:r>
      <w:r>
        <w:rPr>
          <w:rFonts w:hint="eastAsia" w:ascii="宋体" w:hAnsi="宋体" w:cs="宋体"/>
          <w:color w:val="000000"/>
          <w:sz w:val="24"/>
          <w:szCs w:val="24"/>
          <w:u w:val="single"/>
        </w:rPr>
        <w:t>    </w:t>
      </w:r>
      <w:r>
        <w:rPr>
          <w:rFonts w:hint="eastAsia" w:ascii="宋体" w:hAnsi="宋体" w:cs="宋体"/>
          <w:color w:val="000000"/>
          <w:sz w:val="24"/>
          <w:szCs w:val="24"/>
        </w:rPr>
        <w:t>；</w:t>
      </w:r>
    </w:p>
    <w:p w14:paraId="63884D9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发包人向承包人提供图纸的内容：</w:t>
      </w:r>
      <w:r>
        <w:rPr>
          <w:rFonts w:hint="eastAsia" w:ascii="宋体" w:hAnsi="宋体" w:cs="宋体"/>
          <w:color w:val="000000"/>
          <w:sz w:val="24"/>
          <w:szCs w:val="24"/>
          <w:u w:val="single"/>
        </w:rPr>
        <w:t>    </w:t>
      </w:r>
      <w:r>
        <w:rPr>
          <w:rFonts w:hint="eastAsia" w:ascii="宋体" w:hAnsi="宋体" w:cs="宋体"/>
          <w:color w:val="000000"/>
          <w:sz w:val="24"/>
          <w:szCs w:val="24"/>
        </w:rPr>
        <w:t>。</w:t>
      </w:r>
    </w:p>
    <w:p w14:paraId="61306A2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1.6.4 承包人文件</w:t>
      </w:r>
    </w:p>
    <w:p w14:paraId="258475CB">
      <w:pPr>
        <w:spacing w:line="360" w:lineRule="auto"/>
        <w:ind w:left="596" w:leftChars="284"/>
        <w:rPr>
          <w:rFonts w:ascii="宋体" w:hAnsi="宋体" w:cs="宋体"/>
          <w:color w:val="000000"/>
          <w:sz w:val="24"/>
          <w:szCs w:val="24"/>
        </w:rPr>
      </w:pPr>
      <w:r>
        <w:rPr>
          <w:rFonts w:hint="eastAsia" w:ascii="宋体" w:hAnsi="宋体" w:cs="宋体"/>
          <w:color w:val="000000"/>
          <w:sz w:val="24"/>
          <w:szCs w:val="24"/>
        </w:rPr>
        <w:t>需要由承包人提供的文件，包括：</w:t>
      </w:r>
      <w:r>
        <w:rPr>
          <w:rFonts w:hint="eastAsia" w:ascii="宋体" w:hAnsi="宋体" w:cs="宋体"/>
          <w:color w:val="000000"/>
          <w:sz w:val="24"/>
          <w:szCs w:val="24"/>
          <w:u w:val="single"/>
        </w:rPr>
        <w:t>          </w:t>
      </w:r>
      <w:r>
        <w:rPr>
          <w:rFonts w:hint="eastAsia" w:ascii="宋体" w:hAnsi="宋体" w:cs="宋体"/>
          <w:color w:val="000000"/>
          <w:sz w:val="24"/>
          <w:szCs w:val="24"/>
        </w:rPr>
        <w:t>；</w:t>
      </w:r>
    </w:p>
    <w:p w14:paraId="73D1444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承包人提供的文件的期限为：</w:t>
      </w:r>
      <w:r>
        <w:rPr>
          <w:rFonts w:hint="eastAsia" w:ascii="宋体" w:hAnsi="宋体" w:cs="宋体"/>
          <w:color w:val="000000"/>
          <w:sz w:val="24"/>
          <w:szCs w:val="24"/>
          <w:u w:val="single"/>
        </w:rPr>
        <w:t>       </w:t>
      </w:r>
      <w:r>
        <w:rPr>
          <w:rFonts w:hint="eastAsia" w:ascii="宋体" w:hAnsi="宋体" w:cs="宋体"/>
          <w:color w:val="000000"/>
          <w:sz w:val="24"/>
          <w:szCs w:val="24"/>
        </w:rPr>
        <w:t>；</w:t>
      </w:r>
    </w:p>
    <w:p w14:paraId="137DDB3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承包人提供的文件的数量为：</w:t>
      </w:r>
      <w:r>
        <w:rPr>
          <w:rFonts w:hint="eastAsia" w:ascii="宋体" w:hAnsi="宋体" w:cs="宋体"/>
          <w:color w:val="000000"/>
          <w:sz w:val="24"/>
          <w:szCs w:val="24"/>
          <w:u w:val="single"/>
        </w:rPr>
        <w:t>          </w:t>
      </w:r>
      <w:r>
        <w:rPr>
          <w:rFonts w:hint="eastAsia" w:ascii="宋体" w:hAnsi="宋体" w:cs="宋体"/>
          <w:color w:val="000000"/>
          <w:sz w:val="24"/>
          <w:szCs w:val="24"/>
        </w:rPr>
        <w:t>；</w:t>
      </w:r>
    </w:p>
    <w:p w14:paraId="3F79741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承包人提供的文件的形式为：</w:t>
      </w:r>
      <w:r>
        <w:rPr>
          <w:rFonts w:hint="eastAsia" w:ascii="宋体" w:hAnsi="宋体" w:cs="宋体"/>
          <w:color w:val="000000"/>
          <w:sz w:val="24"/>
          <w:szCs w:val="24"/>
          <w:u w:val="single"/>
        </w:rPr>
        <w:t>       </w:t>
      </w:r>
      <w:r>
        <w:rPr>
          <w:rFonts w:hint="eastAsia" w:ascii="宋体" w:hAnsi="宋体" w:cs="宋体"/>
          <w:color w:val="000000"/>
          <w:sz w:val="24"/>
          <w:szCs w:val="24"/>
        </w:rPr>
        <w:t>；</w:t>
      </w:r>
    </w:p>
    <w:p w14:paraId="10EA590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发包人审批承包人文件的期限：</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17AB71A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1.6.5 现场图纸准备</w:t>
      </w:r>
    </w:p>
    <w:p w14:paraId="433A45E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关于现场图纸准备的约定：</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4556622C">
      <w:pPr>
        <w:spacing w:line="360" w:lineRule="auto"/>
        <w:ind w:firstLine="480" w:firstLineChars="200"/>
        <w:rPr>
          <w:rFonts w:ascii="宋体" w:hAnsi="宋体" w:cs="宋体"/>
          <w:color w:val="000000"/>
          <w:sz w:val="24"/>
          <w:szCs w:val="24"/>
        </w:rPr>
      </w:pPr>
      <w:bookmarkStart w:id="303" w:name="_Toc6441"/>
      <w:bookmarkStart w:id="304" w:name="_Toc5241"/>
      <w:bookmarkStart w:id="305" w:name="_Toc11023"/>
      <w:bookmarkStart w:id="306" w:name="_Toc4231"/>
      <w:bookmarkStart w:id="307" w:name="_Toc7251"/>
      <w:bookmarkStart w:id="308" w:name="_Toc13701"/>
      <w:bookmarkStart w:id="309" w:name="_Toc31714"/>
      <w:bookmarkStart w:id="310" w:name="_Toc1902"/>
      <w:bookmarkStart w:id="311" w:name="_Toc23486"/>
      <w:bookmarkStart w:id="312" w:name="_Toc518573641"/>
      <w:bookmarkStart w:id="313" w:name="_Toc518240089"/>
      <w:bookmarkStart w:id="314" w:name="_Toc518573525"/>
      <w:bookmarkStart w:id="315" w:name="_Toc24065"/>
      <w:bookmarkStart w:id="316" w:name="_Toc23554"/>
      <w:bookmarkStart w:id="317" w:name="_Toc21320"/>
      <w:bookmarkStart w:id="318" w:name="_Toc27405"/>
      <w:r>
        <w:rPr>
          <w:rFonts w:hint="eastAsia" w:ascii="宋体" w:hAnsi="宋体" w:cs="宋体"/>
          <w:color w:val="000000"/>
          <w:sz w:val="24"/>
          <w:szCs w:val="24"/>
        </w:rPr>
        <w:t>1.7 联络</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1CB5F52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1.7.1发包人和承包人应当在</w:t>
      </w:r>
      <w:r>
        <w:rPr>
          <w:rFonts w:hint="eastAsia" w:ascii="宋体" w:hAnsi="宋体" w:cs="宋体"/>
          <w:color w:val="000000"/>
          <w:sz w:val="24"/>
          <w:szCs w:val="24"/>
          <w:u w:val="single"/>
        </w:rPr>
        <w:t xml:space="preserve">    </w:t>
      </w:r>
      <w:r>
        <w:rPr>
          <w:rFonts w:hint="eastAsia" w:ascii="宋体" w:hAnsi="宋体" w:cs="宋体"/>
          <w:color w:val="000000"/>
          <w:sz w:val="24"/>
          <w:szCs w:val="24"/>
        </w:rPr>
        <w:t>天内将与合同有关的通知、批准、证明、证书、指示、指令、要求、请求、同意、意见、确定和决定等书面函件送达对方当事人。</w:t>
      </w:r>
    </w:p>
    <w:p w14:paraId="5E57422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1.7.2 发包人接收文件的地点：</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7C329CC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发包人指定的接收人为：</w:t>
      </w:r>
      <w:r>
        <w:rPr>
          <w:rFonts w:hint="eastAsia" w:ascii="宋体" w:hAnsi="宋体" w:cs="宋体"/>
          <w:color w:val="000000"/>
          <w:sz w:val="24"/>
          <w:szCs w:val="24"/>
          <w:u w:val="single"/>
        </w:rPr>
        <w:t>               </w:t>
      </w:r>
      <w:r>
        <w:rPr>
          <w:rFonts w:hint="eastAsia" w:ascii="宋体" w:hAnsi="宋体" w:cs="宋体"/>
          <w:color w:val="000000"/>
          <w:sz w:val="24"/>
          <w:szCs w:val="24"/>
        </w:rPr>
        <w:t>。</w:t>
      </w:r>
    </w:p>
    <w:p w14:paraId="0798BC7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承包人接收文件的地点：</w:t>
      </w:r>
      <w:r>
        <w:rPr>
          <w:rFonts w:hint="eastAsia" w:ascii="宋体" w:hAnsi="宋体" w:cs="宋体"/>
          <w:color w:val="000000"/>
          <w:sz w:val="24"/>
          <w:szCs w:val="24"/>
          <w:u w:val="single"/>
        </w:rPr>
        <w:t>             </w:t>
      </w:r>
      <w:r>
        <w:rPr>
          <w:rFonts w:hint="eastAsia" w:ascii="宋体" w:hAnsi="宋体" w:cs="宋体"/>
          <w:color w:val="000000"/>
          <w:sz w:val="24"/>
          <w:szCs w:val="24"/>
        </w:rPr>
        <w:t>；</w:t>
      </w:r>
    </w:p>
    <w:p w14:paraId="7BB10C1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承包人指定的接收人为：</w:t>
      </w:r>
      <w:r>
        <w:rPr>
          <w:rFonts w:hint="eastAsia" w:ascii="宋体" w:hAnsi="宋体" w:cs="宋体"/>
          <w:color w:val="000000"/>
          <w:sz w:val="24"/>
          <w:szCs w:val="24"/>
          <w:u w:val="single"/>
        </w:rPr>
        <w:t>             </w:t>
      </w:r>
      <w:r>
        <w:rPr>
          <w:rFonts w:hint="eastAsia" w:ascii="宋体" w:hAnsi="宋体" w:cs="宋体"/>
          <w:color w:val="000000"/>
          <w:sz w:val="24"/>
          <w:szCs w:val="24"/>
        </w:rPr>
        <w:t>。</w:t>
      </w:r>
    </w:p>
    <w:p w14:paraId="77AAC92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监理人接收文件的地点：</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7BC55D9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监理人指定的接收人为：</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0E139F09">
      <w:pPr>
        <w:spacing w:line="360" w:lineRule="auto"/>
        <w:ind w:firstLine="480" w:firstLineChars="200"/>
        <w:rPr>
          <w:rFonts w:ascii="宋体" w:hAnsi="宋体" w:cs="宋体"/>
          <w:color w:val="000000"/>
          <w:sz w:val="24"/>
          <w:szCs w:val="24"/>
        </w:rPr>
      </w:pPr>
      <w:bookmarkStart w:id="319" w:name="_Toc2011"/>
      <w:bookmarkStart w:id="320" w:name="_Toc18239"/>
      <w:bookmarkStart w:id="321" w:name="_Toc18852"/>
      <w:bookmarkStart w:id="322" w:name="_Toc19723"/>
      <w:bookmarkStart w:id="323" w:name="_Toc25537"/>
      <w:bookmarkStart w:id="324" w:name="_Toc518573526"/>
      <w:bookmarkStart w:id="325" w:name="_Toc11875"/>
      <w:bookmarkStart w:id="326" w:name="_Toc978"/>
      <w:bookmarkStart w:id="327" w:name="_Toc25100"/>
      <w:bookmarkStart w:id="328" w:name="_Toc23766"/>
      <w:bookmarkStart w:id="329" w:name="_Toc14243"/>
      <w:bookmarkStart w:id="330" w:name="_Toc518240090"/>
      <w:bookmarkStart w:id="331" w:name="_Toc27504"/>
      <w:bookmarkStart w:id="332" w:name="_Toc27336"/>
      <w:bookmarkStart w:id="333" w:name="_Toc518573642"/>
      <w:bookmarkStart w:id="334" w:name="_Toc20280"/>
      <w:r>
        <w:rPr>
          <w:rFonts w:hint="eastAsia" w:ascii="宋体" w:hAnsi="宋体" w:cs="宋体"/>
          <w:color w:val="000000"/>
          <w:sz w:val="24"/>
          <w:szCs w:val="24"/>
        </w:rPr>
        <w:t>1.10 交通运输</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560C0F47">
      <w:pPr>
        <w:spacing w:line="360" w:lineRule="auto"/>
        <w:ind w:firstLine="480" w:firstLineChars="200"/>
        <w:rPr>
          <w:rFonts w:ascii="宋体" w:hAnsi="宋体" w:cs="宋体"/>
          <w:sz w:val="24"/>
          <w:szCs w:val="24"/>
        </w:rPr>
      </w:pPr>
      <w:bookmarkStart w:id="335" w:name="_Toc21166"/>
      <w:bookmarkStart w:id="336" w:name="_Toc17973"/>
      <w:bookmarkStart w:id="337" w:name="_Toc14394"/>
      <w:bookmarkStart w:id="338" w:name="_Toc31064"/>
      <w:bookmarkStart w:id="339" w:name="_Toc3708"/>
      <w:bookmarkStart w:id="340" w:name="_Toc9811"/>
      <w:bookmarkStart w:id="341" w:name="_Toc21574"/>
      <w:bookmarkStart w:id="342" w:name="_Toc21263"/>
      <w:bookmarkStart w:id="343" w:name="_Toc10275"/>
      <w:bookmarkStart w:id="344" w:name="_Toc518573643"/>
      <w:bookmarkStart w:id="345" w:name="_Toc518573527"/>
      <w:bookmarkStart w:id="346" w:name="_Toc518240091"/>
      <w:bookmarkStart w:id="347" w:name="_Toc1523"/>
      <w:bookmarkStart w:id="348" w:name="_Toc25818"/>
      <w:bookmarkStart w:id="349" w:name="_Toc9973"/>
      <w:bookmarkStart w:id="350" w:name="_Toc30310"/>
      <w:r>
        <w:rPr>
          <w:rFonts w:hint="eastAsia" w:ascii="宋体" w:hAnsi="宋体" w:cs="宋体"/>
          <w:sz w:val="24"/>
          <w:szCs w:val="24"/>
        </w:rPr>
        <w:t>1</w:t>
      </w:r>
      <w:bookmarkStart w:id="351" w:name="_Toc300934943"/>
      <w:bookmarkStart w:id="352" w:name="_Toc304295521"/>
      <w:bookmarkStart w:id="353" w:name="_Toc318581155"/>
      <w:bookmarkStart w:id="354" w:name="_Toc303539100"/>
      <w:bookmarkStart w:id="355" w:name="_Toc312677986"/>
      <w:r>
        <w:rPr>
          <w:rFonts w:hint="eastAsia" w:ascii="宋体" w:hAnsi="宋体" w:cs="宋体"/>
          <w:sz w:val="24"/>
          <w:szCs w:val="24"/>
        </w:rPr>
        <w:t>.10.1 出入现场的权利</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3DF1DB6D">
      <w:pPr>
        <w:spacing w:line="360" w:lineRule="auto"/>
        <w:ind w:firstLine="480" w:firstLineChars="200"/>
        <w:rPr>
          <w:rFonts w:ascii="宋体" w:hAnsi="宋体" w:cs="宋体"/>
          <w:sz w:val="24"/>
          <w:szCs w:val="24"/>
        </w:rPr>
      </w:pPr>
      <w:r>
        <w:rPr>
          <w:rFonts w:hint="eastAsia" w:ascii="宋体" w:hAnsi="宋体" w:cs="宋体"/>
          <w:sz w:val="24"/>
          <w:szCs w:val="24"/>
        </w:rPr>
        <w:t>关于出入现场的权利的约定：</w:t>
      </w:r>
      <w:r>
        <w:rPr>
          <w:rFonts w:hint="eastAsia" w:ascii="宋体" w:hAnsi="宋体" w:cs="宋体"/>
          <w:color w:val="000000"/>
          <w:sz w:val="24"/>
          <w:szCs w:val="24"/>
          <w:u w:val="single"/>
        </w:rPr>
        <w:t> </w:t>
      </w:r>
      <w:r>
        <w:rPr>
          <w:rFonts w:hint="eastAsia" w:ascii="宋体" w:hAnsi="宋体" w:cs="宋体"/>
          <w:sz w:val="24"/>
          <w:szCs w:val="24"/>
        </w:rPr>
        <w:t>。</w:t>
      </w:r>
    </w:p>
    <w:bookmarkEnd w:id="351"/>
    <w:bookmarkEnd w:id="352"/>
    <w:bookmarkEnd w:id="353"/>
    <w:bookmarkEnd w:id="354"/>
    <w:bookmarkEnd w:id="355"/>
    <w:p w14:paraId="481E17F2">
      <w:pPr>
        <w:spacing w:line="360" w:lineRule="auto"/>
        <w:ind w:firstLine="480" w:firstLineChars="200"/>
        <w:rPr>
          <w:rFonts w:ascii="宋体" w:hAnsi="宋体" w:cs="宋体"/>
          <w:sz w:val="24"/>
          <w:szCs w:val="24"/>
        </w:rPr>
      </w:pPr>
      <w:bookmarkStart w:id="356" w:name="_Toc32451"/>
      <w:bookmarkStart w:id="357" w:name="_Toc32491"/>
      <w:bookmarkStart w:id="358" w:name="_Toc518240092"/>
      <w:bookmarkStart w:id="359" w:name="_Toc1147"/>
      <w:bookmarkStart w:id="360" w:name="_Toc518573528"/>
      <w:bookmarkStart w:id="361" w:name="_Toc6836"/>
      <w:bookmarkStart w:id="362" w:name="_Toc5334"/>
      <w:bookmarkStart w:id="363" w:name="_Toc8042"/>
      <w:bookmarkStart w:id="364" w:name="_Toc22558"/>
      <w:bookmarkStart w:id="365" w:name="_Toc24161"/>
      <w:bookmarkStart w:id="366" w:name="_Toc2583"/>
      <w:bookmarkStart w:id="367" w:name="_Toc5762"/>
      <w:bookmarkStart w:id="368" w:name="_Toc15952"/>
      <w:bookmarkStart w:id="369" w:name="_Toc518573644"/>
      <w:bookmarkStart w:id="370" w:name="_Toc6913"/>
      <w:bookmarkStart w:id="371" w:name="_Toc28611"/>
      <w:r>
        <w:rPr>
          <w:rFonts w:hint="eastAsia" w:ascii="宋体" w:hAnsi="宋体" w:cs="宋体"/>
          <w:sz w:val="24"/>
          <w:szCs w:val="24"/>
        </w:rPr>
        <w:t>1</w:t>
      </w:r>
      <w:bookmarkStart w:id="372" w:name="_Toc300934944"/>
      <w:bookmarkStart w:id="373" w:name="_Toc304295522"/>
      <w:bookmarkStart w:id="374" w:name="_Toc318581156"/>
      <w:bookmarkStart w:id="375" w:name="_Toc303539101"/>
      <w:bookmarkStart w:id="376" w:name="_Toc312677987"/>
      <w:r>
        <w:rPr>
          <w:rFonts w:hint="eastAsia" w:ascii="宋体" w:hAnsi="宋体" w:cs="宋体"/>
          <w:sz w:val="24"/>
          <w:szCs w:val="24"/>
        </w:rPr>
        <w:t>.10.3 场内交通</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21D2E98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关于场外交通和场内交通的边界的约定：</w:t>
      </w:r>
      <w:r>
        <w:rPr>
          <w:rFonts w:hint="eastAsia" w:ascii="宋体" w:hAnsi="宋体" w:cs="宋体"/>
          <w:color w:val="000000"/>
          <w:sz w:val="24"/>
          <w:szCs w:val="24"/>
          <w:u w:val="single"/>
        </w:rPr>
        <w:t xml:space="preserve">        </w:t>
      </w:r>
      <w:r>
        <w:rPr>
          <w:rFonts w:hint="eastAsia" w:ascii="宋体" w:hAnsi="宋体" w:cs="宋体"/>
          <w:sz w:val="24"/>
          <w:szCs w:val="24"/>
        </w:rPr>
        <w:t>。</w:t>
      </w:r>
    </w:p>
    <w:p w14:paraId="436D74F9">
      <w:pPr>
        <w:spacing w:line="360" w:lineRule="auto"/>
        <w:ind w:firstLine="480" w:firstLineChars="200"/>
        <w:rPr>
          <w:rFonts w:ascii="宋体" w:hAnsi="宋体" w:cs="宋体"/>
          <w:sz w:val="24"/>
          <w:szCs w:val="24"/>
        </w:rPr>
      </w:pPr>
      <w:r>
        <w:rPr>
          <w:rFonts w:hint="eastAsia" w:ascii="宋体" w:hAnsi="宋体" w:cs="宋体"/>
          <w:sz w:val="24"/>
          <w:szCs w:val="24"/>
        </w:rPr>
        <w:t>关于发包人向承包人免费提供满足工程施工需要的场内道路和交通设施的约定：</w:t>
      </w:r>
      <w:r>
        <w:rPr>
          <w:rFonts w:hint="eastAsia" w:ascii="宋体" w:hAnsi="宋体" w:cs="宋体"/>
          <w:color w:val="000000"/>
          <w:sz w:val="24"/>
          <w:szCs w:val="24"/>
          <w:u w:val="single"/>
        </w:rPr>
        <w:t xml:space="preserve">        </w:t>
      </w:r>
      <w:r>
        <w:rPr>
          <w:rFonts w:hint="eastAsia" w:ascii="宋体" w:hAnsi="宋体" w:cs="宋体"/>
          <w:sz w:val="24"/>
          <w:szCs w:val="24"/>
        </w:rPr>
        <w:t>。</w:t>
      </w:r>
      <w:bookmarkEnd w:id="372"/>
      <w:bookmarkEnd w:id="373"/>
      <w:bookmarkEnd w:id="374"/>
      <w:bookmarkEnd w:id="375"/>
      <w:bookmarkEnd w:id="376"/>
      <w:r>
        <w:rPr>
          <w:rFonts w:hint="eastAsia" w:ascii="宋体" w:hAnsi="宋体" w:cs="宋体"/>
          <w:sz w:val="24"/>
          <w:szCs w:val="24"/>
        </w:rPr>
        <w:t xml:space="preserve">  </w:t>
      </w:r>
      <w:bookmarkStart w:id="377" w:name="_Toc318581157"/>
    </w:p>
    <w:p w14:paraId="551B87F8">
      <w:pPr>
        <w:spacing w:line="360" w:lineRule="auto"/>
        <w:ind w:firstLine="480" w:firstLineChars="200"/>
        <w:rPr>
          <w:rFonts w:ascii="宋体" w:hAnsi="宋体" w:cs="宋体"/>
          <w:sz w:val="24"/>
          <w:szCs w:val="24"/>
        </w:rPr>
      </w:pPr>
      <w:r>
        <w:rPr>
          <w:rFonts w:hint="eastAsia" w:ascii="宋体" w:hAnsi="宋体" w:cs="宋体"/>
          <w:sz w:val="24"/>
          <w:szCs w:val="24"/>
        </w:rPr>
        <w:t>1.10.4超大件和超重件的运输</w:t>
      </w:r>
    </w:p>
    <w:p w14:paraId="14286406">
      <w:pPr>
        <w:spacing w:line="360" w:lineRule="auto"/>
        <w:ind w:firstLine="480" w:firstLineChars="200"/>
        <w:rPr>
          <w:rFonts w:ascii="宋体" w:hAnsi="宋体" w:cs="宋体"/>
          <w:sz w:val="24"/>
          <w:szCs w:val="24"/>
        </w:rPr>
      </w:pPr>
      <w:r>
        <w:rPr>
          <w:rFonts w:hint="eastAsia" w:ascii="宋体" w:hAnsi="宋体" w:cs="宋体"/>
          <w:sz w:val="24"/>
          <w:szCs w:val="24"/>
        </w:rPr>
        <w:t>运输超大件或超重件所需的道路和桥梁临时加固改造费用和其他有关费用由</w:t>
      </w:r>
      <w:r>
        <w:rPr>
          <w:rFonts w:hint="eastAsia" w:ascii="宋体" w:hAnsi="宋体" w:cs="宋体"/>
          <w:sz w:val="24"/>
          <w:szCs w:val="24"/>
          <w:u w:val="single"/>
        </w:rPr>
        <w:t xml:space="preserve">              </w:t>
      </w:r>
      <w:r>
        <w:rPr>
          <w:rFonts w:hint="eastAsia" w:ascii="宋体" w:hAnsi="宋体" w:cs="宋体"/>
          <w:sz w:val="24"/>
          <w:szCs w:val="24"/>
        </w:rPr>
        <w:t>承担。</w:t>
      </w:r>
    </w:p>
    <w:bookmarkEnd w:id="377"/>
    <w:p w14:paraId="0A8A56B5">
      <w:pPr>
        <w:spacing w:line="360" w:lineRule="auto"/>
        <w:ind w:firstLine="480" w:firstLineChars="200"/>
        <w:rPr>
          <w:rFonts w:ascii="宋体" w:hAnsi="宋体" w:cs="宋体"/>
          <w:color w:val="000000"/>
          <w:sz w:val="24"/>
          <w:szCs w:val="24"/>
        </w:rPr>
      </w:pPr>
      <w:bookmarkStart w:id="378" w:name="_Toc518573645"/>
      <w:bookmarkStart w:id="379" w:name="_Toc518573529"/>
      <w:bookmarkStart w:id="380" w:name="_Toc10544"/>
      <w:bookmarkStart w:id="381" w:name="_Toc17734"/>
      <w:bookmarkStart w:id="382" w:name="_Toc17159"/>
      <w:bookmarkStart w:id="383" w:name="_Toc518240093"/>
      <w:bookmarkStart w:id="384" w:name="_Toc19559"/>
      <w:bookmarkStart w:id="385" w:name="_Toc8712"/>
      <w:bookmarkStart w:id="386" w:name="_Toc31106"/>
      <w:bookmarkStart w:id="387" w:name="_Toc6445"/>
      <w:bookmarkStart w:id="388" w:name="_Toc24087"/>
      <w:bookmarkStart w:id="389" w:name="_Toc12095"/>
      <w:bookmarkStart w:id="390" w:name="_Toc8226"/>
      <w:bookmarkStart w:id="391" w:name="_Toc6393"/>
      <w:bookmarkStart w:id="392" w:name="_Toc24357"/>
      <w:bookmarkStart w:id="393" w:name="_Toc13671"/>
      <w:r>
        <w:rPr>
          <w:rFonts w:hint="eastAsia" w:ascii="宋体" w:hAnsi="宋体" w:cs="宋体"/>
          <w:color w:val="000000"/>
          <w:sz w:val="24"/>
          <w:szCs w:val="24"/>
        </w:rPr>
        <w:t>1.11 知识产权</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22928EA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EDDDAE3">
      <w:pPr>
        <w:spacing w:line="360" w:lineRule="auto"/>
        <w:ind w:left="596" w:leftChars="284"/>
        <w:rPr>
          <w:rFonts w:ascii="宋体" w:hAnsi="宋体" w:cs="宋体"/>
          <w:color w:val="000000"/>
          <w:sz w:val="24"/>
          <w:szCs w:val="24"/>
        </w:rPr>
      </w:pPr>
      <w:r>
        <w:rPr>
          <w:rFonts w:hint="eastAsia" w:ascii="宋体" w:hAnsi="宋体" w:cs="宋体"/>
          <w:color w:val="000000"/>
          <w:sz w:val="24"/>
          <w:szCs w:val="24"/>
        </w:rPr>
        <w:t>关于发包人提供的上述文件的使用限制的要求：</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1D93D6E">
      <w:pPr>
        <w:spacing w:line="360" w:lineRule="auto"/>
        <w:ind w:left="596" w:leftChars="284"/>
        <w:rPr>
          <w:rFonts w:ascii="宋体" w:hAnsi="宋体" w:cs="宋体"/>
          <w:color w:val="000000"/>
          <w:sz w:val="24"/>
          <w:szCs w:val="24"/>
        </w:rPr>
      </w:pPr>
      <w:bookmarkStart w:id="394" w:name="_Toc396"/>
      <w:bookmarkStart w:id="395" w:name="_Toc518573646"/>
      <w:bookmarkStart w:id="396" w:name="_Toc1372"/>
      <w:bookmarkStart w:id="397" w:name="_Toc13302"/>
      <w:bookmarkStart w:id="398" w:name="_Toc25554"/>
      <w:bookmarkStart w:id="399" w:name="_Toc518573530"/>
      <w:bookmarkStart w:id="400" w:name="_Toc28720"/>
      <w:bookmarkStart w:id="401" w:name="_Toc23640"/>
      <w:bookmarkStart w:id="402" w:name="_Toc23990"/>
      <w:bookmarkStart w:id="403" w:name="_Toc19269"/>
      <w:bookmarkStart w:id="404" w:name="_Toc933"/>
      <w:bookmarkStart w:id="405" w:name="_Toc14346"/>
      <w:bookmarkStart w:id="406" w:name="_Toc16554"/>
      <w:bookmarkStart w:id="407" w:name="_Toc518240094"/>
      <w:bookmarkStart w:id="408" w:name="_Toc2748"/>
      <w:bookmarkStart w:id="409" w:name="_Toc12030"/>
      <w:r>
        <w:rPr>
          <w:rFonts w:hint="eastAsia" w:ascii="宋体" w:hAnsi="宋体" w:cs="宋体"/>
          <w:color w:val="000000"/>
          <w:sz w:val="24"/>
          <w:szCs w:val="24"/>
        </w:rPr>
        <w:t>1.11.2 关于承包人为实施工程所编制文件的著作权的归属：</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rFonts w:hint="eastAsia" w:ascii="宋体" w:hAnsi="宋体" w:cs="宋体"/>
          <w:color w:val="000000"/>
          <w:sz w:val="24"/>
          <w:szCs w:val="24"/>
          <w:u w:val="single"/>
        </w:rPr>
        <w:t xml:space="preserve">   </w:t>
      </w:r>
      <w:r>
        <w:rPr>
          <w:rFonts w:hint="eastAsia" w:ascii="宋体" w:hAnsi="宋体" w:cs="宋体"/>
          <w:color w:val="000000"/>
          <w:sz w:val="24"/>
          <w:szCs w:val="24"/>
        </w:rPr>
        <w:t>。</w:t>
      </w:r>
      <w:bookmarkEnd w:id="409"/>
    </w:p>
    <w:p w14:paraId="3393767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关于承包人提供的上述文件的使用限制的要求：</w:t>
      </w:r>
      <w:r>
        <w:rPr>
          <w:rFonts w:hint="eastAsia" w:ascii="宋体" w:hAnsi="宋体" w:cs="宋体"/>
          <w:color w:val="000000"/>
          <w:sz w:val="24"/>
          <w:szCs w:val="24"/>
          <w:u w:val="single"/>
        </w:rPr>
        <w:t>   </w:t>
      </w:r>
      <w:r>
        <w:rPr>
          <w:rFonts w:hint="eastAsia" w:ascii="宋体" w:hAnsi="宋体" w:cs="宋体"/>
          <w:color w:val="000000"/>
          <w:sz w:val="24"/>
          <w:szCs w:val="24"/>
        </w:rPr>
        <w:t>。</w:t>
      </w:r>
    </w:p>
    <w:p w14:paraId="28B9CECB">
      <w:pPr>
        <w:spacing w:line="360" w:lineRule="auto"/>
        <w:ind w:firstLine="480" w:firstLineChars="200"/>
        <w:rPr>
          <w:rFonts w:ascii="宋体" w:hAnsi="宋体" w:cs="宋体"/>
          <w:color w:val="000000"/>
          <w:sz w:val="24"/>
          <w:szCs w:val="24"/>
        </w:rPr>
      </w:pPr>
      <w:bookmarkStart w:id="410" w:name="_Toc17114"/>
      <w:bookmarkStart w:id="411" w:name="_Toc22306"/>
      <w:bookmarkStart w:id="412" w:name="_Toc27257"/>
      <w:bookmarkStart w:id="413" w:name="_Toc1298"/>
      <w:bookmarkStart w:id="414" w:name="_Toc20565"/>
      <w:bookmarkStart w:id="415" w:name="_Toc16506"/>
      <w:bookmarkStart w:id="416" w:name="_Toc6569"/>
      <w:bookmarkStart w:id="417" w:name="_Toc518240095"/>
      <w:bookmarkStart w:id="418" w:name="_Toc15900"/>
      <w:bookmarkStart w:id="419" w:name="_Toc518573647"/>
      <w:bookmarkStart w:id="420" w:name="_Toc8385"/>
      <w:bookmarkStart w:id="421" w:name="_Toc7367"/>
      <w:bookmarkStart w:id="422" w:name="_Toc19417"/>
      <w:bookmarkStart w:id="423" w:name="_Toc27594"/>
      <w:bookmarkStart w:id="424" w:name="_Toc12620"/>
      <w:bookmarkStart w:id="425" w:name="_Toc518573531"/>
      <w:r>
        <w:rPr>
          <w:rFonts w:hint="eastAsia" w:ascii="宋体" w:hAnsi="宋体" w:cs="宋体"/>
          <w:color w:val="000000"/>
          <w:sz w:val="24"/>
          <w:szCs w:val="24"/>
        </w:rPr>
        <w:t>1.11.4 承包人在施工过程中所采用的专利、专有技术、技术秘密的使用费的承担方式：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075D148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1.13工程量清单错误的修正</w:t>
      </w:r>
    </w:p>
    <w:p w14:paraId="400368A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出现工程量清单错误时，是否调整合同价格：</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7331A80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允许调整合同价格的工程量偏差范围：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9BEC4AE">
      <w:pPr>
        <w:spacing w:line="360" w:lineRule="auto"/>
        <w:rPr>
          <w:rFonts w:ascii="宋体" w:hAnsi="宋体" w:cs="宋体"/>
          <w:color w:val="000000"/>
          <w:sz w:val="24"/>
          <w:szCs w:val="24"/>
        </w:rPr>
      </w:pPr>
      <w:bookmarkStart w:id="426" w:name="_Toc9579"/>
      <w:r>
        <w:rPr>
          <w:rFonts w:hint="eastAsia" w:ascii="宋体" w:hAnsi="宋体" w:cs="宋体"/>
          <w:color w:val="000000"/>
          <w:sz w:val="24"/>
          <w:szCs w:val="24"/>
        </w:rPr>
        <w:t>2</w:t>
      </w:r>
      <w:bookmarkStart w:id="427" w:name="_Toc297120457"/>
      <w:bookmarkStart w:id="428" w:name="_Toc292559362"/>
      <w:bookmarkStart w:id="429" w:name="_Toc297048343"/>
      <w:bookmarkStart w:id="430" w:name="_Toc296890985"/>
      <w:bookmarkStart w:id="431" w:name="_Toc296346658"/>
      <w:bookmarkStart w:id="432" w:name="_Toc296347156"/>
      <w:bookmarkStart w:id="433" w:name="_Toc296503157"/>
      <w:bookmarkStart w:id="434" w:name="_Toc296944496"/>
      <w:bookmarkStart w:id="435" w:name="_Toc292559867"/>
      <w:bookmarkStart w:id="436" w:name="_Toc296891197"/>
      <w:r>
        <w:rPr>
          <w:rFonts w:hint="eastAsia" w:ascii="宋体" w:hAnsi="宋体" w:cs="宋体"/>
          <w:color w:val="000000"/>
          <w:sz w:val="24"/>
          <w:szCs w:val="24"/>
        </w:rPr>
        <w:t>. 发包人</w:t>
      </w:r>
      <w:bookmarkEnd w:id="426"/>
    </w:p>
    <w:bookmarkEnd w:id="427"/>
    <w:bookmarkEnd w:id="428"/>
    <w:bookmarkEnd w:id="429"/>
    <w:bookmarkEnd w:id="430"/>
    <w:bookmarkEnd w:id="431"/>
    <w:bookmarkEnd w:id="432"/>
    <w:bookmarkEnd w:id="433"/>
    <w:bookmarkEnd w:id="434"/>
    <w:bookmarkEnd w:id="435"/>
    <w:bookmarkEnd w:id="436"/>
    <w:p w14:paraId="7120B16A">
      <w:pPr>
        <w:spacing w:line="360" w:lineRule="auto"/>
        <w:ind w:firstLine="480" w:firstLineChars="200"/>
        <w:rPr>
          <w:rFonts w:ascii="宋体" w:hAnsi="宋体" w:cs="宋体"/>
          <w:color w:val="000000"/>
          <w:sz w:val="24"/>
          <w:szCs w:val="24"/>
        </w:rPr>
      </w:pPr>
      <w:bookmarkStart w:id="437" w:name="_Toc518240096"/>
      <w:bookmarkStart w:id="438" w:name="_Toc31283"/>
      <w:bookmarkStart w:id="439" w:name="_Toc518573532"/>
      <w:bookmarkStart w:id="440" w:name="_Toc14464"/>
      <w:bookmarkStart w:id="441" w:name="_Toc22800"/>
      <w:bookmarkStart w:id="442" w:name="_Toc31415"/>
      <w:bookmarkStart w:id="443" w:name="_Toc16103"/>
      <w:bookmarkStart w:id="444" w:name="_Toc31447"/>
      <w:bookmarkStart w:id="445" w:name="_Toc26966"/>
      <w:bookmarkStart w:id="446" w:name="_Toc781"/>
      <w:bookmarkStart w:id="447" w:name="_Toc9869"/>
      <w:bookmarkStart w:id="448" w:name="_Toc8984"/>
      <w:bookmarkStart w:id="449" w:name="_Toc518573648"/>
      <w:bookmarkStart w:id="450" w:name="_Toc20449"/>
      <w:bookmarkStart w:id="451" w:name="_Toc27310"/>
      <w:bookmarkStart w:id="452" w:name="_Toc16062"/>
      <w:r>
        <w:rPr>
          <w:rFonts w:hint="eastAsia" w:ascii="宋体" w:hAnsi="宋体" w:cs="宋体"/>
          <w:color w:val="000000"/>
          <w:sz w:val="24"/>
          <w:szCs w:val="24"/>
        </w:rPr>
        <w:t>2.2 发包人代表</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0708AEF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发包人代表：</w:t>
      </w:r>
    </w:p>
    <w:p w14:paraId="2D6EAC7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姓    名：</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423EBAA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身份证号：</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0703529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职    务：</w:t>
      </w:r>
      <w:r>
        <w:rPr>
          <w:rFonts w:hint="eastAsia" w:ascii="宋体" w:hAnsi="宋体" w:cs="宋体"/>
          <w:color w:val="000000"/>
          <w:sz w:val="24"/>
          <w:szCs w:val="24"/>
          <w:u w:val="single"/>
        </w:rPr>
        <w:t>    </w:t>
      </w:r>
      <w:r>
        <w:rPr>
          <w:rFonts w:hint="eastAsia" w:ascii="宋体" w:hAnsi="宋体" w:cs="宋体"/>
          <w:color w:val="000000"/>
          <w:sz w:val="24"/>
          <w:szCs w:val="24"/>
        </w:rPr>
        <w:t>；</w:t>
      </w:r>
    </w:p>
    <w:p w14:paraId="3C9C1E5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     </w:t>
      </w:r>
      <w:r>
        <w:rPr>
          <w:rFonts w:hint="eastAsia" w:ascii="宋体" w:hAnsi="宋体" w:cs="宋体"/>
          <w:color w:val="000000"/>
          <w:sz w:val="24"/>
          <w:szCs w:val="24"/>
        </w:rPr>
        <w:t>；</w:t>
      </w:r>
    </w:p>
    <w:p w14:paraId="4FFCC72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电子信箱：</w:t>
      </w:r>
      <w:r>
        <w:rPr>
          <w:rFonts w:hint="eastAsia" w:ascii="宋体" w:hAnsi="宋体" w:cs="宋体"/>
          <w:color w:val="000000"/>
          <w:sz w:val="24"/>
          <w:szCs w:val="24"/>
          <w:u w:val="single"/>
        </w:rPr>
        <w:t>     </w:t>
      </w:r>
      <w:r>
        <w:rPr>
          <w:rFonts w:hint="eastAsia" w:ascii="宋体" w:hAnsi="宋体" w:cs="宋体"/>
          <w:color w:val="000000"/>
          <w:sz w:val="24"/>
          <w:szCs w:val="24"/>
        </w:rPr>
        <w:t>；</w:t>
      </w:r>
    </w:p>
    <w:p w14:paraId="09AC019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通信地址：</w:t>
      </w:r>
      <w:r>
        <w:rPr>
          <w:rFonts w:hint="eastAsia" w:ascii="宋体" w:hAnsi="宋体" w:cs="宋体"/>
          <w:color w:val="000000"/>
          <w:sz w:val="24"/>
          <w:szCs w:val="24"/>
          <w:u w:val="single"/>
        </w:rPr>
        <w:t>    </w:t>
      </w:r>
      <w:r>
        <w:rPr>
          <w:rFonts w:hint="eastAsia" w:ascii="宋体" w:hAnsi="宋体" w:cs="宋体"/>
          <w:color w:val="000000"/>
          <w:sz w:val="24"/>
          <w:szCs w:val="24"/>
        </w:rPr>
        <w:t>。</w:t>
      </w:r>
    </w:p>
    <w:p w14:paraId="33B3BCFD">
      <w:pPr>
        <w:spacing w:line="360" w:lineRule="auto"/>
        <w:ind w:firstLine="480" w:firstLineChars="200"/>
        <w:rPr>
          <w:rFonts w:ascii="宋体" w:hAnsi="宋体" w:cs="宋体"/>
          <w:b/>
          <w:color w:val="000000"/>
          <w:sz w:val="24"/>
          <w:szCs w:val="24"/>
        </w:rPr>
      </w:pPr>
      <w:r>
        <w:rPr>
          <w:rFonts w:hint="eastAsia" w:ascii="宋体" w:hAnsi="宋体" w:cs="宋体"/>
          <w:color w:val="000000"/>
          <w:sz w:val="24"/>
          <w:szCs w:val="24"/>
        </w:rPr>
        <w:t>发包人对发包人代表的授权范围如下：</w:t>
      </w:r>
      <w:r>
        <w:rPr>
          <w:rFonts w:hint="eastAsia" w:ascii="宋体" w:hAnsi="宋体" w:cs="宋体"/>
          <w:color w:val="000000"/>
          <w:sz w:val="24"/>
          <w:szCs w:val="24"/>
          <w:u w:val="single"/>
        </w:rPr>
        <w:t>     </w:t>
      </w:r>
      <w:r>
        <w:rPr>
          <w:rFonts w:hint="eastAsia" w:ascii="宋体" w:hAnsi="宋体" w:cs="宋体"/>
          <w:color w:val="000000"/>
          <w:sz w:val="24"/>
          <w:szCs w:val="24"/>
        </w:rPr>
        <w:t>。</w:t>
      </w:r>
    </w:p>
    <w:p w14:paraId="66BF819A">
      <w:pPr>
        <w:spacing w:line="360" w:lineRule="auto"/>
        <w:ind w:firstLine="480" w:firstLineChars="200"/>
        <w:rPr>
          <w:rFonts w:ascii="宋体" w:hAnsi="宋体" w:cs="宋体"/>
          <w:color w:val="000000"/>
          <w:sz w:val="24"/>
          <w:szCs w:val="24"/>
        </w:rPr>
      </w:pPr>
      <w:bookmarkStart w:id="453" w:name="_Toc18471"/>
      <w:bookmarkStart w:id="454" w:name="_Toc14755"/>
      <w:bookmarkStart w:id="455" w:name="_Toc29371"/>
      <w:bookmarkStart w:id="456" w:name="_Toc23114"/>
      <w:bookmarkStart w:id="457" w:name="_Toc31118"/>
      <w:bookmarkStart w:id="458" w:name="_Toc10213"/>
      <w:bookmarkStart w:id="459" w:name="_Toc6756"/>
      <w:bookmarkStart w:id="460" w:name="_Toc16049"/>
      <w:bookmarkStart w:id="461" w:name="_Toc518573533"/>
      <w:bookmarkStart w:id="462" w:name="_Toc5163"/>
      <w:bookmarkStart w:id="463" w:name="_Toc518240097"/>
      <w:bookmarkStart w:id="464" w:name="_Toc10631"/>
      <w:bookmarkStart w:id="465" w:name="_Toc518573649"/>
      <w:bookmarkStart w:id="466" w:name="_Toc18215"/>
      <w:bookmarkStart w:id="467" w:name="_Toc4754"/>
      <w:bookmarkStart w:id="468" w:name="_Toc19669"/>
      <w:r>
        <w:rPr>
          <w:rFonts w:hint="eastAsia" w:ascii="宋体" w:hAnsi="宋体" w:cs="宋体"/>
          <w:color w:val="000000"/>
          <w:sz w:val="24"/>
          <w:szCs w:val="24"/>
        </w:rPr>
        <w:t>2.4 施工现场、施工条件和基础资料的提供</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392801F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2.4.1 提供施工现场</w:t>
      </w:r>
    </w:p>
    <w:p w14:paraId="56F7A9F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关于发包人移交施工现场的期限要求：</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C46593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2.4.2 提供施工条件</w:t>
      </w:r>
    </w:p>
    <w:p w14:paraId="1F0B5ED9">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关于发包人应负责提供施工所需要的条件，包括：</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12668803">
      <w:pPr>
        <w:spacing w:line="360" w:lineRule="auto"/>
        <w:ind w:firstLine="480" w:firstLineChars="200"/>
        <w:rPr>
          <w:rFonts w:ascii="宋体" w:hAnsi="宋体" w:cs="宋体"/>
          <w:color w:val="000000"/>
          <w:sz w:val="24"/>
          <w:szCs w:val="24"/>
        </w:rPr>
      </w:pPr>
      <w:bookmarkStart w:id="469" w:name="_Toc16418"/>
      <w:bookmarkStart w:id="470" w:name="_Toc24673"/>
      <w:bookmarkStart w:id="471" w:name="_Toc19591"/>
      <w:bookmarkStart w:id="472" w:name="_Toc31384"/>
      <w:bookmarkStart w:id="473" w:name="_Toc3077"/>
      <w:bookmarkStart w:id="474" w:name="_Toc31828"/>
      <w:bookmarkStart w:id="475" w:name="_Toc18118"/>
      <w:bookmarkStart w:id="476" w:name="_Toc518573650"/>
      <w:bookmarkStart w:id="477" w:name="_Toc20681"/>
      <w:bookmarkStart w:id="478" w:name="_Toc21405"/>
      <w:bookmarkStart w:id="479" w:name="_Toc20445"/>
      <w:bookmarkStart w:id="480" w:name="_Toc518240098"/>
      <w:bookmarkStart w:id="481" w:name="_Toc518573534"/>
      <w:bookmarkStart w:id="482" w:name="_Toc1882"/>
      <w:bookmarkStart w:id="483" w:name="_Toc12588"/>
      <w:bookmarkStart w:id="484" w:name="_Toc4830"/>
      <w:r>
        <w:rPr>
          <w:rFonts w:hint="eastAsia" w:ascii="宋体" w:hAnsi="宋体" w:cs="宋体"/>
          <w:color w:val="000000"/>
          <w:sz w:val="24"/>
          <w:szCs w:val="24"/>
        </w:rPr>
        <w:t>2.5 资金来源证明及支付担保</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2E904BE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发包人提供资金来源证明的期限要求：</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B0C05D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发包人是否提供支付担保：</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4AED5320">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发包人提供支付担保的形式：</w:t>
      </w:r>
      <w:r>
        <w:rPr>
          <w:rFonts w:hint="eastAsia" w:ascii="宋体" w:hAnsi="宋体" w:cs="宋体"/>
          <w:color w:val="000000"/>
          <w:sz w:val="24"/>
          <w:szCs w:val="24"/>
          <w:u w:val="single"/>
        </w:rPr>
        <w:t>                     </w:t>
      </w:r>
      <w:r>
        <w:rPr>
          <w:rFonts w:hint="eastAsia" w:ascii="宋体" w:hAnsi="宋体" w:cs="宋体"/>
          <w:color w:val="000000"/>
          <w:sz w:val="24"/>
          <w:szCs w:val="24"/>
        </w:rPr>
        <w:t>。</w:t>
      </w:r>
    </w:p>
    <w:p w14:paraId="06B72EC1">
      <w:pPr>
        <w:spacing w:line="360" w:lineRule="auto"/>
        <w:rPr>
          <w:rFonts w:ascii="宋体" w:hAnsi="宋体" w:cs="宋体"/>
          <w:color w:val="000000"/>
          <w:sz w:val="24"/>
          <w:szCs w:val="24"/>
        </w:rPr>
      </w:pPr>
      <w:bookmarkStart w:id="485" w:name="_Toc3961"/>
      <w:r>
        <w:rPr>
          <w:rFonts w:hint="eastAsia" w:ascii="宋体" w:hAnsi="宋体" w:cs="宋体"/>
          <w:color w:val="000000"/>
          <w:sz w:val="24"/>
          <w:szCs w:val="24"/>
        </w:rPr>
        <w:t>3</w:t>
      </w:r>
      <w:bookmarkStart w:id="486" w:name="_Toc296944497"/>
      <w:bookmarkStart w:id="487" w:name="_Toc296347157"/>
      <w:bookmarkStart w:id="488" w:name="_Toc297048344"/>
      <w:bookmarkStart w:id="489" w:name="_Toc296346659"/>
      <w:bookmarkStart w:id="490" w:name="_Toc292559868"/>
      <w:bookmarkStart w:id="491" w:name="_Toc296890986"/>
      <w:bookmarkStart w:id="492" w:name="_Toc296503158"/>
      <w:bookmarkStart w:id="493" w:name="_Toc296891198"/>
      <w:bookmarkStart w:id="494" w:name="_Toc292559363"/>
      <w:bookmarkStart w:id="495" w:name="_Toc297120458"/>
      <w:r>
        <w:rPr>
          <w:rFonts w:hint="eastAsia" w:ascii="宋体" w:hAnsi="宋体" w:cs="宋体"/>
          <w:color w:val="000000"/>
          <w:sz w:val="24"/>
          <w:szCs w:val="24"/>
        </w:rPr>
        <w:t>. 承包人</w:t>
      </w:r>
      <w:bookmarkEnd w:id="485"/>
    </w:p>
    <w:bookmarkEnd w:id="486"/>
    <w:bookmarkEnd w:id="487"/>
    <w:bookmarkEnd w:id="488"/>
    <w:bookmarkEnd w:id="489"/>
    <w:bookmarkEnd w:id="490"/>
    <w:bookmarkEnd w:id="491"/>
    <w:bookmarkEnd w:id="492"/>
    <w:bookmarkEnd w:id="493"/>
    <w:bookmarkEnd w:id="494"/>
    <w:bookmarkEnd w:id="495"/>
    <w:p w14:paraId="16EF808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3.1 承包人的一般义务</w:t>
      </w:r>
    </w:p>
    <w:p w14:paraId="4216467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（9）承包人提交的竣工资料的内容：</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546D54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承包人需要提交的竣工资料套数：</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AABDC9F">
      <w:pPr>
        <w:spacing w:line="360" w:lineRule="auto"/>
        <w:ind w:left="638" w:leftChars="304"/>
        <w:rPr>
          <w:rFonts w:ascii="宋体" w:hAnsi="宋体" w:cs="宋体"/>
          <w:color w:val="000000"/>
          <w:sz w:val="24"/>
          <w:szCs w:val="24"/>
        </w:rPr>
      </w:pPr>
      <w:r>
        <w:rPr>
          <w:rFonts w:hint="eastAsia" w:ascii="宋体" w:hAnsi="宋体" w:cs="宋体"/>
          <w:color w:val="000000"/>
          <w:sz w:val="24"/>
          <w:szCs w:val="24"/>
        </w:rPr>
        <w:t>承包人提交的竣工资料的费用承担：</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0F23D8A">
      <w:pPr>
        <w:spacing w:line="360" w:lineRule="auto"/>
        <w:ind w:left="638" w:leftChars="304"/>
        <w:rPr>
          <w:rFonts w:ascii="宋体" w:hAnsi="宋体" w:cs="宋体"/>
          <w:color w:val="000000"/>
          <w:sz w:val="24"/>
          <w:szCs w:val="24"/>
        </w:rPr>
      </w:pPr>
      <w:r>
        <w:rPr>
          <w:rFonts w:hint="eastAsia" w:ascii="宋体" w:hAnsi="宋体" w:cs="宋体"/>
          <w:color w:val="000000"/>
          <w:sz w:val="24"/>
          <w:szCs w:val="24"/>
        </w:rPr>
        <w:t>承包人提交的竣工资料移交时间：</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0C1965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承包人提交的竣工资料形式要求：</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37844C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（10）承包人应履行的其他义务：</w:t>
      </w:r>
      <w:r>
        <w:rPr>
          <w:rFonts w:hint="eastAsia" w:ascii="宋体" w:hAnsi="宋体" w:cs="宋体"/>
          <w:color w:val="000000"/>
          <w:sz w:val="24"/>
          <w:szCs w:val="24"/>
          <w:u w:val="single"/>
        </w:rPr>
        <w:t>             </w:t>
      </w:r>
      <w:r>
        <w:rPr>
          <w:rFonts w:hint="eastAsia" w:ascii="宋体" w:hAnsi="宋体" w:cs="宋体"/>
          <w:color w:val="000000"/>
          <w:sz w:val="24"/>
          <w:szCs w:val="24"/>
        </w:rPr>
        <w:t>。</w:t>
      </w:r>
    </w:p>
    <w:p w14:paraId="692A740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3.2 项目经理</w:t>
      </w:r>
    </w:p>
    <w:p w14:paraId="57DD99C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3.2.1 项目经理：</w:t>
      </w:r>
    </w:p>
    <w:p w14:paraId="19706B2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姓    名：</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15C5C94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身份证号：</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3F919DF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项目负责人执业资格等级：</w:t>
      </w:r>
      <w:r>
        <w:rPr>
          <w:rFonts w:hint="eastAsia" w:ascii="宋体" w:hAnsi="宋体" w:cs="宋体"/>
          <w:color w:val="000000"/>
          <w:sz w:val="24"/>
          <w:szCs w:val="24"/>
          <w:u w:val="single"/>
        </w:rPr>
        <w:t>   </w:t>
      </w:r>
      <w:r>
        <w:rPr>
          <w:rFonts w:hint="eastAsia" w:ascii="宋体" w:hAnsi="宋体" w:cs="宋体"/>
          <w:color w:val="000000"/>
          <w:sz w:val="24"/>
          <w:szCs w:val="24"/>
        </w:rPr>
        <w:t>；</w:t>
      </w:r>
    </w:p>
    <w:p w14:paraId="1491B11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项目负责人职称证书号：</w:t>
      </w:r>
      <w:r>
        <w:rPr>
          <w:rFonts w:hint="eastAsia" w:ascii="宋体" w:hAnsi="宋体" w:cs="宋体"/>
          <w:color w:val="000000"/>
          <w:sz w:val="24"/>
          <w:szCs w:val="24"/>
          <w:u w:val="single"/>
        </w:rPr>
        <w:t> </w:t>
      </w:r>
      <w:r>
        <w:rPr>
          <w:rFonts w:hint="eastAsia" w:ascii="宋体" w:hAnsi="宋体" w:cs="宋体"/>
          <w:color w:val="000000"/>
          <w:sz w:val="24"/>
          <w:szCs w:val="24"/>
        </w:rPr>
        <w:t>；</w:t>
      </w:r>
    </w:p>
    <w:p w14:paraId="598BFDD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项目负责人执业印章号：</w:t>
      </w:r>
      <w:r>
        <w:rPr>
          <w:rFonts w:hint="eastAsia" w:ascii="宋体" w:hAnsi="宋体" w:cs="宋体"/>
          <w:color w:val="000000"/>
          <w:sz w:val="24"/>
          <w:szCs w:val="24"/>
          <w:u w:val="single"/>
        </w:rPr>
        <w:t> </w:t>
      </w:r>
      <w:r>
        <w:rPr>
          <w:rFonts w:hint="eastAsia" w:ascii="宋体" w:hAnsi="宋体" w:cs="宋体"/>
          <w:color w:val="000000"/>
          <w:sz w:val="24"/>
          <w:szCs w:val="24"/>
        </w:rPr>
        <w:t>；</w:t>
      </w:r>
    </w:p>
    <w:p w14:paraId="1571964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         </w:t>
      </w:r>
      <w:r>
        <w:rPr>
          <w:rFonts w:hint="eastAsia" w:ascii="宋体" w:hAnsi="宋体" w:cs="宋体"/>
          <w:color w:val="000000"/>
          <w:sz w:val="24"/>
          <w:szCs w:val="24"/>
        </w:rPr>
        <w:t>；</w:t>
      </w:r>
    </w:p>
    <w:p w14:paraId="426B579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电子信箱：</w:t>
      </w:r>
      <w:r>
        <w:rPr>
          <w:rFonts w:hint="eastAsia" w:ascii="宋体" w:hAnsi="宋体" w:cs="宋体"/>
          <w:color w:val="000000"/>
          <w:sz w:val="24"/>
          <w:szCs w:val="24"/>
          <w:u w:val="single"/>
        </w:rPr>
        <w:t>         </w:t>
      </w:r>
      <w:r>
        <w:rPr>
          <w:rFonts w:hint="eastAsia" w:ascii="宋体" w:hAnsi="宋体" w:cs="宋体"/>
          <w:color w:val="000000"/>
          <w:sz w:val="24"/>
          <w:szCs w:val="24"/>
        </w:rPr>
        <w:t>；</w:t>
      </w:r>
    </w:p>
    <w:p w14:paraId="52CA599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通信地址：</w:t>
      </w:r>
      <w:r>
        <w:rPr>
          <w:rFonts w:hint="eastAsia" w:ascii="宋体" w:hAnsi="宋体" w:cs="宋体"/>
          <w:color w:val="000000"/>
          <w:sz w:val="24"/>
          <w:szCs w:val="24"/>
          <w:u w:val="single"/>
        </w:rPr>
        <w:t>         </w:t>
      </w:r>
      <w:r>
        <w:rPr>
          <w:rFonts w:hint="eastAsia" w:ascii="宋体" w:hAnsi="宋体" w:cs="宋体"/>
          <w:color w:val="000000"/>
          <w:sz w:val="24"/>
          <w:szCs w:val="24"/>
        </w:rPr>
        <w:t>；</w:t>
      </w:r>
    </w:p>
    <w:p w14:paraId="74265C4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承包人对项目经理的授权范围如下：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5D60FB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关于项目经理每月在施工现场的时间要求：</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7EC713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承包人未提交劳动合同，以及没有为项目经理缴纳社会保险证明的违约责任：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6980E83F">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项目经理未经批准，擅自离开施工现场的违约责任：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0C671C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3.2.3 承包人擅自更换项目经理的违约责任：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7F9306B6">
      <w:pPr>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496" w:name="_Toc14103"/>
      <w:bookmarkStart w:id="497" w:name="_Toc9990"/>
      <w:bookmarkStart w:id="498" w:name="_Toc11308"/>
      <w:bookmarkStart w:id="499" w:name="_Toc518240099"/>
      <w:bookmarkStart w:id="500" w:name="_Toc32709"/>
      <w:bookmarkStart w:id="501" w:name="_Toc18002"/>
      <w:bookmarkStart w:id="502" w:name="_Toc518573651"/>
      <w:bookmarkStart w:id="503" w:name="_Toc6473"/>
      <w:bookmarkStart w:id="504" w:name="_Toc518573535"/>
      <w:bookmarkStart w:id="505" w:name="_Toc11812"/>
      <w:bookmarkStart w:id="506" w:name="_Toc12946"/>
      <w:bookmarkStart w:id="507" w:name="_Toc13974"/>
      <w:bookmarkStart w:id="508" w:name="_Toc23711"/>
      <w:bookmarkStart w:id="509" w:name="_Toc30677"/>
      <w:bookmarkStart w:id="510" w:name="_Toc2869"/>
      <w:bookmarkStart w:id="511" w:name="_Toc32070"/>
      <w:r>
        <w:rPr>
          <w:rFonts w:hint="eastAsia" w:ascii="宋体" w:hAnsi="宋体" w:cs="宋体"/>
          <w:color w:val="000000"/>
          <w:sz w:val="24"/>
          <w:szCs w:val="24"/>
        </w:rPr>
        <w:t>3.2.4 承包人无正当理由拒绝更换项目经理的违约责任：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BCDDAA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3.3 承包人人员</w:t>
      </w:r>
    </w:p>
    <w:p w14:paraId="1B0B8A7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3.3.1 承包人提交项目管理机构及施工现场管理人员安排报告的期限：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D00C8A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3.3.3 承包人无正当理由拒绝撤换主要施工管理人员的违约责任：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50E16F02">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 xml:space="preserve">3.3.4 承包人主要施工管理人员离开施工现场的批准要求：   </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7FCA97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3.3.5承包人擅自更换主要施工管理人员的违约责任：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723B6DF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承包人主要施工管理人员擅自离开施工现场的违约责任：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2040375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w:t>
      </w:r>
      <w:bookmarkStart w:id="512" w:name="_Toc296890987"/>
      <w:bookmarkStart w:id="513" w:name="_Toc304295523"/>
      <w:bookmarkStart w:id="514" w:name="_Toc297123492"/>
      <w:bookmarkStart w:id="515" w:name="_Toc300934945"/>
      <w:bookmarkStart w:id="516" w:name="_Toc292559364"/>
      <w:bookmarkStart w:id="517" w:name="_Toc312677988"/>
      <w:bookmarkStart w:id="518" w:name="_Toc296944498"/>
      <w:bookmarkStart w:id="519" w:name="_Toc296347158"/>
      <w:bookmarkStart w:id="520" w:name="_Toc296503159"/>
      <w:bookmarkStart w:id="521" w:name="_Toc296346660"/>
      <w:bookmarkStart w:id="522" w:name="_Toc297120459"/>
      <w:bookmarkStart w:id="523" w:name="_Toc297048345"/>
      <w:bookmarkStart w:id="524" w:name="_Toc292559869"/>
      <w:bookmarkStart w:id="525" w:name="_Toc303539102"/>
      <w:bookmarkStart w:id="526" w:name="_Toc296891199"/>
      <w:bookmarkStart w:id="527" w:name="_Toc297216151"/>
      <w:r>
        <w:rPr>
          <w:rFonts w:hint="eastAsia" w:ascii="宋体" w:hAnsi="宋体" w:cs="宋体"/>
          <w:color w:val="000000"/>
          <w:sz w:val="24"/>
          <w:szCs w:val="24"/>
        </w:rPr>
        <w:t>.5 分包</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14:paraId="0F8323EA">
      <w:pPr>
        <w:spacing w:line="360" w:lineRule="auto"/>
        <w:ind w:firstLine="480" w:firstLineChars="200"/>
        <w:rPr>
          <w:rFonts w:ascii="宋体" w:hAnsi="宋体" w:cs="宋体"/>
          <w:sz w:val="24"/>
          <w:szCs w:val="24"/>
        </w:rPr>
      </w:pPr>
      <w:r>
        <w:rPr>
          <w:rFonts w:hint="eastAsia" w:ascii="宋体" w:hAnsi="宋体" w:cs="宋体"/>
          <w:sz w:val="24"/>
          <w:szCs w:val="24"/>
        </w:rPr>
        <w:t>3</w:t>
      </w:r>
      <w:bookmarkStart w:id="528" w:name="_Toc297120460"/>
      <w:bookmarkStart w:id="529" w:name="_Toc296347159"/>
      <w:bookmarkStart w:id="530" w:name="_Toc297216152"/>
      <w:bookmarkStart w:id="531" w:name="_Toc292559365"/>
      <w:bookmarkStart w:id="532" w:name="_Toc296503160"/>
      <w:bookmarkStart w:id="533" w:name="_Toc297048346"/>
      <w:bookmarkStart w:id="534" w:name="_Toc304295524"/>
      <w:bookmarkStart w:id="535" w:name="_Toc296346661"/>
      <w:bookmarkStart w:id="536" w:name="_Toc292559870"/>
      <w:bookmarkStart w:id="537" w:name="_Toc296944499"/>
      <w:bookmarkStart w:id="538" w:name="_Toc296891200"/>
      <w:bookmarkStart w:id="539" w:name="_Toc300934946"/>
      <w:bookmarkStart w:id="540" w:name="_Toc297123493"/>
      <w:bookmarkStart w:id="541" w:name="_Toc303539103"/>
      <w:bookmarkStart w:id="542" w:name="_Toc296890988"/>
      <w:bookmarkStart w:id="543" w:name="_Toc312677989"/>
      <w:bookmarkStart w:id="544" w:name="_Toc318581158"/>
      <w:r>
        <w:rPr>
          <w:rFonts w:hint="eastAsia" w:ascii="宋体" w:hAnsi="宋体" w:cs="宋体"/>
          <w:sz w:val="24"/>
          <w:szCs w:val="24"/>
        </w:rPr>
        <w:t>.5.1 分包的一般约定</w:t>
      </w:r>
    </w:p>
    <w:p w14:paraId="4998E234">
      <w:pPr>
        <w:spacing w:line="360" w:lineRule="auto"/>
        <w:ind w:firstLine="480" w:firstLineChars="200"/>
        <w:rPr>
          <w:rFonts w:ascii="宋体" w:hAnsi="宋体" w:cs="宋体"/>
          <w:sz w:val="24"/>
          <w:szCs w:val="24"/>
        </w:rPr>
      </w:pPr>
      <w:r>
        <w:rPr>
          <w:rFonts w:hint="eastAsia" w:ascii="宋体" w:hAnsi="宋体" w:cs="宋体"/>
          <w:sz w:val="24"/>
          <w:szCs w:val="24"/>
        </w:rPr>
        <w:t>禁止分包的工程包括：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6477D30">
      <w:pPr>
        <w:spacing w:line="360" w:lineRule="auto"/>
        <w:ind w:firstLine="480" w:firstLineChars="200"/>
        <w:rPr>
          <w:rFonts w:ascii="宋体" w:hAnsi="宋体" w:cs="宋体"/>
          <w:color w:val="000000"/>
          <w:sz w:val="24"/>
          <w:szCs w:val="24"/>
          <w:u w:val="single"/>
        </w:rPr>
      </w:pPr>
      <w:r>
        <w:rPr>
          <w:rFonts w:hint="eastAsia" w:ascii="宋体" w:hAnsi="宋体" w:cs="宋体"/>
          <w:sz w:val="24"/>
          <w:szCs w:val="24"/>
        </w:rPr>
        <w:t>主体结构、关键性工作的范围：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Start w:id="545" w:name="_Toc296347160"/>
      <w:bookmarkStart w:id="546" w:name="_Toc296346662"/>
      <w:bookmarkStart w:id="547" w:name="_Toc296891201"/>
      <w:bookmarkStart w:id="548" w:name="_Toc300934947"/>
      <w:bookmarkStart w:id="549" w:name="_Toc296503161"/>
      <w:bookmarkStart w:id="550" w:name="_Toc297048347"/>
      <w:bookmarkStart w:id="551" w:name="_Toc296890989"/>
      <w:bookmarkStart w:id="552" w:name="_Toc303539104"/>
      <w:bookmarkStart w:id="553" w:name="_Toc296944500"/>
      <w:bookmarkStart w:id="554" w:name="_Toc297123494"/>
      <w:bookmarkStart w:id="555" w:name="_Toc297216153"/>
      <w:bookmarkStart w:id="556" w:name="_Toc297120461"/>
      <w:bookmarkStart w:id="557" w:name="_Toc304295525"/>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7DF560A2">
      <w:pPr>
        <w:spacing w:line="360" w:lineRule="auto"/>
        <w:rPr>
          <w:rFonts w:ascii="宋体" w:hAnsi="宋体" w:cs="宋体"/>
          <w:sz w:val="24"/>
          <w:szCs w:val="24"/>
        </w:rPr>
      </w:pPr>
      <w:r>
        <w:rPr>
          <w:rFonts w:hint="eastAsia" w:ascii="宋体" w:hAnsi="宋体" w:cs="宋体"/>
          <w:sz w:val="24"/>
          <w:szCs w:val="24"/>
        </w:rPr>
        <w:t xml:space="preserve">    3</w:t>
      </w:r>
      <w:bookmarkStart w:id="558" w:name="_Toc312677990"/>
      <w:bookmarkStart w:id="559" w:name="_Toc318581159"/>
      <w:r>
        <w:rPr>
          <w:rFonts w:hint="eastAsia" w:ascii="宋体" w:hAnsi="宋体" w:cs="宋体"/>
          <w:sz w:val="24"/>
          <w:szCs w:val="24"/>
        </w:rPr>
        <w:t>.5.2分包的确定</w:t>
      </w:r>
    </w:p>
    <w:p w14:paraId="36EAC6C8">
      <w:pPr>
        <w:spacing w:line="360" w:lineRule="auto"/>
        <w:ind w:firstLine="480" w:firstLineChars="200"/>
        <w:rPr>
          <w:rFonts w:ascii="宋体" w:hAnsi="宋体" w:cs="宋体"/>
          <w:color w:val="000000"/>
          <w:sz w:val="24"/>
          <w:szCs w:val="24"/>
          <w:u w:val="single"/>
        </w:rPr>
      </w:pPr>
      <w:r>
        <w:rPr>
          <w:rFonts w:hint="eastAsia" w:ascii="宋体" w:hAnsi="宋体" w:cs="宋体"/>
          <w:sz w:val="24"/>
          <w:szCs w:val="24"/>
        </w:rPr>
        <w:t>允许分包的专业工程包括：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061351D">
      <w:pPr>
        <w:spacing w:line="360" w:lineRule="auto"/>
        <w:ind w:firstLine="480" w:firstLineChars="200"/>
        <w:rPr>
          <w:rFonts w:ascii="宋体" w:hAnsi="宋体" w:cs="宋体"/>
          <w:sz w:val="24"/>
          <w:szCs w:val="24"/>
        </w:rPr>
      </w:pPr>
      <w:r>
        <w:rPr>
          <w:rFonts w:hint="eastAsia" w:ascii="宋体" w:hAnsi="宋体" w:cs="宋体"/>
          <w:color w:val="000000"/>
          <w:sz w:val="24"/>
          <w:szCs w:val="24"/>
        </w:rPr>
        <w:t>其他关于分包的约定：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C18A498">
      <w:pPr>
        <w:spacing w:line="360" w:lineRule="auto"/>
        <w:ind w:firstLine="480" w:firstLineChars="200"/>
        <w:rPr>
          <w:rFonts w:ascii="宋体" w:hAnsi="宋体" w:cs="宋体"/>
          <w:sz w:val="24"/>
          <w:szCs w:val="24"/>
        </w:rPr>
      </w:pPr>
      <w:r>
        <w:rPr>
          <w:rFonts w:hint="eastAsia" w:ascii="宋体" w:hAnsi="宋体" w:cs="宋体"/>
          <w:sz w:val="24"/>
          <w:szCs w:val="24"/>
        </w:rPr>
        <w:t>3.5.4 分包合同价款</w:t>
      </w:r>
    </w:p>
    <w:p w14:paraId="24BBA6DA">
      <w:pPr>
        <w:spacing w:line="360" w:lineRule="auto"/>
        <w:ind w:firstLine="480" w:firstLineChars="200"/>
        <w:rPr>
          <w:rFonts w:ascii="宋体" w:hAnsi="宋体" w:cs="宋体"/>
          <w:sz w:val="24"/>
          <w:szCs w:val="24"/>
        </w:rPr>
      </w:pPr>
      <w:r>
        <w:rPr>
          <w:rFonts w:hint="eastAsia" w:ascii="宋体" w:hAnsi="宋体" w:cs="宋体"/>
          <w:sz w:val="24"/>
          <w:szCs w:val="24"/>
        </w:rPr>
        <w:t>关于分包合同价款支付的约定：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558"/>
    <w:bookmarkEnd w:id="559"/>
    <w:p w14:paraId="7A138CB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3.6 工程照管与成品、半成品保护</w:t>
      </w:r>
    </w:p>
    <w:p w14:paraId="4E5B1897">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承包人负责照管工程及工程相关的材料、工程设备的起始时间：</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098547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3.7 履约担保</w:t>
      </w:r>
    </w:p>
    <w:p w14:paraId="30BCE06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承包人是否提供履约担保：</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B3AE2D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承包人提供履约担保的形式、金额及期限的：</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C94A78B">
      <w:pPr>
        <w:spacing w:line="360" w:lineRule="auto"/>
        <w:rPr>
          <w:rFonts w:ascii="宋体" w:hAnsi="宋体" w:cs="宋体"/>
          <w:color w:val="000000"/>
          <w:sz w:val="24"/>
          <w:szCs w:val="24"/>
        </w:rPr>
      </w:pPr>
      <w:bookmarkStart w:id="560" w:name="_Toc8178"/>
      <w:r>
        <w:rPr>
          <w:rFonts w:hint="eastAsia" w:ascii="宋体" w:hAnsi="宋体" w:cs="宋体"/>
          <w:color w:val="000000"/>
          <w:sz w:val="24"/>
          <w:szCs w:val="24"/>
        </w:rPr>
        <w:t>4</w:t>
      </w:r>
      <w:bookmarkStart w:id="561" w:name="_Toc296944501"/>
      <w:bookmarkStart w:id="562" w:name="_Toc292559871"/>
      <w:bookmarkStart w:id="563" w:name="_Toc297048348"/>
      <w:bookmarkStart w:id="564" w:name="_Toc267251413"/>
      <w:bookmarkStart w:id="565" w:name="_Toc292559366"/>
      <w:bookmarkStart w:id="566" w:name="_Toc297120462"/>
      <w:bookmarkStart w:id="567" w:name="_Toc296503162"/>
      <w:bookmarkStart w:id="568" w:name="_Toc296347161"/>
      <w:bookmarkStart w:id="569" w:name="_Toc296890990"/>
      <w:bookmarkStart w:id="570" w:name="_Toc296891202"/>
      <w:bookmarkStart w:id="571" w:name="_Toc296346663"/>
      <w:r>
        <w:rPr>
          <w:rFonts w:hint="eastAsia" w:ascii="宋体" w:hAnsi="宋体" w:cs="宋体"/>
          <w:color w:val="000000"/>
          <w:sz w:val="24"/>
          <w:szCs w:val="24"/>
        </w:rPr>
        <w:t>. 监</w:t>
      </w:r>
      <w:bookmarkEnd w:id="561"/>
      <w:bookmarkEnd w:id="562"/>
      <w:bookmarkEnd w:id="563"/>
      <w:bookmarkEnd w:id="564"/>
      <w:bookmarkEnd w:id="565"/>
      <w:bookmarkEnd w:id="566"/>
      <w:bookmarkEnd w:id="567"/>
      <w:bookmarkEnd w:id="568"/>
      <w:bookmarkEnd w:id="569"/>
      <w:bookmarkEnd w:id="570"/>
      <w:bookmarkEnd w:id="571"/>
      <w:r>
        <w:rPr>
          <w:rFonts w:hint="eastAsia" w:ascii="宋体" w:hAnsi="宋体" w:cs="宋体"/>
          <w:color w:val="000000"/>
          <w:sz w:val="24"/>
          <w:szCs w:val="24"/>
        </w:rPr>
        <w:t>理人</w:t>
      </w:r>
      <w:bookmarkEnd w:id="560"/>
    </w:p>
    <w:p w14:paraId="4509B5F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4.1监理人的一般规定</w:t>
      </w:r>
    </w:p>
    <w:p w14:paraId="4155F4B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关于监理人的监理内容：</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FBA500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关于监理人的监理权限：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2BFA41E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关于监理人在施工现场的办公场所、生活场所的提供和费用承担的约定：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2720EA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4.2 监理人员</w:t>
      </w:r>
    </w:p>
    <w:p w14:paraId="5A047CF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总监理工程师：</w:t>
      </w:r>
    </w:p>
    <w:p w14:paraId="3EC3E41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姓    名：</w:t>
      </w:r>
      <w:r>
        <w:rPr>
          <w:rFonts w:hint="eastAsia" w:ascii="宋体" w:hAnsi="宋体" w:cs="宋体"/>
          <w:color w:val="000000"/>
          <w:sz w:val="24"/>
          <w:szCs w:val="24"/>
          <w:u w:val="single"/>
        </w:rPr>
        <w:t>   </w:t>
      </w:r>
      <w:r>
        <w:rPr>
          <w:rFonts w:hint="eastAsia" w:ascii="宋体" w:hAnsi="宋体" w:cs="宋体"/>
          <w:color w:val="000000"/>
          <w:sz w:val="24"/>
          <w:szCs w:val="24"/>
        </w:rPr>
        <w:t>；</w:t>
      </w:r>
    </w:p>
    <w:p w14:paraId="11D5DBB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职    务：</w:t>
      </w:r>
      <w:r>
        <w:rPr>
          <w:rFonts w:hint="eastAsia" w:ascii="宋体" w:hAnsi="宋体" w:cs="宋体"/>
          <w:color w:val="000000"/>
          <w:sz w:val="24"/>
          <w:szCs w:val="24"/>
          <w:u w:val="single"/>
        </w:rPr>
        <w:t>   </w:t>
      </w:r>
      <w:r>
        <w:rPr>
          <w:rFonts w:hint="eastAsia" w:ascii="宋体" w:hAnsi="宋体" w:cs="宋体"/>
          <w:color w:val="000000"/>
          <w:sz w:val="24"/>
          <w:szCs w:val="24"/>
        </w:rPr>
        <w:t>；</w:t>
      </w:r>
    </w:p>
    <w:p w14:paraId="522D25C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监理工程师执业资格证书号：</w:t>
      </w:r>
      <w:r>
        <w:rPr>
          <w:rFonts w:hint="eastAsia" w:ascii="宋体" w:hAnsi="宋体" w:cs="宋体"/>
          <w:color w:val="000000"/>
          <w:sz w:val="24"/>
          <w:szCs w:val="24"/>
          <w:u w:val="single"/>
        </w:rPr>
        <w:t> </w:t>
      </w:r>
      <w:r>
        <w:rPr>
          <w:rFonts w:hint="eastAsia" w:ascii="宋体" w:hAnsi="宋体" w:cs="宋体"/>
          <w:color w:val="000000"/>
          <w:sz w:val="24"/>
          <w:szCs w:val="24"/>
        </w:rPr>
        <w:t>；</w:t>
      </w:r>
    </w:p>
    <w:p w14:paraId="24C6320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   </w:t>
      </w:r>
      <w:r>
        <w:rPr>
          <w:rFonts w:hint="eastAsia" w:ascii="宋体" w:hAnsi="宋体" w:cs="宋体"/>
          <w:color w:val="000000"/>
          <w:sz w:val="24"/>
          <w:szCs w:val="24"/>
        </w:rPr>
        <w:t>；</w:t>
      </w:r>
    </w:p>
    <w:p w14:paraId="04D017B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电子信箱：</w:t>
      </w:r>
      <w:r>
        <w:rPr>
          <w:rFonts w:hint="eastAsia" w:ascii="宋体" w:hAnsi="宋体" w:cs="宋体"/>
          <w:color w:val="000000"/>
          <w:sz w:val="24"/>
          <w:szCs w:val="24"/>
          <w:u w:val="single"/>
        </w:rPr>
        <w:t>   </w:t>
      </w:r>
      <w:r>
        <w:rPr>
          <w:rFonts w:hint="eastAsia" w:ascii="宋体" w:hAnsi="宋体" w:cs="宋体"/>
          <w:color w:val="000000"/>
          <w:sz w:val="24"/>
          <w:szCs w:val="24"/>
        </w:rPr>
        <w:t>；</w:t>
      </w:r>
    </w:p>
    <w:p w14:paraId="7CEF5FA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通信地址：</w:t>
      </w:r>
      <w:r>
        <w:rPr>
          <w:rFonts w:hint="eastAsia" w:ascii="宋体" w:hAnsi="宋体" w:cs="宋体"/>
          <w:color w:val="000000"/>
          <w:sz w:val="24"/>
          <w:szCs w:val="24"/>
          <w:u w:val="single"/>
        </w:rPr>
        <w:t>   </w:t>
      </w:r>
      <w:r>
        <w:rPr>
          <w:rFonts w:hint="eastAsia" w:ascii="宋体" w:hAnsi="宋体" w:cs="宋体"/>
          <w:color w:val="000000"/>
          <w:sz w:val="24"/>
          <w:szCs w:val="24"/>
        </w:rPr>
        <w:t>；</w:t>
      </w:r>
    </w:p>
    <w:p w14:paraId="0BC05AF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关于监理人的其他约定：</w:t>
      </w:r>
      <w:r>
        <w:rPr>
          <w:rFonts w:hint="eastAsia" w:ascii="宋体" w:hAnsi="宋体" w:cs="宋体"/>
          <w:color w:val="000000"/>
          <w:sz w:val="24"/>
          <w:szCs w:val="24"/>
          <w:u w:val="single"/>
        </w:rPr>
        <w:t>   </w:t>
      </w:r>
      <w:r>
        <w:rPr>
          <w:rFonts w:hint="eastAsia" w:ascii="宋体" w:hAnsi="宋体" w:cs="宋体"/>
          <w:color w:val="000000"/>
          <w:sz w:val="24"/>
          <w:szCs w:val="24"/>
        </w:rPr>
        <w:t>。</w:t>
      </w:r>
    </w:p>
    <w:p w14:paraId="0FEFFB2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4.4 商定或确定</w:t>
      </w:r>
    </w:p>
    <w:p w14:paraId="66592A7A">
      <w:pPr>
        <w:spacing w:line="360" w:lineRule="auto"/>
        <w:ind w:firstLine="480" w:firstLineChars="200"/>
        <w:rPr>
          <w:rFonts w:ascii="宋体" w:hAnsi="宋体" w:cs="宋体"/>
          <w:color w:val="000000"/>
          <w:sz w:val="24"/>
          <w:szCs w:val="24"/>
        </w:rPr>
      </w:pPr>
      <w:bookmarkStart w:id="572" w:name="_Toc267251418"/>
      <w:r>
        <w:rPr>
          <w:rFonts w:hint="eastAsia" w:ascii="宋体" w:hAnsi="宋体" w:cs="宋体"/>
          <w:color w:val="000000"/>
          <w:sz w:val="24"/>
          <w:szCs w:val="24"/>
        </w:rPr>
        <w:t>在发包人和承包人不能通过协商达成一致意见时，发包人授权监理人对以下事项进行确定：</w:t>
      </w:r>
    </w:p>
    <w:p w14:paraId="59FD848C">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CDF0EE6">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BE5C004">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938153D">
      <w:pPr>
        <w:spacing w:line="360" w:lineRule="auto"/>
        <w:rPr>
          <w:rFonts w:ascii="宋体" w:hAnsi="宋体" w:cs="宋体"/>
          <w:color w:val="000000"/>
          <w:sz w:val="24"/>
          <w:szCs w:val="24"/>
        </w:rPr>
      </w:pPr>
      <w:bookmarkStart w:id="573" w:name="_Toc16762"/>
      <w:r>
        <w:rPr>
          <w:rFonts w:hint="eastAsia" w:ascii="宋体" w:hAnsi="宋体" w:cs="宋体"/>
          <w:color w:val="000000"/>
          <w:sz w:val="24"/>
          <w:szCs w:val="24"/>
        </w:rPr>
        <w:t>5</w:t>
      </w:r>
      <w:bookmarkEnd w:id="572"/>
      <w:bookmarkStart w:id="574" w:name="_Toc296503163"/>
      <w:bookmarkStart w:id="575" w:name="_Toc296347162"/>
      <w:bookmarkStart w:id="576" w:name="_Toc296944502"/>
      <w:bookmarkStart w:id="577" w:name="_Toc292559367"/>
      <w:bookmarkStart w:id="578" w:name="_Toc292559872"/>
      <w:bookmarkStart w:id="579" w:name="_Toc297120463"/>
      <w:bookmarkStart w:id="580" w:name="_Toc296890991"/>
      <w:bookmarkStart w:id="581" w:name="_Toc296346664"/>
      <w:bookmarkStart w:id="582" w:name="_Toc297048349"/>
      <w:bookmarkStart w:id="583" w:name="_Toc296891203"/>
      <w:r>
        <w:rPr>
          <w:rFonts w:hint="eastAsia" w:ascii="宋体" w:hAnsi="宋体" w:cs="宋体"/>
          <w:color w:val="000000"/>
          <w:sz w:val="24"/>
          <w:szCs w:val="24"/>
        </w:rPr>
        <w:t>. 工程质量</w:t>
      </w:r>
      <w:bookmarkEnd w:id="573"/>
    </w:p>
    <w:p w14:paraId="507FE4C5">
      <w:pPr>
        <w:spacing w:line="360" w:lineRule="auto"/>
        <w:ind w:firstLine="480" w:firstLineChars="200"/>
        <w:rPr>
          <w:rFonts w:ascii="宋体" w:hAnsi="宋体" w:cs="宋体"/>
          <w:color w:val="000000"/>
          <w:sz w:val="24"/>
          <w:szCs w:val="24"/>
        </w:rPr>
      </w:pPr>
      <w:bookmarkStart w:id="584" w:name="_Toc25314"/>
      <w:bookmarkStart w:id="585" w:name="_Toc25269"/>
      <w:bookmarkStart w:id="586" w:name="_Toc5879"/>
      <w:bookmarkStart w:id="587" w:name="_Toc26331"/>
      <w:bookmarkStart w:id="588" w:name="_Toc518573536"/>
      <w:bookmarkStart w:id="589" w:name="_Toc7267"/>
      <w:bookmarkStart w:id="590" w:name="_Toc5580"/>
      <w:bookmarkStart w:id="591" w:name="_Toc14486"/>
      <w:bookmarkStart w:id="592" w:name="_Toc18077"/>
      <w:bookmarkStart w:id="593" w:name="_Toc23185"/>
      <w:bookmarkStart w:id="594" w:name="_Toc23539"/>
      <w:bookmarkStart w:id="595" w:name="_Toc30590"/>
      <w:bookmarkStart w:id="596" w:name="_Toc518573652"/>
      <w:bookmarkStart w:id="597" w:name="_Toc21774"/>
      <w:bookmarkStart w:id="598" w:name="_Toc11115"/>
      <w:bookmarkStart w:id="599" w:name="_Toc518240100"/>
      <w:r>
        <w:rPr>
          <w:rFonts w:hint="eastAsia" w:ascii="宋体" w:hAnsi="宋体" w:cs="宋体"/>
          <w:color w:val="000000"/>
          <w:sz w:val="24"/>
          <w:szCs w:val="24"/>
        </w:rPr>
        <w:t>5.1 质量要求</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5AB906AA">
      <w:pPr>
        <w:spacing w:line="360" w:lineRule="auto"/>
        <w:ind w:firstLine="480" w:firstLineChars="200"/>
        <w:rPr>
          <w:rFonts w:ascii="宋体" w:hAnsi="宋体" w:cs="宋体"/>
          <w:sz w:val="24"/>
          <w:szCs w:val="24"/>
        </w:rPr>
      </w:pPr>
      <w:r>
        <w:rPr>
          <w:rFonts w:hint="eastAsia" w:ascii="宋体" w:hAnsi="宋体" w:cs="宋体"/>
          <w:sz w:val="24"/>
          <w:szCs w:val="24"/>
        </w:rPr>
        <w:t>5</w:t>
      </w:r>
      <w:bookmarkStart w:id="600" w:name="_Toc318581164"/>
      <w:bookmarkStart w:id="601" w:name="_Toc300934949"/>
      <w:bookmarkStart w:id="602" w:name="_Toc304295527"/>
      <w:bookmarkStart w:id="603" w:name="_Toc297216155"/>
      <w:bookmarkStart w:id="604" w:name="_Toc303539106"/>
      <w:bookmarkStart w:id="605" w:name="_Toc312677997"/>
      <w:bookmarkStart w:id="606" w:name="_Toc297123496"/>
      <w:r>
        <w:rPr>
          <w:rFonts w:hint="eastAsia" w:ascii="宋体" w:hAnsi="宋体" w:cs="宋体"/>
          <w:sz w:val="24"/>
          <w:szCs w:val="24"/>
        </w:rPr>
        <w:t>.1.1 特殊质量标准和要求：</w:t>
      </w:r>
      <w:r>
        <w:rPr>
          <w:rFonts w:hint="eastAsia" w:ascii="宋体" w:hAnsi="宋体" w:cs="宋体"/>
          <w:sz w:val="24"/>
          <w:szCs w:val="24"/>
          <w:u w:val="single"/>
        </w:rPr>
        <w:t xml:space="preserve">                      </w:t>
      </w:r>
      <w:r>
        <w:rPr>
          <w:rFonts w:hint="eastAsia" w:ascii="宋体" w:hAnsi="宋体" w:cs="宋体"/>
          <w:sz w:val="24"/>
          <w:szCs w:val="24"/>
        </w:rPr>
        <w:t>。</w:t>
      </w:r>
    </w:p>
    <w:p w14:paraId="6493C570">
      <w:pPr>
        <w:spacing w:line="360" w:lineRule="auto"/>
        <w:ind w:firstLine="480" w:firstLineChars="200"/>
        <w:rPr>
          <w:rFonts w:ascii="宋体" w:hAnsi="宋体" w:cs="宋体"/>
          <w:color w:val="000000"/>
          <w:sz w:val="24"/>
          <w:szCs w:val="24"/>
        </w:rPr>
      </w:pPr>
      <w:r>
        <w:rPr>
          <w:rFonts w:hint="eastAsia" w:ascii="宋体" w:hAnsi="宋体" w:cs="宋体"/>
          <w:sz w:val="24"/>
          <w:szCs w:val="24"/>
        </w:rPr>
        <w:t>关于工程奖项的约定：</w:t>
      </w:r>
      <w:r>
        <w:rPr>
          <w:rFonts w:hint="eastAsia" w:ascii="宋体" w:hAnsi="宋体" w:cs="宋体"/>
          <w:sz w:val="24"/>
          <w:szCs w:val="24"/>
          <w:u w:val="single"/>
        </w:rPr>
        <w:t xml:space="preserve">                 </w:t>
      </w:r>
      <w:r>
        <w:rPr>
          <w:rFonts w:hint="eastAsia" w:ascii="宋体" w:hAnsi="宋体" w:cs="宋体"/>
          <w:sz w:val="24"/>
          <w:szCs w:val="24"/>
        </w:rPr>
        <w:t>。</w:t>
      </w:r>
    </w:p>
    <w:p w14:paraId="0D777FF8">
      <w:pPr>
        <w:spacing w:line="360" w:lineRule="auto"/>
        <w:ind w:firstLine="480" w:firstLineChars="200"/>
        <w:rPr>
          <w:rFonts w:ascii="宋体" w:hAnsi="宋体" w:cs="宋体"/>
          <w:color w:val="000000"/>
          <w:sz w:val="24"/>
          <w:szCs w:val="24"/>
        </w:rPr>
      </w:pPr>
      <w:bookmarkStart w:id="607" w:name="_Toc1445"/>
      <w:bookmarkStart w:id="608" w:name="_Toc2348"/>
      <w:bookmarkStart w:id="609" w:name="_Toc711"/>
      <w:bookmarkStart w:id="610" w:name="_Toc11645"/>
      <w:bookmarkStart w:id="611" w:name="_Toc4400"/>
      <w:bookmarkStart w:id="612" w:name="_Toc6474"/>
      <w:bookmarkStart w:id="613" w:name="_Toc26510"/>
      <w:bookmarkStart w:id="614" w:name="_Toc518573653"/>
      <w:bookmarkStart w:id="615" w:name="_Toc10021"/>
      <w:bookmarkStart w:id="616" w:name="_Toc22805"/>
      <w:bookmarkStart w:id="617" w:name="_Toc15444"/>
      <w:bookmarkStart w:id="618" w:name="_Toc27793"/>
      <w:bookmarkStart w:id="619" w:name="_Toc518573537"/>
      <w:bookmarkStart w:id="620" w:name="_Toc24394"/>
      <w:bookmarkStart w:id="621" w:name="_Toc1174"/>
      <w:bookmarkStart w:id="622" w:name="_Toc518240101"/>
      <w:r>
        <w:rPr>
          <w:rFonts w:hint="eastAsia" w:ascii="宋体" w:hAnsi="宋体" w:cs="宋体"/>
          <w:color w:val="000000"/>
          <w:sz w:val="24"/>
          <w:szCs w:val="24"/>
        </w:rPr>
        <w:t>5.3 隐蔽工程检查</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0D690E84">
      <w:pPr>
        <w:spacing w:line="360" w:lineRule="auto"/>
        <w:ind w:firstLine="480" w:firstLineChars="200"/>
        <w:rPr>
          <w:rFonts w:ascii="宋体" w:hAnsi="宋体" w:cs="宋体"/>
          <w:sz w:val="24"/>
          <w:szCs w:val="24"/>
        </w:rPr>
      </w:pPr>
      <w:r>
        <w:rPr>
          <w:rFonts w:hint="eastAsia" w:ascii="宋体" w:hAnsi="宋体" w:cs="宋体"/>
          <w:sz w:val="24"/>
          <w:szCs w:val="24"/>
        </w:rPr>
        <w:t>5.3.2承包人提前通知监理人隐蔽工程检查的期限的约定：</w:t>
      </w:r>
      <w:r>
        <w:rPr>
          <w:rFonts w:hint="eastAsia" w:ascii="宋体" w:hAnsi="宋体" w:cs="宋体"/>
          <w:sz w:val="24"/>
          <w:szCs w:val="24"/>
          <w:u w:val="single"/>
        </w:rPr>
        <w:t xml:space="preserve">             </w:t>
      </w:r>
      <w:r>
        <w:rPr>
          <w:rFonts w:hint="eastAsia" w:ascii="宋体" w:hAnsi="宋体" w:cs="宋体"/>
          <w:sz w:val="24"/>
          <w:szCs w:val="24"/>
        </w:rPr>
        <w:t>。</w:t>
      </w:r>
    </w:p>
    <w:p w14:paraId="1EBC2E8C">
      <w:pPr>
        <w:spacing w:line="360" w:lineRule="auto"/>
        <w:ind w:firstLine="480" w:firstLineChars="200"/>
        <w:rPr>
          <w:rFonts w:ascii="宋体" w:hAnsi="宋体" w:cs="宋体"/>
          <w:sz w:val="24"/>
          <w:szCs w:val="24"/>
        </w:rPr>
      </w:pPr>
      <w:r>
        <w:rPr>
          <w:rFonts w:hint="eastAsia" w:ascii="宋体" w:hAnsi="宋体" w:cs="宋体"/>
          <w:sz w:val="24"/>
          <w:szCs w:val="24"/>
        </w:rPr>
        <w:t>监理人不能按时进行检查时，应提前</w:t>
      </w:r>
      <w:r>
        <w:rPr>
          <w:rFonts w:hint="eastAsia" w:ascii="宋体" w:hAnsi="宋体" w:cs="宋体"/>
          <w:sz w:val="24"/>
          <w:szCs w:val="24"/>
          <w:u w:val="single"/>
        </w:rPr>
        <w:t xml:space="preserve">       </w:t>
      </w:r>
      <w:r>
        <w:rPr>
          <w:rFonts w:hint="eastAsia" w:ascii="宋体" w:hAnsi="宋体" w:cs="宋体"/>
          <w:sz w:val="24"/>
          <w:szCs w:val="24"/>
        </w:rPr>
        <w:t>小时提交书面延期要求。</w:t>
      </w:r>
    </w:p>
    <w:p w14:paraId="14BC03D2">
      <w:pPr>
        <w:spacing w:line="360" w:lineRule="auto"/>
        <w:ind w:firstLine="480" w:firstLineChars="200"/>
        <w:rPr>
          <w:rFonts w:ascii="宋体" w:hAnsi="宋体" w:cs="宋体"/>
          <w:sz w:val="24"/>
          <w:szCs w:val="24"/>
        </w:rPr>
      </w:pPr>
      <w:r>
        <w:rPr>
          <w:rFonts w:hint="eastAsia" w:ascii="宋体" w:hAnsi="宋体" w:cs="宋体"/>
          <w:sz w:val="24"/>
          <w:szCs w:val="24"/>
        </w:rPr>
        <w:t>关于延期最长不得超过：</w:t>
      </w:r>
      <w:r>
        <w:rPr>
          <w:rFonts w:hint="eastAsia" w:ascii="宋体" w:hAnsi="宋体" w:cs="宋体"/>
          <w:sz w:val="24"/>
          <w:szCs w:val="24"/>
          <w:u w:val="single"/>
        </w:rPr>
        <w:t xml:space="preserve">         </w:t>
      </w:r>
      <w:r>
        <w:rPr>
          <w:rFonts w:hint="eastAsia" w:ascii="宋体" w:hAnsi="宋体" w:cs="宋体"/>
          <w:sz w:val="24"/>
          <w:szCs w:val="24"/>
        </w:rPr>
        <w:t>小时。</w:t>
      </w:r>
    </w:p>
    <w:p w14:paraId="7B9FADA7">
      <w:pPr>
        <w:spacing w:line="360" w:lineRule="auto"/>
        <w:rPr>
          <w:rFonts w:ascii="宋体" w:hAnsi="宋体" w:cs="宋体"/>
          <w:color w:val="000000"/>
          <w:sz w:val="24"/>
          <w:szCs w:val="24"/>
        </w:rPr>
      </w:pPr>
      <w:bookmarkStart w:id="623" w:name="_Toc30631"/>
      <w:r>
        <w:rPr>
          <w:rFonts w:hint="eastAsia" w:ascii="宋体" w:hAnsi="宋体" w:cs="宋体"/>
          <w:color w:val="000000"/>
          <w:sz w:val="24"/>
          <w:szCs w:val="24"/>
        </w:rPr>
        <w:t>6. 安全文明施工与环境保护</w:t>
      </w:r>
      <w:bookmarkEnd w:id="623"/>
    </w:p>
    <w:p w14:paraId="620BB4B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6.1安全文明施工</w:t>
      </w:r>
    </w:p>
    <w:p w14:paraId="02A4F945">
      <w:pPr>
        <w:spacing w:line="360" w:lineRule="auto"/>
        <w:ind w:firstLine="480" w:firstLineChars="200"/>
        <w:rPr>
          <w:rFonts w:ascii="宋体" w:hAnsi="宋体" w:cs="宋体"/>
          <w:sz w:val="24"/>
          <w:szCs w:val="24"/>
        </w:rPr>
      </w:pPr>
      <w:r>
        <w:rPr>
          <w:rFonts w:hint="eastAsia" w:ascii="宋体" w:hAnsi="宋体" w:cs="宋体"/>
          <w:sz w:val="24"/>
          <w:szCs w:val="24"/>
        </w:rPr>
        <w:t>6.1.1</w:t>
      </w:r>
      <w:r>
        <w:rPr>
          <w:rFonts w:hint="eastAsia" w:ascii="宋体" w:hAnsi="宋体" w:cs="宋体"/>
          <w:color w:val="000000"/>
          <w:sz w:val="24"/>
          <w:szCs w:val="24"/>
        </w:rPr>
        <w:t xml:space="preserve"> 项目安全生产的达标目标及相应事项的约定：</w:t>
      </w:r>
      <w:r>
        <w:rPr>
          <w:rFonts w:hint="eastAsia" w:ascii="宋体" w:hAnsi="宋体" w:cs="宋体"/>
          <w:sz w:val="24"/>
          <w:szCs w:val="24"/>
          <w:u w:val="single"/>
        </w:rPr>
        <w:t xml:space="preserve">                     </w:t>
      </w:r>
      <w:r>
        <w:rPr>
          <w:rFonts w:hint="eastAsia" w:ascii="宋体" w:hAnsi="宋体" w:cs="宋体"/>
          <w:sz w:val="24"/>
          <w:szCs w:val="24"/>
        </w:rPr>
        <w:t>。</w:t>
      </w:r>
    </w:p>
    <w:p w14:paraId="471BD998">
      <w:pPr>
        <w:spacing w:line="360" w:lineRule="auto"/>
        <w:ind w:firstLine="480" w:firstLineChars="200"/>
        <w:rPr>
          <w:rFonts w:ascii="宋体" w:hAnsi="宋体" w:cs="宋体"/>
          <w:sz w:val="24"/>
          <w:szCs w:val="24"/>
        </w:rPr>
      </w:pPr>
      <w:r>
        <w:rPr>
          <w:rFonts w:hint="eastAsia" w:ascii="宋体" w:hAnsi="宋体" w:cs="宋体"/>
          <w:sz w:val="24"/>
          <w:szCs w:val="24"/>
        </w:rPr>
        <w:t>6.1.4 关于治安保卫的特别约定：</w:t>
      </w:r>
      <w:r>
        <w:rPr>
          <w:rFonts w:hint="eastAsia" w:ascii="宋体" w:hAnsi="宋体" w:cs="宋体"/>
          <w:sz w:val="24"/>
          <w:szCs w:val="24"/>
          <w:u w:val="single"/>
        </w:rPr>
        <w:t xml:space="preserve">                                    </w:t>
      </w:r>
      <w:r>
        <w:rPr>
          <w:rFonts w:hint="eastAsia" w:ascii="宋体" w:hAnsi="宋体" w:cs="宋体"/>
          <w:sz w:val="24"/>
          <w:szCs w:val="24"/>
        </w:rPr>
        <w:t>。</w:t>
      </w:r>
    </w:p>
    <w:p w14:paraId="7830092A">
      <w:pPr>
        <w:spacing w:line="360" w:lineRule="auto"/>
        <w:ind w:firstLine="480" w:firstLineChars="200"/>
        <w:rPr>
          <w:rFonts w:ascii="宋体" w:hAnsi="宋体" w:cs="宋体"/>
          <w:sz w:val="24"/>
          <w:szCs w:val="24"/>
        </w:rPr>
      </w:pPr>
      <w:r>
        <w:rPr>
          <w:rFonts w:hint="eastAsia" w:ascii="宋体" w:hAnsi="宋体" w:cs="宋体"/>
          <w:sz w:val="24"/>
          <w:szCs w:val="24"/>
        </w:rPr>
        <w:t>关于编制施工场地治安管理计划的约定：</w:t>
      </w:r>
      <w:r>
        <w:rPr>
          <w:rFonts w:hint="eastAsia" w:ascii="宋体" w:hAnsi="宋体" w:cs="宋体"/>
          <w:sz w:val="24"/>
          <w:szCs w:val="24"/>
          <w:u w:val="single"/>
        </w:rPr>
        <w:t xml:space="preserve">                 </w:t>
      </w:r>
      <w:r>
        <w:rPr>
          <w:rFonts w:hint="eastAsia" w:ascii="宋体" w:hAnsi="宋体" w:cs="宋体"/>
          <w:sz w:val="24"/>
          <w:szCs w:val="24"/>
        </w:rPr>
        <w:t>。</w:t>
      </w:r>
    </w:p>
    <w:p w14:paraId="0928739E">
      <w:pPr>
        <w:spacing w:line="360" w:lineRule="auto"/>
        <w:ind w:firstLine="480" w:firstLineChars="200"/>
        <w:rPr>
          <w:rFonts w:ascii="宋体" w:hAnsi="宋体" w:cs="宋体"/>
          <w:sz w:val="24"/>
          <w:szCs w:val="24"/>
        </w:rPr>
      </w:pPr>
      <w:r>
        <w:rPr>
          <w:rFonts w:hint="eastAsia" w:ascii="宋体" w:hAnsi="宋体" w:cs="宋体"/>
          <w:sz w:val="24"/>
          <w:szCs w:val="24"/>
        </w:rPr>
        <w:t>6.1.5 文明施工</w:t>
      </w:r>
    </w:p>
    <w:p w14:paraId="6240A489">
      <w:pPr>
        <w:spacing w:line="360" w:lineRule="auto"/>
        <w:ind w:firstLine="480" w:firstLineChars="200"/>
        <w:rPr>
          <w:rFonts w:ascii="宋体" w:hAnsi="宋体" w:cs="宋体"/>
          <w:sz w:val="24"/>
          <w:szCs w:val="24"/>
        </w:rPr>
      </w:pPr>
      <w:r>
        <w:rPr>
          <w:rFonts w:hint="eastAsia" w:ascii="宋体" w:hAnsi="宋体" w:cs="宋体"/>
          <w:sz w:val="24"/>
          <w:szCs w:val="24"/>
        </w:rPr>
        <w:t>合同当事人对文明施工的要求：</w:t>
      </w:r>
      <w:r>
        <w:rPr>
          <w:rFonts w:hint="eastAsia" w:ascii="宋体" w:hAnsi="宋体" w:cs="宋体"/>
          <w:sz w:val="24"/>
          <w:szCs w:val="24"/>
          <w:u w:val="single"/>
        </w:rPr>
        <w:t xml:space="preserve">                 </w:t>
      </w:r>
      <w:r>
        <w:rPr>
          <w:rFonts w:hint="eastAsia" w:ascii="宋体" w:hAnsi="宋体" w:cs="宋体"/>
          <w:sz w:val="24"/>
          <w:szCs w:val="24"/>
        </w:rPr>
        <w:t>。</w:t>
      </w:r>
    </w:p>
    <w:p w14:paraId="3754A1EE">
      <w:pPr>
        <w:spacing w:line="360" w:lineRule="auto"/>
        <w:ind w:firstLine="480" w:firstLineChars="200"/>
        <w:rPr>
          <w:rFonts w:ascii="宋体" w:hAnsi="宋体" w:cs="宋体"/>
          <w:sz w:val="24"/>
          <w:szCs w:val="24"/>
        </w:rPr>
      </w:pPr>
      <w:r>
        <w:rPr>
          <w:rFonts w:hint="eastAsia" w:ascii="宋体" w:hAnsi="宋体" w:cs="宋体"/>
          <w:sz w:val="24"/>
          <w:szCs w:val="24"/>
        </w:rPr>
        <w:t>6.1.6 关于安全文明施工费支付比例和支付期限的约定：</w:t>
      </w:r>
      <w:r>
        <w:rPr>
          <w:rFonts w:hint="eastAsia" w:ascii="宋体" w:hAnsi="宋体" w:cs="宋体"/>
          <w:sz w:val="24"/>
          <w:szCs w:val="24"/>
          <w:u w:val="single"/>
        </w:rPr>
        <w:t xml:space="preserve">       </w:t>
      </w:r>
      <w:r>
        <w:rPr>
          <w:rFonts w:hint="eastAsia" w:ascii="宋体" w:hAnsi="宋体" w:cs="宋体"/>
          <w:sz w:val="24"/>
          <w:szCs w:val="24"/>
        </w:rPr>
        <w:t>。</w:t>
      </w:r>
    </w:p>
    <w:bookmarkEnd w:id="600"/>
    <w:bookmarkEnd w:id="601"/>
    <w:bookmarkEnd w:id="602"/>
    <w:bookmarkEnd w:id="603"/>
    <w:bookmarkEnd w:id="604"/>
    <w:bookmarkEnd w:id="605"/>
    <w:bookmarkEnd w:id="606"/>
    <w:p w14:paraId="6AC3BB24">
      <w:pPr>
        <w:spacing w:line="360" w:lineRule="auto"/>
        <w:rPr>
          <w:rFonts w:ascii="宋体" w:hAnsi="宋体" w:cs="宋体"/>
          <w:color w:val="000000"/>
          <w:sz w:val="24"/>
          <w:szCs w:val="24"/>
        </w:rPr>
      </w:pPr>
      <w:bookmarkStart w:id="624" w:name="_Toc6118"/>
      <w:r>
        <w:rPr>
          <w:rFonts w:hint="eastAsia" w:ascii="宋体" w:hAnsi="宋体" w:cs="宋体"/>
          <w:color w:val="000000"/>
          <w:sz w:val="24"/>
          <w:szCs w:val="24"/>
        </w:rPr>
        <w:t>7. 工期和进度</w:t>
      </w:r>
      <w:bookmarkEnd w:id="624"/>
    </w:p>
    <w:p w14:paraId="37F1661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7.1 施工组织设计</w:t>
      </w:r>
    </w:p>
    <w:p w14:paraId="4A78C237">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sz w:val="24"/>
          <w:szCs w:val="24"/>
        </w:rPr>
        <w:t xml:space="preserve">7.1.1 </w:t>
      </w:r>
      <w:r>
        <w:rPr>
          <w:rFonts w:hint="eastAsia" w:ascii="宋体" w:hAnsi="宋体" w:cs="宋体"/>
          <w:color w:val="000000"/>
          <w:sz w:val="24"/>
          <w:szCs w:val="24"/>
        </w:rPr>
        <w:t>合同当事人约定的施工组织设计应包括的其他内容：</w:t>
      </w:r>
      <w:r>
        <w:rPr>
          <w:rFonts w:hint="eastAsia" w:ascii="宋体" w:hAnsi="宋体" w:cs="宋体"/>
          <w:sz w:val="24"/>
          <w:szCs w:val="24"/>
          <w:u w:val="single"/>
        </w:rPr>
        <w:t xml:space="preserve">        </w:t>
      </w:r>
      <w:r>
        <w:rPr>
          <w:rFonts w:hint="eastAsia" w:ascii="宋体" w:hAnsi="宋体" w:cs="宋体"/>
          <w:sz w:val="24"/>
          <w:szCs w:val="24"/>
        </w:rPr>
        <w:t>。</w:t>
      </w:r>
    </w:p>
    <w:p w14:paraId="0A29F8D2">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sz w:val="24"/>
          <w:szCs w:val="24"/>
        </w:rPr>
        <w:t>7.1.2</w:t>
      </w:r>
      <w:r>
        <w:rPr>
          <w:rFonts w:hint="eastAsia" w:ascii="宋体" w:hAnsi="宋体" w:cs="宋体"/>
          <w:color w:val="000000"/>
          <w:sz w:val="24"/>
          <w:szCs w:val="24"/>
        </w:rPr>
        <w:t xml:space="preserve"> 施工组织设计的提交和修改</w:t>
      </w:r>
    </w:p>
    <w:p w14:paraId="7B558802">
      <w:pPr>
        <w:autoSpaceDE w:val="0"/>
        <w:autoSpaceDN w:val="0"/>
        <w:spacing w:line="360" w:lineRule="auto"/>
        <w:ind w:firstLine="480" w:firstLineChars="200"/>
        <w:rPr>
          <w:rFonts w:ascii="宋体" w:hAnsi="宋体" w:cs="宋体"/>
          <w:sz w:val="24"/>
          <w:szCs w:val="24"/>
        </w:rPr>
      </w:pPr>
      <w:r>
        <w:rPr>
          <w:rFonts w:hint="eastAsia" w:ascii="宋体" w:hAnsi="宋体" w:cs="宋体"/>
          <w:color w:val="000000"/>
          <w:sz w:val="24"/>
          <w:szCs w:val="24"/>
        </w:rPr>
        <w:t>承包人提交详细施工组织设计的期限的约定：</w:t>
      </w:r>
      <w:r>
        <w:rPr>
          <w:rFonts w:hint="eastAsia" w:ascii="宋体" w:hAnsi="宋体" w:cs="宋体"/>
          <w:sz w:val="24"/>
          <w:szCs w:val="24"/>
          <w:u w:val="single"/>
        </w:rPr>
        <w:t xml:space="preserve">                    </w:t>
      </w:r>
      <w:r>
        <w:rPr>
          <w:rFonts w:hint="eastAsia" w:ascii="宋体" w:hAnsi="宋体" w:cs="宋体"/>
          <w:sz w:val="24"/>
          <w:szCs w:val="24"/>
        </w:rPr>
        <w:t>。</w:t>
      </w:r>
    </w:p>
    <w:p w14:paraId="1B59001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发包人和监理人在收到详细的施工组织设计后确认或提出修改意见的期限：</w:t>
      </w:r>
      <w:r>
        <w:rPr>
          <w:rFonts w:hint="eastAsia" w:ascii="宋体" w:hAnsi="宋体" w:cs="宋体"/>
          <w:sz w:val="24"/>
          <w:szCs w:val="24"/>
          <w:u w:val="single"/>
        </w:rPr>
        <w:t xml:space="preserve">        </w:t>
      </w:r>
      <w:r>
        <w:rPr>
          <w:rFonts w:hint="eastAsia" w:ascii="宋体" w:hAnsi="宋体" w:cs="宋体"/>
          <w:sz w:val="24"/>
          <w:szCs w:val="24"/>
        </w:rPr>
        <w:t>。</w:t>
      </w:r>
    </w:p>
    <w:p w14:paraId="1760156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w:t>
      </w:r>
      <w:bookmarkStart w:id="625" w:name="_Toc303539123"/>
      <w:bookmarkStart w:id="626" w:name="_Toc312678005"/>
      <w:bookmarkStart w:id="627" w:name="_Toc300934966"/>
      <w:bookmarkStart w:id="628" w:name="_Toc304295541"/>
      <w:bookmarkStart w:id="629" w:name="_Toc297123514"/>
      <w:bookmarkStart w:id="630" w:name="_Toc312677479"/>
      <w:bookmarkStart w:id="631" w:name="_Toc297216173"/>
      <w:r>
        <w:rPr>
          <w:rFonts w:hint="eastAsia" w:ascii="宋体" w:hAnsi="宋体" w:cs="宋体"/>
          <w:color w:val="000000"/>
          <w:sz w:val="24"/>
          <w:szCs w:val="24"/>
        </w:rPr>
        <w:t>.2 施工进度计划</w:t>
      </w:r>
    </w:p>
    <w:p w14:paraId="0F49BEB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7.2.2 施工进度计划的修订</w:t>
      </w:r>
    </w:p>
    <w:p w14:paraId="1EFAA3D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发包人和监理人在收到修订的施工进度计划后确认或提出修改意见的期限：</w:t>
      </w:r>
      <w:r>
        <w:rPr>
          <w:rFonts w:hint="eastAsia" w:ascii="宋体" w:hAnsi="宋体" w:cs="宋体"/>
          <w:sz w:val="24"/>
          <w:szCs w:val="24"/>
          <w:u w:val="single"/>
        </w:rPr>
        <w:t xml:space="preserve">          </w:t>
      </w:r>
      <w:r>
        <w:rPr>
          <w:rFonts w:hint="eastAsia" w:ascii="宋体" w:hAnsi="宋体" w:cs="宋体"/>
          <w:sz w:val="24"/>
          <w:szCs w:val="24"/>
        </w:rPr>
        <w:t>。</w:t>
      </w:r>
    </w:p>
    <w:p w14:paraId="3E37A51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7.3 开工</w:t>
      </w:r>
    </w:p>
    <w:p w14:paraId="071EAA5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7.3.1 开工准备</w:t>
      </w:r>
    </w:p>
    <w:p w14:paraId="795017AE">
      <w:pPr>
        <w:spacing w:line="360" w:lineRule="auto"/>
        <w:ind w:firstLine="645"/>
        <w:rPr>
          <w:rFonts w:ascii="宋体" w:hAnsi="宋体" w:cs="宋体"/>
          <w:sz w:val="24"/>
          <w:szCs w:val="24"/>
          <w:u w:val="single"/>
        </w:rPr>
      </w:pPr>
      <w:r>
        <w:rPr>
          <w:rFonts w:hint="eastAsia" w:ascii="宋体" w:hAnsi="宋体" w:cs="宋体"/>
          <w:color w:val="000000"/>
          <w:sz w:val="24"/>
          <w:szCs w:val="24"/>
        </w:rPr>
        <w:t>关于承包人提交工程开工报审表的期限：</w:t>
      </w:r>
      <w:r>
        <w:rPr>
          <w:rFonts w:hint="eastAsia" w:ascii="宋体" w:hAnsi="宋体" w:cs="宋体"/>
          <w:sz w:val="24"/>
          <w:szCs w:val="24"/>
          <w:u w:val="single"/>
        </w:rPr>
        <w:t xml:space="preserve">                 </w:t>
      </w:r>
      <w:r>
        <w:rPr>
          <w:rFonts w:hint="eastAsia" w:ascii="宋体" w:hAnsi="宋体" w:cs="宋体"/>
          <w:sz w:val="24"/>
          <w:szCs w:val="24"/>
        </w:rPr>
        <w:t>。</w:t>
      </w:r>
    </w:p>
    <w:p w14:paraId="23EE9022">
      <w:pPr>
        <w:spacing w:line="360" w:lineRule="auto"/>
        <w:ind w:firstLine="645"/>
        <w:rPr>
          <w:rFonts w:ascii="宋体" w:hAnsi="宋体" w:cs="宋体"/>
          <w:color w:val="000000"/>
          <w:sz w:val="24"/>
          <w:szCs w:val="24"/>
        </w:rPr>
      </w:pPr>
      <w:r>
        <w:rPr>
          <w:rFonts w:hint="eastAsia" w:ascii="宋体" w:hAnsi="宋体" w:cs="宋体"/>
          <w:color w:val="000000"/>
          <w:sz w:val="24"/>
          <w:szCs w:val="24"/>
        </w:rPr>
        <w:t>关于发包人应完成的其他开工准备工作及期限：</w:t>
      </w:r>
      <w:r>
        <w:rPr>
          <w:rFonts w:hint="eastAsia" w:ascii="宋体" w:hAnsi="宋体" w:cs="宋体"/>
          <w:sz w:val="24"/>
          <w:szCs w:val="24"/>
          <w:u w:val="single"/>
        </w:rPr>
        <w:t xml:space="preserve">            </w:t>
      </w:r>
      <w:r>
        <w:rPr>
          <w:rFonts w:hint="eastAsia" w:ascii="宋体" w:hAnsi="宋体" w:cs="宋体"/>
          <w:sz w:val="24"/>
          <w:szCs w:val="24"/>
        </w:rPr>
        <w:t>。</w:t>
      </w:r>
    </w:p>
    <w:p w14:paraId="0974D3E2">
      <w:pPr>
        <w:spacing w:line="360" w:lineRule="auto"/>
        <w:ind w:firstLine="720" w:firstLineChars="300"/>
        <w:rPr>
          <w:rFonts w:ascii="宋体" w:hAnsi="宋体" w:cs="宋体"/>
          <w:sz w:val="24"/>
          <w:szCs w:val="24"/>
        </w:rPr>
      </w:pPr>
      <w:r>
        <w:rPr>
          <w:rFonts w:hint="eastAsia" w:ascii="宋体" w:hAnsi="宋体" w:cs="宋体"/>
          <w:color w:val="000000"/>
          <w:sz w:val="24"/>
          <w:szCs w:val="24"/>
        </w:rPr>
        <w:t>关于承包人应完成的其他开工准备工作及期限：</w:t>
      </w:r>
      <w:r>
        <w:rPr>
          <w:rFonts w:hint="eastAsia" w:ascii="宋体" w:hAnsi="宋体" w:cs="宋体"/>
          <w:sz w:val="24"/>
          <w:szCs w:val="24"/>
          <w:u w:val="single"/>
        </w:rPr>
        <w:t xml:space="preserve">              </w:t>
      </w:r>
      <w:r>
        <w:rPr>
          <w:rFonts w:hint="eastAsia" w:ascii="宋体" w:hAnsi="宋体" w:cs="宋体"/>
          <w:sz w:val="24"/>
          <w:szCs w:val="24"/>
        </w:rPr>
        <w:t>。</w:t>
      </w:r>
    </w:p>
    <w:p w14:paraId="31712F2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7.3.2开工通知</w:t>
      </w:r>
    </w:p>
    <w:p w14:paraId="6DC34DF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因发包人原因造成监理人未能在计划开工日期之日起</w:t>
      </w:r>
      <w:r>
        <w:rPr>
          <w:rFonts w:hint="eastAsia" w:ascii="宋体" w:hAnsi="宋体" w:cs="宋体"/>
          <w:sz w:val="24"/>
          <w:szCs w:val="24"/>
          <w:u w:val="single"/>
        </w:rPr>
        <w:t xml:space="preserve">     </w:t>
      </w:r>
      <w:r>
        <w:rPr>
          <w:rFonts w:hint="eastAsia" w:ascii="宋体" w:hAnsi="宋体" w:cs="宋体"/>
          <w:color w:val="000000"/>
          <w:sz w:val="24"/>
          <w:szCs w:val="24"/>
        </w:rPr>
        <w:t>天内发出开工通知的，承包人有权提出价格调整要求，或者解除合同。</w:t>
      </w:r>
    </w:p>
    <w:bookmarkEnd w:id="625"/>
    <w:bookmarkEnd w:id="626"/>
    <w:bookmarkEnd w:id="627"/>
    <w:bookmarkEnd w:id="628"/>
    <w:bookmarkEnd w:id="629"/>
    <w:bookmarkEnd w:id="630"/>
    <w:bookmarkEnd w:id="631"/>
    <w:p w14:paraId="485AB31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7.4 测量放线</w:t>
      </w:r>
    </w:p>
    <w:p w14:paraId="1C484368">
      <w:pPr>
        <w:spacing w:line="360" w:lineRule="auto"/>
        <w:ind w:firstLine="480" w:firstLineChars="200"/>
        <w:rPr>
          <w:rFonts w:ascii="宋体" w:hAnsi="宋体" w:cs="宋体"/>
          <w:sz w:val="24"/>
          <w:szCs w:val="24"/>
          <w:u w:val="single"/>
        </w:rPr>
      </w:pPr>
      <w:r>
        <w:rPr>
          <w:rFonts w:hint="eastAsia" w:ascii="宋体" w:hAnsi="宋体" w:cs="宋体"/>
          <w:sz w:val="24"/>
          <w:szCs w:val="24"/>
        </w:rPr>
        <w:t>7.4.1发包人通过监理人向承包人提供测量基准点、基准线和水准点及其书面资料的期限：</w:t>
      </w:r>
      <w:r>
        <w:rPr>
          <w:rFonts w:hint="eastAsia" w:ascii="宋体" w:hAnsi="宋体" w:cs="宋体"/>
          <w:sz w:val="24"/>
          <w:szCs w:val="24"/>
          <w:u w:val="single"/>
        </w:rPr>
        <w:t xml:space="preserve">                                  </w:t>
      </w:r>
      <w:r>
        <w:rPr>
          <w:rFonts w:hint="eastAsia" w:ascii="宋体" w:hAnsi="宋体" w:cs="宋体"/>
          <w:sz w:val="24"/>
          <w:szCs w:val="24"/>
        </w:rPr>
        <w:t>。</w:t>
      </w:r>
    </w:p>
    <w:p w14:paraId="4777736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w:t>
      </w:r>
      <w:bookmarkStart w:id="632" w:name="_Toc303539125"/>
      <w:bookmarkStart w:id="633" w:name="_Toc300934968"/>
      <w:bookmarkStart w:id="634" w:name="_Toc297216175"/>
      <w:bookmarkStart w:id="635" w:name="_Toc312678010"/>
      <w:bookmarkStart w:id="636" w:name="_Toc304295546"/>
      <w:bookmarkStart w:id="637" w:name="_Toc297123516"/>
      <w:bookmarkStart w:id="638" w:name="_Toc312677484"/>
      <w:r>
        <w:rPr>
          <w:rFonts w:hint="eastAsia" w:ascii="宋体" w:hAnsi="宋体" w:cs="宋体"/>
          <w:color w:val="000000"/>
          <w:sz w:val="24"/>
          <w:szCs w:val="24"/>
        </w:rPr>
        <w:t>.5 工期延误</w:t>
      </w:r>
    </w:p>
    <w:bookmarkEnd w:id="632"/>
    <w:bookmarkEnd w:id="633"/>
    <w:bookmarkEnd w:id="634"/>
    <w:bookmarkEnd w:id="635"/>
    <w:bookmarkEnd w:id="636"/>
    <w:bookmarkEnd w:id="637"/>
    <w:bookmarkEnd w:id="638"/>
    <w:p w14:paraId="493BEB16">
      <w:pPr>
        <w:spacing w:line="360" w:lineRule="auto"/>
        <w:ind w:firstLine="480" w:firstLineChars="200"/>
        <w:rPr>
          <w:rFonts w:ascii="宋体" w:hAnsi="宋体" w:cs="宋体"/>
          <w:sz w:val="24"/>
          <w:szCs w:val="24"/>
        </w:rPr>
      </w:pPr>
      <w:r>
        <w:rPr>
          <w:rFonts w:hint="eastAsia" w:ascii="宋体" w:hAnsi="宋体" w:cs="宋体"/>
          <w:sz w:val="24"/>
          <w:szCs w:val="24"/>
        </w:rPr>
        <w:t>7.5.1 因发包人原因导致工期延误</w:t>
      </w:r>
    </w:p>
    <w:p w14:paraId="34472341">
      <w:pPr>
        <w:spacing w:line="360" w:lineRule="auto"/>
        <w:ind w:firstLine="480" w:firstLineChars="200"/>
        <w:rPr>
          <w:rFonts w:ascii="宋体" w:hAnsi="宋体" w:cs="宋体"/>
          <w:sz w:val="24"/>
          <w:szCs w:val="24"/>
        </w:rPr>
      </w:pPr>
      <w:r>
        <w:rPr>
          <w:rFonts w:hint="eastAsia" w:ascii="宋体" w:hAnsi="宋体" w:cs="宋体"/>
          <w:sz w:val="24"/>
          <w:szCs w:val="24"/>
        </w:rPr>
        <w:t>（7）因发包人原因导致工期延误的其他情形：</w:t>
      </w:r>
      <w:r>
        <w:rPr>
          <w:rFonts w:hint="eastAsia" w:ascii="宋体" w:hAnsi="宋体" w:cs="宋体"/>
          <w:sz w:val="24"/>
          <w:szCs w:val="24"/>
          <w:u w:val="single"/>
        </w:rPr>
        <w:t xml:space="preserve">                          </w:t>
      </w:r>
      <w:r>
        <w:rPr>
          <w:rFonts w:hint="eastAsia" w:ascii="宋体" w:hAnsi="宋体" w:cs="宋体"/>
          <w:sz w:val="24"/>
          <w:szCs w:val="24"/>
        </w:rPr>
        <w:t>。</w:t>
      </w:r>
    </w:p>
    <w:p w14:paraId="57DE7104">
      <w:pPr>
        <w:spacing w:line="360" w:lineRule="auto"/>
        <w:ind w:firstLine="480" w:firstLineChars="200"/>
        <w:rPr>
          <w:rFonts w:ascii="宋体" w:hAnsi="宋体" w:cs="宋体"/>
          <w:sz w:val="24"/>
          <w:szCs w:val="24"/>
        </w:rPr>
      </w:pPr>
      <w:r>
        <w:rPr>
          <w:rFonts w:hint="eastAsia" w:ascii="宋体" w:hAnsi="宋体" w:cs="宋体"/>
          <w:sz w:val="24"/>
          <w:szCs w:val="24"/>
        </w:rPr>
        <w:t>7</w:t>
      </w:r>
      <w:bookmarkStart w:id="639" w:name="_Toc318581169"/>
      <w:bookmarkStart w:id="640" w:name="_Toc312677486"/>
      <w:bookmarkStart w:id="641" w:name="_Toc312678012"/>
      <w:bookmarkStart w:id="642" w:name="_Toc297216177"/>
      <w:bookmarkStart w:id="643" w:name="_Toc304295548"/>
      <w:bookmarkStart w:id="644" w:name="_Toc297123518"/>
      <w:bookmarkStart w:id="645" w:name="_Toc300934970"/>
      <w:bookmarkStart w:id="646" w:name="_Toc303539127"/>
      <w:r>
        <w:rPr>
          <w:rFonts w:hint="eastAsia" w:ascii="宋体" w:hAnsi="宋体" w:cs="宋体"/>
          <w:sz w:val="24"/>
          <w:szCs w:val="24"/>
        </w:rPr>
        <w:t>.5.2 因承包人原因导致工期延误</w:t>
      </w:r>
    </w:p>
    <w:bookmarkEnd w:id="639"/>
    <w:bookmarkEnd w:id="640"/>
    <w:bookmarkEnd w:id="641"/>
    <w:p w14:paraId="55ACEECF">
      <w:pPr>
        <w:spacing w:line="360" w:lineRule="auto"/>
        <w:ind w:firstLine="480" w:firstLineChars="200"/>
        <w:rPr>
          <w:rFonts w:ascii="宋体" w:hAnsi="宋体" w:cs="宋体"/>
          <w:sz w:val="24"/>
          <w:szCs w:val="24"/>
        </w:rPr>
      </w:pPr>
      <w:r>
        <w:rPr>
          <w:rFonts w:hint="eastAsia" w:ascii="宋体" w:hAnsi="宋体" w:cs="宋体"/>
          <w:sz w:val="24"/>
          <w:szCs w:val="24"/>
        </w:rPr>
        <w:t>因</w:t>
      </w:r>
      <w:bookmarkStart w:id="647" w:name="_Toc312677487"/>
      <w:bookmarkStart w:id="648" w:name="_Toc312678013"/>
      <w:bookmarkStart w:id="649" w:name="_Toc318581170"/>
      <w:r>
        <w:rPr>
          <w:rFonts w:hint="eastAsia" w:ascii="宋体" w:hAnsi="宋体" w:cs="宋体"/>
          <w:sz w:val="24"/>
          <w:szCs w:val="24"/>
        </w:rPr>
        <w:t>承包人原因造成工期延误，逾期竣工违约金的计算方法为：</w:t>
      </w:r>
      <w:r>
        <w:rPr>
          <w:rFonts w:hint="eastAsia" w:ascii="宋体" w:hAnsi="宋体" w:cs="宋体"/>
          <w:sz w:val="24"/>
          <w:szCs w:val="24"/>
          <w:u w:val="single"/>
        </w:rPr>
        <w:t xml:space="preserve">          </w:t>
      </w:r>
      <w:r>
        <w:rPr>
          <w:rFonts w:hint="eastAsia" w:ascii="宋体" w:hAnsi="宋体" w:cs="宋体"/>
          <w:sz w:val="24"/>
          <w:szCs w:val="24"/>
        </w:rPr>
        <w:t>。</w:t>
      </w:r>
      <w:bookmarkEnd w:id="642"/>
      <w:bookmarkEnd w:id="643"/>
      <w:bookmarkEnd w:id="644"/>
      <w:bookmarkEnd w:id="645"/>
      <w:bookmarkEnd w:id="646"/>
      <w:bookmarkEnd w:id="647"/>
      <w:bookmarkEnd w:id="648"/>
    </w:p>
    <w:bookmarkEnd w:id="649"/>
    <w:p w14:paraId="7D8EAB34">
      <w:pPr>
        <w:spacing w:line="360" w:lineRule="auto"/>
        <w:ind w:firstLine="480" w:firstLineChars="200"/>
        <w:rPr>
          <w:rFonts w:ascii="宋体" w:hAnsi="宋体" w:cs="宋体"/>
          <w:sz w:val="24"/>
          <w:szCs w:val="24"/>
        </w:rPr>
      </w:pPr>
      <w:r>
        <w:rPr>
          <w:rFonts w:hint="eastAsia" w:ascii="宋体" w:hAnsi="宋体" w:cs="宋体"/>
          <w:sz w:val="24"/>
          <w:szCs w:val="24"/>
        </w:rPr>
        <w:t>因承包人原因造成工期延误，逾</w:t>
      </w:r>
      <w:bookmarkStart w:id="650" w:name="_Toc318581171"/>
      <w:bookmarkStart w:id="651" w:name="_Toc312678014"/>
      <w:r>
        <w:rPr>
          <w:rFonts w:hint="eastAsia" w:ascii="宋体" w:hAnsi="宋体" w:cs="宋体"/>
          <w:sz w:val="24"/>
          <w:szCs w:val="24"/>
        </w:rPr>
        <w:t>期竣工违约金的上限：</w:t>
      </w:r>
      <w:r>
        <w:rPr>
          <w:rFonts w:hint="eastAsia" w:ascii="宋体" w:hAnsi="宋体" w:cs="宋体"/>
          <w:sz w:val="24"/>
          <w:szCs w:val="24"/>
          <w:u w:val="single"/>
        </w:rPr>
        <w:t xml:space="preserve">                  </w:t>
      </w:r>
      <w:r>
        <w:rPr>
          <w:rFonts w:hint="eastAsia" w:ascii="宋体" w:hAnsi="宋体" w:cs="宋体"/>
          <w:sz w:val="24"/>
          <w:szCs w:val="24"/>
        </w:rPr>
        <w:t>。</w:t>
      </w:r>
    </w:p>
    <w:bookmarkEnd w:id="650"/>
    <w:bookmarkEnd w:id="651"/>
    <w:p w14:paraId="31D88E7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w:t>
      </w:r>
      <w:bookmarkStart w:id="652" w:name="_Toc303539128"/>
      <w:bookmarkStart w:id="653" w:name="_Toc312678015"/>
      <w:bookmarkStart w:id="654" w:name="_Toc304295549"/>
      <w:bookmarkStart w:id="655" w:name="_Toc300934971"/>
      <w:bookmarkStart w:id="656" w:name="_Toc297216178"/>
      <w:bookmarkStart w:id="657" w:name="_Toc297123519"/>
      <w:r>
        <w:rPr>
          <w:rFonts w:hint="eastAsia" w:ascii="宋体" w:hAnsi="宋体" w:cs="宋体"/>
          <w:color w:val="000000"/>
          <w:sz w:val="24"/>
          <w:szCs w:val="24"/>
        </w:rPr>
        <w:t>.6 不</w:t>
      </w:r>
      <w:bookmarkEnd w:id="652"/>
      <w:bookmarkEnd w:id="653"/>
      <w:bookmarkEnd w:id="654"/>
      <w:bookmarkEnd w:id="655"/>
      <w:bookmarkEnd w:id="656"/>
      <w:bookmarkEnd w:id="657"/>
      <w:r>
        <w:rPr>
          <w:rFonts w:hint="eastAsia" w:ascii="宋体" w:hAnsi="宋体" w:cs="宋体"/>
          <w:color w:val="000000"/>
          <w:sz w:val="24"/>
          <w:szCs w:val="24"/>
        </w:rPr>
        <w:t>利物质条件</w:t>
      </w:r>
    </w:p>
    <w:p w14:paraId="71DFC15B">
      <w:pPr>
        <w:spacing w:line="360" w:lineRule="auto"/>
        <w:ind w:firstLine="480" w:firstLineChars="200"/>
        <w:rPr>
          <w:rFonts w:ascii="宋体" w:hAnsi="宋体" w:cs="宋体"/>
          <w:sz w:val="24"/>
          <w:szCs w:val="24"/>
        </w:rPr>
      </w:pPr>
      <w:bookmarkStart w:id="658" w:name="_Toc300934972"/>
      <w:bookmarkStart w:id="659" w:name="_Toc304295550"/>
      <w:bookmarkStart w:id="660" w:name="_Toc312678016"/>
      <w:bookmarkStart w:id="661" w:name="_Toc318581172"/>
      <w:bookmarkStart w:id="662" w:name="_Toc297123520"/>
      <w:bookmarkStart w:id="663" w:name="_Toc303539129"/>
      <w:bookmarkStart w:id="664" w:name="_Toc297216179"/>
      <w:r>
        <w:rPr>
          <w:rFonts w:hint="eastAsia" w:ascii="宋体" w:hAnsi="宋体" w:cs="宋体"/>
          <w:sz w:val="24"/>
          <w:szCs w:val="24"/>
        </w:rPr>
        <w:t>不利物质条件的其他情形和有关约定：</w:t>
      </w:r>
      <w:r>
        <w:rPr>
          <w:rFonts w:hint="eastAsia" w:ascii="宋体" w:hAnsi="宋体" w:cs="宋体"/>
          <w:sz w:val="24"/>
          <w:szCs w:val="24"/>
          <w:u w:val="single"/>
        </w:rPr>
        <w:t xml:space="preserve">               </w:t>
      </w:r>
      <w:r>
        <w:rPr>
          <w:rFonts w:hint="eastAsia" w:ascii="宋体" w:hAnsi="宋体" w:cs="宋体"/>
          <w:sz w:val="24"/>
          <w:szCs w:val="24"/>
        </w:rPr>
        <w:t>。</w:t>
      </w:r>
    </w:p>
    <w:bookmarkEnd w:id="658"/>
    <w:bookmarkEnd w:id="659"/>
    <w:bookmarkEnd w:id="660"/>
    <w:bookmarkEnd w:id="661"/>
    <w:bookmarkEnd w:id="662"/>
    <w:bookmarkEnd w:id="663"/>
    <w:bookmarkEnd w:id="664"/>
    <w:p w14:paraId="740FF41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w:t>
      </w:r>
      <w:bookmarkStart w:id="665" w:name="_Toc297123521"/>
      <w:bookmarkStart w:id="666" w:name="_Toc303539130"/>
      <w:bookmarkStart w:id="667" w:name="_Toc304295551"/>
      <w:bookmarkStart w:id="668" w:name="_Toc312678017"/>
      <w:bookmarkStart w:id="669" w:name="_Toc297216180"/>
      <w:bookmarkStart w:id="670" w:name="_Toc300934973"/>
      <w:r>
        <w:rPr>
          <w:rFonts w:hint="eastAsia" w:ascii="宋体" w:hAnsi="宋体" w:cs="宋体"/>
          <w:color w:val="000000"/>
          <w:sz w:val="24"/>
          <w:szCs w:val="24"/>
        </w:rPr>
        <w:t>.7异常恶劣的气候条件</w:t>
      </w:r>
    </w:p>
    <w:bookmarkEnd w:id="665"/>
    <w:bookmarkEnd w:id="666"/>
    <w:bookmarkEnd w:id="667"/>
    <w:bookmarkEnd w:id="668"/>
    <w:bookmarkEnd w:id="669"/>
    <w:bookmarkEnd w:id="670"/>
    <w:p w14:paraId="1EA0AB3E">
      <w:pPr>
        <w:spacing w:line="360" w:lineRule="auto"/>
        <w:ind w:firstLine="480" w:firstLineChars="200"/>
        <w:rPr>
          <w:rFonts w:ascii="宋体" w:hAnsi="宋体" w:cs="宋体"/>
          <w:sz w:val="24"/>
          <w:szCs w:val="24"/>
        </w:rPr>
      </w:pPr>
      <w:r>
        <w:rPr>
          <w:rFonts w:hint="eastAsia" w:ascii="宋体" w:hAnsi="宋体" w:cs="宋体"/>
          <w:sz w:val="24"/>
          <w:szCs w:val="24"/>
        </w:rPr>
        <w:t>发包人和承包人同意以下情形视为异常恶劣的气候条件：</w:t>
      </w:r>
    </w:p>
    <w:p w14:paraId="251272EC">
      <w:pPr>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u w:val="single"/>
        </w:rPr>
        <w:t xml:space="preserve">                                           </w:t>
      </w:r>
      <w:r>
        <w:rPr>
          <w:rFonts w:hint="eastAsia" w:ascii="宋体" w:hAnsi="宋体" w:cs="宋体"/>
          <w:sz w:val="24"/>
          <w:szCs w:val="24"/>
        </w:rPr>
        <w:t>；</w:t>
      </w:r>
    </w:p>
    <w:p w14:paraId="65C594EB">
      <w:pPr>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w:t>
      </w:r>
      <w:r>
        <w:rPr>
          <w:rFonts w:hint="eastAsia" w:ascii="宋体" w:hAnsi="宋体" w:cs="宋体"/>
          <w:sz w:val="24"/>
          <w:szCs w:val="24"/>
        </w:rPr>
        <w:t>；</w:t>
      </w:r>
    </w:p>
    <w:p w14:paraId="3F259A55">
      <w:pPr>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sz w:val="24"/>
          <w:szCs w:val="24"/>
          <w:u w:val="single"/>
        </w:rPr>
        <w:t xml:space="preserve">                                           </w:t>
      </w:r>
      <w:r>
        <w:rPr>
          <w:rFonts w:hint="eastAsia" w:ascii="宋体" w:hAnsi="宋体" w:cs="宋体"/>
          <w:sz w:val="24"/>
          <w:szCs w:val="24"/>
        </w:rPr>
        <w:t>。</w:t>
      </w:r>
    </w:p>
    <w:p w14:paraId="143E7BED">
      <w:pPr>
        <w:spacing w:line="360" w:lineRule="auto"/>
        <w:ind w:firstLine="480" w:firstLineChars="200"/>
        <w:rPr>
          <w:rFonts w:ascii="宋体" w:hAnsi="宋体" w:cs="宋体"/>
          <w:color w:val="000000"/>
          <w:sz w:val="24"/>
          <w:szCs w:val="24"/>
        </w:rPr>
      </w:pPr>
      <w:bookmarkStart w:id="671" w:name="_Toc28807"/>
      <w:bookmarkStart w:id="672" w:name="_Toc518573654"/>
      <w:bookmarkStart w:id="673" w:name="_Toc5037"/>
      <w:bookmarkStart w:id="674" w:name="_Toc31538"/>
      <w:bookmarkStart w:id="675" w:name="_Toc4251"/>
      <w:bookmarkStart w:id="676" w:name="_Toc4456"/>
      <w:bookmarkStart w:id="677" w:name="_Toc24332"/>
      <w:bookmarkStart w:id="678" w:name="_Toc524"/>
      <w:bookmarkStart w:id="679" w:name="_Toc12806"/>
      <w:bookmarkStart w:id="680" w:name="_Toc518240102"/>
      <w:bookmarkStart w:id="681" w:name="_Toc12756"/>
      <w:bookmarkStart w:id="682" w:name="_Toc24244"/>
      <w:bookmarkStart w:id="683" w:name="_Toc27521"/>
      <w:bookmarkStart w:id="684" w:name="_Toc31656"/>
      <w:bookmarkStart w:id="685" w:name="_Toc12490"/>
      <w:bookmarkStart w:id="686" w:name="_Toc518573538"/>
      <w:r>
        <w:rPr>
          <w:rFonts w:hint="eastAsia" w:ascii="宋体" w:hAnsi="宋体" w:cs="宋体"/>
          <w:color w:val="000000"/>
          <w:sz w:val="24"/>
          <w:szCs w:val="24"/>
        </w:rPr>
        <w:t>7.9 提前竣工的奖励</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7D2BDA62">
      <w:pPr>
        <w:spacing w:line="360" w:lineRule="auto"/>
        <w:ind w:firstLine="480" w:firstLineChars="200"/>
        <w:rPr>
          <w:rFonts w:ascii="宋体" w:hAnsi="宋体" w:cs="宋体"/>
          <w:sz w:val="24"/>
          <w:szCs w:val="24"/>
        </w:rPr>
      </w:pPr>
      <w:r>
        <w:rPr>
          <w:rFonts w:hint="eastAsia" w:ascii="宋体" w:hAnsi="宋体" w:cs="宋体"/>
          <w:sz w:val="24"/>
          <w:szCs w:val="24"/>
        </w:rPr>
        <w:t>7.9.2提前竣工的奖励：</w:t>
      </w:r>
      <w:r>
        <w:rPr>
          <w:rFonts w:hint="eastAsia" w:ascii="宋体" w:hAnsi="宋体" w:cs="宋体"/>
          <w:sz w:val="24"/>
          <w:szCs w:val="24"/>
          <w:u w:val="single"/>
        </w:rPr>
        <w:t xml:space="preserve">                                </w:t>
      </w:r>
      <w:r>
        <w:rPr>
          <w:rFonts w:hint="eastAsia" w:ascii="宋体" w:hAnsi="宋体" w:cs="宋体"/>
          <w:sz w:val="24"/>
          <w:szCs w:val="24"/>
        </w:rPr>
        <w:t>。</w:t>
      </w:r>
    </w:p>
    <w:p w14:paraId="396B40F8">
      <w:pPr>
        <w:spacing w:line="360" w:lineRule="auto"/>
        <w:rPr>
          <w:rFonts w:ascii="宋体" w:hAnsi="宋体" w:cs="宋体"/>
          <w:color w:val="000000"/>
          <w:sz w:val="24"/>
          <w:szCs w:val="24"/>
        </w:rPr>
      </w:pPr>
      <w:bookmarkStart w:id="687" w:name="_Toc9520"/>
      <w:r>
        <w:rPr>
          <w:rFonts w:hint="eastAsia" w:ascii="宋体" w:hAnsi="宋体" w:cs="宋体"/>
          <w:color w:val="000000"/>
          <w:sz w:val="24"/>
          <w:szCs w:val="24"/>
        </w:rPr>
        <w:t>8. 材料与设备</w:t>
      </w:r>
      <w:bookmarkEnd w:id="687"/>
    </w:p>
    <w:bookmarkEnd w:id="574"/>
    <w:bookmarkEnd w:id="575"/>
    <w:bookmarkEnd w:id="576"/>
    <w:bookmarkEnd w:id="577"/>
    <w:bookmarkEnd w:id="578"/>
    <w:bookmarkEnd w:id="579"/>
    <w:bookmarkEnd w:id="580"/>
    <w:bookmarkEnd w:id="581"/>
    <w:bookmarkEnd w:id="582"/>
    <w:bookmarkEnd w:id="583"/>
    <w:p w14:paraId="0551263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8</w:t>
      </w:r>
      <w:bookmarkStart w:id="688" w:name="_Toc296891207"/>
      <w:bookmarkStart w:id="689" w:name="_Toc296347166"/>
      <w:bookmarkStart w:id="690" w:name="_Toc297120467"/>
      <w:bookmarkStart w:id="691" w:name="_Toc312677493"/>
      <w:bookmarkStart w:id="692" w:name="_Toc292559877"/>
      <w:bookmarkStart w:id="693" w:name="_Toc303539136"/>
      <w:bookmarkStart w:id="694" w:name="_Toc296890995"/>
      <w:bookmarkStart w:id="695" w:name="_Toc297123527"/>
      <w:bookmarkStart w:id="696" w:name="_Toc300934979"/>
      <w:bookmarkStart w:id="697" w:name="_Toc296944506"/>
      <w:bookmarkStart w:id="698" w:name="_Toc296346668"/>
      <w:bookmarkStart w:id="699" w:name="_Toc292559372"/>
      <w:bookmarkStart w:id="700" w:name="_Toc304295556"/>
      <w:bookmarkStart w:id="701" w:name="_Toc296503167"/>
      <w:bookmarkStart w:id="702" w:name="_Toc280868654"/>
      <w:bookmarkStart w:id="703" w:name="_Toc297048353"/>
      <w:bookmarkStart w:id="704" w:name="_Toc312678019"/>
      <w:bookmarkStart w:id="705" w:name="_Toc297216186"/>
      <w:bookmarkStart w:id="706" w:name="_Toc280868655"/>
      <w:bookmarkStart w:id="707" w:name="_Toc280868656"/>
      <w:bookmarkStart w:id="708" w:name="_Toc267251424"/>
      <w:r>
        <w:rPr>
          <w:rFonts w:hint="eastAsia" w:ascii="宋体" w:hAnsi="宋体" w:cs="宋体"/>
          <w:color w:val="000000"/>
          <w:sz w:val="24"/>
          <w:szCs w:val="24"/>
        </w:rPr>
        <w:t>.4材料与工程设备的保管与使用</w:t>
      </w:r>
    </w:p>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14:paraId="4174FF0E">
      <w:pPr>
        <w:spacing w:line="360" w:lineRule="auto"/>
        <w:ind w:firstLine="480" w:firstLineChars="200"/>
        <w:rPr>
          <w:rFonts w:ascii="宋体" w:hAnsi="宋体" w:cs="宋体"/>
          <w:sz w:val="24"/>
          <w:szCs w:val="24"/>
        </w:rPr>
      </w:pPr>
      <w:r>
        <w:rPr>
          <w:rFonts w:hint="eastAsia" w:ascii="宋体" w:hAnsi="宋体" w:cs="宋体"/>
          <w:sz w:val="24"/>
          <w:szCs w:val="24"/>
        </w:rPr>
        <w:t>8</w:t>
      </w:r>
      <w:bookmarkStart w:id="709" w:name="_Toc292559878"/>
      <w:bookmarkStart w:id="710" w:name="_Toc292559373"/>
      <w:bookmarkStart w:id="711" w:name="_Toc303539137"/>
      <w:bookmarkStart w:id="712" w:name="_Toc296346669"/>
      <w:bookmarkStart w:id="713" w:name="_Toc300934980"/>
      <w:bookmarkStart w:id="714" w:name="_Toc297123528"/>
      <w:bookmarkStart w:id="715" w:name="_Toc318581173"/>
      <w:bookmarkStart w:id="716" w:name="_Toc297216187"/>
      <w:bookmarkStart w:id="717" w:name="_Toc296891208"/>
      <w:bookmarkStart w:id="718" w:name="_Toc304295557"/>
      <w:bookmarkStart w:id="719" w:name="_Toc297048354"/>
      <w:bookmarkStart w:id="720" w:name="_Toc297120468"/>
      <w:bookmarkStart w:id="721" w:name="_Toc296890996"/>
      <w:bookmarkStart w:id="722" w:name="_Toc296503168"/>
      <w:bookmarkStart w:id="723" w:name="_Toc296944507"/>
      <w:bookmarkStart w:id="724" w:name="_Toc312677494"/>
      <w:bookmarkStart w:id="725" w:name="_Toc312678020"/>
      <w:bookmarkStart w:id="726" w:name="_Toc296347167"/>
      <w:r>
        <w:rPr>
          <w:rFonts w:hint="eastAsia" w:ascii="宋体" w:hAnsi="宋体" w:cs="宋体"/>
          <w:sz w:val="24"/>
          <w:szCs w:val="24"/>
        </w:rPr>
        <w:t>.4.1发包人供应的材料设备的保管费用的承担：</w:t>
      </w:r>
      <w:r>
        <w:rPr>
          <w:rFonts w:hint="eastAsia" w:ascii="宋体" w:hAnsi="宋体" w:cs="宋体"/>
          <w:sz w:val="24"/>
          <w:szCs w:val="24"/>
          <w:u w:val="single"/>
        </w:rPr>
        <w:t xml:space="preserve">                        </w:t>
      </w:r>
      <w:r>
        <w:rPr>
          <w:rFonts w:hint="eastAsia" w:ascii="宋体" w:hAnsi="宋体" w:cs="宋体"/>
          <w:sz w:val="24"/>
          <w:szCs w:val="24"/>
        </w:rPr>
        <w:t>。</w:t>
      </w:r>
      <w:bookmarkEnd w:id="709"/>
      <w:bookmarkEnd w:id="710"/>
    </w:p>
    <w:p w14:paraId="498C4085">
      <w:pPr>
        <w:spacing w:line="360" w:lineRule="auto"/>
        <w:ind w:firstLine="480" w:firstLineChars="200"/>
        <w:rPr>
          <w:rFonts w:ascii="宋体" w:hAnsi="宋体" w:cs="宋体"/>
          <w:color w:val="000000"/>
          <w:sz w:val="24"/>
          <w:szCs w:val="24"/>
        </w:rPr>
      </w:pPr>
      <w:bookmarkStart w:id="727" w:name="_Toc24406"/>
      <w:bookmarkStart w:id="728" w:name="_Toc32235"/>
      <w:bookmarkStart w:id="729" w:name="_Toc518573655"/>
      <w:bookmarkStart w:id="730" w:name="_Toc14426"/>
      <w:bookmarkStart w:id="731" w:name="_Toc32461"/>
      <w:bookmarkStart w:id="732" w:name="_Toc24794"/>
      <w:bookmarkStart w:id="733" w:name="_Toc15110"/>
      <w:bookmarkStart w:id="734" w:name="_Toc19961"/>
      <w:bookmarkStart w:id="735" w:name="_Toc674"/>
      <w:bookmarkStart w:id="736" w:name="_Toc518240103"/>
      <w:bookmarkStart w:id="737" w:name="_Toc31838"/>
      <w:bookmarkStart w:id="738" w:name="_Toc25202"/>
      <w:bookmarkStart w:id="739" w:name="_Toc19811"/>
      <w:bookmarkStart w:id="740" w:name="_Toc20443"/>
      <w:bookmarkStart w:id="741" w:name="_Toc518573539"/>
      <w:bookmarkStart w:id="742" w:name="_Toc31038"/>
      <w:r>
        <w:rPr>
          <w:rFonts w:hint="eastAsia" w:ascii="宋体" w:hAnsi="宋体" w:cs="宋体"/>
          <w:color w:val="000000"/>
          <w:sz w:val="24"/>
          <w:szCs w:val="24"/>
        </w:rPr>
        <w:t>8.6 样品</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7C67606F">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8.6.1</w:t>
      </w:r>
      <w:r>
        <w:rPr>
          <w:rFonts w:hint="eastAsia" w:ascii="宋体" w:hAnsi="宋体" w:cs="宋体"/>
          <w:color w:val="000000"/>
          <w:sz w:val="24"/>
          <w:szCs w:val="24"/>
        </w:rPr>
        <w:tab/>
      </w:r>
      <w:r>
        <w:rPr>
          <w:rFonts w:hint="eastAsia" w:ascii="宋体" w:hAnsi="宋体" w:cs="宋体"/>
          <w:color w:val="000000"/>
          <w:sz w:val="24"/>
          <w:szCs w:val="24"/>
        </w:rPr>
        <w:t>样品的报送与封存</w:t>
      </w:r>
    </w:p>
    <w:p w14:paraId="32437600">
      <w:pPr>
        <w:autoSpaceDE w:val="0"/>
        <w:autoSpaceDN w:val="0"/>
        <w:spacing w:line="360" w:lineRule="auto"/>
        <w:ind w:firstLine="480" w:firstLineChars="200"/>
        <w:rPr>
          <w:rFonts w:ascii="宋体" w:hAnsi="宋体" w:cs="宋体"/>
          <w:sz w:val="24"/>
          <w:szCs w:val="24"/>
        </w:rPr>
      </w:pPr>
      <w:r>
        <w:rPr>
          <w:rFonts w:hint="eastAsia" w:ascii="宋体" w:hAnsi="宋体" w:cs="宋体"/>
          <w:color w:val="000000"/>
          <w:sz w:val="24"/>
          <w:szCs w:val="24"/>
        </w:rPr>
        <w:t>需要承包人报送样品的材料或工程设备，样品的种类、名称、规格、数量要求：</w:t>
      </w:r>
      <w:r>
        <w:rPr>
          <w:rFonts w:hint="eastAsia" w:ascii="宋体" w:hAnsi="宋体" w:cs="宋体"/>
          <w:sz w:val="24"/>
          <w:szCs w:val="24"/>
          <w:u w:val="single"/>
        </w:rPr>
        <w:t xml:space="preserve">         </w:t>
      </w:r>
      <w:r>
        <w:rPr>
          <w:rFonts w:hint="eastAsia" w:ascii="宋体" w:hAnsi="宋体" w:cs="宋体"/>
          <w:sz w:val="24"/>
          <w:szCs w:val="24"/>
        </w:rPr>
        <w:t>。</w:t>
      </w:r>
    </w:p>
    <w:p w14:paraId="6F237125">
      <w:pPr>
        <w:spacing w:line="360" w:lineRule="auto"/>
        <w:ind w:firstLine="480" w:firstLineChars="200"/>
        <w:rPr>
          <w:rFonts w:ascii="宋体" w:hAnsi="宋体" w:cs="宋体"/>
          <w:color w:val="000000"/>
          <w:sz w:val="24"/>
          <w:szCs w:val="24"/>
        </w:rPr>
      </w:pPr>
      <w:bookmarkStart w:id="743" w:name="_Toc518240104"/>
      <w:bookmarkStart w:id="744" w:name="_Toc26984"/>
      <w:bookmarkStart w:id="745" w:name="_Toc9886"/>
      <w:bookmarkStart w:id="746" w:name="_Toc23012"/>
      <w:bookmarkStart w:id="747" w:name="_Toc518573656"/>
      <w:bookmarkStart w:id="748" w:name="_Toc17650"/>
      <w:bookmarkStart w:id="749" w:name="_Toc26373"/>
      <w:bookmarkStart w:id="750" w:name="_Toc28981"/>
      <w:bookmarkStart w:id="751" w:name="_Toc518573540"/>
      <w:bookmarkStart w:id="752" w:name="_Toc8031"/>
      <w:bookmarkStart w:id="753" w:name="_Toc31339"/>
      <w:bookmarkStart w:id="754" w:name="_Toc26845"/>
      <w:bookmarkStart w:id="755" w:name="_Toc21844"/>
      <w:bookmarkStart w:id="756" w:name="_Toc7898"/>
      <w:bookmarkStart w:id="757" w:name="_Toc13330"/>
      <w:bookmarkStart w:id="758" w:name="_Toc29741"/>
      <w:r>
        <w:rPr>
          <w:rFonts w:hint="eastAsia" w:ascii="宋体" w:hAnsi="宋体" w:cs="宋体"/>
          <w:color w:val="000000"/>
          <w:sz w:val="24"/>
          <w:szCs w:val="24"/>
        </w:rPr>
        <w:t>8.8 施工设备和临时设施</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14:paraId="54446947">
      <w:pPr>
        <w:autoSpaceDE w:val="0"/>
        <w:autoSpaceDN w:val="0"/>
        <w:spacing w:line="360" w:lineRule="auto"/>
        <w:ind w:firstLine="480" w:firstLineChars="200"/>
        <w:rPr>
          <w:rFonts w:ascii="宋体" w:hAnsi="宋体" w:cs="宋体"/>
          <w:sz w:val="24"/>
          <w:szCs w:val="24"/>
        </w:rPr>
      </w:pPr>
      <w:r>
        <w:rPr>
          <w:rFonts w:hint="eastAsia" w:ascii="宋体" w:hAnsi="宋体" w:cs="宋体"/>
          <w:sz w:val="24"/>
          <w:szCs w:val="24"/>
        </w:rPr>
        <w:t>8.8.1 承包人提供的施工设备和临时设施</w:t>
      </w:r>
    </w:p>
    <w:p w14:paraId="5EFA5AD6">
      <w:pPr>
        <w:autoSpaceDE w:val="0"/>
        <w:autoSpaceDN w:val="0"/>
        <w:spacing w:line="360" w:lineRule="auto"/>
        <w:ind w:firstLine="480" w:firstLineChars="200"/>
        <w:rPr>
          <w:rFonts w:ascii="宋体" w:hAnsi="宋体" w:cs="宋体"/>
          <w:sz w:val="24"/>
          <w:szCs w:val="24"/>
        </w:rPr>
      </w:pPr>
      <w:r>
        <w:rPr>
          <w:rFonts w:hint="eastAsia" w:ascii="宋体" w:hAnsi="宋体" w:cs="宋体"/>
          <w:sz w:val="24"/>
          <w:szCs w:val="24"/>
        </w:rPr>
        <w:t>关于修建临时设施费用承担的约定：</w:t>
      </w:r>
      <w:r>
        <w:rPr>
          <w:rFonts w:hint="eastAsia" w:ascii="宋体" w:hAnsi="宋体" w:cs="宋体"/>
          <w:sz w:val="24"/>
          <w:szCs w:val="24"/>
          <w:u w:val="single"/>
        </w:rPr>
        <w:t xml:space="preserve">           </w:t>
      </w:r>
      <w:r>
        <w:rPr>
          <w:rFonts w:hint="eastAsia" w:ascii="宋体" w:hAnsi="宋体" w:cs="宋体"/>
          <w:sz w:val="24"/>
          <w:szCs w:val="24"/>
        </w:rPr>
        <w:t>。</w:t>
      </w:r>
    </w:p>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14:paraId="60C62A9D">
      <w:pPr>
        <w:spacing w:line="360" w:lineRule="auto"/>
        <w:rPr>
          <w:rFonts w:ascii="宋体" w:hAnsi="宋体" w:cs="宋体"/>
          <w:color w:val="000000"/>
          <w:sz w:val="24"/>
          <w:szCs w:val="24"/>
        </w:rPr>
      </w:pPr>
      <w:bookmarkStart w:id="759" w:name="_Toc12235"/>
      <w:r>
        <w:rPr>
          <w:rFonts w:hint="eastAsia" w:ascii="宋体" w:hAnsi="宋体" w:cs="宋体"/>
          <w:color w:val="000000"/>
          <w:sz w:val="24"/>
          <w:szCs w:val="24"/>
        </w:rPr>
        <w:t>9</w:t>
      </w:r>
      <w:bookmarkEnd w:id="706"/>
      <w:bookmarkEnd w:id="707"/>
      <w:bookmarkEnd w:id="708"/>
      <w:bookmarkStart w:id="760" w:name="_Toc300934982"/>
      <w:bookmarkStart w:id="761" w:name="_Toc303539139"/>
      <w:bookmarkStart w:id="762" w:name="_Toc297216192"/>
      <w:bookmarkStart w:id="763" w:name="_Toc312677495"/>
      <w:bookmarkStart w:id="764" w:name="_Toc304295559"/>
      <w:bookmarkStart w:id="765" w:name="_Toc297123533"/>
      <w:bookmarkStart w:id="766" w:name="_Toc312678021"/>
      <w:bookmarkStart w:id="767" w:name="_Toc296503173"/>
      <w:bookmarkStart w:id="768" w:name="_Toc267251428"/>
      <w:bookmarkStart w:id="769" w:name="_Toc296891213"/>
      <w:bookmarkStart w:id="770" w:name="_Toc297120473"/>
      <w:bookmarkStart w:id="771" w:name="_Toc292559378"/>
      <w:bookmarkStart w:id="772" w:name="_Toc296347172"/>
      <w:bookmarkStart w:id="773" w:name="_Toc292559883"/>
      <w:bookmarkStart w:id="774" w:name="_Toc296944512"/>
      <w:bookmarkStart w:id="775" w:name="_Toc296346674"/>
      <w:bookmarkStart w:id="776" w:name="_Toc296891001"/>
      <w:bookmarkStart w:id="777" w:name="_Toc297048359"/>
      <w:bookmarkStart w:id="778" w:name="_Toc267251427"/>
      <w:r>
        <w:rPr>
          <w:rFonts w:hint="eastAsia" w:ascii="宋体" w:hAnsi="宋体" w:cs="宋体"/>
          <w:color w:val="000000"/>
          <w:sz w:val="24"/>
          <w:szCs w:val="24"/>
        </w:rPr>
        <w:t>. 试验与检验</w:t>
      </w:r>
      <w:bookmarkEnd w:id="759"/>
    </w:p>
    <w:bookmarkEnd w:id="760"/>
    <w:bookmarkEnd w:id="761"/>
    <w:bookmarkEnd w:id="762"/>
    <w:bookmarkEnd w:id="763"/>
    <w:bookmarkEnd w:id="764"/>
    <w:bookmarkEnd w:id="765"/>
    <w:bookmarkEnd w:id="766"/>
    <w:p w14:paraId="5C702A5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9</w:t>
      </w:r>
      <w:bookmarkStart w:id="779" w:name="_Toc304295560"/>
      <w:bookmarkStart w:id="780" w:name="_Toc312678022"/>
      <w:bookmarkStart w:id="781" w:name="_Toc300934983"/>
      <w:bookmarkStart w:id="782" w:name="_Toc303539140"/>
      <w:bookmarkStart w:id="783" w:name="_Toc297216193"/>
      <w:bookmarkStart w:id="784" w:name="_Toc312677496"/>
      <w:bookmarkStart w:id="785" w:name="_Toc297123534"/>
      <w:r>
        <w:rPr>
          <w:rFonts w:hint="eastAsia" w:ascii="宋体" w:hAnsi="宋体" w:cs="宋体"/>
          <w:color w:val="000000"/>
          <w:sz w:val="24"/>
          <w:szCs w:val="24"/>
        </w:rPr>
        <w:t>.1试验设备与试验人员</w:t>
      </w:r>
    </w:p>
    <w:bookmarkEnd w:id="779"/>
    <w:bookmarkEnd w:id="780"/>
    <w:bookmarkEnd w:id="781"/>
    <w:bookmarkEnd w:id="782"/>
    <w:bookmarkEnd w:id="783"/>
    <w:bookmarkEnd w:id="784"/>
    <w:bookmarkEnd w:id="785"/>
    <w:p w14:paraId="00E2941C">
      <w:pPr>
        <w:spacing w:line="360" w:lineRule="auto"/>
        <w:ind w:firstLine="480" w:firstLineChars="200"/>
        <w:rPr>
          <w:rFonts w:ascii="宋体" w:hAnsi="宋体" w:cs="宋体"/>
          <w:sz w:val="24"/>
          <w:szCs w:val="24"/>
        </w:rPr>
      </w:pPr>
      <w:r>
        <w:rPr>
          <w:rFonts w:hint="eastAsia" w:ascii="宋体" w:hAnsi="宋体" w:cs="宋体"/>
          <w:sz w:val="24"/>
          <w:szCs w:val="24"/>
        </w:rPr>
        <w:t>9</w:t>
      </w:r>
      <w:bookmarkStart w:id="786" w:name="_Toc297123535"/>
      <w:bookmarkStart w:id="787" w:name="_Toc303539141"/>
      <w:bookmarkStart w:id="788" w:name="_Toc300934984"/>
      <w:bookmarkStart w:id="789" w:name="_Toc312678023"/>
      <w:bookmarkStart w:id="790" w:name="_Toc297216194"/>
      <w:bookmarkStart w:id="791" w:name="_Toc312677497"/>
      <w:bookmarkStart w:id="792" w:name="_Toc304295561"/>
      <w:bookmarkStart w:id="793" w:name="_Toc318581174"/>
      <w:r>
        <w:rPr>
          <w:rFonts w:hint="eastAsia" w:ascii="宋体" w:hAnsi="宋体" w:cs="宋体"/>
          <w:sz w:val="24"/>
          <w:szCs w:val="24"/>
        </w:rPr>
        <w:t>.1.2 试验设备</w:t>
      </w:r>
    </w:p>
    <w:p w14:paraId="636F2941">
      <w:pPr>
        <w:spacing w:line="360" w:lineRule="auto"/>
        <w:ind w:firstLine="480" w:firstLineChars="200"/>
        <w:rPr>
          <w:rFonts w:ascii="宋体" w:hAnsi="宋体" w:cs="宋体"/>
          <w:sz w:val="24"/>
          <w:szCs w:val="24"/>
        </w:rPr>
      </w:pPr>
      <w:r>
        <w:rPr>
          <w:rFonts w:hint="eastAsia" w:ascii="宋体" w:hAnsi="宋体" w:cs="宋体"/>
          <w:sz w:val="24"/>
          <w:szCs w:val="24"/>
        </w:rPr>
        <w:t>施工现场需要配置的试验场所：</w:t>
      </w:r>
      <w:bookmarkEnd w:id="786"/>
      <w:bookmarkEnd w:id="787"/>
      <w:bookmarkEnd w:id="788"/>
      <w:bookmarkEnd w:id="789"/>
      <w:bookmarkEnd w:id="790"/>
      <w:bookmarkEnd w:id="791"/>
      <w:bookmarkEnd w:id="792"/>
      <w:bookmarkStart w:id="794" w:name="_Toc312678024"/>
      <w:bookmarkStart w:id="795" w:name="_Toc297216195"/>
      <w:bookmarkStart w:id="796" w:name="_Toc300934985"/>
      <w:bookmarkStart w:id="797" w:name="_Toc297123536"/>
      <w:bookmarkStart w:id="798" w:name="_Toc312677498"/>
      <w:bookmarkStart w:id="799" w:name="_Toc303539142"/>
      <w:bookmarkStart w:id="800" w:name="_Toc304295562"/>
      <w:r>
        <w:rPr>
          <w:rFonts w:hint="eastAsia" w:ascii="宋体" w:hAnsi="宋体" w:cs="宋体"/>
          <w:sz w:val="24"/>
          <w:szCs w:val="24"/>
          <w:u w:val="single"/>
        </w:rPr>
        <w:t xml:space="preserve">                </w:t>
      </w:r>
      <w:r>
        <w:rPr>
          <w:rFonts w:hint="eastAsia" w:ascii="宋体" w:hAnsi="宋体" w:cs="宋体"/>
          <w:sz w:val="24"/>
          <w:szCs w:val="24"/>
        </w:rPr>
        <w:t xml:space="preserve">。 </w:t>
      </w:r>
    </w:p>
    <w:p w14:paraId="760C59C0">
      <w:pPr>
        <w:spacing w:line="360" w:lineRule="auto"/>
        <w:ind w:firstLine="480" w:firstLineChars="200"/>
        <w:rPr>
          <w:rFonts w:ascii="宋体" w:hAnsi="宋体" w:cs="宋体"/>
          <w:sz w:val="24"/>
          <w:szCs w:val="24"/>
        </w:rPr>
      </w:pPr>
      <w:r>
        <w:rPr>
          <w:rFonts w:hint="eastAsia" w:ascii="宋体" w:hAnsi="宋体" w:cs="宋体"/>
          <w:sz w:val="24"/>
          <w:szCs w:val="24"/>
        </w:rPr>
        <w:t>施工现场需要配备的试验设备：</w:t>
      </w:r>
      <w:r>
        <w:rPr>
          <w:rFonts w:hint="eastAsia" w:ascii="宋体" w:hAnsi="宋体" w:cs="宋体"/>
          <w:sz w:val="24"/>
          <w:szCs w:val="24"/>
          <w:u w:val="single"/>
        </w:rPr>
        <w:t xml:space="preserve">                  </w:t>
      </w:r>
      <w:r>
        <w:rPr>
          <w:rFonts w:hint="eastAsia" w:ascii="宋体" w:hAnsi="宋体" w:cs="宋体"/>
          <w:sz w:val="24"/>
          <w:szCs w:val="24"/>
        </w:rPr>
        <w:t>。</w:t>
      </w:r>
    </w:p>
    <w:p w14:paraId="76888E43">
      <w:pPr>
        <w:spacing w:line="360" w:lineRule="auto"/>
        <w:ind w:firstLine="480" w:firstLineChars="200"/>
        <w:rPr>
          <w:rFonts w:ascii="宋体" w:hAnsi="宋体" w:cs="宋体"/>
          <w:sz w:val="24"/>
          <w:szCs w:val="24"/>
        </w:rPr>
      </w:pPr>
      <w:r>
        <w:rPr>
          <w:rFonts w:hint="eastAsia" w:ascii="宋体" w:hAnsi="宋体" w:cs="宋体"/>
          <w:sz w:val="24"/>
          <w:szCs w:val="24"/>
        </w:rPr>
        <w:t>施工现场需要具备的其他试验条件：</w:t>
      </w:r>
      <w:r>
        <w:rPr>
          <w:rFonts w:hint="eastAsia" w:ascii="宋体" w:hAnsi="宋体" w:cs="宋体"/>
          <w:sz w:val="24"/>
          <w:szCs w:val="24"/>
          <w:u w:val="single"/>
        </w:rPr>
        <w:t xml:space="preserve">              </w:t>
      </w:r>
      <w:r>
        <w:rPr>
          <w:rFonts w:hint="eastAsia" w:ascii="宋体" w:hAnsi="宋体" w:cs="宋体"/>
          <w:sz w:val="24"/>
          <w:szCs w:val="24"/>
        </w:rPr>
        <w:t>。</w:t>
      </w:r>
    </w:p>
    <w:p w14:paraId="328FBBC9">
      <w:pPr>
        <w:spacing w:line="360" w:lineRule="auto"/>
        <w:ind w:firstLine="480" w:firstLineChars="200"/>
        <w:rPr>
          <w:rFonts w:ascii="宋体" w:hAnsi="宋体" w:cs="宋体"/>
          <w:color w:val="000000"/>
          <w:sz w:val="24"/>
          <w:szCs w:val="24"/>
        </w:rPr>
      </w:pPr>
      <w:bookmarkStart w:id="801" w:name="_Toc13650"/>
      <w:bookmarkStart w:id="802" w:name="_Toc518573657"/>
      <w:bookmarkStart w:id="803" w:name="_Toc13666"/>
      <w:bookmarkStart w:id="804" w:name="_Toc23454"/>
      <w:bookmarkStart w:id="805" w:name="_Toc21685"/>
      <w:bookmarkStart w:id="806" w:name="_Toc518240105"/>
      <w:bookmarkStart w:id="807" w:name="_Toc5568"/>
      <w:bookmarkStart w:id="808" w:name="_Toc17331"/>
      <w:bookmarkStart w:id="809" w:name="_Toc6260"/>
      <w:bookmarkStart w:id="810" w:name="_Toc518573541"/>
      <w:bookmarkStart w:id="811" w:name="_Toc13699"/>
      <w:bookmarkStart w:id="812" w:name="_Toc6837"/>
      <w:bookmarkStart w:id="813" w:name="_Toc23447"/>
      <w:bookmarkStart w:id="814" w:name="_Toc11885"/>
      <w:bookmarkStart w:id="815" w:name="_Toc20967"/>
      <w:bookmarkStart w:id="816" w:name="_Toc13135"/>
      <w:r>
        <w:rPr>
          <w:rFonts w:hint="eastAsia" w:ascii="宋体" w:hAnsi="宋体" w:cs="宋体"/>
          <w:color w:val="000000"/>
          <w:sz w:val="24"/>
          <w:szCs w:val="24"/>
        </w:rPr>
        <w:t>9.4 现场工艺试验</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Pr>
          <w:rFonts w:hint="eastAsia" w:ascii="宋体" w:hAnsi="宋体" w:cs="宋体"/>
          <w:color w:val="000000"/>
          <w:sz w:val="24"/>
          <w:szCs w:val="24"/>
        </w:rPr>
        <w:t xml:space="preserve"> </w:t>
      </w:r>
    </w:p>
    <w:p w14:paraId="7F6B7F72">
      <w:pPr>
        <w:spacing w:line="360" w:lineRule="auto"/>
        <w:ind w:firstLine="480" w:firstLineChars="200"/>
        <w:rPr>
          <w:rFonts w:ascii="宋体" w:hAnsi="宋体" w:cs="宋体"/>
          <w:sz w:val="24"/>
          <w:szCs w:val="24"/>
        </w:rPr>
      </w:pPr>
      <w:r>
        <w:rPr>
          <w:rFonts w:hint="eastAsia" w:ascii="宋体" w:hAnsi="宋体" w:cs="宋体"/>
          <w:sz w:val="24"/>
          <w:szCs w:val="24"/>
        </w:rPr>
        <w:t>现场工艺试验的有关约定：</w:t>
      </w:r>
      <w:r>
        <w:rPr>
          <w:rFonts w:hint="eastAsia" w:ascii="宋体" w:hAnsi="宋体" w:cs="宋体"/>
          <w:sz w:val="24"/>
          <w:szCs w:val="24"/>
          <w:u w:val="single"/>
        </w:rPr>
        <w:t xml:space="preserve">                  </w:t>
      </w:r>
      <w:r>
        <w:rPr>
          <w:rFonts w:hint="eastAsia" w:ascii="宋体" w:hAnsi="宋体" w:cs="宋体"/>
          <w:sz w:val="24"/>
          <w:szCs w:val="24"/>
        </w:rPr>
        <w:t>。</w:t>
      </w:r>
    </w:p>
    <w:bookmarkEnd w:id="793"/>
    <w:bookmarkEnd w:id="794"/>
    <w:bookmarkEnd w:id="795"/>
    <w:bookmarkEnd w:id="796"/>
    <w:bookmarkEnd w:id="797"/>
    <w:bookmarkEnd w:id="798"/>
    <w:bookmarkEnd w:id="799"/>
    <w:bookmarkEnd w:id="800"/>
    <w:p w14:paraId="60F9CD6E">
      <w:pPr>
        <w:spacing w:line="360" w:lineRule="auto"/>
        <w:rPr>
          <w:rFonts w:ascii="宋体" w:hAnsi="宋体" w:cs="宋体"/>
          <w:color w:val="000000"/>
          <w:sz w:val="24"/>
          <w:szCs w:val="24"/>
        </w:rPr>
      </w:pPr>
      <w:bookmarkStart w:id="817" w:name="_Toc23556"/>
      <w:r>
        <w:rPr>
          <w:rFonts w:hint="eastAsia" w:ascii="宋体" w:hAnsi="宋体" w:cs="宋体"/>
          <w:color w:val="000000"/>
          <w:sz w:val="24"/>
          <w:szCs w:val="24"/>
        </w:rPr>
        <w:t>1</w:t>
      </w:r>
      <w:bookmarkEnd w:id="767"/>
      <w:bookmarkEnd w:id="768"/>
      <w:bookmarkEnd w:id="769"/>
      <w:bookmarkEnd w:id="770"/>
      <w:bookmarkEnd w:id="771"/>
      <w:bookmarkEnd w:id="772"/>
      <w:bookmarkEnd w:id="773"/>
      <w:bookmarkEnd w:id="774"/>
      <w:bookmarkEnd w:id="775"/>
      <w:bookmarkEnd w:id="776"/>
      <w:bookmarkEnd w:id="777"/>
      <w:bookmarkEnd w:id="778"/>
      <w:bookmarkStart w:id="818" w:name="_Toc292559903"/>
      <w:bookmarkStart w:id="819" w:name="_Toc296346694"/>
      <w:bookmarkStart w:id="820" w:name="_Toc292559398"/>
      <w:bookmarkStart w:id="821" w:name="_Toc297216199"/>
      <w:bookmarkStart w:id="822" w:name="_Toc296503193"/>
      <w:bookmarkStart w:id="823" w:name="_Toc297048379"/>
      <w:bookmarkStart w:id="824" w:name="_Toc296347192"/>
      <w:bookmarkStart w:id="825" w:name="_Toc304295566"/>
      <w:bookmarkStart w:id="826" w:name="_Toc296891233"/>
      <w:bookmarkStart w:id="827" w:name="_Toc297123540"/>
      <w:bookmarkStart w:id="828" w:name="_Toc296944532"/>
      <w:bookmarkStart w:id="829" w:name="_Toc300934989"/>
      <w:bookmarkStart w:id="830" w:name="_Toc296891021"/>
      <w:bookmarkStart w:id="831" w:name="_Toc297120493"/>
      <w:bookmarkStart w:id="832" w:name="_Toc303539146"/>
      <w:bookmarkStart w:id="833" w:name="_Toc312677499"/>
      <w:bookmarkStart w:id="834" w:name="_Toc312678025"/>
      <w:bookmarkStart w:id="835" w:name="_Toc267251437"/>
      <w:bookmarkStart w:id="836" w:name="_Toc267251440"/>
      <w:bookmarkStart w:id="837" w:name="_Toc267251433"/>
      <w:bookmarkStart w:id="838" w:name="_Toc267251435"/>
      <w:bookmarkStart w:id="839" w:name="_Toc267251441"/>
      <w:bookmarkStart w:id="840" w:name="_Toc267251439"/>
      <w:bookmarkStart w:id="841" w:name="_Toc267251442"/>
      <w:r>
        <w:rPr>
          <w:rFonts w:hint="eastAsia" w:ascii="宋体" w:hAnsi="宋体" w:cs="宋体"/>
          <w:color w:val="000000"/>
          <w:sz w:val="24"/>
          <w:szCs w:val="24"/>
        </w:rPr>
        <w:t>0. 变更</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bookmarkEnd w:id="833"/>
    <w:bookmarkEnd w:id="834"/>
    <w:p w14:paraId="151D73B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w:t>
      </w:r>
      <w:bookmarkStart w:id="842" w:name="_Toc297216200"/>
      <w:bookmarkStart w:id="843" w:name="_Toc296891022"/>
      <w:bookmarkStart w:id="844" w:name="_Toc296346695"/>
      <w:bookmarkStart w:id="845" w:name="_Toc296944533"/>
      <w:bookmarkStart w:id="846" w:name="_Toc303539147"/>
      <w:bookmarkStart w:id="847" w:name="_Toc292559904"/>
      <w:bookmarkStart w:id="848" w:name="_Toc297123541"/>
      <w:bookmarkStart w:id="849" w:name="_Toc296503194"/>
      <w:bookmarkStart w:id="850" w:name="_Toc304295567"/>
      <w:bookmarkStart w:id="851" w:name="_Toc292559399"/>
      <w:bookmarkStart w:id="852" w:name="_Toc312677500"/>
      <w:bookmarkStart w:id="853" w:name="_Toc296891234"/>
      <w:bookmarkStart w:id="854" w:name="_Toc297048380"/>
      <w:bookmarkStart w:id="855" w:name="_Toc296347193"/>
      <w:bookmarkStart w:id="856" w:name="_Toc300934990"/>
      <w:bookmarkStart w:id="857" w:name="_Toc297120494"/>
      <w:bookmarkStart w:id="858" w:name="_Toc312678026"/>
      <w:r>
        <w:rPr>
          <w:rFonts w:hint="eastAsia" w:ascii="宋体" w:hAnsi="宋体" w:cs="宋体"/>
          <w:color w:val="000000"/>
          <w:sz w:val="24"/>
          <w:szCs w:val="24"/>
        </w:rPr>
        <w:t>0.1变更的范围</w:t>
      </w:r>
    </w:p>
    <w:p w14:paraId="38D8B7A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关于变更的范围的约定：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A2400DD">
      <w:pPr>
        <w:spacing w:line="360" w:lineRule="auto"/>
        <w:ind w:firstLine="480" w:firstLineChars="200"/>
        <w:rPr>
          <w:rFonts w:ascii="宋体" w:hAnsi="宋体" w:cs="宋体"/>
          <w:color w:val="000000"/>
          <w:sz w:val="24"/>
          <w:szCs w:val="24"/>
        </w:rPr>
      </w:pPr>
      <w:bookmarkStart w:id="859" w:name="_Toc2652"/>
      <w:bookmarkStart w:id="860" w:name="_Toc10200"/>
      <w:bookmarkStart w:id="861" w:name="_Toc8545"/>
      <w:bookmarkStart w:id="862" w:name="_Toc4341"/>
      <w:bookmarkStart w:id="863" w:name="_Toc12452"/>
      <w:bookmarkStart w:id="864" w:name="_Toc23123"/>
      <w:bookmarkStart w:id="865" w:name="_Toc19335"/>
      <w:bookmarkStart w:id="866" w:name="_Toc518573542"/>
      <w:bookmarkStart w:id="867" w:name="_Toc518573658"/>
      <w:bookmarkStart w:id="868" w:name="_Toc11548"/>
      <w:bookmarkStart w:id="869" w:name="_Toc30314"/>
      <w:bookmarkStart w:id="870" w:name="_Toc25032"/>
      <w:bookmarkStart w:id="871" w:name="_Toc17499"/>
      <w:bookmarkStart w:id="872" w:name="_Toc25015"/>
      <w:bookmarkStart w:id="873" w:name="_Toc518240106"/>
      <w:bookmarkStart w:id="874" w:name="_Toc16423"/>
      <w:r>
        <w:rPr>
          <w:rFonts w:hint="eastAsia" w:ascii="宋体" w:hAnsi="宋体" w:cs="宋体"/>
          <w:color w:val="000000"/>
          <w:sz w:val="24"/>
          <w:szCs w:val="24"/>
        </w:rPr>
        <w:t>10.4 变更估价</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14:paraId="1588EBDE">
      <w:pPr>
        <w:spacing w:line="360" w:lineRule="auto"/>
        <w:ind w:firstLine="480" w:firstLineChars="200"/>
        <w:rPr>
          <w:rFonts w:ascii="宋体" w:hAnsi="宋体" w:cs="宋体"/>
          <w:sz w:val="24"/>
          <w:szCs w:val="24"/>
        </w:rPr>
      </w:pPr>
      <w:r>
        <w:rPr>
          <w:rFonts w:hint="eastAsia" w:ascii="宋体" w:hAnsi="宋体" w:cs="宋体"/>
          <w:sz w:val="24"/>
          <w:szCs w:val="24"/>
        </w:rPr>
        <w:t>10.4.1 变更估价原则</w:t>
      </w:r>
    </w:p>
    <w:p w14:paraId="0BCA385C">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 xml:space="preserve">关于变更估价的约定: </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C9BD5F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Start w:id="875" w:name="_Toc296346698"/>
      <w:bookmarkStart w:id="876" w:name="_Toc297120497"/>
      <w:bookmarkStart w:id="877" w:name="_Toc296891025"/>
      <w:bookmarkStart w:id="878" w:name="_Toc296891237"/>
      <w:bookmarkStart w:id="879" w:name="_Toc296503197"/>
      <w:bookmarkStart w:id="880" w:name="_Toc300934993"/>
      <w:bookmarkStart w:id="881" w:name="_Toc297123544"/>
      <w:bookmarkStart w:id="882" w:name="_Toc292559402"/>
      <w:bookmarkStart w:id="883" w:name="_Toc296944536"/>
      <w:bookmarkStart w:id="884" w:name="_Toc292559907"/>
      <w:bookmarkStart w:id="885" w:name="_Toc296347196"/>
      <w:bookmarkStart w:id="886" w:name="_Toc303539150"/>
      <w:bookmarkStart w:id="887" w:name="_Toc297048383"/>
      <w:bookmarkStart w:id="888" w:name="_Toc297216203"/>
      <w:bookmarkStart w:id="889" w:name="_Toc312678029"/>
      <w:bookmarkStart w:id="890" w:name="_Toc312677503"/>
      <w:bookmarkStart w:id="891" w:name="_Toc304295570"/>
      <w:r>
        <w:rPr>
          <w:rFonts w:hint="eastAsia" w:ascii="宋体" w:hAnsi="宋体" w:cs="宋体"/>
          <w:color w:val="000000"/>
          <w:sz w:val="24"/>
          <w:szCs w:val="24"/>
        </w:rPr>
        <w:t>0.5承</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Start w:id="892" w:name="_Toc297123545"/>
      <w:bookmarkStart w:id="893" w:name="_Toc297216204"/>
      <w:bookmarkStart w:id="894" w:name="_Toc296891243"/>
      <w:bookmarkStart w:id="895" w:name="_Toc296891031"/>
      <w:bookmarkStart w:id="896" w:name="_Toc303539151"/>
      <w:bookmarkStart w:id="897" w:name="_Toc296347202"/>
      <w:bookmarkStart w:id="898" w:name="_Toc296346704"/>
      <w:bookmarkStart w:id="899" w:name="_Toc292559913"/>
      <w:bookmarkStart w:id="900" w:name="_Toc296944542"/>
      <w:bookmarkStart w:id="901" w:name="_Toc297120503"/>
      <w:bookmarkStart w:id="902" w:name="_Toc292559408"/>
      <w:bookmarkStart w:id="903" w:name="_Toc297048389"/>
      <w:bookmarkStart w:id="904" w:name="_Toc296503203"/>
      <w:bookmarkStart w:id="905" w:name="_Toc300934994"/>
      <w:r>
        <w:rPr>
          <w:rFonts w:hint="eastAsia" w:ascii="宋体" w:hAnsi="宋体" w:cs="宋体"/>
          <w:color w:val="000000"/>
          <w:sz w:val="24"/>
          <w:szCs w:val="24"/>
        </w:rPr>
        <w:t>包人的合理化建议</w:t>
      </w:r>
    </w:p>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14:paraId="3008FE23">
      <w:pPr>
        <w:spacing w:line="360" w:lineRule="auto"/>
        <w:ind w:firstLine="480" w:firstLineChars="200"/>
        <w:rPr>
          <w:rFonts w:ascii="宋体" w:hAnsi="宋体" w:cs="宋体"/>
          <w:sz w:val="24"/>
          <w:szCs w:val="24"/>
        </w:rPr>
      </w:pPr>
      <w:r>
        <w:rPr>
          <w:rFonts w:hint="eastAsia" w:ascii="宋体" w:hAnsi="宋体" w:cs="宋体"/>
          <w:sz w:val="24"/>
          <w:szCs w:val="24"/>
        </w:rPr>
        <w:t>监理人审查承包人合理化建议的期限：</w:t>
      </w:r>
      <w:r>
        <w:rPr>
          <w:rFonts w:hint="eastAsia" w:ascii="宋体" w:hAnsi="宋体" w:cs="宋体"/>
          <w:sz w:val="24"/>
          <w:szCs w:val="24"/>
          <w:u w:val="single"/>
        </w:rPr>
        <w:t xml:space="preserve">                    </w:t>
      </w:r>
      <w:r>
        <w:rPr>
          <w:rFonts w:hint="eastAsia" w:ascii="宋体" w:hAnsi="宋体" w:cs="宋体"/>
          <w:sz w:val="24"/>
          <w:szCs w:val="24"/>
        </w:rPr>
        <w:t>。</w:t>
      </w:r>
    </w:p>
    <w:p w14:paraId="56808839">
      <w:pPr>
        <w:spacing w:line="360" w:lineRule="auto"/>
        <w:ind w:firstLine="480" w:firstLineChars="200"/>
        <w:rPr>
          <w:rFonts w:ascii="宋体" w:hAnsi="宋体" w:cs="宋体"/>
          <w:sz w:val="24"/>
          <w:szCs w:val="24"/>
        </w:rPr>
      </w:pPr>
      <w:r>
        <w:rPr>
          <w:rFonts w:hint="eastAsia" w:ascii="宋体" w:hAnsi="宋体" w:cs="宋体"/>
          <w:sz w:val="24"/>
          <w:szCs w:val="24"/>
        </w:rPr>
        <w:t>发包人审批承包人合理化建议的期限：</w:t>
      </w:r>
      <w:r>
        <w:rPr>
          <w:rFonts w:hint="eastAsia" w:ascii="宋体" w:hAnsi="宋体" w:cs="宋体"/>
          <w:sz w:val="24"/>
          <w:szCs w:val="24"/>
          <w:u w:val="single"/>
        </w:rPr>
        <w:t xml:space="preserve">                    </w:t>
      </w:r>
      <w:r>
        <w:rPr>
          <w:rFonts w:hint="eastAsia" w:ascii="宋体" w:hAnsi="宋体" w:cs="宋体"/>
          <w:sz w:val="24"/>
          <w:szCs w:val="24"/>
        </w:rPr>
        <w:t>。</w:t>
      </w:r>
    </w:p>
    <w:p w14:paraId="481098EF">
      <w:pPr>
        <w:spacing w:line="360" w:lineRule="auto"/>
        <w:ind w:firstLine="480" w:firstLineChars="200"/>
        <w:rPr>
          <w:rFonts w:ascii="宋体" w:hAnsi="宋体" w:cs="宋体"/>
          <w:sz w:val="24"/>
          <w:szCs w:val="24"/>
          <w:u w:val="single"/>
        </w:rPr>
      </w:pPr>
      <w:r>
        <w:rPr>
          <w:rFonts w:hint="eastAsia" w:ascii="宋体" w:hAnsi="宋体" w:cs="宋体"/>
          <w:sz w:val="24"/>
          <w:szCs w:val="24"/>
        </w:rPr>
        <w:t>承</w:t>
      </w:r>
      <w:bookmarkStart w:id="906" w:name="_Toc300934995"/>
      <w:bookmarkStart w:id="907" w:name="_Toc312678030"/>
      <w:bookmarkStart w:id="908" w:name="_Toc296891244"/>
      <w:bookmarkStart w:id="909" w:name="_Toc303539152"/>
      <w:bookmarkStart w:id="910" w:name="_Toc297216205"/>
      <w:bookmarkStart w:id="911" w:name="_Toc296346705"/>
      <w:bookmarkStart w:id="912" w:name="_Toc304295571"/>
      <w:bookmarkStart w:id="913" w:name="_Toc297120504"/>
      <w:bookmarkStart w:id="914" w:name="_Toc312677504"/>
      <w:bookmarkStart w:id="915" w:name="_Toc296503204"/>
      <w:bookmarkStart w:id="916" w:name="_Toc292559409"/>
      <w:bookmarkStart w:id="917" w:name="_Toc296944543"/>
      <w:bookmarkStart w:id="918" w:name="_Toc292559914"/>
      <w:bookmarkStart w:id="919" w:name="_Toc296891032"/>
      <w:bookmarkStart w:id="920" w:name="_Toc297123546"/>
      <w:bookmarkStart w:id="921" w:name="_Toc297048390"/>
      <w:bookmarkStart w:id="922" w:name="_Toc296347203"/>
      <w:bookmarkStart w:id="923" w:name="_Toc318581175"/>
      <w:r>
        <w:rPr>
          <w:rFonts w:hint="eastAsia" w:ascii="宋体" w:hAnsi="宋体" w:cs="宋体"/>
          <w:sz w:val="24"/>
          <w:szCs w:val="24"/>
        </w:rPr>
        <w:t>包人提出的合理化建议降低了合同价格或者提高了工程经济效益的奖励的方法和金额为：</w:t>
      </w:r>
      <w:r>
        <w:rPr>
          <w:rFonts w:hint="eastAsia" w:ascii="宋体" w:hAnsi="宋体" w:cs="宋体"/>
          <w:sz w:val="24"/>
          <w:szCs w:val="24"/>
          <w:u w:val="single"/>
        </w:rPr>
        <w:t xml:space="preserve">                 </w:t>
      </w:r>
      <w:r>
        <w:rPr>
          <w:rFonts w:hint="eastAsia" w:ascii="宋体" w:hAnsi="宋体" w:cs="宋体"/>
          <w:sz w:val="24"/>
          <w:szCs w:val="24"/>
        </w:rPr>
        <w:t>。</w:t>
      </w:r>
    </w:p>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14:paraId="0759F539">
      <w:pPr>
        <w:spacing w:line="360" w:lineRule="auto"/>
        <w:ind w:firstLine="480" w:firstLineChars="200"/>
        <w:rPr>
          <w:rFonts w:ascii="宋体" w:hAnsi="宋体" w:cs="宋体"/>
          <w:color w:val="000000"/>
          <w:sz w:val="24"/>
          <w:szCs w:val="24"/>
        </w:rPr>
      </w:pPr>
      <w:bookmarkStart w:id="924" w:name="_Toc22022"/>
      <w:bookmarkStart w:id="925" w:name="_Toc518573543"/>
      <w:bookmarkStart w:id="926" w:name="_Toc21895"/>
      <w:bookmarkStart w:id="927" w:name="_Toc25749"/>
      <w:bookmarkStart w:id="928" w:name="_Toc518573659"/>
      <w:bookmarkStart w:id="929" w:name="_Toc7974"/>
      <w:bookmarkStart w:id="930" w:name="_Toc25651"/>
      <w:bookmarkStart w:id="931" w:name="_Toc518240107"/>
      <w:bookmarkStart w:id="932" w:name="_Toc19724"/>
      <w:bookmarkStart w:id="933" w:name="_Toc25232"/>
      <w:bookmarkStart w:id="934" w:name="_Toc6075"/>
      <w:bookmarkStart w:id="935" w:name="_Toc14741"/>
      <w:bookmarkStart w:id="936" w:name="_Toc19715"/>
      <w:bookmarkStart w:id="937" w:name="_Toc17704"/>
      <w:bookmarkStart w:id="938" w:name="_Toc11873"/>
      <w:bookmarkStart w:id="939" w:name="_Toc20498"/>
      <w:r>
        <w:rPr>
          <w:rFonts w:hint="eastAsia" w:ascii="宋体" w:hAnsi="宋体" w:cs="宋体"/>
          <w:color w:val="000000"/>
          <w:sz w:val="24"/>
          <w:szCs w:val="24"/>
        </w:rPr>
        <w:t>1</w:t>
      </w:r>
      <w:bookmarkStart w:id="940" w:name="_Toc303539154"/>
      <w:bookmarkStart w:id="941" w:name="_Toc296503199"/>
      <w:bookmarkStart w:id="942" w:name="_Toc304295574"/>
      <w:bookmarkStart w:id="943" w:name="_Toc296891027"/>
      <w:bookmarkStart w:id="944" w:name="_Toc296891239"/>
      <w:bookmarkStart w:id="945" w:name="_Toc296944538"/>
      <w:bookmarkStart w:id="946" w:name="_Toc292559909"/>
      <w:bookmarkStart w:id="947" w:name="_Toc297120499"/>
      <w:bookmarkStart w:id="948" w:name="_Toc297216207"/>
      <w:bookmarkStart w:id="949" w:name="_Toc296346700"/>
      <w:bookmarkStart w:id="950" w:name="_Toc296347198"/>
      <w:bookmarkStart w:id="951" w:name="_Toc297123548"/>
      <w:bookmarkStart w:id="952" w:name="_Toc312677507"/>
      <w:bookmarkStart w:id="953" w:name="_Toc312678033"/>
      <w:bookmarkStart w:id="954" w:name="_Toc297048385"/>
      <w:bookmarkStart w:id="955" w:name="_Toc300934997"/>
      <w:bookmarkStart w:id="956" w:name="_Toc292559404"/>
      <w:r>
        <w:rPr>
          <w:rFonts w:hint="eastAsia" w:ascii="宋体" w:hAnsi="宋体" w:cs="宋体"/>
          <w:color w:val="000000"/>
          <w:sz w:val="24"/>
          <w:szCs w:val="24"/>
        </w:rPr>
        <w:t>0.7 暂估价</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p>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14:paraId="0BFD323B">
      <w:pPr>
        <w:spacing w:line="360" w:lineRule="auto"/>
        <w:ind w:firstLine="480" w:firstLineChars="200"/>
        <w:rPr>
          <w:rFonts w:ascii="宋体" w:hAnsi="宋体" w:cs="宋体"/>
          <w:sz w:val="24"/>
          <w:szCs w:val="24"/>
        </w:rPr>
      </w:pPr>
      <w:r>
        <w:rPr>
          <w:rFonts w:hint="eastAsia" w:ascii="宋体" w:hAnsi="宋体" w:cs="宋体"/>
          <w:sz w:val="24"/>
          <w:szCs w:val="24"/>
        </w:rPr>
        <w:t>暂</w:t>
      </w:r>
      <w:bookmarkStart w:id="957" w:name="_Toc318581176"/>
      <w:bookmarkStart w:id="958" w:name="_Toc312678034"/>
      <w:bookmarkStart w:id="959" w:name="_Toc312677508"/>
      <w:r>
        <w:rPr>
          <w:rFonts w:hint="eastAsia" w:ascii="宋体" w:hAnsi="宋体" w:cs="宋体"/>
          <w:sz w:val="24"/>
          <w:szCs w:val="24"/>
        </w:rPr>
        <w:t>估价材料和工程设备的明细详见附件11：《</w:t>
      </w:r>
      <w:r>
        <w:rPr>
          <w:rFonts w:hint="eastAsia" w:ascii="宋体" w:hAnsi="宋体" w:cs="宋体"/>
          <w:color w:val="000000"/>
          <w:sz w:val="24"/>
          <w:szCs w:val="24"/>
        </w:rPr>
        <w:t>暂估价一览表》</w:t>
      </w:r>
      <w:r>
        <w:rPr>
          <w:rFonts w:hint="eastAsia" w:ascii="宋体" w:hAnsi="宋体" w:cs="宋体"/>
          <w:sz w:val="24"/>
          <w:szCs w:val="24"/>
        </w:rPr>
        <w:t>。</w:t>
      </w:r>
    </w:p>
    <w:bookmarkEnd w:id="957"/>
    <w:bookmarkEnd w:id="958"/>
    <w:bookmarkEnd w:id="959"/>
    <w:p w14:paraId="5D7667FD">
      <w:pPr>
        <w:spacing w:line="360" w:lineRule="auto"/>
        <w:ind w:firstLine="480" w:firstLineChars="200"/>
        <w:rPr>
          <w:rFonts w:ascii="宋体" w:hAnsi="宋体" w:cs="宋体"/>
          <w:sz w:val="24"/>
          <w:szCs w:val="24"/>
        </w:rPr>
      </w:pPr>
      <w:r>
        <w:rPr>
          <w:rFonts w:hint="eastAsia" w:ascii="宋体" w:hAnsi="宋体" w:cs="宋体"/>
          <w:sz w:val="24"/>
          <w:szCs w:val="24"/>
        </w:rPr>
        <w:t>1</w:t>
      </w:r>
      <w:bookmarkStart w:id="960" w:name="_Toc318581177"/>
      <w:bookmarkStart w:id="961" w:name="_Toc312678035"/>
      <w:bookmarkStart w:id="962" w:name="_Toc312677509"/>
      <w:r>
        <w:rPr>
          <w:rFonts w:hint="eastAsia" w:ascii="宋体" w:hAnsi="宋体" w:cs="宋体"/>
          <w:sz w:val="24"/>
          <w:szCs w:val="24"/>
        </w:rPr>
        <w:t>0.7.1 依法必须招标的暂估价项目</w:t>
      </w:r>
    </w:p>
    <w:bookmarkEnd w:id="960"/>
    <w:bookmarkEnd w:id="961"/>
    <w:bookmarkEnd w:id="962"/>
    <w:p w14:paraId="3607CD7B">
      <w:pPr>
        <w:spacing w:line="360" w:lineRule="auto"/>
        <w:ind w:firstLine="480" w:firstLineChars="200"/>
        <w:rPr>
          <w:rFonts w:ascii="宋体" w:hAnsi="宋体" w:cs="宋体"/>
          <w:sz w:val="24"/>
          <w:szCs w:val="24"/>
        </w:rPr>
      </w:pPr>
      <w:r>
        <w:rPr>
          <w:rFonts w:hint="eastAsia" w:ascii="宋体" w:hAnsi="宋体" w:cs="宋体"/>
          <w:sz w:val="24"/>
          <w:szCs w:val="24"/>
        </w:rPr>
        <w:t>对于依法必须招标的暂估价项目的确认和批准采取第</w:t>
      </w:r>
      <w:r>
        <w:rPr>
          <w:rFonts w:hint="eastAsia" w:ascii="宋体" w:hAnsi="宋体" w:cs="宋体"/>
          <w:sz w:val="24"/>
          <w:szCs w:val="24"/>
          <w:u w:val="single"/>
        </w:rPr>
        <w:t xml:space="preserve">    </w:t>
      </w:r>
      <w:r>
        <w:rPr>
          <w:rFonts w:hint="eastAsia" w:ascii="宋体" w:hAnsi="宋体" w:cs="宋体"/>
          <w:sz w:val="24"/>
          <w:szCs w:val="24"/>
        </w:rPr>
        <w:t>种方式确定。</w:t>
      </w:r>
    </w:p>
    <w:p w14:paraId="65A5EC2C">
      <w:pPr>
        <w:spacing w:line="360" w:lineRule="auto"/>
        <w:ind w:firstLine="480" w:firstLineChars="200"/>
        <w:rPr>
          <w:rFonts w:ascii="宋体" w:hAnsi="宋体" w:cs="宋体"/>
          <w:sz w:val="24"/>
          <w:szCs w:val="24"/>
        </w:rPr>
      </w:pPr>
      <w:r>
        <w:rPr>
          <w:rFonts w:hint="eastAsia" w:ascii="宋体" w:hAnsi="宋体" w:cs="宋体"/>
          <w:sz w:val="24"/>
          <w:szCs w:val="24"/>
        </w:rPr>
        <w:t>10.7.2 不属于依法必须招标的暂估价项目</w:t>
      </w:r>
    </w:p>
    <w:p w14:paraId="208054A6">
      <w:pPr>
        <w:spacing w:line="360" w:lineRule="auto"/>
        <w:ind w:firstLine="480" w:firstLineChars="200"/>
        <w:rPr>
          <w:rFonts w:ascii="宋体" w:hAnsi="宋体" w:cs="宋体"/>
          <w:sz w:val="24"/>
          <w:szCs w:val="24"/>
        </w:rPr>
      </w:pPr>
      <w:r>
        <w:rPr>
          <w:rFonts w:hint="eastAsia" w:ascii="宋体" w:hAnsi="宋体" w:cs="宋体"/>
          <w:sz w:val="24"/>
          <w:szCs w:val="24"/>
        </w:rPr>
        <w:t>对于不属于依法必须招标的暂估价项目的确认和批准采取第</w:t>
      </w:r>
      <w:r>
        <w:rPr>
          <w:rFonts w:hint="eastAsia" w:ascii="宋体" w:hAnsi="宋体" w:cs="宋体"/>
          <w:sz w:val="24"/>
          <w:szCs w:val="24"/>
          <w:u w:val="single"/>
        </w:rPr>
        <w:t xml:space="preserve">   </w:t>
      </w:r>
      <w:r>
        <w:rPr>
          <w:rFonts w:hint="eastAsia" w:ascii="宋体" w:hAnsi="宋体" w:cs="宋体"/>
          <w:sz w:val="24"/>
          <w:szCs w:val="24"/>
        </w:rPr>
        <w:t xml:space="preserve"> 种方式确定。</w:t>
      </w:r>
    </w:p>
    <w:p w14:paraId="123CAD1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第3种方式：承包人直接实施的暂估价项目</w:t>
      </w:r>
    </w:p>
    <w:p w14:paraId="20C9575C">
      <w:pPr>
        <w:spacing w:line="360" w:lineRule="auto"/>
        <w:ind w:firstLine="480" w:firstLineChars="200"/>
        <w:rPr>
          <w:rFonts w:ascii="宋体" w:hAnsi="宋体" w:cs="宋体"/>
          <w:sz w:val="24"/>
          <w:szCs w:val="24"/>
        </w:rPr>
      </w:pPr>
      <w:r>
        <w:rPr>
          <w:rFonts w:hint="eastAsia" w:ascii="宋体" w:hAnsi="宋体" w:cs="宋体"/>
          <w:sz w:val="24"/>
          <w:szCs w:val="24"/>
        </w:rPr>
        <w:t>承包人直接实施的暂估价项目的约定：</w:t>
      </w:r>
      <w:r>
        <w:rPr>
          <w:rFonts w:hint="eastAsia" w:ascii="宋体" w:hAnsi="宋体" w:cs="宋体"/>
          <w:sz w:val="24"/>
          <w:szCs w:val="24"/>
          <w:u w:val="single"/>
        </w:rPr>
        <w:t xml:space="preserve">           </w:t>
      </w:r>
      <w:r>
        <w:rPr>
          <w:rFonts w:hint="eastAsia" w:ascii="宋体" w:hAnsi="宋体" w:cs="宋体"/>
          <w:sz w:val="24"/>
          <w:szCs w:val="24"/>
        </w:rPr>
        <w:t>。</w:t>
      </w:r>
    </w:p>
    <w:p w14:paraId="37AF5CE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10.8 暂列金额</w:t>
      </w:r>
    </w:p>
    <w:p w14:paraId="33061AC8">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合同当事人关于暂列金额使用的约定：</w:t>
      </w:r>
      <w:r>
        <w:rPr>
          <w:rFonts w:hint="eastAsia" w:ascii="宋体" w:hAnsi="宋体" w:cs="宋体"/>
          <w:sz w:val="24"/>
          <w:szCs w:val="24"/>
          <w:u w:val="single"/>
        </w:rPr>
        <w:t xml:space="preserve">             </w:t>
      </w:r>
      <w:r>
        <w:rPr>
          <w:rFonts w:hint="eastAsia" w:ascii="宋体" w:hAnsi="宋体" w:cs="宋体"/>
          <w:color w:val="000000"/>
          <w:sz w:val="24"/>
          <w:szCs w:val="24"/>
        </w:rPr>
        <w:t>。</w:t>
      </w:r>
    </w:p>
    <w:p w14:paraId="5905C1F4">
      <w:pPr>
        <w:spacing w:line="360" w:lineRule="auto"/>
        <w:rPr>
          <w:rFonts w:ascii="宋体" w:hAnsi="宋体" w:cs="宋体"/>
          <w:color w:val="000000"/>
          <w:sz w:val="24"/>
          <w:szCs w:val="24"/>
        </w:rPr>
      </w:pPr>
      <w:bookmarkStart w:id="963" w:name="_Toc23342"/>
      <w:r>
        <w:rPr>
          <w:rFonts w:hint="eastAsia" w:ascii="宋体" w:hAnsi="宋体" w:cs="宋体"/>
          <w:color w:val="000000"/>
          <w:sz w:val="24"/>
          <w:szCs w:val="24"/>
        </w:rPr>
        <w:t>11. 价格调整</w:t>
      </w:r>
      <w:bookmarkEnd w:id="963"/>
    </w:p>
    <w:p w14:paraId="2E8CC912">
      <w:pPr>
        <w:spacing w:line="360" w:lineRule="auto"/>
        <w:ind w:firstLine="480" w:firstLineChars="200"/>
        <w:rPr>
          <w:rFonts w:ascii="宋体" w:hAnsi="宋体" w:cs="宋体"/>
          <w:color w:val="000000"/>
          <w:sz w:val="24"/>
          <w:szCs w:val="24"/>
        </w:rPr>
      </w:pPr>
      <w:bookmarkStart w:id="964" w:name="_Toc300935000"/>
      <w:bookmarkStart w:id="965" w:name="_Toc312678039"/>
      <w:bookmarkStart w:id="966" w:name="_Toc292559406"/>
      <w:bookmarkStart w:id="967" w:name="_Toc304295577"/>
      <w:bookmarkStart w:id="968" w:name="_Toc297120501"/>
      <w:bookmarkStart w:id="969" w:name="_Toc297048387"/>
      <w:bookmarkStart w:id="970" w:name="_Toc296944540"/>
      <w:bookmarkStart w:id="971" w:name="_Toc292559911"/>
      <w:bookmarkStart w:id="972" w:name="_Toc296346702"/>
      <w:bookmarkStart w:id="973" w:name="_Toc297123550"/>
      <w:bookmarkStart w:id="974" w:name="_Toc296891029"/>
      <w:bookmarkStart w:id="975" w:name="_Toc296347200"/>
      <w:bookmarkStart w:id="976" w:name="_Toc297216209"/>
      <w:bookmarkStart w:id="977" w:name="_Toc296503201"/>
      <w:bookmarkStart w:id="978" w:name="_Toc296891241"/>
      <w:bookmarkStart w:id="979" w:name="_Toc303539157"/>
      <w:r>
        <w:rPr>
          <w:rFonts w:hint="eastAsia" w:ascii="宋体" w:hAnsi="宋体" w:cs="宋体"/>
          <w:color w:val="000000"/>
          <w:sz w:val="24"/>
          <w:szCs w:val="24"/>
        </w:rPr>
        <w:t>11.1 市场价格波动引起的调整</w:t>
      </w:r>
    </w:p>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p w14:paraId="3724D39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市场价格波动是否调整合同价格的约定：</w:t>
      </w:r>
      <w:r>
        <w:rPr>
          <w:rFonts w:hint="eastAsia" w:ascii="宋体" w:hAnsi="宋体" w:cs="宋体"/>
          <w:sz w:val="24"/>
          <w:szCs w:val="24"/>
          <w:u w:val="single"/>
        </w:rPr>
        <w:t xml:space="preserve">                 </w:t>
      </w:r>
      <w:r>
        <w:rPr>
          <w:rFonts w:hint="eastAsia" w:ascii="宋体" w:hAnsi="宋体" w:cs="宋体"/>
          <w:sz w:val="24"/>
          <w:szCs w:val="24"/>
        </w:rPr>
        <w:t>。</w:t>
      </w:r>
    </w:p>
    <w:p w14:paraId="067CC54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因市场价格波动调整合同价格，采用以下</w:t>
      </w:r>
      <w:r>
        <w:rPr>
          <w:rFonts w:hint="eastAsia" w:ascii="宋体" w:hAnsi="宋体" w:cs="宋体"/>
          <w:sz w:val="24"/>
          <w:szCs w:val="24"/>
        </w:rPr>
        <w:t>第</w:t>
      </w:r>
      <w:r>
        <w:rPr>
          <w:rFonts w:hint="eastAsia" w:ascii="宋体" w:hAnsi="宋体" w:cs="宋体"/>
          <w:sz w:val="24"/>
          <w:szCs w:val="24"/>
          <w:u w:val="single"/>
        </w:rPr>
        <w:t xml:space="preserve">    </w:t>
      </w:r>
      <w:r>
        <w:rPr>
          <w:rFonts w:hint="eastAsia" w:ascii="宋体" w:hAnsi="宋体" w:cs="宋体"/>
          <w:color w:val="000000"/>
          <w:sz w:val="24"/>
          <w:szCs w:val="24"/>
        </w:rPr>
        <w:t>种方式对合同价格进行调整：</w:t>
      </w:r>
    </w:p>
    <w:p w14:paraId="45B1163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第1种方式：采用价格指数进行价格调整。</w:t>
      </w:r>
    </w:p>
    <w:p w14:paraId="29EC4BD1">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关于各可调因子、定值和变值权重，以及基本价格指数及其来源的约定：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3F33483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第2种方式：采用造价信息进行价格调整。</w:t>
      </w:r>
    </w:p>
    <w:p w14:paraId="4E18A79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（2）关于基准价格的约定：</w:t>
      </w:r>
      <w:r>
        <w:rPr>
          <w:rFonts w:hint="eastAsia" w:ascii="宋体" w:hAnsi="宋体" w:cs="宋体"/>
          <w:sz w:val="24"/>
          <w:szCs w:val="24"/>
          <w:u w:val="single"/>
        </w:rPr>
        <w:t xml:space="preserve">                         </w:t>
      </w:r>
      <w:r>
        <w:rPr>
          <w:rFonts w:hint="eastAsia" w:ascii="宋体" w:hAnsi="宋体" w:cs="宋体"/>
          <w:sz w:val="24"/>
          <w:szCs w:val="24"/>
        </w:rPr>
        <w:t>。</w:t>
      </w:r>
    </w:p>
    <w:p w14:paraId="6945470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szCs w:val="24"/>
          <w:u w:val="single"/>
        </w:rPr>
        <w:t xml:space="preserve">   </w:t>
      </w:r>
      <w:r>
        <w:rPr>
          <w:rFonts w:hint="eastAsia" w:ascii="宋体" w:hAnsi="宋体" w:cs="宋体"/>
          <w:color w:val="000000"/>
          <w:sz w:val="24"/>
          <w:szCs w:val="24"/>
        </w:rPr>
        <w:t>%时，或材料单价跌幅以已标价工程量清单或预算书中载明材料单价为基础超过</w:t>
      </w:r>
      <w:r>
        <w:rPr>
          <w:rFonts w:hint="eastAsia" w:ascii="宋体" w:hAnsi="宋体" w:cs="宋体"/>
          <w:color w:val="000000"/>
          <w:sz w:val="24"/>
          <w:szCs w:val="24"/>
          <w:u w:val="single"/>
        </w:rPr>
        <w:t xml:space="preserve">   </w:t>
      </w:r>
      <w:r>
        <w:rPr>
          <w:rFonts w:hint="eastAsia" w:ascii="宋体" w:hAnsi="宋体" w:cs="宋体"/>
          <w:color w:val="000000"/>
          <w:sz w:val="24"/>
          <w:szCs w:val="24"/>
        </w:rPr>
        <w:t>%时，其超过部分据实调整。</w:t>
      </w:r>
    </w:p>
    <w:p w14:paraId="31EB7C7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szCs w:val="24"/>
          <w:u w:val="single"/>
        </w:rPr>
        <w:t xml:space="preserve">   </w:t>
      </w:r>
      <w:r>
        <w:rPr>
          <w:rFonts w:hint="eastAsia" w:ascii="宋体" w:hAnsi="宋体" w:cs="宋体"/>
          <w:color w:val="000000"/>
          <w:sz w:val="24"/>
          <w:szCs w:val="24"/>
        </w:rPr>
        <w:t>%时，材料单价涨幅以已标价工程量清单或预算书中载明材料单价为基础超过</w:t>
      </w:r>
      <w:r>
        <w:rPr>
          <w:rFonts w:hint="eastAsia" w:ascii="宋体" w:hAnsi="宋体" w:cs="宋体"/>
          <w:color w:val="000000"/>
          <w:sz w:val="24"/>
          <w:szCs w:val="24"/>
          <w:u w:val="single"/>
        </w:rPr>
        <w:t xml:space="preserve">   </w:t>
      </w:r>
      <w:r>
        <w:rPr>
          <w:rFonts w:hint="eastAsia" w:ascii="宋体" w:hAnsi="宋体" w:cs="宋体"/>
          <w:color w:val="000000"/>
          <w:sz w:val="24"/>
          <w:szCs w:val="24"/>
        </w:rPr>
        <w:t>%时，其超过部分据实调整。</w:t>
      </w:r>
    </w:p>
    <w:p w14:paraId="1C2CDED9">
      <w:pPr>
        <w:spacing w:line="360" w:lineRule="auto"/>
        <w:ind w:firstLine="645"/>
        <w:rPr>
          <w:rFonts w:ascii="宋体" w:hAnsi="宋体" w:cs="宋体"/>
          <w:color w:val="000000"/>
          <w:sz w:val="24"/>
          <w:szCs w:val="24"/>
        </w:rPr>
      </w:pPr>
      <w:r>
        <w:rPr>
          <w:rFonts w:hint="eastAsia" w:ascii="宋体" w:hAnsi="宋体" w:cs="宋体"/>
          <w:color w:val="000000"/>
          <w:sz w:val="24"/>
          <w:szCs w:val="24"/>
        </w:rPr>
        <w:t>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szCs w:val="24"/>
          <w:u w:val="single"/>
        </w:rPr>
        <w:t xml:space="preserve">   </w:t>
      </w:r>
      <w:r>
        <w:rPr>
          <w:rFonts w:hint="eastAsia" w:ascii="宋体" w:hAnsi="宋体" w:cs="宋体"/>
          <w:color w:val="000000"/>
          <w:sz w:val="24"/>
          <w:szCs w:val="24"/>
        </w:rPr>
        <w:t>%时，其超过部分据实调整。</w:t>
      </w:r>
    </w:p>
    <w:p w14:paraId="5404B1E2">
      <w:pPr>
        <w:spacing w:line="360" w:lineRule="auto"/>
        <w:ind w:firstLine="645"/>
        <w:rPr>
          <w:rFonts w:ascii="宋体" w:hAnsi="宋体" w:cs="宋体"/>
          <w:color w:val="000000"/>
          <w:sz w:val="24"/>
          <w:szCs w:val="24"/>
        </w:rPr>
      </w:pPr>
      <w:r>
        <w:rPr>
          <w:rFonts w:hint="eastAsia" w:ascii="宋体" w:hAnsi="宋体" w:cs="宋体"/>
          <w:color w:val="000000"/>
          <w:sz w:val="24"/>
          <w:szCs w:val="24"/>
        </w:rPr>
        <w:t>第3种方式：其他价格调整方式：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835"/>
    <w:bookmarkEnd w:id="836"/>
    <w:bookmarkEnd w:id="837"/>
    <w:bookmarkEnd w:id="838"/>
    <w:bookmarkEnd w:id="839"/>
    <w:bookmarkEnd w:id="840"/>
    <w:p w14:paraId="77F20CED">
      <w:pPr>
        <w:spacing w:line="360" w:lineRule="auto"/>
        <w:rPr>
          <w:rFonts w:ascii="宋体" w:hAnsi="宋体" w:cs="宋体"/>
          <w:color w:val="000000"/>
          <w:sz w:val="24"/>
          <w:szCs w:val="24"/>
        </w:rPr>
      </w:pPr>
      <w:bookmarkStart w:id="980" w:name="_Toc292559915"/>
      <w:bookmarkStart w:id="981" w:name="_Toc296891033"/>
      <w:bookmarkStart w:id="982" w:name="_Toc297048391"/>
      <w:bookmarkStart w:id="983" w:name="_Toc296891245"/>
      <w:bookmarkStart w:id="984" w:name="_Toc297120505"/>
      <w:bookmarkStart w:id="985" w:name="_Toc292559410"/>
      <w:bookmarkStart w:id="986" w:name="_Toc296503205"/>
      <w:bookmarkStart w:id="987" w:name="_Toc296346706"/>
      <w:bookmarkStart w:id="988" w:name="_Toc296944544"/>
      <w:bookmarkStart w:id="989" w:name="_Toc296347204"/>
      <w:bookmarkStart w:id="990" w:name="_Toc12325"/>
      <w:bookmarkStart w:id="991" w:name="_Toc303539159"/>
      <w:bookmarkStart w:id="992" w:name="_Toc297123552"/>
      <w:bookmarkStart w:id="993" w:name="_Toc297216211"/>
      <w:bookmarkStart w:id="994" w:name="_Toc312678040"/>
      <w:bookmarkStart w:id="995" w:name="_Toc304295579"/>
      <w:bookmarkStart w:id="996" w:name="_Toc300935002"/>
      <w:r>
        <w:rPr>
          <w:rFonts w:hint="eastAsia" w:ascii="宋体" w:hAnsi="宋体" w:cs="宋体"/>
          <w:color w:val="000000"/>
          <w:sz w:val="24"/>
          <w:szCs w:val="24"/>
        </w:rPr>
        <w:t xml:space="preserve">12. </w:t>
      </w:r>
      <w:bookmarkEnd w:id="980"/>
      <w:bookmarkEnd w:id="981"/>
      <w:bookmarkEnd w:id="982"/>
      <w:bookmarkEnd w:id="983"/>
      <w:bookmarkEnd w:id="984"/>
      <w:bookmarkEnd w:id="985"/>
      <w:bookmarkEnd w:id="986"/>
      <w:bookmarkEnd w:id="987"/>
      <w:bookmarkEnd w:id="988"/>
      <w:bookmarkEnd w:id="989"/>
      <w:r>
        <w:rPr>
          <w:rFonts w:hint="eastAsia" w:ascii="宋体" w:hAnsi="宋体" w:cs="宋体"/>
          <w:color w:val="000000"/>
          <w:sz w:val="24"/>
          <w:szCs w:val="24"/>
        </w:rPr>
        <w:t>合同价格、计量与支付</w:t>
      </w:r>
      <w:bookmarkEnd w:id="990"/>
    </w:p>
    <w:bookmarkEnd w:id="991"/>
    <w:bookmarkEnd w:id="992"/>
    <w:bookmarkEnd w:id="993"/>
    <w:bookmarkEnd w:id="994"/>
    <w:bookmarkEnd w:id="995"/>
    <w:bookmarkEnd w:id="996"/>
    <w:p w14:paraId="013F5AC0">
      <w:pPr>
        <w:spacing w:line="360" w:lineRule="auto"/>
        <w:ind w:firstLine="480" w:firstLineChars="200"/>
        <w:rPr>
          <w:rFonts w:ascii="宋体" w:hAnsi="宋体" w:cs="宋体"/>
          <w:color w:val="000000"/>
          <w:sz w:val="24"/>
          <w:szCs w:val="24"/>
        </w:rPr>
      </w:pPr>
      <w:bookmarkStart w:id="997" w:name="_Toc267251461"/>
      <w:bookmarkStart w:id="998" w:name="_Toc292559916"/>
      <w:bookmarkStart w:id="999" w:name="_Toc292559411"/>
      <w:bookmarkStart w:id="1000" w:name="_Toc296346707"/>
      <w:bookmarkStart w:id="1001" w:name="_Toc296891034"/>
      <w:bookmarkStart w:id="1002" w:name="_Toc297048392"/>
      <w:bookmarkStart w:id="1003" w:name="_Toc296891246"/>
      <w:bookmarkStart w:id="1004" w:name="_Toc296347205"/>
      <w:bookmarkStart w:id="1005" w:name="_Toc296944545"/>
      <w:bookmarkStart w:id="1006" w:name="_Toc296503206"/>
      <w:bookmarkStart w:id="1007" w:name="_Toc297120506"/>
      <w:bookmarkStart w:id="1008" w:name="_Toc297123553"/>
      <w:bookmarkStart w:id="1009" w:name="_Toc300935003"/>
      <w:bookmarkStart w:id="1010" w:name="_Toc312678041"/>
      <w:bookmarkStart w:id="1011" w:name="_Toc297216212"/>
      <w:bookmarkStart w:id="1012" w:name="_Toc304295580"/>
      <w:bookmarkStart w:id="1013" w:name="_Toc303539160"/>
      <w:r>
        <w:rPr>
          <w:rFonts w:hint="eastAsia" w:ascii="宋体" w:hAnsi="宋体" w:cs="宋体"/>
          <w:color w:val="000000"/>
          <w:sz w:val="24"/>
          <w:szCs w:val="24"/>
        </w:rPr>
        <w:t>12.1 合</w:t>
      </w:r>
      <w:bookmarkEnd w:id="997"/>
      <w:bookmarkEnd w:id="998"/>
      <w:bookmarkEnd w:id="999"/>
      <w:r>
        <w:rPr>
          <w:rFonts w:hint="eastAsia" w:ascii="宋体" w:hAnsi="宋体" w:cs="宋体"/>
          <w:color w:val="000000"/>
          <w:sz w:val="24"/>
          <w:szCs w:val="24"/>
        </w:rPr>
        <w:t>同价</w:t>
      </w:r>
      <w:bookmarkEnd w:id="1000"/>
      <w:bookmarkEnd w:id="1001"/>
      <w:bookmarkEnd w:id="1002"/>
      <w:bookmarkEnd w:id="1003"/>
      <w:bookmarkEnd w:id="1004"/>
      <w:bookmarkEnd w:id="1005"/>
      <w:bookmarkEnd w:id="1006"/>
      <w:bookmarkEnd w:id="1007"/>
      <w:r>
        <w:rPr>
          <w:rFonts w:hint="eastAsia" w:ascii="宋体" w:hAnsi="宋体" w:cs="宋体"/>
          <w:color w:val="000000"/>
          <w:sz w:val="24"/>
          <w:szCs w:val="24"/>
        </w:rPr>
        <w:t>格形式</w:t>
      </w:r>
    </w:p>
    <w:bookmarkEnd w:id="1008"/>
    <w:bookmarkEnd w:id="1009"/>
    <w:bookmarkEnd w:id="1010"/>
    <w:bookmarkEnd w:id="1011"/>
    <w:bookmarkEnd w:id="1012"/>
    <w:bookmarkEnd w:id="1013"/>
    <w:p w14:paraId="0248FB2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1、单价合同。</w:t>
      </w:r>
    </w:p>
    <w:p w14:paraId="0472AF2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综合单价包含的风险范围：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86DC1A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风险费用的计算方法：</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E4FD81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风险范围以外合同价格的调整方法：</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28B710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2、总价合同。</w:t>
      </w:r>
    </w:p>
    <w:p w14:paraId="0F2B4F9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总价包含的风险范围：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7C0B35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风险费用的计算方法：</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C4B369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风险范围以外合同价格的调整方法：</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D5176C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3、其他价格方式：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EF5C6AE">
      <w:pPr>
        <w:spacing w:line="360" w:lineRule="auto"/>
        <w:ind w:firstLine="480" w:firstLineChars="200"/>
        <w:rPr>
          <w:rFonts w:ascii="宋体" w:hAnsi="宋体" w:cs="宋体"/>
          <w:color w:val="000000"/>
          <w:sz w:val="24"/>
          <w:szCs w:val="24"/>
        </w:rPr>
      </w:pPr>
      <w:bookmarkStart w:id="1014" w:name="_Toc304295581"/>
      <w:bookmarkStart w:id="1015" w:name="_Toc300935004"/>
      <w:bookmarkStart w:id="1016" w:name="_Toc297216213"/>
      <w:bookmarkStart w:id="1017" w:name="_Toc303539161"/>
      <w:bookmarkStart w:id="1018" w:name="_Toc312678042"/>
      <w:bookmarkStart w:id="1019" w:name="_Toc297123554"/>
      <w:bookmarkStart w:id="1020" w:name="_Toc296944546"/>
      <w:bookmarkStart w:id="1021" w:name="_Toc296346708"/>
      <w:bookmarkStart w:id="1022" w:name="_Toc292559917"/>
      <w:bookmarkStart w:id="1023" w:name="_Toc292559412"/>
      <w:bookmarkStart w:id="1024" w:name="_Toc297120507"/>
      <w:bookmarkStart w:id="1025" w:name="_Toc296347206"/>
      <w:bookmarkStart w:id="1026" w:name="_Toc297048393"/>
      <w:bookmarkStart w:id="1027" w:name="_Toc296891247"/>
      <w:bookmarkStart w:id="1028" w:name="_Toc296891035"/>
      <w:bookmarkStart w:id="1029" w:name="_Toc296503207"/>
      <w:r>
        <w:rPr>
          <w:rFonts w:hint="eastAsia" w:ascii="宋体" w:hAnsi="宋体" w:cs="宋体"/>
          <w:color w:val="000000"/>
          <w:sz w:val="24"/>
          <w:szCs w:val="24"/>
        </w:rPr>
        <w:t>12.2 预付款</w:t>
      </w:r>
    </w:p>
    <w:bookmarkEnd w:id="1014"/>
    <w:bookmarkEnd w:id="1015"/>
    <w:bookmarkEnd w:id="1016"/>
    <w:bookmarkEnd w:id="1017"/>
    <w:bookmarkEnd w:id="1018"/>
    <w:bookmarkEnd w:id="1019"/>
    <w:p w14:paraId="371BDE5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12.2.1 预付款的支付</w:t>
      </w:r>
    </w:p>
    <w:p w14:paraId="79563C1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预付款支付比例或金额：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70FD68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预付款支付期限：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BF72B0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预付款扣回的方式：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197BE2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12.2.2 预付款担保</w:t>
      </w:r>
    </w:p>
    <w:p w14:paraId="1131B3F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承包人提交预付款担保的期限：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A8744A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预付款担保的形式为：</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1020"/>
    <w:bookmarkEnd w:id="1021"/>
    <w:bookmarkEnd w:id="1022"/>
    <w:bookmarkEnd w:id="1023"/>
    <w:bookmarkEnd w:id="1024"/>
    <w:bookmarkEnd w:id="1025"/>
    <w:bookmarkEnd w:id="1026"/>
    <w:bookmarkEnd w:id="1027"/>
    <w:bookmarkEnd w:id="1028"/>
    <w:bookmarkEnd w:id="1029"/>
    <w:p w14:paraId="2F8D2B6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12.3 计量</w:t>
      </w:r>
    </w:p>
    <w:p w14:paraId="60D1EC1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12.3.1 计量原则</w:t>
      </w:r>
    </w:p>
    <w:p w14:paraId="17792BC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工程量计算规则：</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B80697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12.3.2 计量周期</w:t>
      </w:r>
    </w:p>
    <w:p w14:paraId="34CC0EC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关于计量周期的约定：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B08162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12.3.3 单价合同的计量</w:t>
      </w:r>
    </w:p>
    <w:p w14:paraId="70E8167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关于单价合同计量的约定：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38EED4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12.3.4 总价合同的计量</w:t>
      </w:r>
    </w:p>
    <w:p w14:paraId="2214B94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关于总价合同计量的约定：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84CE4C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12.3.5总价合同采用支付分解表计量支付的，是否适用第12.3.4 项〔总价合同的计量〕约定进行计量：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32E4B1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12.3.6 其他价格形式合同的计量</w:t>
      </w:r>
    </w:p>
    <w:p w14:paraId="3FD0D776">
      <w:pPr>
        <w:spacing w:line="360" w:lineRule="auto"/>
        <w:rPr>
          <w:rFonts w:ascii="宋体" w:hAnsi="宋体" w:cs="宋体"/>
          <w:color w:val="000000"/>
          <w:sz w:val="24"/>
          <w:szCs w:val="24"/>
        </w:rPr>
      </w:pPr>
      <w:r>
        <w:rPr>
          <w:rFonts w:hint="eastAsia" w:ascii="宋体" w:hAnsi="宋体" w:cs="宋体"/>
          <w:color w:val="000000"/>
          <w:sz w:val="24"/>
          <w:szCs w:val="24"/>
        </w:rPr>
        <w:t>其他价格形式的计量方式和程序：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9D259A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12.4 工程进度款支付</w:t>
      </w:r>
    </w:p>
    <w:p w14:paraId="6D4D6644">
      <w:pPr>
        <w:spacing w:line="360" w:lineRule="auto"/>
        <w:ind w:firstLine="480" w:firstLineChars="200"/>
        <w:rPr>
          <w:rFonts w:ascii="宋体" w:hAnsi="宋体" w:cs="宋体"/>
          <w:color w:val="000000"/>
          <w:sz w:val="24"/>
          <w:szCs w:val="24"/>
        </w:rPr>
      </w:pPr>
      <w:bookmarkStart w:id="1030" w:name="_Toc297216215"/>
      <w:bookmarkStart w:id="1031" w:name="_Toc297123556"/>
      <w:bookmarkStart w:id="1032" w:name="_Toc292559921"/>
      <w:bookmarkStart w:id="1033" w:name="_Toc296347210"/>
      <w:bookmarkStart w:id="1034" w:name="_Toc303539163"/>
      <w:bookmarkStart w:id="1035" w:name="_Toc297120511"/>
      <w:bookmarkStart w:id="1036" w:name="_Toc296891039"/>
      <w:bookmarkStart w:id="1037" w:name="_Toc296891251"/>
      <w:bookmarkStart w:id="1038" w:name="_Toc292559416"/>
      <w:bookmarkStart w:id="1039" w:name="_Toc296944550"/>
      <w:bookmarkStart w:id="1040" w:name="_Toc297048397"/>
      <w:bookmarkStart w:id="1041" w:name="_Toc296503211"/>
      <w:bookmarkStart w:id="1042" w:name="_Toc296346712"/>
      <w:bookmarkStart w:id="1043" w:name="_Toc300935006"/>
      <w:r>
        <w:rPr>
          <w:rFonts w:hint="eastAsia" w:ascii="宋体" w:hAnsi="宋体" w:cs="宋体"/>
          <w:color w:val="000000"/>
          <w:sz w:val="24"/>
          <w:szCs w:val="24"/>
        </w:rPr>
        <w:t>12.4.1 付款周期</w:t>
      </w:r>
    </w:p>
    <w:p w14:paraId="10D8B35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关于付款周期的约定：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C1264A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12.4.2 进度付款申请单的编制</w:t>
      </w:r>
    </w:p>
    <w:p w14:paraId="4FD3D17C">
      <w:pPr>
        <w:spacing w:line="360" w:lineRule="auto"/>
        <w:rPr>
          <w:rFonts w:ascii="宋体" w:hAnsi="宋体" w:cs="宋体"/>
          <w:color w:val="000000"/>
          <w:sz w:val="24"/>
          <w:szCs w:val="24"/>
        </w:rPr>
      </w:pPr>
      <w:r>
        <w:rPr>
          <w:rFonts w:hint="eastAsia" w:ascii="宋体" w:hAnsi="宋体" w:cs="宋体"/>
          <w:color w:val="000000"/>
          <w:sz w:val="24"/>
          <w:szCs w:val="24"/>
        </w:rPr>
        <w:t>关于进度付款申请单编制的约定：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91B482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w:t>
      </w:r>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rFonts w:hint="eastAsia" w:ascii="宋体" w:hAnsi="宋体" w:cs="宋体"/>
          <w:color w:val="000000"/>
          <w:sz w:val="24"/>
          <w:szCs w:val="24"/>
        </w:rPr>
        <w:t>2.4.3 进度付款申请单的提交</w:t>
      </w:r>
    </w:p>
    <w:p w14:paraId="7FBCAD1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（1）单价合同进度付款申请单提交的约定：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2E15F4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（2）总价合同进度付款申请单提交的约定：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2C2C13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（3）其他价格形式合同进度付款申请单提交的约定：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1EAB68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12.4.4 进度款审核和支付</w:t>
      </w:r>
    </w:p>
    <w:p w14:paraId="6FE37A54">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（1）监理人审查并报送发包人的期限：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CE7A73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发包人完成审批并签发进度款支付证书的期限：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8BEF26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（2）发包人支付进度款的期限：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FFF586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发包人逾期支付进度款的违约金的计算方式：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312890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12.4.6 支付分解表的编制</w:t>
      </w:r>
    </w:p>
    <w:p w14:paraId="0F305CD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2、总价合同支付分解表的编制与审批：</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A4CFCA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3、单价合同的总价项目支付分解表的编制与审批：</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841"/>
    <w:p w14:paraId="4B6609DD">
      <w:pPr>
        <w:spacing w:line="360" w:lineRule="auto"/>
        <w:rPr>
          <w:rFonts w:ascii="宋体" w:hAnsi="宋体" w:cs="宋体"/>
          <w:color w:val="000000"/>
          <w:sz w:val="24"/>
          <w:szCs w:val="24"/>
        </w:rPr>
      </w:pPr>
      <w:bookmarkStart w:id="1044" w:name="_Toc30424"/>
      <w:bookmarkStart w:id="1045" w:name="_Toc292559929"/>
      <w:bookmarkStart w:id="1046" w:name="_Toc296891259"/>
      <w:bookmarkStart w:id="1047" w:name="_Toc296346720"/>
      <w:bookmarkStart w:id="1048" w:name="_Toc292559424"/>
      <w:bookmarkStart w:id="1049" w:name="_Toc312678053"/>
      <w:bookmarkStart w:id="1050" w:name="_Toc297120519"/>
      <w:bookmarkStart w:id="1051" w:name="_Toc297216223"/>
      <w:bookmarkStart w:id="1052" w:name="_Toc303539172"/>
      <w:bookmarkStart w:id="1053" w:name="_Toc297048405"/>
      <w:bookmarkStart w:id="1054" w:name="_Toc297123564"/>
      <w:bookmarkStart w:id="1055" w:name="_Toc300935015"/>
      <w:bookmarkStart w:id="1056" w:name="_Toc296503219"/>
      <w:bookmarkStart w:id="1057" w:name="_Toc296944558"/>
      <w:bookmarkStart w:id="1058" w:name="_Toc296347218"/>
      <w:bookmarkStart w:id="1059" w:name="_Toc304295593"/>
      <w:bookmarkStart w:id="1060" w:name="_Toc296891047"/>
      <w:r>
        <w:rPr>
          <w:rFonts w:hint="eastAsia" w:ascii="宋体" w:hAnsi="宋体" w:cs="宋体"/>
          <w:color w:val="000000"/>
          <w:sz w:val="24"/>
          <w:szCs w:val="24"/>
        </w:rPr>
        <w:t>13. 验收和工程试车</w:t>
      </w:r>
      <w:bookmarkEnd w:id="1044"/>
    </w:p>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p w14:paraId="6369AEB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13.1 分部分项工程验收</w:t>
      </w:r>
    </w:p>
    <w:p w14:paraId="47ABB4AD">
      <w:pPr>
        <w:spacing w:line="360" w:lineRule="auto"/>
        <w:ind w:firstLine="480" w:firstLineChars="200"/>
        <w:rPr>
          <w:rFonts w:ascii="宋体" w:hAnsi="宋体" w:cs="宋体"/>
          <w:sz w:val="24"/>
          <w:szCs w:val="24"/>
        </w:rPr>
      </w:pPr>
      <w:r>
        <w:rPr>
          <w:rFonts w:hint="eastAsia" w:ascii="宋体" w:hAnsi="宋体" w:cs="宋体"/>
          <w:sz w:val="24"/>
          <w:szCs w:val="24"/>
        </w:rPr>
        <w:t>13.1.2监理人不能按时进行验收时，应提前</w:t>
      </w:r>
      <w:r>
        <w:rPr>
          <w:rFonts w:hint="eastAsia" w:ascii="宋体" w:hAnsi="宋体" w:cs="宋体"/>
          <w:sz w:val="24"/>
          <w:szCs w:val="24"/>
          <w:u w:val="single"/>
        </w:rPr>
        <w:t xml:space="preserve">       </w:t>
      </w:r>
      <w:r>
        <w:rPr>
          <w:rFonts w:hint="eastAsia" w:ascii="宋体" w:hAnsi="宋体" w:cs="宋体"/>
          <w:sz w:val="24"/>
          <w:szCs w:val="24"/>
        </w:rPr>
        <w:t>小时提交书面延期要求。</w:t>
      </w:r>
    </w:p>
    <w:p w14:paraId="530D837A">
      <w:pPr>
        <w:spacing w:line="360" w:lineRule="auto"/>
        <w:ind w:firstLine="480" w:firstLineChars="200"/>
        <w:rPr>
          <w:rFonts w:ascii="宋体" w:hAnsi="宋体" w:cs="宋体"/>
          <w:b/>
          <w:color w:val="000000"/>
          <w:sz w:val="24"/>
          <w:szCs w:val="24"/>
        </w:rPr>
      </w:pPr>
      <w:r>
        <w:rPr>
          <w:rFonts w:hint="eastAsia" w:ascii="宋体" w:hAnsi="宋体" w:cs="宋体"/>
          <w:sz w:val="24"/>
          <w:szCs w:val="24"/>
        </w:rPr>
        <w:t>关于延期最长不得超过：</w:t>
      </w:r>
      <w:r>
        <w:rPr>
          <w:rFonts w:hint="eastAsia" w:ascii="宋体" w:hAnsi="宋体" w:cs="宋体"/>
          <w:sz w:val="24"/>
          <w:szCs w:val="24"/>
          <w:u w:val="single"/>
        </w:rPr>
        <w:t xml:space="preserve">         </w:t>
      </w:r>
      <w:r>
        <w:rPr>
          <w:rFonts w:hint="eastAsia" w:ascii="宋体" w:hAnsi="宋体" w:cs="宋体"/>
          <w:sz w:val="24"/>
          <w:szCs w:val="24"/>
        </w:rPr>
        <w:t>小时。</w:t>
      </w:r>
    </w:p>
    <w:p w14:paraId="455570EB">
      <w:pPr>
        <w:spacing w:line="360" w:lineRule="auto"/>
        <w:ind w:firstLine="480" w:firstLineChars="200"/>
        <w:rPr>
          <w:rFonts w:ascii="宋体" w:hAnsi="宋体" w:cs="宋体"/>
          <w:color w:val="000000"/>
          <w:sz w:val="24"/>
          <w:szCs w:val="24"/>
        </w:rPr>
      </w:pPr>
      <w:bookmarkStart w:id="1061" w:name="_Toc296346724"/>
      <w:bookmarkStart w:id="1062" w:name="_Toc296891263"/>
      <w:bookmarkStart w:id="1063" w:name="_Toc297120523"/>
      <w:bookmarkStart w:id="1064" w:name="_Toc300935016"/>
      <w:bookmarkStart w:id="1065" w:name="_Toc292559933"/>
      <w:bookmarkStart w:id="1066" w:name="_Toc297048409"/>
      <w:bookmarkStart w:id="1067" w:name="_Toc296891051"/>
      <w:bookmarkStart w:id="1068" w:name="_Toc312678056"/>
      <w:bookmarkStart w:id="1069" w:name="_Toc297123565"/>
      <w:bookmarkStart w:id="1070" w:name="_Toc304295596"/>
      <w:bookmarkStart w:id="1071" w:name="_Toc296503223"/>
      <w:bookmarkStart w:id="1072" w:name="_Toc303539173"/>
      <w:bookmarkStart w:id="1073" w:name="_Toc296347222"/>
      <w:bookmarkStart w:id="1074" w:name="_Toc296944562"/>
      <w:bookmarkStart w:id="1075" w:name="_Toc297216224"/>
      <w:bookmarkStart w:id="1076" w:name="_Toc292559428"/>
      <w:bookmarkStart w:id="1077" w:name="_Toc267251471"/>
      <w:bookmarkStart w:id="1078" w:name="_Toc267251474"/>
      <w:bookmarkStart w:id="1079" w:name="_Toc267251476"/>
      <w:bookmarkStart w:id="1080" w:name="_Toc267251473"/>
      <w:bookmarkStart w:id="1081" w:name="_Toc267251472"/>
      <w:bookmarkStart w:id="1082" w:name="_Toc267251475"/>
      <w:bookmarkStart w:id="1083" w:name="_Toc267251470"/>
      <w:r>
        <w:rPr>
          <w:rFonts w:hint="eastAsia" w:ascii="宋体" w:hAnsi="宋体" w:cs="宋体"/>
          <w:color w:val="000000"/>
          <w:sz w:val="24"/>
          <w:szCs w:val="24"/>
        </w:rPr>
        <w:t>13.2 竣工验收</w:t>
      </w:r>
    </w:p>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14:paraId="68A0A3A9">
      <w:pPr>
        <w:spacing w:line="360" w:lineRule="auto"/>
        <w:ind w:firstLine="480" w:firstLineChars="200"/>
        <w:rPr>
          <w:rFonts w:ascii="宋体" w:hAnsi="宋体" w:cs="宋体"/>
          <w:color w:val="000000"/>
          <w:sz w:val="24"/>
          <w:szCs w:val="24"/>
        </w:rPr>
      </w:pPr>
      <w:bookmarkStart w:id="1084" w:name="_Toc280868704"/>
      <w:bookmarkStart w:id="1085" w:name="_Toc280868705"/>
      <w:bookmarkStart w:id="1086" w:name="_Toc280868706"/>
      <w:bookmarkStart w:id="1087" w:name="_Toc280868707"/>
      <w:bookmarkStart w:id="1088" w:name="_Toc280868708"/>
      <w:bookmarkStart w:id="1089" w:name="_Toc280868709"/>
      <w:r>
        <w:rPr>
          <w:rFonts w:hint="eastAsia" w:ascii="宋体" w:hAnsi="宋体" w:cs="宋体"/>
          <w:color w:val="000000"/>
          <w:sz w:val="24"/>
          <w:szCs w:val="24"/>
        </w:rPr>
        <w:t>13.2.2竣工验收程序</w:t>
      </w:r>
    </w:p>
    <w:bookmarkEnd w:id="1084"/>
    <w:p w14:paraId="137164D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关于竣工验收程序的约定：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A43429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发包人不按照本项约定组织竣工验收、颁发工程接收证书的违约金的计算方法：</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1085"/>
    <w:p w14:paraId="1DD423D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13.2.5移交、接收全部与部分工程</w:t>
      </w:r>
    </w:p>
    <w:bookmarkEnd w:id="1086"/>
    <w:p w14:paraId="6302B2B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承包人向发包人移交工程的期限：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67DF5AF">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发包人未按本合同约定接收全部或部分工程的，违约金的计算方法为：</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1087"/>
    <w:p w14:paraId="51824B2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承包人未按时移交工程的，违约金的计算方法为：</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60D408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13.3 工程试车</w:t>
      </w:r>
    </w:p>
    <w:bookmarkEnd w:id="1088"/>
    <w:p w14:paraId="0A02C20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13.3.1 试车程序</w:t>
      </w:r>
    </w:p>
    <w:p w14:paraId="6C3944D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工程试车内容：</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FA0033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（1）单机无负荷试车费用由</w:t>
      </w:r>
      <w:r>
        <w:rPr>
          <w:rFonts w:hint="eastAsia" w:ascii="宋体" w:hAnsi="宋体" w:cs="宋体"/>
          <w:color w:val="000000"/>
          <w:sz w:val="24"/>
          <w:szCs w:val="24"/>
          <w:u w:val="single"/>
        </w:rPr>
        <w:t xml:space="preserve">                     </w:t>
      </w:r>
      <w:r>
        <w:rPr>
          <w:rFonts w:hint="eastAsia" w:ascii="宋体" w:hAnsi="宋体" w:cs="宋体"/>
          <w:color w:val="000000"/>
          <w:sz w:val="24"/>
          <w:szCs w:val="24"/>
        </w:rPr>
        <w:t>承担；</w:t>
      </w:r>
    </w:p>
    <w:p w14:paraId="53BFAB3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（2）无负荷联动试车费用由</w:t>
      </w:r>
      <w:r>
        <w:rPr>
          <w:rFonts w:hint="eastAsia" w:ascii="宋体" w:hAnsi="宋体" w:cs="宋体"/>
          <w:color w:val="000000"/>
          <w:sz w:val="24"/>
          <w:szCs w:val="24"/>
          <w:u w:val="single"/>
        </w:rPr>
        <w:t xml:space="preserve">                     </w:t>
      </w:r>
      <w:r>
        <w:rPr>
          <w:rFonts w:hint="eastAsia" w:ascii="宋体" w:hAnsi="宋体" w:cs="宋体"/>
          <w:color w:val="000000"/>
          <w:sz w:val="24"/>
          <w:szCs w:val="24"/>
        </w:rPr>
        <w:t>承担。</w:t>
      </w:r>
    </w:p>
    <w:p w14:paraId="648FD52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13.3.3 投料试车</w:t>
      </w:r>
    </w:p>
    <w:p w14:paraId="1F07FA9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关于投料试车相关事项的约定：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343223E">
      <w:pPr>
        <w:spacing w:line="360" w:lineRule="auto"/>
        <w:ind w:firstLine="480" w:firstLineChars="200"/>
        <w:rPr>
          <w:rFonts w:ascii="宋体" w:hAnsi="宋体" w:cs="宋体"/>
          <w:color w:val="000000"/>
          <w:sz w:val="24"/>
          <w:szCs w:val="24"/>
        </w:rPr>
      </w:pPr>
      <w:bookmarkStart w:id="1090" w:name="_Toc518573544"/>
      <w:bookmarkStart w:id="1091" w:name="_Toc6651"/>
      <w:bookmarkStart w:id="1092" w:name="_Toc17739"/>
      <w:bookmarkStart w:id="1093" w:name="_Toc518240108"/>
      <w:bookmarkStart w:id="1094" w:name="_Toc6562"/>
      <w:bookmarkStart w:id="1095" w:name="_Toc29192"/>
      <w:bookmarkStart w:id="1096" w:name="_Toc8209"/>
      <w:bookmarkStart w:id="1097" w:name="_Toc15352"/>
      <w:bookmarkStart w:id="1098" w:name="_Toc3849"/>
      <w:bookmarkStart w:id="1099" w:name="_Toc32480"/>
      <w:bookmarkStart w:id="1100" w:name="_Toc18603"/>
      <w:bookmarkStart w:id="1101" w:name="_Toc518573660"/>
      <w:bookmarkStart w:id="1102" w:name="_Toc9448"/>
      <w:bookmarkStart w:id="1103" w:name="_Toc19321"/>
      <w:bookmarkStart w:id="1104" w:name="_Toc25041"/>
      <w:bookmarkStart w:id="1105" w:name="_Toc19740"/>
      <w:r>
        <w:rPr>
          <w:rFonts w:hint="eastAsia" w:ascii="宋体" w:hAnsi="宋体" w:cs="宋体"/>
          <w:color w:val="000000"/>
          <w:sz w:val="24"/>
          <w:szCs w:val="24"/>
        </w:rPr>
        <w:t>13.6 竣工退场</w:t>
      </w:r>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p>
    <w:p w14:paraId="79297B1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13.6.1 竣工退场</w:t>
      </w:r>
    </w:p>
    <w:p w14:paraId="44005BE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承包人完成竣工退场的期限：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2B479EC">
      <w:pPr>
        <w:spacing w:line="360" w:lineRule="auto"/>
        <w:rPr>
          <w:rFonts w:ascii="宋体" w:hAnsi="宋体" w:cs="宋体"/>
          <w:color w:val="000000"/>
          <w:sz w:val="24"/>
          <w:szCs w:val="24"/>
        </w:rPr>
      </w:pPr>
      <w:bookmarkStart w:id="1106" w:name="_Toc31740"/>
      <w:r>
        <w:rPr>
          <w:rFonts w:hint="eastAsia" w:ascii="宋体" w:hAnsi="宋体" w:cs="宋体"/>
          <w:color w:val="000000"/>
          <w:sz w:val="24"/>
          <w:szCs w:val="24"/>
        </w:rPr>
        <w:t>14. 竣工结算</w:t>
      </w:r>
      <w:bookmarkEnd w:id="1106"/>
    </w:p>
    <w:p w14:paraId="3795D1B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14.1 竣工结算申请</w:t>
      </w:r>
    </w:p>
    <w:p w14:paraId="1E3267AC">
      <w:pPr>
        <w:spacing w:line="360" w:lineRule="auto"/>
        <w:ind w:firstLine="480" w:firstLineChars="200"/>
        <w:rPr>
          <w:rFonts w:ascii="宋体" w:hAnsi="宋体" w:cs="宋体"/>
          <w:color w:val="000000"/>
          <w:sz w:val="24"/>
          <w:szCs w:val="24"/>
        </w:rPr>
      </w:pPr>
      <w:r>
        <w:rPr>
          <w:rFonts w:hint="eastAsia" w:ascii="宋体" w:hAnsi="宋体" w:cs="宋体"/>
          <w:sz w:val="24"/>
          <w:szCs w:val="24"/>
        </w:rPr>
        <w:t>承包人提交竣工结算申请单的期限：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AEDC09F">
      <w:pPr>
        <w:spacing w:line="360" w:lineRule="auto"/>
        <w:rPr>
          <w:rFonts w:ascii="宋体" w:hAnsi="宋体" w:cs="宋体"/>
          <w:sz w:val="24"/>
          <w:szCs w:val="24"/>
        </w:rPr>
      </w:pPr>
      <w:r>
        <w:rPr>
          <w:rFonts w:hint="eastAsia" w:ascii="宋体" w:hAnsi="宋体" w:cs="宋体"/>
          <w:color w:val="000000"/>
          <w:sz w:val="24"/>
          <w:szCs w:val="24"/>
        </w:rPr>
        <w:t>竣工结算申请单应包括的内容：</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3101A6D">
      <w:pPr>
        <w:spacing w:line="360" w:lineRule="auto"/>
        <w:ind w:firstLine="480" w:firstLineChars="200"/>
        <w:rPr>
          <w:rFonts w:ascii="宋体" w:hAnsi="宋体" w:cs="宋体"/>
          <w:color w:val="000000"/>
          <w:sz w:val="24"/>
          <w:szCs w:val="24"/>
        </w:rPr>
      </w:pPr>
      <w:bookmarkStart w:id="1107" w:name="_Toc15318"/>
      <w:bookmarkStart w:id="1108" w:name="_Toc20870"/>
      <w:bookmarkStart w:id="1109" w:name="_Toc6770"/>
      <w:bookmarkStart w:id="1110" w:name="_Toc518573661"/>
      <w:bookmarkStart w:id="1111" w:name="_Toc947"/>
      <w:bookmarkStart w:id="1112" w:name="_Toc31439"/>
      <w:bookmarkStart w:id="1113" w:name="_Toc12557"/>
      <w:bookmarkStart w:id="1114" w:name="_Toc10590"/>
      <w:bookmarkStart w:id="1115" w:name="_Toc518573545"/>
      <w:bookmarkStart w:id="1116" w:name="_Toc7118"/>
      <w:bookmarkStart w:id="1117" w:name="_Toc5377"/>
      <w:bookmarkStart w:id="1118" w:name="_Toc17146"/>
      <w:bookmarkStart w:id="1119" w:name="_Toc4007"/>
      <w:bookmarkStart w:id="1120" w:name="_Toc30176"/>
      <w:bookmarkStart w:id="1121" w:name="_Toc518240109"/>
      <w:bookmarkStart w:id="1122" w:name="_Toc24908"/>
      <w:r>
        <w:rPr>
          <w:rFonts w:hint="eastAsia" w:ascii="宋体" w:hAnsi="宋体" w:cs="宋体"/>
          <w:color w:val="000000"/>
          <w:sz w:val="24"/>
          <w:szCs w:val="24"/>
        </w:rPr>
        <w:t>14.2 竣工结算审核</w:t>
      </w:r>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p w14:paraId="304102A1">
      <w:pPr>
        <w:spacing w:line="360" w:lineRule="auto"/>
        <w:ind w:firstLine="480" w:firstLineChars="200"/>
        <w:rPr>
          <w:rFonts w:ascii="宋体" w:hAnsi="宋体" w:cs="宋体"/>
          <w:sz w:val="24"/>
          <w:szCs w:val="24"/>
        </w:rPr>
      </w:pPr>
      <w:r>
        <w:rPr>
          <w:rFonts w:hint="eastAsia" w:ascii="宋体" w:hAnsi="宋体" w:cs="宋体"/>
          <w:sz w:val="24"/>
          <w:szCs w:val="24"/>
        </w:rPr>
        <w:t>发包人审批竣工付款申请单的期限：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4E483AA">
      <w:pPr>
        <w:spacing w:line="360" w:lineRule="auto"/>
        <w:ind w:firstLine="480" w:firstLineChars="200"/>
        <w:rPr>
          <w:rFonts w:ascii="宋体" w:hAnsi="宋体" w:cs="宋体"/>
          <w:color w:val="000000"/>
          <w:sz w:val="24"/>
          <w:szCs w:val="24"/>
        </w:rPr>
      </w:pPr>
      <w:r>
        <w:rPr>
          <w:rFonts w:hint="eastAsia" w:ascii="宋体" w:hAnsi="宋体" w:cs="宋体"/>
          <w:sz w:val="24"/>
          <w:szCs w:val="24"/>
        </w:rPr>
        <w:t>发包人完成竣工付款的期限：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DD92F2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关于竣工付款证书异议部分复核的方式和程序：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5FF228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14.4 最终结清</w:t>
      </w:r>
    </w:p>
    <w:p w14:paraId="03ECE20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14.4.1 最终结清申请单</w:t>
      </w:r>
    </w:p>
    <w:p w14:paraId="79C2A31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承包人提交最终结清申请单的份数：</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723EE7B">
      <w:pPr>
        <w:spacing w:line="360" w:lineRule="auto"/>
        <w:ind w:firstLine="480" w:firstLineChars="200"/>
        <w:rPr>
          <w:rFonts w:ascii="宋体" w:hAnsi="宋体" w:cs="宋体"/>
          <w:sz w:val="24"/>
          <w:szCs w:val="24"/>
        </w:rPr>
      </w:pPr>
      <w:r>
        <w:rPr>
          <w:rFonts w:hint="eastAsia" w:ascii="宋体" w:hAnsi="宋体" w:cs="宋体"/>
          <w:color w:val="000000"/>
          <w:sz w:val="24"/>
          <w:szCs w:val="24"/>
        </w:rPr>
        <w:t>承包人提交最终结算申请单的期限：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r>
        <w:rPr>
          <w:rFonts w:hint="eastAsia" w:ascii="宋体" w:hAnsi="宋体" w:cs="宋体"/>
          <w:sz w:val="24"/>
          <w:szCs w:val="24"/>
        </w:rPr>
        <w:t xml:space="preserve"> </w:t>
      </w:r>
    </w:p>
    <w:p w14:paraId="1F69F80E">
      <w:pPr>
        <w:spacing w:line="360" w:lineRule="auto"/>
        <w:ind w:firstLine="480" w:firstLineChars="200"/>
        <w:rPr>
          <w:rFonts w:ascii="宋体" w:hAnsi="宋体" w:cs="宋体"/>
          <w:sz w:val="24"/>
          <w:szCs w:val="24"/>
        </w:rPr>
      </w:pPr>
      <w:r>
        <w:rPr>
          <w:rFonts w:hint="eastAsia" w:ascii="宋体" w:hAnsi="宋体" w:cs="宋体"/>
          <w:sz w:val="24"/>
          <w:szCs w:val="24"/>
        </w:rPr>
        <w:t>14.4.2 最终结清证书和支付</w:t>
      </w:r>
    </w:p>
    <w:p w14:paraId="07D05988">
      <w:pPr>
        <w:spacing w:line="360" w:lineRule="auto"/>
        <w:ind w:firstLine="480" w:firstLineChars="200"/>
        <w:rPr>
          <w:rFonts w:ascii="宋体" w:hAnsi="宋体" w:cs="宋体"/>
          <w:sz w:val="24"/>
          <w:szCs w:val="24"/>
        </w:rPr>
      </w:pPr>
      <w:r>
        <w:rPr>
          <w:rFonts w:hint="eastAsia" w:ascii="宋体" w:hAnsi="宋体" w:cs="宋体"/>
          <w:sz w:val="24"/>
          <w:szCs w:val="24"/>
        </w:rPr>
        <w:t>（1）发包人完成最终结清申请单的审批并颁发最终结清证书的期限：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C325012">
      <w:pPr>
        <w:spacing w:line="360" w:lineRule="auto"/>
        <w:ind w:firstLine="480" w:firstLineChars="200"/>
        <w:rPr>
          <w:rFonts w:ascii="宋体" w:hAnsi="宋体" w:cs="宋体"/>
          <w:sz w:val="24"/>
          <w:szCs w:val="24"/>
        </w:rPr>
      </w:pPr>
      <w:r>
        <w:rPr>
          <w:rFonts w:hint="eastAsia" w:ascii="宋体" w:hAnsi="宋体" w:cs="宋体"/>
          <w:sz w:val="24"/>
          <w:szCs w:val="24"/>
        </w:rPr>
        <w:t>（2）发包人完成支付的期限：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1077"/>
    <w:bookmarkEnd w:id="1078"/>
    <w:bookmarkEnd w:id="1079"/>
    <w:bookmarkEnd w:id="1080"/>
    <w:bookmarkEnd w:id="1081"/>
    <w:bookmarkEnd w:id="1082"/>
    <w:bookmarkEnd w:id="1083"/>
    <w:bookmarkEnd w:id="1089"/>
    <w:p w14:paraId="2164485A">
      <w:pPr>
        <w:spacing w:line="360" w:lineRule="auto"/>
        <w:rPr>
          <w:rFonts w:ascii="宋体" w:hAnsi="宋体" w:cs="宋体"/>
          <w:color w:val="000000"/>
          <w:sz w:val="24"/>
          <w:szCs w:val="24"/>
        </w:rPr>
      </w:pPr>
      <w:bookmarkStart w:id="1123" w:name="_Toc12034"/>
      <w:bookmarkStart w:id="1124" w:name="_Toc267251483"/>
      <w:bookmarkStart w:id="1125" w:name="_Toc267251484"/>
      <w:bookmarkStart w:id="1126" w:name="_Toc267251482"/>
      <w:bookmarkStart w:id="1127" w:name="_Toc267251485"/>
      <w:bookmarkStart w:id="1128" w:name="_Toc267251486"/>
      <w:bookmarkStart w:id="1129" w:name="_Toc267251490"/>
      <w:bookmarkStart w:id="1130" w:name="_Toc267251489"/>
      <w:bookmarkStart w:id="1131" w:name="_Toc267251488"/>
      <w:bookmarkStart w:id="1132" w:name="_Toc267251499"/>
      <w:bookmarkStart w:id="1133" w:name="_Toc267251496"/>
      <w:bookmarkStart w:id="1134" w:name="_Toc267251497"/>
      <w:bookmarkStart w:id="1135" w:name="_Toc267251503"/>
      <w:bookmarkStart w:id="1136" w:name="_Toc267251492"/>
      <w:bookmarkStart w:id="1137" w:name="_Toc267251498"/>
      <w:bookmarkStart w:id="1138" w:name="_Toc267251491"/>
      <w:bookmarkStart w:id="1139" w:name="_Toc267251502"/>
      <w:bookmarkStart w:id="1140" w:name="_Toc267251501"/>
      <w:bookmarkStart w:id="1141" w:name="_Toc267251493"/>
      <w:bookmarkStart w:id="1142" w:name="_Toc267251495"/>
      <w:bookmarkStart w:id="1143" w:name="_Toc267251494"/>
      <w:bookmarkStart w:id="1144" w:name="_Toc267251504"/>
      <w:bookmarkStart w:id="1145" w:name="_Toc267251506"/>
      <w:bookmarkStart w:id="1146" w:name="_Toc267251507"/>
      <w:bookmarkStart w:id="1147" w:name="_Toc267251508"/>
      <w:bookmarkStart w:id="1148" w:name="_Toc267251514"/>
      <w:bookmarkStart w:id="1149" w:name="_Toc267251510"/>
      <w:bookmarkStart w:id="1150" w:name="_Toc267251509"/>
      <w:bookmarkStart w:id="1151" w:name="_Toc267251513"/>
      <w:bookmarkStart w:id="1152" w:name="_Toc267251511"/>
      <w:bookmarkStart w:id="1153" w:name="_Toc267251515"/>
      <w:r>
        <w:rPr>
          <w:rFonts w:hint="eastAsia" w:ascii="宋体" w:hAnsi="宋体" w:cs="宋体"/>
          <w:color w:val="000000"/>
          <w:sz w:val="24"/>
          <w:szCs w:val="24"/>
        </w:rPr>
        <w:t>15. 缺陷责任期与保修</w:t>
      </w:r>
      <w:bookmarkEnd w:id="1123"/>
    </w:p>
    <w:p w14:paraId="78D7B6D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15.2缺陷责任期</w:t>
      </w:r>
      <w:bookmarkEnd w:id="1124"/>
    </w:p>
    <w:p w14:paraId="5E2FE3D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缺陷责任期的具体期限：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A1810F1">
      <w:pPr>
        <w:spacing w:line="360" w:lineRule="auto"/>
        <w:ind w:firstLine="480" w:firstLineChars="200"/>
        <w:rPr>
          <w:rFonts w:ascii="宋体" w:hAnsi="宋体" w:cs="宋体"/>
          <w:color w:val="000000"/>
          <w:sz w:val="24"/>
          <w:szCs w:val="24"/>
        </w:rPr>
      </w:pPr>
      <w:bookmarkStart w:id="1154" w:name="_Toc14216"/>
      <w:bookmarkStart w:id="1155" w:name="_Toc19084"/>
      <w:bookmarkStart w:id="1156" w:name="_Toc15475"/>
      <w:bookmarkStart w:id="1157" w:name="_Toc29167"/>
      <w:bookmarkStart w:id="1158" w:name="_Toc518573662"/>
      <w:bookmarkStart w:id="1159" w:name="_Toc14551"/>
      <w:bookmarkStart w:id="1160" w:name="_Toc21828"/>
      <w:bookmarkStart w:id="1161" w:name="_Toc25001"/>
      <w:bookmarkStart w:id="1162" w:name="_Toc29216"/>
      <w:bookmarkStart w:id="1163" w:name="_Toc12375"/>
      <w:bookmarkStart w:id="1164" w:name="_Toc14083"/>
      <w:bookmarkStart w:id="1165" w:name="_Toc518240110"/>
      <w:bookmarkStart w:id="1166" w:name="_Toc30783"/>
      <w:bookmarkStart w:id="1167" w:name="_Toc12642"/>
      <w:bookmarkStart w:id="1168" w:name="_Toc518573546"/>
      <w:bookmarkStart w:id="1169" w:name="_Toc14239"/>
      <w:r>
        <w:rPr>
          <w:rFonts w:hint="eastAsia" w:ascii="宋体" w:hAnsi="宋体" w:cs="宋体"/>
          <w:color w:val="000000"/>
          <w:sz w:val="24"/>
          <w:szCs w:val="24"/>
        </w:rPr>
        <w:t>15.3 质量保证金</w:t>
      </w:r>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14:paraId="2921376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关于是否扣留质量保证金的约定：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。在工程项目竣工前，承包人按专用合同条款第3.7条提供履约担保的，发包人不得同时预留工程质量保证金。</w:t>
      </w:r>
    </w:p>
    <w:p w14:paraId="0084C65E">
      <w:pPr>
        <w:spacing w:line="360" w:lineRule="auto"/>
        <w:ind w:firstLine="480" w:firstLineChars="200"/>
        <w:rPr>
          <w:rFonts w:ascii="宋体" w:hAnsi="宋体" w:cs="宋体"/>
          <w:color w:val="000000"/>
          <w:sz w:val="24"/>
          <w:szCs w:val="24"/>
        </w:rPr>
      </w:pPr>
      <w:bookmarkStart w:id="1170" w:name="_Toc12179"/>
      <w:bookmarkStart w:id="1171" w:name="_Toc26139"/>
      <w:bookmarkStart w:id="1172" w:name="_Toc19599"/>
      <w:bookmarkStart w:id="1173" w:name="_Toc20017"/>
      <w:bookmarkStart w:id="1174" w:name="_Toc8666"/>
      <w:bookmarkStart w:id="1175" w:name="_Toc25666"/>
      <w:bookmarkStart w:id="1176" w:name="_Toc19060"/>
      <w:bookmarkStart w:id="1177" w:name="_Toc21303"/>
      <w:bookmarkStart w:id="1178" w:name="_Toc518573663"/>
      <w:bookmarkStart w:id="1179" w:name="_Toc32263"/>
      <w:bookmarkStart w:id="1180" w:name="_Toc518573547"/>
      <w:bookmarkStart w:id="1181" w:name="_Toc3489"/>
      <w:bookmarkStart w:id="1182" w:name="_Toc9826"/>
      <w:bookmarkStart w:id="1183" w:name="_Toc518240111"/>
      <w:bookmarkStart w:id="1184" w:name="_Toc8135"/>
      <w:bookmarkStart w:id="1185" w:name="_Toc30745"/>
      <w:r>
        <w:rPr>
          <w:rFonts w:hint="eastAsia" w:ascii="宋体" w:hAnsi="宋体" w:cs="宋体"/>
          <w:color w:val="000000"/>
          <w:sz w:val="24"/>
          <w:szCs w:val="24"/>
        </w:rPr>
        <w:t>15.3.1 承包人提供质量保证金的方式</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p>
    <w:p w14:paraId="7D60CEF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质量保证金采用以下第</w:t>
      </w:r>
      <w:r>
        <w:rPr>
          <w:rFonts w:hint="eastAsia" w:ascii="宋体" w:hAnsi="宋体" w:cs="宋体"/>
          <w:color w:val="000000"/>
          <w:sz w:val="24"/>
          <w:szCs w:val="24"/>
          <w:u w:val="single"/>
        </w:rPr>
        <w:t xml:space="preserve">     </w:t>
      </w:r>
      <w:r>
        <w:rPr>
          <w:rFonts w:hint="eastAsia" w:ascii="宋体" w:hAnsi="宋体" w:cs="宋体"/>
          <w:color w:val="000000"/>
          <w:sz w:val="24"/>
          <w:szCs w:val="24"/>
        </w:rPr>
        <w:t>种方式：</w:t>
      </w:r>
    </w:p>
    <w:p w14:paraId="4C1898B6">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（1）质量保证金保函，保证金额为：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00535FE7">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u w:val="single"/>
        </w:rPr>
        <w:t xml:space="preserve">      </w:t>
      </w:r>
      <w:r>
        <w:rPr>
          <w:rFonts w:hint="eastAsia" w:ascii="宋体" w:hAnsi="宋体" w:cs="宋体"/>
          <w:color w:val="000000"/>
          <w:sz w:val="24"/>
          <w:szCs w:val="24"/>
        </w:rPr>
        <w:t>%的工程款；</w:t>
      </w:r>
    </w:p>
    <w:p w14:paraId="23A467A3">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（3）其他方式: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BF9443C">
      <w:pPr>
        <w:spacing w:line="360" w:lineRule="auto"/>
        <w:ind w:firstLine="480" w:firstLineChars="200"/>
        <w:rPr>
          <w:rFonts w:ascii="宋体" w:hAnsi="宋体" w:cs="宋体"/>
          <w:color w:val="000000"/>
          <w:sz w:val="24"/>
          <w:szCs w:val="24"/>
        </w:rPr>
      </w:pPr>
      <w:bookmarkStart w:id="1186" w:name="_Toc4917"/>
      <w:bookmarkStart w:id="1187" w:name="_Toc27469"/>
      <w:bookmarkStart w:id="1188" w:name="_Toc518573548"/>
      <w:bookmarkStart w:id="1189" w:name="_Toc5575"/>
      <w:bookmarkStart w:id="1190" w:name="_Toc8391"/>
      <w:bookmarkStart w:id="1191" w:name="_Toc4139"/>
      <w:bookmarkStart w:id="1192" w:name="_Toc21899"/>
      <w:bookmarkStart w:id="1193" w:name="_Toc25842"/>
      <w:bookmarkStart w:id="1194" w:name="_Toc27543"/>
      <w:bookmarkStart w:id="1195" w:name="_Toc1735"/>
      <w:bookmarkStart w:id="1196" w:name="_Toc518240112"/>
      <w:bookmarkStart w:id="1197" w:name="_Toc23832"/>
      <w:bookmarkStart w:id="1198" w:name="_Toc22282"/>
      <w:bookmarkStart w:id="1199" w:name="_Toc24765"/>
      <w:bookmarkStart w:id="1200" w:name="_Toc6692"/>
      <w:bookmarkStart w:id="1201" w:name="_Toc518573664"/>
      <w:r>
        <w:rPr>
          <w:rFonts w:hint="eastAsia" w:ascii="宋体" w:hAnsi="宋体" w:cs="宋体"/>
          <w:color w:val="000000"/>
          <w:sz w:val="24"/>
          <w:szCs w:val="24"/>
        </w:rPr>
        <w:t>15.3.2 质量保证金的扣留</w:t>
      </w:r>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r>
        <w:rPr>
          <w:rFonts w:hint="eastAsia" w:ascii="宋体" w:hAnsi="宋体" w:cs="宋体"/>
          <w:color w:val="000000"/>
          <w:sz w:val="24"/>
          <w:szCs w:val="24"/>
        </w:rPr>
        <w:t xml:space="preserve"> </w:t>
      </w:r>
    </w:p>
    <w:p w14:paraId="15512EA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质量保证金的扣留采取以下第</w:t>
      </w:r>
      <w:r>
        <w:rPr>
          <w:rFonts w:hint="eastAsia" w:ascii="宋体" w:hAnsi="宋体" w:cs="宋体"/>
          <w:color w:val="000000"/>
          <w:sz w:val="24"/>
          <w:szCs w:val="24"/>
          <w:u w:val="single"/>
        </w:rPr>
        <w:t xml:space="preserve">     </w:t>
      </w:r>
      <w:r>
        <w:rPr>
          <w:rFonts w:hint="eastAsia" w:ascii="宋体" w:hAnsi="宋体" w:cs="宋体"/>
          <w:color w:val="000000"/>
          <w:sz w:val="24"/>
          <w:szCs w:val="24"/>
        </w:rPr>
        <w:t>种方式：</w:t>
      </w:r>
    </w:p>
    <w:p w14:paraId="5BC07853">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（1）在支付工程进度款时逐次扣留，在此情形下，质量保证金的计算基数不包括预付款的支付、扣回以及价格调整的金额；</w:t>
      </w:r>
    </w:p>
    <w:p w14:paraId="124FAB8C">
      <w:pPr>
        <w:autoSpaceDE w:val="0"/>
        <w:autoSpaceDN w:val="0"/>
        <w:spacing w:line="360" w:lineRule="auto"/>
        <w:ind w:firstLine="480" w:firstLineChars="200"/>
        <w:rPr>
          <w:rFonts w:ascii="宋体" w:hAnsi="宋体" w:cs="宋体"/>
          <w:color w:val="000000"/>
          <w:sz w:val="24"/>
          <w:szCs w:val="24"/>
        </w:rPr>
      </w:pPr>
      <w:bookmarkStart w:id="1202" w:name="_Toc6429"/>
      <w:bookmarkStart w:id="1203" w:name="_Toc26288"/>
      <w:bookmarkStart w:id="1204" w:name="_Toc27062"/>
      <w:bookmarkStart w:id="1205" w:name="_Toc8156"/>
      <w:bookmarkStart w:id="1206" w:name="_Toc18824"/>
      <w:bookmarkStart w:id="1207" w:name="_Toc26907"/>
      <w:bookmarkStart w:id="1208" w:name="_Toc24831"/>
      <w:bookmarkStart w:id="1209" w:name="_Toc518573549"/>
      <w:bookmarkStart w:id="1210" w:name="_Toc8894"/>
      <w:bookmarkStart w:id="1211" w:name="_Toc5911"/>
      <w:bookmarkStart w:id="1212" w:name="_Toc5303"/>
      <w:bookmarkStart w:id="1213" w:name="_Toc28852"/>
      <w:bookmarkStart w:id="1214" w:name="_Toc28960"/>
      <w:bookmarkStart w:id="1215" w:name="_Toc518240113"/>
      <w:bookmarkStart w:id="1216" w:name="_Toc518573665"/>
      <w:bookmarkStart w:id="1217" w:name="_Toc17008"/>
      <w:r>
        <w:rPr>
          <w:rFonts w:hint="eastAsia" w:ascii="宋体" w:hAnsi="宋体" w:cs="宋体"/>
          <w:color w:val="000000"/>
          <w:sz w:val="24"/>
          <w:szCs w:val="24"/>
        </w:rPr>
        <w:t>（2）工程竣工结算时一次性扣留质量保证金；</w:t>
      </w:r>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p>
    <w:p w14:paraId="793F9AD8">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（3）其他扣留方式: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433083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关于质量保证金的补充约定：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1125"/>
    <w:bookmarkEnd w:id="1126"/>
    <w:p w14:paraId="61F583F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15.4保修</w:t>
      </w:r>
    </w:p>
    <w:bookmarkEnd w:id="1127"/>
    <w:p w14:paraId="4CA89F1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15.4.1 保修责任</w:t>
      </w:r>
    </w:p>
    <w:p w14:paraId="131746C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工程保修期为：</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DA2865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15.4.3 修复通知</w:t>
      </w:r>
    </w:p>
    <w:p w14:paraId="34AA15C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承包人收到保修通知并到达工程现场的合理时间：</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1128"/>
    <w:bookmarkEnd w:id="1129"/>
    <w:bookmarkEnd w:id="1130"/>
    <w:bookmarkEnd w:id="1131"/>
    <w:p w14:paraId="6264BAA6">
      <w:pPr>
        <w:spacing w:line="360" w:lineRule="auto"/>
        <w:rPr>
          <w:rFonts w:ascii="宋体" w:hAnsi="宋体" w:cs="宋体"/>
          <w:color w:val="000000"/>
          <w:sz w:val="24"/>
          <w:szCs w:val="24"/>
        </w:rPr>
      </w:pPr>
      <w:bookmarkStart w:id="1218" w:name="_Toc14498"/>
      <w:bookmarkStart w:id="1219" w:name="_Toc280868717"/>
      <w:bookmarkStart w:id="1220" w:name="_Toc280868718"/>
      <w:r>
        <w:rPr>
          <w:rFonts w:hint="eastAsia" w:ascii="宋体" w:hAnsi="宋体" w:cs="宋体"/>
          <w:color w:val="000000"/>
          <w:sz w:val="24"/>
          <w:szCs w:val="24"/>
        </w:rPr>
        <w:t>16. 违约</w:t>
      </w:r>
      <w:bookmarkEnd w:id="1218"/>
    </w:p>
    <w:p w14:paraId="63032933">
      <w:pPr>
        <w:spacing w:line="360" w:lineRule="auto"/>
        <w:ind w:firstLine="480" w:firstLineChars="200"/>
        <w:rPr>
          <w:rFonts w:ascii="宋体" w:hAnsi="宋体" w:cs="宋体"/>
          <w:color w:val="000000"/>
          <w:sz w:val="24"/>
          <w:szCs w:val="24"/>
        </w:rPr>
      </w:pPr>
      <w:bookmarkStart w:id="1221" w:name="_Toc14886"/>
      <w:bookmarkStart w:id="1222" w:name="_Toc518573550"/>
      <w:bookmarkStart w:id="1223" w:name="_Toc7521"/>
      <w:bookmarkStart w:id="1224" w:name="_Toc11562"/>
      <w:bookmarkStart w:id="1225" w:name="_Toc518240114"/>
      <w:bookmarkStart w:id="1226" w:name="_Toc1301"/>
      <w:bookmarkStart w:id="1227" w:name="_Toc3977"/>
      <w:bookmarkStart w:id="1228" w:name="_Toc13497"/>
      <w:bookmarkStart w:id="1229" w:name="_Toc518573666"/>
      <w:bookmarkStart w:id="1230" w:name="_Toc14829"/>
      <w:bookmarkStart w:id="1231" w:name="_Toc8213"/>
      <w:bookmarkStart w:id="1232" w:name="_Toc6652"/>
      <w:bookmarkStart w:id="1233" w:name="_Toc27252"/>
      <w:bookmarkStart w:id="1234" w:name="_Toc8796"/>
      <w:bookmarkStart w:id="1235" w:name="_Toc16809"/>
      <w:bookmarkStart w:id="1236" w:name="_Toc29552"/>
      <w:r>
        <w:rPr>
          <w:rFonts w:hint="eastAsia" w:ascii="宋体" w:hAnsi="宋体" w:cs="宋体"/>
          <w:color w:val="000000"/>
          <w:sz w:val="24"/>
          <w:szCs w:val="24"/>
        </w:rPr>
        <w:t>16.1 发包人违约</w:t>
      </w:r>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p>
    <w:p w14:paraId="3A5E297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16.1.1发包人违约的情形</w:t>
      </w:r>
    </w:p>
    <w:p w14:paraId="63591A1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发包人违约的其他情形：</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B364FF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16.1.2 发包人违约的责任</w:t>
      </w:r>
    </w:p>
    <w:p w14:paraId="1C02088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发包人违约责任的承担方式和计算方法：</w:t>
      </w:r>
    </w:p>
    <w:p w14:paraId="2E1389F1">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（1）因发包人原因未能在计划开工日期前7天内下达开工通知的违约责任：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BA0B08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（2）因发包人原因未能按合同约定支付合同价款的违约责任：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1C9CAB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（3）发包人违反第10.1款〔变更的范围〕第（2）项约定，自行实施被取消的工作或转由他人实施的违约责任：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24D73B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824E91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（5）因发包人违反合同约定造成暂停施工的违约责任：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DE247B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（6）发包人无正当理由没有在约定期限内发出复工指示，导致承包人无法复工的违约责任：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557AD2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（7）其他：</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C4194A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16.1.3 因发包人违约解除合同</w:t>
      </w:r>
    </w:p>
    <w:p w14:paraId="37C6BC68">
      <w:pPr>
        <w:autoSpaceDE w:val="0"/>
        <w:autoSpaceDN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承包人按16.1.1项〔发包人违约的情形〕约定暂停施工满</w:t>
      </w:r>
      <w:r>
        <w:rPr>
          <w:rFonts w:hint="eastAsia" w:ascii="宋体" w:hAnsi="宋体" w:cs="宋体"/>
          <w:color w:val="000000"/>
          <w:sz w:val="24"/>
          <w:szCs w:val="24"/>
          <w:u w:val="single"/>
        </w:rPr>
        <w:t xml:space="preserve">    </w:t>
      </w:r>
      <w:r>
        <w:rPr>
          <w:rFonts w:hint="eastAsia" w:ascii="宋体" w:hAnsi="宋体" w:cs="宋体"/>
          <w:color w:val="000000"/>
          <w:sz w:val="24"/>
          <w:szCs w:val="24"/>
        </w:rPr>
        <w:t>天后发包人仍不纠正其违约行为并致使合同目的不能实现的，承包人有权解除合同。</w:t>
      </w:r>
    </w:p>
    <w:p w14:paraId="2C61FBC6">
      <w:pPr>
        <w:spacing w:line="360" w:lineRule="auto"/>
        <w:ind w:firstLine="480" w:firstLineChars="200"/>
        <w:rPr>
          <w:rFonts w:ascii="宋体" w:hAnsi="宋体" w:cs="宋体"/>
          <w:color w:val="000000"/>
          <w:sz w:val="24"/>
          <w:szCs w:val="24"/>
        </w:rPr>
      </w:pPr>
      <w:bookmarkStart w:id="1237" w:name="_Toc28475"/>
      <w:bookmarkStart w:id="1238" w:name="_Toc11422"/>
      <w:bookmarkStart w:id="1239" w:name="_Toc15086"/>
      <w:bookmarkStart w:id="1240" w:name="_Toc15547"/>
      <w:bookmarkStart w:id="1241" w:name="_Toc16999"/>
      <w:bookmarkStart w:id="1242" w:name="_Toc25979"/>
      <w:bookmarkStart w:id="1243" w:name="_Toc518573551"/>
      <w:bookmarkStart w:id="1244" w:name="_Toc518240115"/>
      <w:bookmarkStart w:id="1245" w:name="_Toc2459"/>
      <w:bookmarkStart w:id="1246" w:name="_Toc2938"/>
      <w:bookmarkStart w:id="1247" w:name="_Toc5221"/>
      <w:bookmarkStart w:id="1248" w:name="_Toc518573667"/>
      <w:bookmarkStart w:id="1249" w:name="_Toc19612"/>
      <w:bookmarkStart w:id="1250" w:name="_Toc2164"/>
      <w:bookmarkStart w:id="1251" w:name="_Toc18616"/>
      <w:bookmarkStart w:id="1252" w:name="_Toc6871"/>
      <w:r>
        <w:rPr>
          <w:rFonts w:hint="eastAsia" w:ascii="宋体" w:hAnsi="宋体" w:cs="宋体"/>
          <w:color w:val="000000"/>
          <w:sz w:val="24"/>
          <w:szCs w:val="24"/>
        </w:rPr>
        <w:t>16.2 承包人违约</w:t>
      </w:r>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p>
    <w:p w14:paraId="0D2A520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16.2.1 承包人违约的情形</w:t>
      </w:r>
    </w:p>
    <w:p w14:paraId="1C13630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承包人违约的其他情形：</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96E620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16.2.2承包人违约的责任</w:t>
      </w:r>
    </w:p>
    <w:p w14:paraId="5B8C571A">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承包人违约责任的承担方式和计算方法：</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62897A9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16.2.3 因承包人违约解除合同</w:t>
      </w:r>
    </w:p>
    <w:p w14:paraId="50F6493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关于承包人违约解除合同的特别约定：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8E6ABB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发包人继续使用承包人在施工现场的材料、设备、临时工程、承包人文件和由承包人或以其名义编制的其他文件的费用承担方式：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7917DDC">
      <w:pPr>
        <w:spacing w:line="360" w:lineRule="auto"/>
        <w:rPr>
          <w:rFonts w:ascii="宋体" w:hAnsi="宋体" w:cs="宋体"/>
          <w:color w:val="000000"/>
          <w:sz w:val="24"/>
          <w:szCs w:val="24"/>
        </w:rPr>
      </w:pPr>
      <w:bookmarkStart w:id="1253" w:name="_Toc29792"/>
      <w:r>
        <w:rPr>
          <w:rFonts w:hint="eastAsia" w:ascii="宋体" w:hAnsi="宋体" w:cs="宋体"/>
          <w:color w:val="000000"/>
          <w:sz w:val="24"/>
          <w:szCs w:val="24"/>
        </w:rPr>
        <w:t>17. 不可抗力</w:t>
      </w:r>
      <w:bookmarkEnd w:id="1253"/>
      <w:r>
        <w:rPr>
          <w:rFonts w:hint="eastAsia" w:ascii="宋体" w:hAnsi="宋体" w:cs="宋体"/>
          <w:color w:val="000000"/>
          <w:sz w:val="24"/>
          <w:szCs w:val="24"/>
        </w:rPr>
        <w:t xml:space="preserve"> </w:t>
      </w:r>
      <w:bookmarkEnd w:id="1219"/>
    </w:p>
    <w:p w14:paraId="29F2D5A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17.1 不可抗力的确认</w:t>
      </w:r>
    </w:p>
    <w:p w14:paraId="091EAE9C">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除通用合同条款约定的不可抗力事件之外，视为不可抗力的其他情形：</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A6FDC1E">
      <w:pPr>
        <w:spacing w:line="360" w:lineRule="auto"/>
        <w:ind w:firstLine="480" w:firstLineChars="200"/>
        <w:rPr>
          <w:rFonts w:ascii="宋体" w:hAnsi="宋体" w:cs="宋体"/>
          <w:color w:val="000000"/>
          <w:sz w:val="24"/>
          <w:szCs w:val="24"/>
        </w:rPr>
      </w:pPr>
      <w:bookmarkStart w:id="1254" w:name="_Toc22425"/>
      <w:bookmarkStart w:id="1255" w:name="_Toc14635"/>
      <w:bookmarkStart w:id="1256" w:name="_Toc32227"/>
      <w:bookmarkStart w:id="1257" w:name="_Toc25097"/>
      <w:bookmarkStart w:id="1258" w:name="_Toc518240116"/>
      <w:bookmarkStart w:id="1259" w:name="_Toc3146"/>
      <w:bookmarkStart w:id="1260" w:name="_Toc11569"/>
      <w:bookmarkStart w:id="1261" w:name="_Toc2793"/>
      <w:bookmarkStart w:id="1262" w:name="_Toc13598"/>
      <w:bookmarkStart w:id="1263" w:name="_Toc518573552"/>
      <w:bookmarkStart w:id="1264" w:name="_Toc18491"/>
      <w:bookmarkStart w:id="1265" w:name="_Toc12817"/>
      <w:bookmarkStart w:id="1266" w:name="_Toc8048"/>
      <w:bookmarkStart w:id="1267" w:name="_Toc17215"/>
      <w:bookmarkStart w:id="1268" w:name="_Toc29320"/>
      <w:bookmarkStart w:id="1269" w:name="_Toc518573668"/>
      <w:r>
        <w:rPr>
          <w:rFonts w:hint="eastAsia" w:ascii="宋体" w:hAnsi="宋体" w:cs="宋体"/>
          <w:color w:val="000000"/>
          <w:sz w:val="24"/>
          <w:szCs w:val="24"/>
        </w:rPr>
        <w:t>17.4 因不可抗力解除合同</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p>
    <w:p w14:paraId="3A0E9EA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合同解除后，发包人应在商定或确定发包人应支付款项后</w:t>
      </w:r>
      <w:r>
        <w:rPr>
          <w:rFonts w:hint="eastAsia" w:ascii="宋体" w:hAnsi="宋体" w:cs="宋体"/>
          <w:color w:val="000000"/>
          <w:sz w:val="24"/>
          <w:szCs w:val="24"/>
          <w:u w:val="single"/>
        </w:rPr>
        <w:t xml:space="preserve">    </w:t>
      </w:r>
      <w:r>
        <w:rPr>
          <w:rFonts w:hint="eastAsia" w:ascii="宋体" w:hAnsi="宋体" w:cs="宋体"/>
          <w:color w:val="000000"/>
          <w:sz w:val="24"/>
          <w:szCs w:val="24"/>
        </w:rPr>
        <w:t>天内完成款项的支付。</w:t>
      </w:r>
    </w:p>
    <w:p w14:paraId="685C692D">
      <w:pPr>
        <w:spacing w:line="360" w:lineRule="auto"/>
        <w:rPr>
          <w:rFonts w:ascii="宋体" w:hAnsi="宋体" w:cs="宋体"/>
          <w:color w:val="000000"/>
          <w:sz w:val="24"/>
          <w:szCs w:val="24"/>
        </w:rPr>
      </w:pPr>
      <w:bookmarkStart w:id="1270" w:name="_Toc3831"/>
      <w:r>
        <w:rPr>
          <w:rFonts w:hint="eastAsia" w:ascii="宋体" w:hAnsi="宋体" w:cs="宋体"/>
          <w:color w:val="000000"/>
          <w:sz w:val="24"/>
          <w:szCs w:val="24"/>
        </w:rPr>
        <w:t>18. 保险</w:t>
      </w:r>
      <w:bookmarkEnd w:id="1270"/>
    </w:p>
    <w:bookmarkEnd w:id="1220"/>
    <w:p w14:paraId="4828238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18.1 工程保险</w:t>
      </w:r>
    </w:p>
    <w:p w14:paraId="7987076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关于工程保险的特别约定：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DA06CE4">
      <w:pPr>
        <w:spacing w:line="360" w:lineRule="auto"/>
        <w:ind w:firstLine="480" w:firstLineChars="200"/>
        <w:rPr>
          <w:rFonts w:ascii="宋体" w:hAnsi="宋体" w:cs="宋体"/>
          <w:color w:val="000000"/>
          <w:sz w:val="24"/>
          <w:szCs w:val="24"/>
        </w:rPr>
      </w:pPr>
      <w:bookmarkStart w:id="1271" w:name="_Toc518573669"/>
      <w:bookmarkStart w:id="1272" w:name="_Toc10082"/>
      <w:bookmarkStart w:id="1273" w:name="_Toc518573553"/>
      <w:bookmarkStart w:id="1274" w:name="_Toc15331"/>
      <w:bookmarkStart w:id="1275" w:name="_Toc7763"/>
      <w:bookmarkStart w:id="1276" w:name="_Toc28348"/>
      <w:bookmarkStart w:id="1277" w:name="_Toc27393"/>
      <w:bookmarkStart w:id="1278" w:name="_Toc1051"/>
      <w:bookmarkStart w:id="1279" w:name="_Toc1121"/>
      <w:bookmarkStart w:id="1280" w:name="_Toc9425"/>
      <w:bookmarkStart w:id="1281" w:name="_Toc8446"/>
      <w:bookmarkStart w:id="1282" w:name="_Toc8147"/>
      <w:bookmarkStart w:id="1283" w:name="_Toc16086"/>
      <w:bookmarkStart w:id="1284" w:name="_Toc518240117"/>
      <w:bookmarkStart w:id="1285" w:name="_Toc21729"/>
      <w:r>
        <w:rPr>
          <w:rFonts w:hint="eastAsia" w:ascii="宋体" w:hAnsi="宋体" w:cs="宋体"/>
          <w:color w:val="000000"/>
          <w:sz w:val="24"/>
          <w:szCs w:val="24"/>
        </w:rPr>
        <w:t>18.3 其他保险</w:t>
      </w:r>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p>
    <w:p w14:paraId="1BFF8A7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关于其他保险的约定：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3C4618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承包人是否应为其施工设备等办理财产保险：</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222502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18.7 通知义务</w:t>
      </w:r>
    </w:p>
    <w:p w14:paraId="4690EA9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关于变更保险合同时的通知义务的约定：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bookmarkEnd w:id="1132"/>
    <w:bookmarkEnd w:id="1133"/>
    <w:bookmarkEnd w:id="1134"/>
    <w:bookmarkEnd w:id="1135"/>
    <w:bookmarkEnd w:id="1136"/>
    <w:bookmarkEnd w:id="1137"/>
    <w:bookmarkEnd w:id="1138"/>
    <w:bookmarkEnd w:id="1139"/>
    <w:bookmarkEnd w:id="1140"/>
    <w:bookmarkEnd w:id="1141"/>
    <w:bookmarkEnd w:id="1142"/>
    <w:bookmarkEnd w:id="1143"/>
    <w:p w14:paraId="66B39163">
      <w:pPr>
        <w:spacing w:line="360" w:lineRule="auto"/>
        <w:rPr>
          <w:rFonts w:ascii="宋体" w:hAnsi="宋体" w:cs="宋体"/>
          <w:color w:val="000000"/>
          <w:sz w:val="24"/>
          <w:szCs w:val="24"/>
        </w:rPr>
      </w:pPr>
      <w:bookmarkStart w:id="1286" w:name="_Toc25626"/>
      <w:r>
        <w:rPr>
          <w:rFonts w:hint="eastAsia" w:ascii="宋体" w:hAnsi="宋体" w:cs="宋体"/>
          <w:color w:val="000000"/>
          <w:sz w:val="24"/>
          <w:szCs w:val="24"/>
        </w:rPr>
        <w:t>20. 争议解决</w:t>
      </w:r>
      <w:bookmarkEnd w:id="1286"/>
    </w:p>
    <w:bookmarkEnd w:id="1144"/>
    <w:bookmarkEnd w:id="1145"/>
    <w:p w14:paraId="1054A6FA">
      <w:pPr>
        <w:spacing w:line="360" w:lineRule="auto"/>
        <w:ind w:firstLine="480" w:firstLineChars="200"/>
        <w:rPr>
          <w:rFonts w:ascii="宋体" w:hAnsi="宋体" w:cs="宋体"/>
          <w:color w:val="000000"/>
          <w:sz w:val="24"/>
          <w:szCs w:val="24"/>
        </w:rPr>
      </w:pPr>
      <w:bookmarkStart w:id="1287" w:name="_Toc6050"/>
      <w:bookmarkStart w:id="1288" w:name="_Toc27971"/>
      <w:bookmarkStart w:id="1289" w:name="_Toc631"/>
      <w:bookmarkStart w:id="1290" w:name="_Toc518573554"/>
      <w:bookmarkStart w:id="1291" w:name="_Toc6280"/>
      <w:bookmarkStart w:id="1292" w:name="_Toc518573670"/>
      <w:bookmarkStart w:id="1293" w:name="_Toc10212"/>
      <w:bookmarkStart w:id="1294" w:name="_Toc21937"/>
      <w:bookmarkStart w:id="1295" w:name="_Toc19938"/>
      <w:bookmarkStart w:id="1296" w:name="_Toc16647"/>
      <w:bookmarkStart w:id="1297" w:name="_Toc19996"/>
      <w:bookmarkStart w:id="1298" w:name="_Toc518240118"/>
      <w:bookmarkStart w:id="1299" w:name="_Toc24202"/>
      <w:bookmarkStart w:id="1300" w:name="_Toc16306"/>
      <w:bookmarkStart w:id="1301" w:name="_Toc15016"/>
      <w:bookmarkStart w:id="1302" w:name="_Toc13256"/>
      <w:r>
        <w:rPr>
          <w:rFonts w:hint="eastAsia" w:ascii="宋体" w:hAnsi="宋体" w:cs="宋体"/>
          <w:color w:val="000000"/>
          <w:sz w:val="24"/>
          <w:szCs w:val="24"/>
        </w:rPr>
        <w:t>20.3 争</w:t>
      </w:r>
      <w:bookmarkEnd w:id="1146"/>
      <w:r>
        <w:rPr>
          <w:rFonts w:hint="eastAsia" w:ascii="宋体" w:hAnsi="宋体" w:cs="宋体"/>
          <w:color w:val="000000"/>
          <w:sz w:val="24"/>
          <w:szCs w:val="24"/>
        </w:rPr>
        <w:t>议评审</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p>
    <w:p w14:paraId="4D1CAE1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合同当事人是否同意将工程争议提交争议评审小组决定：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7CEEABBB">
      <w:pPr>
        <w:spacing w:line="360" w:lineRule="auto"/>
        <w:ind w:firstLine="480" w:firstLineChars="200"/>
        <w:rPr>
          <w:rFonts w:ascii="宋体" w:hAnsi="宋体" w:cs="宋体"/>
          <w:color w:val="000000"/>
          <w:sz w:val="24"/>
          <w:szCs w:val="24"/>
        </w:rPr>
      </w:pPr>
      <w:bookmarkStart w:id="1303" w:name="_Toc16673"/>
      <w:bookmarkStart w:id="1304" w:name="_Toc11271"/>
      <w:bookmarkStart w:id="1305" w:name="_Toc5728"/>
      <w:bookmarkStart w:id="1306" w:name="_Toc1555"/>
      <w:bookmarkStart w:id="1307" w:name="_Toc16869"/>
      <w:bookmarkStart w:id="1308" w:name="_Toc7175"/>
      <w:bookmarkStart w:id="1309" w:name="_Toc25660"/>
      <w:bookmarkStart w:id="1310" w:name="_Toc10749"/>
      <w:bookmarkStart w:id="1311" w:name="_Toc518573671"/>
      <w:bookmarkStart w:id="1312" w:name="_Toc4524"/>
      <w:bookmarkStart w:id="1313" w:name="_Toc22083"/>
      <w:bookmarkStart w:id="1314" w:name="_Toc19944"/>
      <w:bookmarkStart w:id="1315" w:name="_Toc518573555"/>
      <w:bookmarkStart w:id="1316" w:name="_Toc21661"/>
      <w:bookmarkStart w:id="1317" w:name="_Toc3379"/>
      <w:bookmarkStart w:id="1318" w:name="_Toc518240119"/>
      <w:r>
        <w:rPr>
          <w:rFonts w:hint="eastAsia" w:ascii="宋体" w:hAnsi="宋体" w:cs="宋体"/>
          <w:color w:val="000000"/>
          <w:sz w:val="24"/>
          <w:szCs w:val="24"/>
        </w:rPr>
        <w:t>20.3.1 争议评审小组的确定</w:t>
      </w:r>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14:paraId="590E039B">
      <w:pPr>
        <w:spacing w:line="360" w:lineRule="auto"/>
        <w:ind w:firstLine="480" w:firstLineChars="200"/>
        <w:rPr>
          <w:rFonts w:ascii="宋体" w:hAnsi="宋体" w:cs="宋体"/>
          <w:color w:val="000000"/>
          <w:sz w:val="24"/>
          <w:szCs w:val="24"/>
          <w:u w:val="single"/>
        </w:rPr>
      </w:pPr>
      <w:r>
        <w:rPr>
          <w:rFonts w:hint="eastAsia" w:ascii="宋体" w:hAnsi="宋体" w:cs="宋体"/>
          <w:color w:val="000000"/>
          <w:sz w:val="24"/>
          <w:szCs w:val="24"/>
        </w:rPr>
        <w:t>争议评审小组成员的确定：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7C16A71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选定争议评审员的期限：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ABD677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争议评审小组成员的报酬承担方式：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00F697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其他事项的约定：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7FF1944">
      <w:pPr>
        <w:autoSpaceDE w:val="0"/>
        <w:autoSpaceDN w:val="0"/>
        <w:spacing w:line="360" w:lineRule="auto"/>
        <w:ind w:firstLine="480" w:firstLineChars="200"/>
        <w:rPr>
          <w:rFonts w:ascii="宋体" w:hAnsi="宋体" w:cs="宋体"/>
          <w:color w:val="000000"/>
          <w:sz w:val="24"/>
          <w:szCs w:val="24"/>
        </w:rPr>
      </w:pPr>
      <w:bookmarkStart w:id="1319" w:name="_Toc28064"/>
      <w:bookmarkStart w:id="1320" w:name="_Toc518573556"/>
      <w:bookmarkStart w:id="1321" w:name="_Toc21379"/>
      <w:bookmarkStart w:id="1322" w:name="_Toc25266"/>
      <w:bookmarkStart w:id="1323" w:name="_Toc4972"/>
      <w:bookmarkStart w:id="1324" w:name="_Toc518240120"/>
      <w:bookmarkStart w:id="1325" w:name="_Toc8658"/>
      <w:bookmarkStart w:id="1326" w:name="_Toc10585"/>
      <w:bookmarkStart w:id="1327" w:name="_Toc13866"/>
      <w:bookmarkStart w:id="1328" w:name="_Toc12720"/>
      <w:bookmarkStart w:id="1329" w:name="_Toc518573672"/>
      <w:bookmarkStart w:id="1330" w:name="_Toc26976"/>
      <w:bookmarkStart w:id="1331" w:name="_Toc30787"/>
      <w:bookmarkStart w:id="1332" w:name="_Toc12208"/>
      <w:bookmarkStart w:id="1333" w:name="_Toc9780"/>
      <w:bookmarkStart w:id="1334" w:name="_Toc8286"/>
      <w:r>
        <w:rPr>
          <w:rFonts w:hint="eastAsia" w:ascii="宋体" w:hAnsi="宋体" w:cs="宋体"/>
          <w:color w:val="000000"/>
          <w:sz w:val="24"/>
          <w:szCs w:val="24"/>
        </w:rPr>
        <w:t>20.3.2 争议评审小组的决定</w:t>
      </w:r>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p>
    <w:p w14:paraId="56AB385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合同当事人关于本项的约定：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F58CCE4">
      <w:pPr>
        <w:spacing w:line="360" w:lineRule="auto"/>
        <w:ind w:firstLine="480" w:firstLineChars="200"/>
        <w:rPr>
          <w:rFonts w:ascii="宋体" w:hAnsi="宋体" w:cs="宋体"/>
          <w:color w:val="000000"/>
          <w:sz w:val="24"/>
          <w:szCs w:val="24"/>
        </w:rPr>
      </w:pPr>
      <w:bookmarkStart w:id="1335" w:name="_Toc518573673"/>
      <w:bookmarkStart w:id="1336" w:name="_Toc518573557"/>
      <w:bookmarkStart w:id="1337" w:name="_Toc20532"/>
      <w:bookmarkStart w:id="1338" w:name="_Toc18985"/>
      <w:bookmarkStart w:id="1339" w:name="_Toc19342"/>
      <w:bookmarkStart w:id="1340" w:name="_Toc10430"/>
      <w:bookmarkStart w:id="1341" w:name="_Toc7738"/>
      <w:bookmarkStart w:id="1342" w:name="_Toc6565"/>
      <w:bookmarkStart w:id="1343" w:name="_Toc24884"/>
      <w:bookmarkStart w:id="1344" w:name="_Toc17301"/>
      <w:bookmarkStart w:id="1345" w:name="_Toc19761"/>
      <w:bookmarkStart w:id="1346" w:name="_Toc2506"/>
      <w:bookmarkStart w:id="1347" w:name="_Toc6141"/>
      <w:bookmarkStart w:id="1348" w:name="_Toc19298"/>
      <w:bookmarkStart w:id="1349" w:name="_Toc3381"/>
      <w:bookmarkStart w:id="1350" w:name="_Toc518240121"/>
      <w:r>
        <w:rPr>
          <w:rFonts w:hint="eastAsia" w:ascii="宋体" w:hAnsi="宋体" w:cs="宋体"/>
          <w:color w:val="000000"/>
          <w:sz w:val="24"/>
          <w:szCs w:val="24"/>
        </w:rPr>
        <w:t>20.4仲裁或诉讼</w:t>
      </w:r>
      <w:bookmarkEnd w:id="1147"/>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p>
    <w:p w14:paraId="2C83102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因合同及合同有关事项发生的争议，按下列第</w:t>
      </w:r>
      <w:r>
        <w:rPr>
          <w:rFonts w:hint="eastAsia" w:ascii="宋体" w:hAnsi="宋体" w:cs="宋体"/>
          <w:color w:val="000000"/>
          <w:sz w:val="24"/>
          <w:szCs w:val="24"/>
          <w:u w:val="single"/>
        </w:rPr>
        <w:t xml:space="preserve">     </w:t>
      </w:r>
      <w:r>
        <w:rPr>
          <w:rFonts w:hint="eastAsia" w:ascii="宋体" w:hAnsi="宋体" w:cs="宋体"/>
          <w:color w:val="000000"/>
          <w:sz w:val="24"/>
          <w:szCs w:val="24"/>
        </w:rPr>
        <w:t>种方式解决：</w:t>
      </w:r>
    </w:p>
    <w:p w14:paraId="7A00E74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（1）向</w:t>
      </w:r>
      <w:r>
        <w:rPr>
          <w:rFonts w:hint="eastAsia" w:ascii="宋体" w:hAnsi="宋体" w:cs="宋体"/>
          <w:color w:val="000000"/>
          <w:sz w:val="24"/>
          <w:szCs w:val="24"/>
          <w:u w:val="single"/>
        </w:rPr>
        <w:t xml:space="preserve">                     </w:t>
      </w:r>
      <w:r>
        <w:rPr>
          <w:rFonts w:hint="eastAsia" w:ascii="宋体" w:hAnsi="宋体" w:cs="宋体"/>
          <w:color w:val="000000"/>
          <w:sz w:val="24"/>
          <w:szCs w:val="24"/>
        </w:rPr>
        <w:t>仲裁委员会申请仲裁；</w:t>
      </w:r>
    </w:p>
    <w:p w14:paraId="3A767AC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（2）向</w:t>
      </w:r>
      <w:r>
        <w:rPr>
          <w:rFonts w:hint="eastAsia" w:ascii="宋体" w:hAnsi="宋体" w:cs="宋体"/>
          <w:color w:val="000000"/>
          <w:sz w:val="24"/>
          <w:szCs w:val="24"/>
          <w:u w:val="single"/>
        </w:rPr>
        <w:t xml:space="preserve">                     </w:t>
      </w:r>
      <w:r>
        <w:rPr>
          <w:rFonts w:hint="eastAsia" w:ascii="宋体" w:hAnsi="宋体" w:cs="宋体"/>
          <w:color w:val="000000"/>
          <w:sz w:val="24"/>
          <w:szCs w:val="24"/>
        </w:rPr>
        <w:t>人民法院起诉。</w:t>
      </w:r>
      <w:bookmarkEnd w:id="1148"/>
      <w:bookmarkEnd w:id="1149"/>
      <w:bookmarkEnd w:id="1150"/>
      <w:bookmarkEnd w:id="1151"/>
      <w:bookmarkEnd w:id="1152"/>
      <w:bookmarkEnd w:id="1153"/>
    </w:p>
    <w:p w14:paraId="17F3D557">
      <w:pPr>
        <w:spacing w:line="360" w:lineRule="auto"/>
        <w:rPr>
          <w:rFonts w:ascii="宋体" w:hAnsi="宋体" w:cs="宋体"/>
          <w:b/>
          <w:color w:val="000000"/>
          <w:sz w:val="24"/>
          <w:szCs w:val="24"/>
        </w:rPr>
      </w:pPr>
      <w:r>
        <w:rPr>
          <w:rFonts w:hint="eastAsia" w:ascii="宋体" w:hAnsi="宋体" w:cs="宋体"/>
          <w:color w:val="000000"/>
          <w:sz w:val="24"/>
          <w:szCs w:val="24"/>
        </w:rPr>
        <w:br w:type="page"/>
      </w:r>
      <w:r>
        <w:rPr>
          <w:rFonts w:hint="eastAsia" w:ascii="宋体" w:hAnsi="宋体" w:cs="宋体"/>
          <w:b/>
          <w:color w:val="000000"/>
          <w:sz w:val="24"/>
          <w:szCs w:val="24"/>
        </w:rPr>
        <w:t>附件</w:t>
      </w:r>
    </w:p>
    <w:p w14:paraId="1845C2E3">
      <w:pPr>
        <w:spacing w:line="360" w:lineRule="auto"/>
        <w:rPr>
          <w:rFonts w:ascii="宋体" w:hAnsi="宋体" w:cs="宋体"/>
          <w:color w:val="000000"/>
          <w:sz w:val="24"/>
          <w:szCs w:val="24"/>
        </w:rPr>
      </w:pPr>
      <w:r>
        <w:rPr>
          <w:rFonts w:hint="eastAsia" w:ascii="宋体" w:hAnsi="宋体" w:cs="宋体"/>
          <w:color w:val="000000"/>
          <w:sz w:val="24"/>
          <w:szCs w:val="24"/>
        </w:rPr>
        <w:t>协议书附件：</w:t>
      </w:r>
    </w:p>
    <w:p w14:paraId="2E51B1F9">
      <w:pPr>
        <w:spacing w:line="360" w:lineRule="auto"/>
        <w:rPr>
          <w:rFonts w:ascii="宋体" w:hAnsi="宋体" w:cs="宋体"/>
          <w:color w:val="000000"/>
          <w:sz w:val="24"/>
          <w:szCs w:val="24"/>
        </w:rPr>
      </w:pPr>
      <w:r>
        <w:rPr>
          <w:rFonts w:hint="eastAsia" w:ascii="宋体" w:hAnsi="宋体" w:cs="宋体"/>
          <w:color w:val="000000"/>
          <w:sz w:val="24"/>
          <w:szCs w:val="24"/>
        </w:rPr>
        <w:t>附件1：承包人承揽工程项目一览表</w:t>
      </w:r>
    </w:p>
    <w:p w14:paraId="3C80C5F8">
      <w:pPr>
        <w:spacing w:line="360" w:lineRule="auto"/>
        <w:rPr>
          <w:rFonts w:ascii="宋体" w:hAnsi="宋体" w:cs="宋体"/>
          <w:color w:val="000000"/>
          <w:sz w:val="24"/>
          <w:szCs w:val="24"/>
        </w:rPr>
      </w:pPr>
      <w:r>
        <w:rPr>
          <w:rFonts w:hint="eastAsia" w:ascii="宋体" w:hAnsi="宋体" w:cs="宋体"/>
          <w:color w:val="000000"/>
          <w:sz w:val="24"/>
          <w:szCs w:val="24"/>
        </w:rPr>
        <w:t>专用合同条款附件：</w:t>
      </w:r>
    </w:p>
    <w:p w14:paraId="328517D0">
      <w:pPr>
        <w:spacing w:line="360" w:lineRule="auto"/>
        <w:rPr>
          <w:rFonts w:ascii="宋体" w:hAnsi="宋体" w:cs="宋体"/>
          <w:color w:val="000000"/>
          <w:sz w:val="24"/>
          <w:szCs w:val="24"/>
        </w:rPr>
      </w:pPr>
      <w:r>
        <w:rPr>
          <w:rFonts w:hint="eastAsia" w:ascii="宋体" w:hAnsi="宋体" w:cs="宋体"/>
          <w:color w:val="000000"/>
          <w:sz w:val="24"/>
          <w:szCs w:val="24"/>
        </w:rPr>
        <w:t>附件2：发包人供应材料设备一览表</w:t>
      </w:r>
    </w:p>
    <w:p w14:paraId="3AC78C01">
      <w:pPr>
        <w:spacing w:line="360" w:lineRule="auto"/>
        <w:rPr>
          <w:rFonts w:ascii="宋体" w:hAnsi="宋体" w:cs="宋体"/>
          <w:color w:val="000000"/>
          <w:sz w:val="24"/>
          <w:szCs w:val="24"/>
        </w:rPr>
      </w:pPr>
      <w:r>
        <w:rPr>
          <w:rFonts w:hint="eastAsia" w:ascii="宋体" w:hAnsi="宋体" w:cs="宋体"/>
          <w:color w:val="000000"/>
          <w:sz w:val="24"/>
          <w:szCs w:val="24"/>
        </w:rPr>
        <w:t>附件3：工程质量保修书</w:t>
      </w:r>
    </w:p>
    <w:p w14:paraId="671DEA8D">
      <w:pPr>
        <w:spacing w:line="360" w:lineRule="auto"/>
        <w:rPr>
          <w:rFonts w:ascii="宋体" w:hAnsi="宋体" w:cs="宋体"/>
          <w:color w:val="000000"/>
          <w:sz w:val="24"/>
          <w:szCs w:val="24"/>
        </w:rPr>
      </w:pPr>
      <w:r>
        <w:rPr>
          <w:rFonts w:hint="eastAsia" w:ascii="宋体" w:hAnsi="宋体" w:cs="宋体"/>
          <w:color w:val="000000"/>
          <w:sz w:val="24"/>
          <w:szCs w:val="24"/>
        </w:rPr>
        <w:t>附件4：主要建设工程文件目录</w:t>
      </w:r>
    </w:p>
    <w:p w14:paraId="5B2A26BD">
      <w:pPr>
        <w:spacing w:line="360" w:lineRule="auto"/>
        <w:rPr>
          <w:rFonts w:ascii="宋体" w:hAnsi="宋体" w:cs="宋体"/>
          <w:color w:val="000000"/>
          <w:sz w:val="24"/>
          <w:szCs w:val="24"/>
        </w:rPr>
      </w:pPr>
      <w:r>
        <w:rPr>
          <w:rFonts w:hint="eastAsia" w:ascii="宋体" w:hAnsi="宋体" w:cs="宋体"/>
          <w:color w:val="000000"/>
          <w:sz w:val="24"/>
          <w:szCs w:val="24"/>
        </w:rPr>
        <w:t>附件5：承包人用于本工程施工的机械设备表</w:t>
      </w:r>
    </w:p>
    <w:p w14:paraId="6E3AA8D3">
      <w:pPr>
        <w:spacing w:line="360" w:lineRule="auto"/>
        <w:rPr>
          <w:rFonts w:ascii="宋体" w:hAnsi="宋体" w:cs="宋体"/>
          <w:color w:val="000000"/>
          <w:sz w:val="24"/>
          <w:szCs w:val="24"/>
        </w:rPr>
      </w:pPr>
      <w:r>
        <w:rPr>
          <w:rFonts w:hint="eastAsia" w:ascii="宋体" w:hAnsi="宋体" w:cs="宋体"/>
          <w:color w:val="000000"/>
          <w:sz w:val="24"/>
          <w:szCs w:val="24"/>
        </w:rPr>
        <w:t>附件6：承包人主要施工管理人员表</w:t>
      </w:r>
    </w:p>
    <w:p w14:paraId="64A5EBA6">
      <w:pPr>
        <w:spacing w:line="360" w:lineRule="auto"/>
        <w:rPr>
          <w:rFonts w:ascii="宋体" w:hAnsi="宋体" w:cs="宋体"/>
          <w:color w:val="000000"/>
          <w:sz w:val="24"/>
          <w:szCs w:val="24"/>
        </w:rPr>
      </w:pPr>
      <w:r>
        <w:rPr>
          <w:rFonts w:hint="eastAsia" w:ascii="宋体" w:hAnsi="宋体" w:cs="宋体"/>
          <w:color w:val="000000"/>
          <w:sz w:val="24"/>
          <w:szCs w:val="24"/>
        </w:rPr>
        <w:t>附件7：分包人主要施工管理人员表</w:t>
      </w:r>
    </w:p>
    <w:p w14:paraId="505B55FC">
      <w:pPr>
        <w:spacing w:line="360" w:lineRule="auto"/>
        <w:rPr>
          <w:rFonts w:ascii="宋体" w:hAnsi="宋体" w:cs="宋体"/>
          <w:color w:val="000000"/>
          <w:sz w:val="24"/>
          <w:szCs w:val="24"/>
        </w:rPr>
      </w:pPr>
      <w:r>
        <w:rPr>
          <w:rFonts w:hint="eastAsia" w:ascii="宋体" w:hAnsi="宋体" w:cs="宋体"/>
          <w:color w:val="000000"/>
          <w:sz w:val="24"/>
          <w:szCs w:val="24"/>
        </w:rPr>
        <w:t>附件8：履约担保格式</w:t>
      </w:r>
    </w:p>
    <w:p w14:paraId="544E08EB">
      <w:pPr>
        <w:spacing w:line="360" w:lineRule="auto"/>
        <w:rPr>
          <w:rFonts w:ascii="宋体" w:hAnsi="宋体" w:cs="宋体"/>
          <w:color w:val="000000"/>
          <w:sz w:val="24"/>
          <w:szCs w:val="24"/>
        </w:rPr>
      </w:pPr>
      <w:r>
        <w:rPr>
          <w:rFonts w:hint="eastAsia" w:ascii="宋体" w:hAnsi="宋体" w:cs="宋体"/>
          <w:color w:val="000000"/>
          <w:sz w:val="24"/>
          <w:szCs w:val="24"/>
        </w:rPr>
        <w:t>附件9：预付款担保格式</w:t>
      </w:r>
    </w:p>
    <w:p w14:paraId="606B66B9">
      <w:pPr>
        <w:spacing w:line="360" w:lineRule="auto"/>
        <w:rPr>
          <w:rFonts w:ascii="宋体" w:hAnsi="宋体" w:cs="宋体"/>
          <w:color w:val="000000"/>
          <w:sz w:val="24"/>
          <w:szCs w:val="24"/>
        </w:rPr>
      </w:pPr>
      <w:r>
        <w:rPr>
          <w:rFonts w:hint="eastAsia" w:ascii="宋体" w:hAnsi="宋体" w:cs="宋体"/>
          <w:color w:val="000000"/>
          <w:sz w:val="24"/>
          <w:szCs w:val="24"/>
        </w:rPr>
        <w:t>附件10：支付担保格式</w:t>
      </w:r>
    </w:p>
    <w:p w14:paraId="61893FBC">
      <w:pPr>
        <w:spacing w:line="360" w:lineRule="auto"/>
        <w:rPr>
          <w:rFonts w:ascii="宋体" w:hAnsi="宋体" w:cs="宋体"/>
          <w:color w:val="000000"/>
          <w:sz w:val="24"/>
          <w:szCs w:val="24"/>
        </w:rPr>
        <w:sectPr>
          <w:footerReference r:id="rId4" w:type="first"/>
          <w:footerReference r:id="rId3" w:type="default"/>
          <w:pgSz w:w="11906" w:h="16838"/>
          <w:pgMar w:top="1418" w:right="1555" w:bottom="1418" w:left="1531"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r>
        <w:rPr>
          <w:rFonts w:hint="eastAsia" w:ascii="宋体" w:hAnsi="宋体" w:cs="宋体"/>
          <w:color w:val="000000"/>
          <w:sz w:val="24"/>
          <w:szCs w:val="24"/>
        </w:rPr>
        <w:t>附件11：暂估价一览表</w:t>
      </w:r>
    </w:p>
    <w:p w14:paraId="76A0B9B9">
      <w:pPr>
        <w:spacing w:line="360" w:lineRule="auto"/>
        <w:rPr>
          <w:rFonts w:ascii="宋体" w:hAnsi="宋体" w:cs="宋体"/>
          <w:color w:val="000000"/>
          <w:sz w:val="24"/>
          <w:szCs w:val="24"/>
        </w:rPr>
      </w:pPr>
      <w:r>
        <w:rPr>
          <w:rFonts w:hint="eastAsia" w:ascii="宋体" w:hAnsi="宋体" w:cs="宋体"/>
          <w:color w:val="000000"/>
          <w:sz w:val="24"/>
          <w:szCs w:val="24"/>
        </w:rPr>
        <w:t>附件1：</w:t>
      </w:r>
    </w:p>
    <w:p w14:paraId="07F31AB6">
      <w:pPr>
        <w:spacing w:line="360" w:lineRule="auto"/>
        <w:jc w:val="center"/>
        <w:rPr>
          <w:rFonts w:ascii="宋体" w:hAnsi="宋体" w:cs="宋体"/>
          <w:color w:val="000000"/>
          <w:sz w:val="24"/>
          <w:szCs w:val="24"/>
        </w:rPr>
      </w:pPr>
      <w:r>
        <w:rPr>
          <w:rFonts w:hint="eastAsia" w:ascii="宋体" w:hAnsi="宋体" w:cs="宋体"/>
          <w:color w:val="000000"/>
          <w:sz w:val="24"/>
          <w:szCs w:val="24"/>
        </w:rPr>
        <w:t>承包人承揽工程项目一览表</w:t>
      </w:r>
    </w:p>
    <w:tbl>
      <w:tblPr>
        <w:tblStyle w:val="34"/>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1C4022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06D66A7D">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单位工程名称</w:t>
            </w:r>
          </w:p>
        </w:tc>
        <w:tc>
          <w:tcPr>
            <w:tcW w:w="1843" w:type="dxa"/>
            <w:tcBorders>
              <w:top w:val="single" w:color="auto" w:sz="12" w:space="0"/>
              <w:bottom w:val="double" w:color="auto" w:sz="6" w:space="0"/>
            </w:tcBorders>
            <w:vAlign w:val="center"/>
          </w:tcPr>
          <w:p w14:paraId="10C5E39A">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建设规模</w:t>
            </w:r>
          </w:p>
        </w:tc>
        <w:tc>
          <w:tcPr>
            <w:tcW w:w="1417" w:type="dxa"/>
            <w:tcBorders>
              <w:top w:val="single" w:color="auto" w:sz="12" w:space="0"/>
              <w:bottom w:val="double" w:color="auto" w:sz="6" w:space="0"/>
            </w:tcBorders>
            <w:vAlign w:val="center"/>
          </w:tcPr>
          <w:p w14:paraId="05E1912F">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建筑面积(平方米)</w:t>
            </w:r>
          </w:p>
        </w:tc>
        <w:tc>
          <w:tcPr>
            <w:tcW w:w="2410" w:type="dxa"/>
            <w:tcBorders>
              <w:top w:val="single" w:color="auto" w:sz="12" w:space="0"/>
              <w:bottom w:val="double" w:color="auto" w:sz="6" w:space="0"/>
            </w:tcBorders>
            <w:vAlign w:val="center"/>
          </w:tcPr>
          <w:p w14:paraId="4C3C8141">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结构形式</w:t>
            </w:r>
          </w:p>
        </w:tc>
        <w:tc>
          <w:tcPr>
            <w:tcW w:w="850" w:type="dxa"/>
            <w:tcBorders>
              <w:top w:val="single" w:color="auto" w:sz="12" w:space="0"/>
              <w:bottom w:val="double" w:color="auto" w:sz="6" w:space="0"/>
            </w:tcBorders>
            <w:vAlign w:val="center"/>
          </w:tcPr>
          <w:p w14:paraId="3D10E125">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层数</w:t>
            </w:r>
          </w:p>
        </w:tc>
        <w:tc>
          <w:tcPr>
            <w:tcW w:w="1560" w:type="dxa"/>
            <w:tcBorders>
              <w:top w:val="single" w:color="auto" w:sz="12" w:space="0"/>
              <w:bottom w:val="double" w:color="auto" w:sz="6" w:space="0"/>
            </w:tcBorders>
            <w:vAlign w:val="center"/>
          </w:tcPr>
          <w:p w14:paraId="22F1022B">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生产能力</w:t>
            </w:r>
          </w:p>
        </w:tc>
        <w:tc>
          <w:tcPr>
            <w:tcW w:w="2126" w:type="dxa"/>
            <w:tcBorders>
              <w:top w:val="single" w:color="auto" w:sz="12" w:space="0"/>
              <w:bottom w:val="double" w:color="auto" w:sz="6" w:space="0"/>
            </w:tcBorders>
            <w:vAlign w:val="center"/>
          </w:tcPr>
          <w:p w14:paraId="6D7E307A">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设备安装内容</w:t>
            </w:r>
          </w:p>
        </w:tc>
        <w:tc>
          <w:tcPr>
            <w:tcW w:w="1417" w:type="dxa"/>
            <w:tcBorders>
              <w:top w:val="single" w:color="auto" w:sz="12" w:space="0"/>
              <w:bottom w:val="double" w:color="auto" w:sz="6" w:space="0"/>
            </w:tcBorders>
            <w:vAlign w:val="center"/>
          </w:tcPr>
          <w:p w14:paraId="6FC42542">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合同价格（元）</w:t>
            </w:r>
          </w:p>
        </w:tc>
        <w:tc>
          <w:tcPr>
            <w:tcW w:w="851" w:type="dxa"/>
            <w:tcBorders>
              <w:top w:val="single" w:color="auto" w:sz="12" w:space="0"/>
              <w:bottom w:val="double" w:color="auto" w:sz="6" w:space="0"/>
            </w:tcBorders>
            <w:vAlign w:val="center"/>
          </w:tcPr>
          <w:p w14:paraId="79E0235A">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开工日期</w:t>
            </w:r>
          </w:p>
        </w:tc>
        <w:tc>
          <w:tcPr>
            <w:tcW w:w="850" w:type="dxa"/>
            <w:tcBorders>
              <w:top w:val="single" w:color="auto" w:sz="12" w:space="0"/>
              <w:bottom w:val="double" w:color="auto" w:sz="6" w:space="0"/>
            </w:tcBorders>
            <w:vAlign w:val="center"/>
          </w:tcPr>
          <w:p w14:paraId="2D3C2796">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竣工日期</w:t>
            </w:r>
          </w:p>
        </w:tc>
      </w:tr>
      <w:tr w14:paraId="65528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25AEC165">
            <w:pPr>
              <w:pStyle w:val="11"/>
              <w:keepNext/>
              <w:spacing w:after="0" w:line="360" w:lineRule="auto"/>
              <w:ind w:left="66" w:right="66"/>
              <w:rPr>
                <w:rFonts w:ascii="宋体" w:hAnsi="宋体" w:cs="宋体"/>
                <w:color w:val="000000"/>
                <w:sz w:val="24"/>
                <w:szCs w:val="24"/>
              </w:rPr>
            </w:pPr>
          </w:p>
        </w:tc>
        <w:tc>
          <w:tcPr>
            <w:tcW w:w="1843" w:type="dxa"/>
            <w:tcBorders>
              <w:top w:val="double" w:color="auto" w:sz="6" w:space="0"/>
              <w:bottom w:val="single" w:color="auto" w:sz="6" w:space="0"/>
            </w:tcBorders>
            <w:vAlign w:val="center"/>
          </w:tcPr>
          <w:p w14:paraId="60C13EB4">
            <w:pPr>
              <w:pStyle w:val="11"/>
              <w:keepNext/>
              <w:spacing w:after="0" w:line="360" w:lineRule="auto"/>
              <w:ind w:left="66" w:right="66"/>
              <w:rPr>
                <w:rFonts w:ascii="宋体" w:hAnsi="宋体" w:cs="宋体"/>
                <w:color w:val="000000"/>
                <w:sz w:val="24"/>
                <w:szCs w:val="24"/>
              </w:rPr>
            </w:pPr>
          </w:p>
        </w:tc>
        <w:tc>
          <w:tcPr>
            <w:tcW w:w="1417" w:type="dxa"/>
            <w:tcBorders>
              <w:top w:val="double" w:color="auto" w:sz="6" w:space="0"/>
              <w:bottom w:val="single" w:color="auto" w:sz="6" w:space="0"/>
            </w:tcBorders>
            <w:vAlign w:val="center"/>
          </w:tcPr>
          <w:p w14:paraId="57830212">
            <w:pPr>
              <w:pStyle w:val="11"/>
              <w:keepNext/>
              <w:spacing w:after="0" w:line="360" w:lineRule="auto"/>
              <w:ind w:left="66" w:right="66"/>
              <w:rPr>
                <w:rFonts w:ascii="宋体" w:hAnsi="宋体" w:cs="宋体"/>
                <w:color w:val="000000"/>
                <w:sz w:val="24"/>
                <w:szCs w:val="24"/>
              </w:rPr>
            </w:pPr>
          </w:p>
        </w:tc>
        <w:tc>
          <w:tcPr>
            <w:tcW w:w="2410" w:type="dxa"/>
            <w:tcBorders>
              <w:top w:val="double" w:color="auto" w:sz="6" w:space="0"/>
              <w:bottom w:val="single" w:color="auto" w:sz="6" w:space="0"/>
            </w:tcBorders>
            <w:vAlign w:val="center"/>
          </w:tcPr>
          <w:p w14:paraId="415AB00B">
            <w:pPr>
              <w:pStyle w:val="11"/>
              <w:keepNext/>
              <w:spacing w:after="0" w:line="360" w:lineRule="auto"/>
              <w:ind w:left="66" w:right="66"/>
              <w:rPr>
                <w:rFonts w:ascii="宋体" w:hAnsi="宋体" w:cs="宋体"/>
                <w:color w:val="000000"/>
                <w:sz w:val="24"/>
                <w:szCs w:val="24"/>
              </w:rPr>
            </w:pPr>
          </w:p>
        </w:tc>
        <w:tc>
          <w:tcPr>
            <w:tcW w:w="850" w:type="dxa"/>
            <w:tcBorders>
              <w:top w:val="double" w:color="auto" w:sz="6" w:space="0"/>
              <w:bottom w:val="single" w:color="auto" w:sz="6" w:space="0"/>
            </w:tcBorders>
            <w:vAlign w:val="center"/>
          </w:tcPr>
          <w:p w14:paraId="01913D36">
            <w:pPr>
              <w:pStyle w:val="11"/>
              <w:keepNext/>
              <w:spacing w:after="0" w:line="360" w:lineRule="auto"/>
              <w:ind w:left="66" w:right="66"/>
              <w:rPr>
                <w:rFonts w:ascii="宋体" w:hAnsi="宋体" w:cs="宋体"/>
                <w:color w:val="000000"/>
                <w:sz w:val="24"/>
                <w:szCs w:val="24"/>
              </w:rPr>
            </w:pPr>
          </w:p>
        </w:tc>
        <w:tc>
          <w:tcPr>
            <w:tcW w:w="1560" w:type="dxa"/>
            <w:tcBorders>
              <w:top w:val="double" w:color="auto" w:sz="6" w:space="0"/>
              <w:bottom w:val="single" w:color="auto" w:sz="6" w:space="0"/>
            </w:tcBorders>
            <w:vAlign w:val="center"/>
          </w:tcPr>
          <w:p w14:paraId="59B8BAAC">
            <w:pPr>
              <w:pStyle w:val="11"/>
              <w:keepNext/>
              <w:spacing w:after="0" w:line="360" w:lineRule="auto"/>
              <w:ind w:left="66" w:right="66"/>
              <w:rPr>
                <w:rFonts w:ascii="宋体" w:hAnsi="宋体" w:cs="宋体"/>
                <w:color w:val="000000"/>
                <w:sz w:val="24"/>
                <w:szCs w:val="24"/>
              </w:rPr>
            </w:pPr>
          </w:p>
        </w:tc>
        <w:tc>
          <w:tcPr>
            <w:tcW w:w="2126" w:type="dxa"/>
            <w:tcBorders>
              <w:top w:val="double" w:color="auto" w:sz="6" w:space="0"/>
              <w:bottom w:val="single" w:color="auto" w:sz="6" w:space="0"/>
            </w:tcBorders>
            <w:vAlign w:val="center"/>
          </w:tcPr>
          <w:p w14:paraId="5D8652BA">
            <w:pPr>
              <w:pStyle w:val="11"/>
              <w:keepNext/>
              <w:spacing w:after="0" w:line="360" w:lineRule="auto"/>
              <w:ind w:left="66" w:right="66"/>
              <w:rPr>
                <w:rFonts w:ascii="宋体" w:hAnsi="宋体" w:cs="宋体"/>
                <w:color w:val="000000"/>
                <w:sz w:val="24"/>
                <w:szCs w:val="24"/>
              </w:rPr>
            </w:pPr>
          </w:p>
        </w:tc>
        <w:tc>
          <w:tcPr>
            <w:tcW w:w="1417" w:type="dxa"/>
            <w:tcBorders>
              <w:top w:val="double" w:color="auto" w:sz="6" w:space="0"/>
              <w:bottom w:val="single" w:color="auto" w:sz="6" w:space="0"/>
            </w:tcBorders>
            <w:vAlign w:val="center"/>
          </w:tcPr>
          <w:p w14:paraId="54E8F115">
            <w:pPr>
              <w:pStyle w:val="11"/>
              <w:keepNext/>
              <w:spacing w:after="0" w:line="360" w:lineRule="auto"/>
              <w:ind w:left="66" w:right="66"/>
              <w:rPr>
                <w:rFonts w:ascii="宋体" w:hAnsi="宋体" w:cs="宋体"/>
                <w:color w:val="000000"/>
                <w:sz w:val="24"/>
                <w:szCs w:val="24"/>
              </w:rPr>
            </w:pPr>
          </w:p>
        </w:tc>
        <w:tc>
          <w:tcPr>
            <w:tcW w:w="851" w:type="dxa"/>
            <w:tcBorders>
              <w:top w:val="double" w:color="auto" w:sz="6" w:space="0"/>
              <w:bottom w:val="single" w:color="auto" w:sz="6" w:space="0"/>
            </w:tcBorders>
            <w:vAlign w:val="center"/>
          </w:tcPr>
          <w:p w14:paraId="6FF7BCE7">
            <w:pPr>
              <w:pStyle w:val="11"/>
              <w:keepNext/>
              <w:spacing w:after="0" w:line="360" w:lineRule="auto"/>
              <w:ind w:left="66" w:right="66"/>
              <w:rPr>
                <w:rFonts w:ascii="宋体" w:hAnsi="宋体" w:cs="宋体"/>
                <w:color w:val="000000"/>
                <w:sz w:val="24"/>
                <w:szCs w:val="24"/>
              </w:rPr>
            </w:pPr>
          </w:p>
        </w:tc>
        <w:tc>
          <w:tcPr>
            <w:tcW w:w="850" w:type="dxa"/>
            <w:tcBorders>
              <w:top w:val="double" w:color="auto" w:sz="6" w:space="0"/>
              <w:bottom w:val="single" w:color="auto" w:sz="6" w:space="0"/>
            </w:tcBorders>
            <w:vAlign w:val="center"/>
          </w:tcPr>
          <w:p w14:paraId="5675EE1C">
            <w:pPr>
              <w:pStyle w:val="11"/>
              <w:keepNext/>
              <w:spacing w:after="0" w:line="360" w:lineRule="auto"/>
              <w:ind w:left="66" w:right="66"/>
              <w:rPr>
                <w:rFonts w:ascii="宋体" w:hAnsi="宋体" w:cs="宋体"/>
                <w:color w:val="000000"/>
                <w:sz w:val="24"/>
                <w:szCs w:val="24"/>
              </w:rPr>
            </w:pPr>
          </w:p>
        </w:tc>
      </w:tr>
      <w:tr w14:paraId="597460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9B24CC0">
            <w:pPr>
              <w:pStyle w:val="11"/>
              <w:keepNext/>
              <w:spacing w:after="0" w:line="360" w:lineRule="auto"/>
              <w:ind w:left="66" w:right="66"/>
              <w:rPr>
                <w:rFonts w:ascii="宋体" w:hAnsi="宋体" w:cs="宋体"/>
                <w:color w:val="000000"/>
                <w:sz w:val="24"/>
                <w:szCs w:val="24"/>
              </w:rPr>
            </w:pPr>
          </w:p>
        </w:tc>
        <w:tc>
          <w:tcPr>
            <w:tcW w:w="1843" w:type="dxa"/>
            <w:tcBorders>
              <w:top w:val="nil"/>
            </w:tcBorders>
            <w:vAlign w:val="center"/>
          </w:tcPr>
          <w:p w14:paraId="50796758">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410C65D9">
            <w:pPr>
              <w:pStyle w:val="11"/>
              <w:keepNext/>
              <w:spacing w:after="0" w:line="360" w:lineRule="auto"/>
              <w:ind w:left="66" w:right="66"/>
              <w:rPr>
                <w:rFonts w:ascii="宋体" w:hAnsi="宋体" w:cs="宋体"/>
                <w:color w:val="000000"/>
                <w:sz w:val="24"/>
                <w:szCs w:val="24"/>
              </w:rPr>
            </w:pPr>
          </w:p>
        </w:tc>
        <w:tc>
          <w:tcPr>
            <w:tcW w:w="2410" w:type="dxa"/>
            <w:tcBorders>
              <w:top w:val="nil"/>
            </w:tcBorders>
            <w:vAlign w:val="center"/>
          </w:tcPr>
          <w:p w14:paraId="08D01B92">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262668E7">
            <w:pPr>
              <w:pStyle w:val="11"/>
              <w:keepNext/>
              <w:spacing w:after="0" w:line="360" w:lineRule="auto"/>
              <w:ind w:left="66" w:right="66"/>
              <w:rPr>
                <w:rFonts w:ascii="宋体" w:hAnsi="宋体" w:cs="宋体"/>
                <w:color w:val="000000"/>
                <w:sz w:val="24"/>
                <w:szCs w:val="24"/>
              </w:rPr>
            </w:pPr>
          </w:p>
        </w:tc>
        <w:tc>
          <w:tcPr>
            <w:tcW w:w="1560" w:type="dxa"/>
            <w:tcBorders>
              <w:top w:val="nil"/>
            </w:tcBorders>
            <w:vAlign w:val="center"/>
          </w:tcPr>
          <w:p w14:paraId="7459253E">
            <w:pPr>
              <w:pStyle w:val="11"/>
              <w:keepNext/>
              <w:spacing w:after="0" w:line="360" w:lineRule="auto"/>
              <w:ind w:left="66" w:right="66"/>
              <w:rPr>
                <w:rFonts w:ascii="宋体" w:hAnsi="宋体" w:cs="宋体"/>
                <w:color w:val="000000"/>
                <w:sz w:val="24"/>
                <w:szCs w:val="24"/>
              </w:rPr>
            </w:pPr>
          </w:p>
        </w:tc>
        <w:tc>
          <w:tcPr>
            <w:tcW w:w="2126" w:type="dxa"/>
            <w:tcBorders>
              <w:top w:val="nil"/>
            </w:tcBorders>
            <w:vAlign w:val="center"/>
          </w:tcPr>
          <w:p w14:paraId="4C2A3263">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79B79BC2">
            <w:pPr>
              <w:pStyle w:val="11"/>
              <w:keepNext/>
              <w:spacing w:after="0" w:line="360" w:lineRule="auto"/>
              <w:ind w:left="66" w:right="66"/>
              <w:rPr>
                <w:rFonts w:ascii="宋体" w:hAnsi="宋体" w:cs="宋体"/>
                <w:color w:val="000000"/>
                <w:sz w:val="24"/>
                <w:szCs w:val="24"/>
              </w:rPr>
            </w:pPr>
          </w:p>
        </w:tc>
        <w:tc>
          <w:tcPr>
            <w:tcW w:w="851" w:type="dxa"/>
            <w:tcBorders>
              <w:top w:val="nil"/>
            </w:tcBorders>
            <w:vAlign w:val="center"/>
          </w:tcPr>
          <w:p w14:paraId="32279944">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0A2152AF">
            <w:pPr>
              <w:pStyle w:val="11"/>
              <w:keepNext/>
              <w:spacing w:after="0" w:line="360" w:lineRule="auto"/>
              <w:ind w:left="66" w:right="66"/>
              <w:rPr>
                <w:rFonts w:ascii="宋体" w:hAnsi="宋体" w:cs="宋体"/>
                <w:color w:val="000000"/>
                <w:sz w:val="24"/>
                <w:szCs w:val="24"/>
              </w:rPr>
            </w:pPr>
          </w:p>
        </w:tc>
      </w:tr>
      <w:tr w14:paraId="195D52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61962566">
            <w:pPr>
              <w:pStyle w:val="11"/>
              <w:keepNext/>
              <w:spacing w:after="0" w:line="360" w:lineRule="auto"/>
              <w:ind w:left="66" w:right="66"/>
              <w:rPr>
                <w:rFonts w:ascii="宋体" w:hAnsi="宋体" w:cs="宋体"/>
                <w:color w:val="000000"/>
                <w:sz w:val="24"/>
                <w:szCs w:val="24"/>
              </w:rPr>
            </w:pPr>
          </w:p>
        </w:tc>
        <w:tc>
          <w:tcPr>
            <w:tcW w:w="1843" w:type="dxa"/>
            <w:tcBorders>
              <w:top w:val="nil"/>
            </w:tcBorders>
            <w:vAlign w:val="center"/>
          </w:tcPr>
          <w:p w14:paraId="6D6EABF5">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48F2CA19">
            <w:pPr>
              <w:pStyle w:val="11"/>
              <w:keepNext/>
              <w:spacing w:after="0" w:line="360" w:lineRule="auto"/>
              <w:ind w:left="66" w:right="66"/>
              <w:rPr>
                <w:rFonts w:ascii="宋体" w:hAnsi="宋体" w:cs="宋体"/>
                <w:color w:val="000000"/>
                <w:sz w:val="24"/>
                <w:szCs w:val="24"/>
              </w:rPr>
            </w:pPr>
          </w:p>
        </w:tc>
        <w:tc>
          <w:tcPr>
            <w:tcW w:w="2410" w:type="dxa"/>
            <w:tcBorders>
              <w:top w:val="nil"/>
            </w:tcBorders>
            <w:vAlign w:val="center"/>
          </w:tcPr>
          <w:p w14:paraId="37FAD767">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1ED90708">
            <w:pPr>
              <w:pStyle w:val="11"/>
              <w:keepNext/>
              <w:spacing w:after="0" w:line="360" w:lineRule="auto"/>
              <w:ind w:left="66" w:right="66"/>
              <w:rPr>
                <w:rFonts w:ascii="宋体" w:hAnsi="宋体" w:cs="宋体"/>
                <w:color w:val="000000"/>
                <w:sz w:val="24"/>
                <w:szCs w:val="24"/>
              </w:rPr>
            </w:pPr>
          </w:p>
        </w:tc>
        <w:tc>
          <w:tcPr>
            <w:tcW w:w="1560" w:type="dxa"/>
            <w:tcBorders>
              <w:top w:val="nil"/>
            </w:tcBorders>
            <w:vAlign w:val="center"/>
          </w:tcPr>
          <w:p w14:paraId="350F1670">
            <w:pPr>
              <w:pStyle w:val="11"/>
              <w:keepNext/>
              <w:spacing w:after="0" w:line="360" w:lineRule="auto"/>
              <w:ind w:left="66" w:right="66"/>
              <w:rPr>
                <w:rFonts w:ascii="宋体" w:hAnsi="宋体" w:cs="宋体"/>
                <w:color w:val="000000"/>
                <w:sz w:val="24"/>
                <w:szCs w:val="24"/>
              </w:rPr>
            </w:pPr>
          </w:p>
        </w:tc>
        <w:tc>
          <w:tcPr>
            <w:tcW w:w="2126" w:type="dxa"/>
            <w:tcBorders>
              <w:top w:val="nil"/>
            </w:tcBorders>
            <w:vAlign w:val="center"/>
          </w:tcPr>
          <w:p w14:paraId="0BC63A3A">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4E09B36E">
            <w:pPr>
              <w:pStyle w:val="11"/>
              <w:keepNext/>
              <w:spacing w:after="0" w:line="360" w:lineRule="auto"/>
              <w:ind w:left="66" w:right="66"/>
              <w:rPr>
                <w:rFonts w:ascii="宋体" w:hAnsi="宋体" w:cs="宋体"/>
                <w:color w:val="000000"/>
                <w:sz w:val="24"/>
                <w:szCs w:val="24"/>
              </w:rPr>
            </w:pPr>
          </w:p>
        </w:tc>
        <w:tc>
          <w:tcPr>
            <w:tcW w:w="851" w:type="dxa"/>
            <w:tcBorders>
              <w:top w:val="nil"/>
            </w:tcBorders>
            <w:vAlign w:val="center"/>
          </w:tcPr>
          <w:p w14:paraId="52B87C5F">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40B9E47D">
            <w:pPr>
              <w:pStyle w:val="11"/>
              <w:keepNext/>
              <w:spacing w:after="0" w:line="360" w:lineRule="auto"/>
              <w:ind w:left="66" w:right="66"/>
              <w:rPr>
                <w:rFonts w:ascii="宋体" w:hAnsi="宋体" w:cs="宋体"/>
                <w:color w:val="000000"/>
                <w:sz w:val="24"/>
                <w:szCs w:val="24"/>
              </w:rPr>
            </w:pPr>
          </w:p>
        </w:tc>
      </w:tr>
      <w:tr w14:paraId="40CA17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1610E50A">
            <w:pPr>
              <w:pStyle w:val="11"/>
              <w:keepNext/>
              <w:spacing w:after="0" w:line="360" w:lineRule="auto"/>
              <w:ind w:left="66" w:right="66"/>
              <w:rPr>
                <w:rFonts w:ascii="宋体" w:hAnsi="宋体" w:cs="宋体"/>
                <w:color w:val="000000"/>
                <w:sz w:val="24"/>
                <w:szCs w:val="24"/>
              </w:rPr>
            </w:pPr>
          </w:p>
        </w:tc>
        <w:tc>
          <w:tcPr>
            <w:tcW w:w="1843" w:type="dxa"/>
            <w:vAlign w:val="center"/>
          </w:tcPr>
          <w:p w14:paraId="5DCB4F30">
            <w:pPr>
              <w:pStyle w:val="11"/>
              <w:keepNext/>
              <w:spacing w:after="0" w:line="360" w:lineRule="auto"/>
              <w:ind w:left="66" w:right="66"/>
              <w:rPr>
                <w:rFonts w:ascii="宋体" w:hAnsi="宋体" w:cs="宋体"/>
                <w:color w:val="000000"/>
                <w:sz w:val="24"/>
                <w:szCs w:val="24"/>
              </w:rPr>
            </w:pPr>
          </w:p>
        </w:tc>
        <w:tc>
          <w:tcPr>
            <w:tcW w:w="1417" w:type="dxa"/>
            <w:vAlign w:val="center"/>
          </w:tcPr>
          <w:p w14:paraId="429615D3">
            <w:pPr>
              <w:pStyle w:val="11"/>
              <w:keepNext/>
              <w:spacing w:after="0" w:line="360" w:lineRule="auto"/>
              <w:ind w:left="66" w:right="66"/>
              <w:rPr>
                <w:rFonts w:ascii="宋体" w:hAnsi="宋体" w:cs="宋体"/>
                <w:color w:val="000000"/>
                <w:sz w:val="24"/>
                <w:szCs w:val="24"/>
              </w:rPr>
            </w:pPr>
          </w:p>
        </w:tc>
        <w:tc>
          <w:tcPr>
            <w:tcW w:w="2410" w:type="dxa"/>
            <w:vAlign w:val="center"/>
          </w:tcPr>
          <w:p w14:paraId="711D9048">
            <w:pPr>
              <w:pStyle w:val="11"/>
              <w:keepNext/>
              <w:spacing w:after="0" w:line="360" w:lineRule="auto"/>
              <w:ind w:left="66" w:right="66"/>
              <w:rPr>
                <w:rFonts w:ascii="宋体" w:hAnsi="宋体" w:cs="宋体"/>
                <w:color w:val="000000"/>
                <w:sz w:val="24"/>
                <w:szCs w:val="24"/>
              </w:rPr>
            </w:pPr>
          </w:p>
        </w:tc>
        <w:tc>
          <w:tcPr>
            <w:tcW w:w="850" w:type="dxa"/>
            <w:vAlign w:val="center"/>
          </w:tcPr>
          <w:p w14:paraId="28C0A4D4">
            <w:pPr>
              <w:pStyle w:val="11"/>
              <w:keepNext/>
              <w:spacing w:after="0" w:line="360" w:lineRule="auto"/>
              <w:ind w:left="66" w:right="66"/>
              <w:rPr>
                <w:rFonts w:ascii="宋体" w:hAnsi="宋体" w:cs="宋体"/>
                <w:color w:val="000000"/>
                <w:sz w:val="24"/>
                <w:szCs w:val="24"/>
              </w:rPr>
            </w:pPr>
          </w:p>
        </w:tc>
        <w:tc>
          <w:tcPr>
            <w:tcW w:w="1560" w:type="dxa"/>
            <w:vAlign w:val="center"/>
          </w:tcPr>
          <w:p w14:paraId="0EED1AEE">
            <w:pPr>
              <w:pStyle w:val="11"/>
              <w:keepNext/>
              <w:spacing w:after="0" w:line="360" w:lineRule="auto"/>
              <w:ind w:left="66" w:right="66"/>
              <w:rPr>
                <w:rFonts w:ascii="宋体" w:hAnsi="宋体" w:cs="宋体"/>
                <w:color w:val="000000"/>
                <w:sz w:val="24"/>
                <w:szCs w:val="24"/>
              </w:rPr>
            </w:pPr>
          </w:p>
        </w:tc>
        <w:tc>
          <w:tcPr>
            <w:tcW w:w="2126" w:type="dxa"/>
            <w:vAlign w:val="center"/>
          </w:tcPr>
          <w:p w14:paraId="568EEFA2">
            <w:pPr>
              <w:pStyle w:val="11"/>
              <w:keepNext/>
              <w:spacing w:after="0" w:line="360" w:lineRule="auto"/>
              <w:ind w:left="66" w:right="66"/>
              <w:rPr>
                <w:rFonts w:ascii="宋体" w:hAnsi="宋体" w:cs="宋体"/>
                <w:color w:val="000000"/>
                <w:sz w:val="24"/>
                <w:szCs w:val="24"/>
              </w:rPr>
            </w:pPr>
          </w:p>
        </w:tc>
        <w:tc>
          <w:tcPr>
            <w:tcW w:w="1417" w:type="dxa"/>
            <w:vAlign w:val="center"/>
          </w:tcPr>
          <w:p w14:paraId="57DCC684">
            <w:pPr>
              <w:pStyle w:val="11"/>
              <w:keepNext/>
              <w:spacing w:after="0" w:line="360" w:lineRule="auto"/>
              <w:ind w:left="66" w:right="66"/>
              <w:rPr>
                <w:rFonts w:ascii="宋体" w:hAnsi="宋体" w:cs="宋体"/>
                <w:color w:val="000000"/>
                <w:sz w:val="24"/>
                <w:szCs w:val="24"/>
              </w:rPr>
            </w:pPr>
          </w:p>
        </w:tc>
        <w:tc>
          <w:tcPr>
            <w:tcW w:w="851" w:type="dxa"/>
            <w:vAlign w:val="center"/>
          </w:tcPr>
          <w:p w14:paraId="6830CF62">
            <w:pPr>
              <w:pStyle w:val="11"/>
              <w:keepNext/>
              <w:spacing w:after="0" w:line="360" w:lineRule="auto"/>
              <w:ind w:left="66" w:right="66"/>
              <w:rPr>
                <w:rFonts w:ascii="宋体" w:hAnsi="宋体" w:cs="宋体"/>
                <w:color w:val="000000"/>
                <w:sz w:val="24"/>
                <w:szCs w:val="24"/>
              </w:rPr>
            </w:pPr>
          </w:p>
        </w:tc>
        <w:tc>
          <w:tcPr>
            <w:tcW w:w="850" w:type="dxa"/>
            <w:vAlign w:val="center"/>
          </w:tcPr>
          <w:p w14:paraId="6569B8B3">
            <w:pPr>
              <w:pStyle w:val="11"/>
              <w:keepNext/>
              <w:spacing w:after="0" w:line="360" w:lineRule="auto"/>
              <w:ind w:left="66" w:right="66"/>
              <w:rPr>
                <w:rFonts w:ascii="宋体" w:hAnsi="宋体" w:cs="宋体"/>
                <w:color w:val="000000"/>
                <w:sz w:val="24"/>
                <w:szCs w:val="24"/>
              </w:rPr>
            </w:pPr>
          </w:p>
        </w:tc>
      </w:tr>
      <w:tr w14:paraId="7D12A8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15DD78D5">
            <w:pPr>
              <w:pStyle w:val="11"/>
              <w:keepNext/>
              <w:spacing w:after="0" w:line="360" w:lineRule="auto"/>
              <w:ind w:left="66" w:right="66"/>
              <w:rPr>
                <w:rFonts w:ascii="宋体" w:hAnsi="宋体" w:cs="宋体"/>
                <w:color w:val="000000"/>
                <w:sz w:val="24"/>
                <w:szCs w:val="24"/>
              </w:rPr>
            </w:pPr>
          </w:p>
        </w:tc>
        <w:tc>
          <w:tcPr>
            <w:tcW w:w="1843" w:type="dxa"/>
            <w:tcBorders>
              <w:top w:val="nil"/>
            </w:tcBorders>
            <w:vAlign w:val="center"/>
          </w:tcPr>
          <w:p w14:paraId="506AC59F">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0E3DA670">
            <w:pPr>
              <w:pStyle w:val="11"/>
              <w:keepNext/>
              <w:spacing w:after="0" w:line="360" w:lineRule="auto"/>
              <w:ind w:left="66" w:right="66"/>
              <w:rPr>
                <w:rFonts w:ascii="宋体" w:hAnsi="宋体" w:cs="宋体"/>
                <w:color w:val="000000"/>
                <w:sz w:val="24"/>
                <w:szCs w:val="24"/>
              </w:rPr>
            </w:pPr>
          </w:p>
        </w:tc>
        <w:tc>
          <w:tcPr>
            <w:tcW w:w="2410" w:type="dxa"/>
            <w:tcBorders>
              <w:top w:val="nil"/>
            </w:tcBorders>
            <w:vAlign w:val="center"/>
          </w:tcPr>
          <w:p w14:paraId="4063FB12">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52CA4738">
            <w:pPr>
              <w:pStyle w:val="11"/>
              <w:keepNext/>
              <w:spacing w:after="0" w:line="360" w:lineRule="auto"/>
              <w:ind w:left="66" w:right="66"/>
              <w:rPr>
                <w:rFonts w:ascii="宋体" w:hAnsi="宋体" w:cs="宋体"/>
                <w:color w:val="000000"/>
                <w:sz w:val="24"/>
                <w:szCs w:val="24"/>
              </w:rPr>
            </w:pPr>
          </w:p>
        </w:tc>
        <w:tc>
          <w:tcPr>
            <w:tcW w:w="1560" w:type="dxa"/>
            <w:tcBorders>
              <w:top w:val="nil"/>
            </w:tcBorders>
            <w:vAlign w:val="center"/>
          </w:tcPr>
          <w:p w14:paraId="55716A90">
            <w:pPr>
              <w:pStyle w:val="11"/>
              <w:keepNext/>
              <w:spacing w:after="0" w:line="360" w:lineRule="auto"/>
              <w:ind w:left="66" w:right="66"/>
              <w:rPr>
                <w:rFonts w:ascii="宋体" w:hAnsi="宋体" w:cs="宋体"/>
                <w:color w:val="000000"/>
                <w:sz w:val="24"/>
                <w:szCs w:val="24"/>
              </w:rPr>
            </w:pPr>
          </w:p>
        </w:tc>
        <w:tc>
          <w:tcPr>
            <w:tcW w:w="2126" w:type="dxa"/>
            <w:tcBorders>
              <w:top w:val="nil"/>
            </w:tcBorders>
            <w:vAlign w:val="center"/>
          </w:tcPr>
          <w:p w14:paraId="01D96AF0">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59A80082">
            <w:pPr>
              <w:pStyle w:val="11"/>
              <w:keepNext/>
              <w:spacing w:after="0" w:line="360" w:lineRule="auto"/>
              <w:ind w:left="66" w:right="66"/>
              <w:rPr>
                <w:rFonts w:ascii="宋体" w:hAnsi="宋体" w:cs="宋体"/>
                <w:color w:val="000000"/>
                <w:sz w:val="24"/>
                <w:szCs w:val="24"/>
              </w:rPr>
            </w:pPr>
          </w:p>
        </w:tc>
        <w:tc>
          <w:tcPr>
            <w:tcW w:w="851" w:type="dxa"/>
            <w:tcBorders>
              <w:top w:val="nil"/>
            </w:tcBorders>
            <w:vAlign w:val="center"/>
          </w:tcPr>
          <w:p w14:paraId="0345F5C6">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537DA55D">
            <w:pPr>
              <w:pStyle w:val="11"/>
              <w:keepNext/>
              <w:spacing w:after="0" w:line="360" w:lineRule="auto"/>
              <w:ind w:left="66" w:right="66"/>
              <w:rPr>
                <w:rFonts w:ascii="宋体" w:hAnsi="宋体" w:cs="宋体"/>
                <w:color w:val="000000"/>
                <w:sz w:val="24"/>
                <w:szCs w:val="24"/>
              </w:rPr>
            </w:pPr>
          </w:p>
        </w:tc>
      </w:tr>
      <w:tr w14:paraId="4F7276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091C932F">
            <w:pPr>
              <w:pStyle w:val="11"/>
              <w:keepNext/>
              <w:spacing w:after="0" w:line="360" w:lineRule="auto"/>
              <w:ind w:left="66" w:right="66"/>
              <w:rPr>
                <w:rFonts w:ascii="宋体" w:hAnsi="宋体" w:cs="宋体"/>
                <w:color w:val="000000"/>
                <w:sz w:val="24"/>
                <w:szCs w:val="24"/>
              </w:rPr>
            </w:pPr>
          </w:p>
        </w:tc>
        <w:tc>
          <w:tcPr>
            <w:tcW w:w="1843" w:type="dxa"/>
            <w:vAlign w:val="center"/>
          </w:tcPr>
          <w:p w14:paraId="365F0B9C">
            <w:pPr>
              <w:pStyle w:val="11"/>
              <w:keepNext/>
              <w:spacing w:after="0" w:line="360" w:lineRule="auto"/>
              <w:ind w:left="66" w:right="66"/>
              <w:rPr>
                <w:rFonts w:ascii="宋体" w:hAnsi="宋体" w:cs="宋体"/>
                <w:color w:val="000000"/>
                <w:sz w:val="24"/>
                <w:szCs w:val="24"/>
              </w:rPr>
            </w:pPr>
          </w:p>
        </w:tc>
        <w:tc>
          <w:tcPr>
            <w:tcW w:w="1417" w:type="dxa"/>
            <w:vAlign w:val="center"/>
          </w:tcPr>
          <w:p w14:paraId="7B0F67E3">
            <w:pPr>
              <w:pStyle w:val="11"/>
              <w:keepNext/>
              <w:spacing w:after="0" w:line="360" w:lineRule="auto"/>
              <w:ind w:left="66" w:right="66"/>
              <w:rPr>
                <w:rFonts w:ascii="宋体" w:hAnsi="宋体" w:cs="宋体"/>
                <w:color w:val="000000"/>
                <w:sz w:val="24"/>
                <w:szCs w:val="24"/>
              </w:rPr>
            </w:pPr>
          </w:p>
        </w:tc>
        <w:tc>
          <w:tcPr>
            <w:tcW w:w="2410" w:type="dxa"/>
            <w:vAlign w:val="center"/>
          </w:tcPr>
          <w:p w14:paraId="73F49467">
            <w:pPr>
              <w:pStyle w:val="11"/>
              <w:keepNext/>
              <w:spacing w:after="0" w:line="360" w:lineRule="auto"/>
              <w:ind w:left="66" w:right="66"/>
              <w:rPr>
                <w:rFonts w:ascii="宋体" w:hAnsi="宋体" w:cs="宋体"/>
                <w:color w:val="000000"/>
                <w:sz w:val="24"/>
                <w:szCs w:val="24"/>
              </w:rPr>
            </w:pPr>
          </w:p>
        </w:tc>
        <w:tc>
          <w:tcPr>
            <w:tcW w:w="850" w:type="dxa"/>
            <w:vAlign w:val="center"/>
          </w:tcPr>
          <w:p w14:paraId="04344E9F">
            <w:pPr>
              <w:pStyle w:val="11"/>
              <w:keepNext/>
              <w:spacing w:after="0" w:line="360" w:lineRule="auto"/>
              <w:ind w:left="66" w:right="66"/>
              <w:rPr>
                <w:rFonts w:ascii="宋体" w:hAnsi="宋体" w:cs="宋体"/>
                <w:color w:val="000000"/>
                <w:sz w:val="24"/>
                <w:szCs w:val="24"/>
              </w:rPr>
            </w:pPr>
          </w:p>
        </w:tc>
        <w:tc>
          <w:tcPr>
            <w:tcW w:w="1560" w:type="dxa"/>
            <w:vAlign w:val="center"/>
          </w:tcPr>
          <w:p w14:paraId="05166755">
            <w:pPr>
              <w:pStyle w:val="11"/>
              <w:keepNext/>
              <w:spacing w:after="0" w:line="360" w:lineRule="auto"/>
              <w:ind w:left="66" w:right="66"/>
              <w:rPr>
                <w:rFonts w:ascii="宋体" w:hAnsi="宋体" w:cs="宋体"/>
                <w:color w:val="000000"/>
                <w:sz w:val="24"/>
                <w:szCs w:val="24"/>
              </w:rPr>
            </w:pPr>
          </w:p>
        </w:tc>
        <w:tc>
          <w:tcPr>
            <w:tcW w:w="2126" w:type="dxa"/>
            <w:vAlign w:val="center"/>
          </w:tcPr>
          <w:p w14:paraId="652A26B1">
            <w:pPr>
              <w:pStyle w:val="11"/>
              <w:keepNext/>
              <w:spacing w:after="0" w:line="360" w:lineRule="auto"/>
              <w:ind w:left="66" w:right="66"/>
              <w:rPr>
                <w:rFonts w:ascii="宋体" w:hAnsi="宋体" w:cs="宋体"/>
                <w:color w:val="000000"/>
                <w:sz w:val="24"/>
                <w:szCs w:val="24"/>
              </w:rPr>
            </w:pPr>
          </w:p>
        </w:tc>
        <w:tc>
          <w:tcPr>
            <w:tcW w:w="1417" w:type="dxa"/>
            <w:vAlign w:val="center"/>
          </w:tcPr>
          <w:p w14:paraId="1D782B81">
            <w:pPr>
              <w:pStyle w:val="11"/>
              <w:keepNext/>
              <w:spacing w:after="0" w:line="360" w:lineRule="auto"/>
              <w:ind w:left="66" w:right="66"/>
              <w:rPr>
                <w:rFonts w:ascii="宋体" w:hAnsi="宋体" w:cs="宋体"/>
                <w:color w:val="000000"/>
                <w:sz w:val="24"/>
                <w:szCs w:val="24"/>
              </w:rPr>
            </w:pPr>
          </w:p>
        </w:tc>
        <w:tc>
          <w:tcPr>
            <w:tcW w:w="851" w:type="dxa"/>
            <w:vAlign w:val="center"/>
          </w:tcPr>
          <w:p w14:paraId="16B48B27">
            <w:pPr>
              <w:pStyle w:val="11"/>
              <w:keepNext/>
              <w:spacing w:after="0" w:line="360" w:lineRule="auto"/>
              <w:ind w:left="66" w:right="66"/>
              <w:rPr>
                <w:rFonts w:ascii="宋体" w:hAnsi="宋体" w:cs="宋体"/>
                <w:color w:val="000000"/>
                <w:sz w:val="24"/>
                <w:szCs w:val="24"/>
              </w:rPr>
            </w:pPr>
          </w:p>
        </w:tc>
        <w:tc>
          <w:tcPr>
            <w:tcW w:w="850" w:type="dxa"/>
            <w:vAlign w:val="center"/>
          </w:tcPr>
          <w:p w14:paraId="17BC17A7">
            <w:pPr>
              <w:pStyle w:val="11"/>
              <w:keepNext/>
              <w:spacing w:after="0" w:line="360" w:lineRule="auto"/>
              <w:ind w:left="66" w:right="66"/>
              <w:rPr>
                <w:rFonts w:ascii="宋体" w:hAnsi="宋体" w:cs="宋体"/>
                <w:color w:val="000000"/>
                <w:sz w:val="24"/>
                <w:szCs w:val="24"/>
              </w:rPr>
            </w:pPr>
          </w:p>
        </w:tc>
      </w:tr>
      <w:tr w14:paraId="0FE0BD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614B2C30">
            <w:pPr>
              <w:pStyle w:val="11"/>
              <w:keepNext/>
              <w:spacing w:after="0" w:line="360" w:lineRule="auto"/>
              <w:ind w:left="66" w:right="66"/>
              <w:rPr>
                <w:rFonts w:ascii="宋体" w:hAnsi="宋体" w:cs="宋体"/>
                <w:color w:val="000000"/>
                <w:sz w:val="24"/>
                <w:szCs w:val="24"/>
              </w:rPr>
            </w:pPr>
          </w:p>
        </w:tc>
        <w:tc>
          <w:tcPr>
            <w:tcW w:w="1843" w:type="dxa"/>
            <w:tcBorders>
              <w:top w:val="nil"/>
            </w:tcBorders>
            <w:vAlign w:val="center"/>
          </w:tcPr>
          <w:p w14:paraId="7A880B39">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4A96ACAC">
            <w:pPr>
              <w:pStyle w:val="11"/>
              <w:keepNext/>
              <w:spacing w:after="0" w:line="360" w:lineRule="auto"/>
              <w:ind w:left="66" w:right="66"/>
              <w:rPr>
                <w:rFonts w:ascii="宋体" w:hAnsi="宋体" w:cs="宋体"/>
                <w:color w:val="000000"/>
                <w:sz w:val="24"/>
                <w:szCs w:val="24"/>
              </w:rPr>
            </w:pPr>
          </w:p>
        </w:tc>
        <w:tc>
          <w:tcPr>
            <w:tcW w:w="2410" w:type="dxa"/>
            <w:tcBorders>
              <w:top w:val="nil"/>
            </w:tcBorders>
            <w:vAlign w:val="center"/>
          </w:tcPr>
          <w:p w14:paraId="4F259A2F">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41024CE9">
            <w:pPr>
              <w:pStyle w:val="11"/>
              <w:keepNext/>
              <w:spacing w:after="0" w:line="360" w:lineRule="auto"/>
              <w:ind w:left="66" w:right="66"/>
              <w:rPr>
                <w:rFonts w:ascii="宋体" w:hAnsi="宋体" w:cs="宋体"/>
                <w:color w:val="000000"/>
                <w:sz w:val="24"/>
                <w:szCs w:val="24"/>
              </w:rPr>
            </w:pPr>
          </w:p>
        </w:tc>
        <w:tc>
          <w:tcPr>
            <w:tcW w:w="1560" w:type="dxa"/>
            <w:tcBorders>
              <w:top w:val="nil"/>
            </w:tcBorders>
            <w:vAlign w:val="center"/>
          </w:tcPr>
          <w:p w14:paraId="4C1C2C14">
            <w:pPr>
              <w:pStyle w:val="11"/>
              <w:keepNext/>
              <w:spacing w:after="0" w:line="360" w:lineRule="auto"/>
              <w:ind w:left="66" w:right="66"/>
              <w:rPr>
                <w:rFonts w:ascii="宋体" w:hAnsi="宋体" w:cs="宋体"/>
                <w:color w:val="000000"/>
                <w:sz w:val="24"/>
                <w:szCs w:val="24"/>
              </w:rPr>
            </w:pPr>
          </w:p>
        </w:tc>
        <w:tc>
          <w:tcPr>
            <w:tcW w:w="2126" w:type="dxa"/>
            <w:tcBorders>
              <w:top w:val="nil"/>
            </w:tcBorders>
            <w:vAlign w:val="center"/>
          </w:tcPr>
          <w:p w14:paraId="1AD20458">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3AB58FC0">
            <w:pPr>
              <w:pStyle w:val="11"/>
              <w:keepNext/>
              <w:spacing w:after="0" w:line="360" w:lineRule="auto"/>
              <w:ind w:left="66" w:right="66"/>
              <w:rPr>
                <w:rFonts w:ascii="宋体" w:hAnsi="宋体" w:cs="宋体"/>
                <w:color w:val="000000"/>
                <w:sz w:val="24"/>
                <w:szCs w:val="24"/>
              </w:rPr>
            </w:pPr>
          </w:p>
        </w:tc>
        <w:tc>
          <w:tcPr>
            <w:tcW w:w="851" w:type="dxa"/>
            <w:tcBorders>
              <w:top w:val="nil"/>
            </w:tcBorders>
            <w:vAlign w:val="center"/>
          </w:tcPr>
          <w:p w14:paraId="794D9A5C">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4C1B89FE">
            <w:pPr>
              <w:pStyle w:val="11"/>
              <w:keepNext/>
              <w:spacing w:after="0" w:line="360" w:lineRule="auto"/>
              <w:ind w:left="66" w:right="66"/>
              <w:rPr>
                <w:rFonts w:ascii="宋体" w:hAnsi="宋体" w:cs="宋体"/>
                <w:color w:val="000000"/>
                <w:sz w:val="24"/>
                <w:szCs w:val="24"/>
              </w:rPr>
            </w:pPr>
          </w:p>
        </w:tc>
      </w:tr>
      <w:tr w14:paraId="628A6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4FF2EE6">
            <w:pPr>
              <w:pStyle w:val="11"/>
              <w:keepNext/>
              <w:spacing w:after="0" w:line="360" w:lineRule="auto"/>
              <w:ind w:left="66" w:right="66"/>
              <w:rPr>
                <w:rFonts w:ascii="宋体" w:hAnsi="宋体" w:cs="宋体"/>
                <w:color w:val="000000"/>
                <w:sz w:val="24"/>
                <w:szCs w:val="24"/>
              </w:rPr>
            </w:pPr>
          </w:p>
        </w:tc>
        <w:tc>
          <w:tcPr>
            <w:tcW w:w="1843" w:type="dxa"/>
            <w:tcBorders>
              <w:top w:val="nil"/>
            </w:tcBorders>
            <w:vAlign w:val="center"/>
          </w:tcPr>
          <w:p w14:paraId="41B4F80E">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503EF565">
            <w:pPr>
              <w:pStyle w:val="11"/>
              <w:keepNext/>
              <w:spacing w:after="0" w:line="360" w:lineRule="auto"/>
              <w:ind w:left="66" w:right="66"/>
              <w:rPr>
                <w:rFonts w:ascii="宋体" w:hAnsi="宋体" w:cs="宋体"/>
                <w:color w:val="000000"/>
                <w:sz w:val="24"/>
                <w:szCs w:val="24"/>
              </w:rPr>
            </w:pPr>
          </w:p>
        </w:tc>
        <w:tc>
          <w:tcPr>
            <w:tcW w:w="2410" w:type="dxa"/>
            <w:tcBorders>
              <w:top w:val="nil"/>
            </w:tcBorders>
            <w:vAlign w:val="center"/>
          </w:tcPr>
          <w:p w14:paraId="5D6D5ABB">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5684A180">
            <w:pPr>
              <w:pStyle w:val="11"/>
              <w:keepNext/>
              <w:spacing w:after="0" w:line="360" w:lineRule="auto"/>
              <w:ind w:left="66" w:right="66"/>
              <w:rPr>
                <w:rFonts w:ascii="宋体" w:hAnsi="宋体" w:cs="宋体"/>
                <w:color w:val="000000"/>
                <w:sz w:val="24"/>
                <w:szCs w:val="24"/>
              </w:rPr>
            </w:pPr>
          </w:p>
        </w:tc>
        <w:tc>
          <w:tcPr>
            <w:tcW w:w="1560" w:type="dxa"/>
            <w:tcBorders>
              <w:top w:val="nil"/>
            </w:tcBorders>
            <w:vAlign w:val="center"/>
          </w:tcPr>
          <w:p w14:paraId="27E6BEC1">
            <w:pPr>
              <w:pStyle w:val="11"/>
              <w:keepNext/>
              <w:spacing w:after="0" w:line="360" w:lineRule="auto"/>
              <w:ind w:left="66" w:right="66"/>
              <w:rPr>
                <w:rFonts w:ascii="宋体" w:hAnsi="宋体" w:cs="宋体"/>
                <w:color w:val="000000"/>
                <w:sz w:val="24"/>
                <w:szCs w:val="24"/>
              </w:rPr>
            </w:pPr>
          </w:p>
        </w:tc>
        <w:tc>
          <w:tcPr>
            <w:tcW w:w="2126" w:type="dxa"/>
            <w:tcBorders>
              <w:top w:val="nil"/>
            </w:tcBorders>
            <w:vAlign w:val="center"/>
          </w:tcPr>
          <w:p w14:paraId="7890EDD8">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1774D68B">
            <w:pPr>
              <w:pStyle w:val="11"/>
              <w:keepNext/>
              <w:spacing w:after="0" w:line="360" w:lineRule="auto"/>
              <w:ind w:left="66" w:right="66"/>
              <w:rPr>
                <w:rFonts w:ascii="宋体" w:hAnsi="宋体" w:cs="宋体"/>
                <w:color w:val="000000"/>
                <w:sz w:val="24"/>
                <w:szCs w:val="24"/>
              </w:rPr>
            </w:pPr>
          </w:p>
        </w:tc>
        <w:tc>
          <w:tcPr>
            <w:tcW w:w="851" w:type="dxa"/>
            <w:tcBorders>
              <w:top w:val="nil"/>
            </w:tcBorders>
            <w:vAlign w:val="center"/>
          </w:tcPr>
          <w:p w14:paraId="3395A8F5">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5BC2EC22">
            <w:pPr>
              <w:pStyle w:val="11"/>
              <w:keepNext/>
              <w:spacing w:after="0" w:line="360" w:lineRule="auto"/>
              <w:ind w:left="66" w:right="66"/>
              <w:rPr>
                <w:rFonts w:ascii="宋体" w:hAnsi="宋体" w:cs="宋体"/>
                <w:color w:val="000000"/>
                <w:sz w:val="24"/>
                <w:szCs w:val="24"/>
              </w:rPr>
            </w:pPr>
          </w:p>
        </w:tc>
      </w:tr>
      <w:tr w14:paraId="1CF519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17702A62">
            <w:pPr>
              <w:pStyle w:val="11"/>
              <w:keepNext/>
              <w:spacing w:after="0" w:line="360" w:lineRule="auto"/>
              <w:ind w:left="66" w:right="66"/>
              <w:rPr>
                <w:rFonts w:ascii="宋体" w:hAnsi="宋体" w:cs="宋体"/>
                <w:color w:val="000000"/>
                <w:sz w:val="24"/>
                <w:szCs w:val="24"/>
              </w:rPr>
            </w:pPr>
          </w:p>
        </w:tc>
        <w:tc>
          <w:tcPr>
            <w:tcW w:w="1843" w:type="dxa"/>
            <w:vAlign w:val="center"/>
          </w:tcPr>
          <w:p w14:paraId="248E93AA">
            <w:pPr>
              <w:pStyle w:val="11"/>
              <w:keepNext/>
              <w:spacing w:after="0" w:line="360" w:lineRule="auto"/>
              <w:ind w:left="66" w:right="66"/>
              <w:rPr>
                <w:rFonts w:ascii="宋体" w:hAnsi="宋体" w:cs="宋体"/>
                <w:color w:val="000000"/>
                <w:sz w:val="24"/>
                <w:szCs w:val="24"/>
              </w:rPr>
            </w:pPr>
          </w:p>
        </w:tc>
        <w:tc>
          <w:tcPr>
            <w:tcW w:w="1417" w:type="dxa"/>
            <w:vAlign w:val="center"/>
          </w:tcPr>
          <w:p w14:paraId="5CB2F352">
            <w:pPr>
              <w:pStyle w:val="11"/>
              <w:keepNext/>
              <w:spacing w:after="0" w:line="360" w:lineRule="auto"/>
              <w:ind w:left="66" w:right="66"/>
              <w:rPr>
                <w:rFonts w:ascii="宋体" w:hAnsi="宋体" w:cs="宋体"/>
                <w:color w:val="000000"/>
                <w:sz w:val="24"/>
                <w:szCs w:val="24"/>
              </w:rPr>
            </w:pPr>
          </w:p>
        </w:tc>
        <w:tc>
          <w:tcPr>
            <w:tcW w:w="2410" w:type="dxa"/>
            <w:vAlign w:val="center"/>
          </w:tcPr>
          <w:p w14:paraId="2139571B">
            <w:pPr>
              <w:pStyle w:val="11"/>
              <w:keepNext/>
              <w:spacing w:after="0" w:line="360" w:lineRule="auto"/>
              <w:ind w:left="66" w:right="66"/>
              <w:rPr>
                <w:rFonts w:ascii="宋体" w:hAnsi="宋体" w:cs="宋体"/>
                <w:color w:val="000000"/>
                <w:sz w:val="24"/>
                <w:szCs w:val="24"/>
              </w:rPr>
            </w:pPr>
          </w:p>
        </w:tc>
        <w:tc>
          <w:tcPr>
            <w:tcW w:w="850" w:type="dxa"/>
            <w:vAlign w:val="center"/>
          </w:tcPr>
          <w:p w14:paraId="5C75AA0F">
            <w:pPr>
              <w:pStyle w:val="11"/>
              <w:keepNext/>
              <w:spacing w:after="0" w:line="360" w:lineRule="auto"/>
              <w:ind w:left="66" w:right="66"/>
              <w:rPr>
                <w:rFonts w:ascii="宋体" w:hAnsi="宋体" w:cs="宋体"/>
                <w:color w:val="000000"/>
                <w:sz w:val="24"/>
                <w:szCs w:val="24"/>
              </w:rPr>
            </w:pPr>
          </w:p>
        </w:tc>
        <w:tc>
          <w:tcPr>
            <w:tcW w:w="1560" w:type="dxa"/>
            <w:vAlign w:val="center"/>
          </w:tcPr>
          <w:p w14:paraId="0BF3939E">
            <w:pPr>
              <w:pStyle w:val="11"/>
              <w:keepNext/>
              <w:spacing w:after="0" w:line="360" w:lineRule="auto"/>
              <w:ind w:left="66" w:right="66"/>
              <w:rPr>
                <w:rFonts w:ascii="宋体" w:hAnsi="宋体" w:cs="宋体"/>
                <w:color w:val="000000"/>
                <w:sz w:val="24"/>
                <w:szCs w:val="24"/>
              </w:rPr>
            </w:pPr>
          </w:p>
        </w:tc>
        <w:tc>
          <w:tcPr>
            <w:tcW w:w="2126" w:type="dxa"/>
            <w:vAlign w:val="center"/>
          </w:tcPr>
          <w:p w14:paraId="7F627CB7">
            <w:pPr>
              <w:pStyle w:val="11"/>
              <w:keepNext/>
              <w:spacing w:after="0" w:line="360" w:lineRule="auto"/>
              <w:ind w:left="66" w:right="66"/>
              <w:rPr>
                <w:rFonts w:ascii="宋体" w:hAnsi="宋体" w:cs="宋体"/>
                <w:color w:val="000000"/>
                <w:sz w:val="24"/>
                <w:szCs w:val="24"/>
              </w:rPr>
            </w:pPr>
          </w:p>
        </w:tc>
        <w:tc>
          <w:tcPr>
            <w:tcW w:w="1417" w:type="dxa"/>
            <w:vAlign w:val="center"/>
          </w:tcPr>
          <w:p w14:paraId="1CFC428A">
            <w:pPr>
              <w:pStyle w:val="11"/>
              <w:keepNext/>
              <w:spacing w:after="0" w:line="360" w:lineRule="auto"/>
              <w:ind w:left="66" w:right="66"/>
              <w:rPr>
                <w:rFonts w:ascii="宋体" w:hAnsi="宋体" w:cs="宋体"/>
                <w:color w:val="000000"/>
                <w:sz w:val="24"/>
                <w:szCs w:val="24"/>
              </w:rPr>
            </w:pPr>
          </w:p>
        </w:tc>
        <w:tc>
          <w:tcPr>
            <w:tcW w:w="851" w:type="dxa"/>
            <w:vAlign w:val="center"/>
          </w:tcPr>
          <w:p w14:paraId="05E7AB5E">
            <w:pPr>
              <w:pStyle w:val="11"/>
              <w:keepNext/>
              <w:spacing w:after="0" w:line="360" w:lineRule="auto"/>
              <w:ind w:left="66" w:right="66"/>
              <w:rPr>
                <w:rFonts w:ascii="宋体" w:hAnsi="宋体" w:cs="宋体"/>
                <w:color w:val="000000"/>
                <w:sz w:val="24"/>
                <w:szCs w:val="24"/>
              </w:rPr>
            </w:pPr>
          </w:p>
        </w:tc>
        <w:tc>
          <w:tcPr>
            <w:tcW w:w="850" w:type="dxa"/>
            <w:vAlign w:val="center"/>
          </w:tcPr>
          <w:p w14:paraId="051311B6">
            <w:pPr>
              <w:pStyle w:val="11"/>
              <w:keepNext/>
              <w:spacing w:after="0" w:line="360" w:lineRule="auto"/>
              <w:ind w:left="66" w:right="66"/>
              <w:rPr>
                <w:rFonts w:ascii="宋体" w:hAnsi="宋体" w:cs="宋体"/>
                <w:color w:val="000000"/>
                <w:sz w:val="24"/>
                <w:szCs w:val="24"/>
              </w:rPr>
            </w:pPr>
          </w:p>
        </w:tc>
      </w:tr>
      <w:tr w14:paraId="2A25A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649AF34">
            <w:pPr>
              <w:pStyle w:val="11"/>
              <w:keepNext/>
              <w:spacing w:after="0" w:line="360" w:lineRule="auto"/>
              <w:ind w:left="66" w:right="66"/>
              <w:rPr>
                <w:rFonts w:ascii="宋体" w:hAnsi="宋体" w:cs="宋体"/>
                <w:color w:val="000000"/>
                <w:sz w:val="24"/>
                <w:szCs w:val="24"/>
              </w:rPr>
            </w:pPr>
          </w:p>
        </w:tc>
        <w:tc>
          <w:tcPr>
            <w:tcW w:w="1843" w:type="dxa"/>
            <w:tcBorders>
              <w:top w:val="nil"/>
            </w:tcBorders>
            <w:vAlign w:val="center"/>
          </w:tcPr>
          <w:p w14:paraId="444DBCE2">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56D4E64D">
            <w:pPr>
              <w:pStyle w:val="11"/>
              <w:keepNext/>
              <w:spacing w:after="0" w:line="360" w:lineRule="auto"/>
              <w:ind w:left="66" w:right="66"/>
              <w:rPr>
                <w:rFonts w:ascii="宋体" w:hAnsi="宋体" w:cs="宋体"/>
                <w:color w:val="000000"/>
                <w:sz w:val="24"/>
                <w:szCs w:val="24"/>
              </w:rPr>
            </w:pPr>
          </w:p>
        </w:tc>
        <w:tc>
          <w:tcPr>
            <w:tcW w:w="2410" w:type="dxa"/>
            <w:tcBorders>
              <w:top w:val="nil"/>
            </w:tcBorders>
            <w:vAlign w:val="center"/>
          </w:tcPr>
          <w:p w14:paraId="43D4CBC2">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53C1C822">
            <w:pPr>
              <w:pStyle w:val="11"/>
              <w:keepNext/>
              <w:spacing w:after="0" w:line="360" w:lineRule="auto"/>
              <w:ind w:left="66" w:right="66"/>
              <w:rPr>
                <w:rFonts w:ascii="宋体" w:hAnsi="宋体" w:cs="宋体"/>
                <w:color w:val="000000"/>
                <w:sz w:val="24"/>
                <w:szCs w:val="24"/>
              </w:rPr>
            </w:pPr>
          </w:p>
        </w:tc>
        <w:tc>
          <w:tcPr>
            <w:tcW w:w="1560" w:type="dxa"/>
            <w:tcBorders>
              <w:top w:val="nil"/>
            </w:tcBorders>
            <w:vAlign w:val="center"/>
          </w:tcPr>
          <w:p w14:paraId="5011A9F6">
            <w:pPr>
              <w:pStyle w:val="11"/>
              <w:keepNext/>
              <w:spacing w:after="0" w:line="360" w:lineRule="auto"/>
              <w:ind w:left="66" w:right="66"/>
              <w:rPr>
                <w:rFonts w:ascii="宋体" w:hAnsi="宋体" w:cs="宋体"/>
                <w:color w:val="000000"/>
                <w:sz w:val="24"/>
                <w:szCs w:val="24"/>
              </w:rPr>
            </w:pPr>
          </w:p>
        </w:tc>
        <w:tc>
          <w:tcPr>
            <w:tcW w:w="2126" w:type="dxa"/>
            <w:tcBorders>
              <w:top w:val="nil"/>
            </w:tcBorders>
            <w:vAlign w:val="center"/>
          </w:tcPr>
          <w:p w14:paraId="6F38E855">
            <w:pPr>
              <w:pStyle w:val="11"/>
              <w:keepNext/>
              <w:spacing w:after="0" w:line="360" w:lineRule="auto"/>
              <w:ind w:left="66" w:right="66"/>
              <w:rPr>
                <w:rFonts w:ascii="宋体" w:hAnsi="宋体" w:cs="宋体"/>
                <w:color w:val="000000"/>
                <w:sz w:val="24"/>
                <w:szCs w:val="24"/>
              </w:rPr>
            </w:pPr>
          </w:p>
        </w:tc>
        <w:tc>
          <w:tcPr>
            <w:tcW w:w="1417" w:type="dxa"/>
            <w:tcBorders>
              <w:top w:val="nil"/>
            </w:tcBorders>
            <w:vAlign w:val="center"/>
          </w:tcPr>
          <w:p w14:paraId="12E80954">
            <w:pPr>
              <w:pStyle w:val="11"/>
              <w:keepNext/>
              <w:spacing w:after="0" w:line="360" w:lineRule="auto"/>
              <w:ind w:left="66" w:right="66"/>
              <w:rPr>
                <w:rFonts w:ascii="宋体" w:hAnsi="宋体" w:cs="宋体"/>
                <w:color w:val="000000"/>
                <w:sz w:val="24"/>
                <w:szCs w:val="24"/>
              </w:rPr>
            </w:pPr>
          </w:p>
        </w:tc>
        <w:tc>
          <w:tcPr>
            <w:tcW w:w="851" w:type="dxa"/>
            <w:tcBorders>
              <w:top w:val="nil"/>
            </w:tcBorders>
            <w:vAlign w:val="center"/>
          </w:tcPr>
          <w:p w14:paraId="55A62940">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6A19E062">
            <w:pPr>
              <w:pStyle w:val="11"/>
              <w:keepNext/>
              <w:spacing w:after="0" w:line="360" w:lineRule="auto"/>
              <w:ind w:left="66" w:right="66"/>
              <w:rPr>
                <w:rFonts w:ascii="宋体" w:hAnsi="宋体" w:cs="宋体"/>
                <w:color w:val="000000"/>
                <w:sz w:val="24"/>
                <w:szCs w:val="24"/>
              </w:rPr>
            </w:pPr>
          </w:p>
        </w:tc>
      </w:tr>
      <w:tr w14:paraId="6478E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30F849E8">
            <w:pPr>
              <w:pStyle w:val="11"/>
              <w:keepNext/>
              <w:spacing w:after="0" w:line="360" w:lineRule="auto"/>
              <w:ind w:left="66" w:right="66"/>
              <w:rPr>
                <w:rFonts w:ascii="宋体" w:hAnsi="宋体" w:cs="宋体"/>
                <w:color w:val="000000"/>
                <w:sz w:val="24"/>
                <w:szCs w:val="24"/>
              </w:rPr>
            </w:pPr>
          </w:p>
        </w:tc>
        <w:tc>
          <w:tcPr>
            <w:tcW w:w="1843" w:type="dxa"/>
            <w:vAlign w:val="center"/>
          </w:tcPr>
          <w:p w14:paraId="716A69D3">
            <w:pPr>
              <w:pStyle w:val="11"/>
              <w:keepNext/>
              <w:spacing w:after="0" w:line="360" w:lineRule="auto"/>
              <w:ind w:left="66" w:right="66"/>
              <w:rPr>
                <w:rFonts w:ascii="宋体" w:hAnsi="宋体" w:cs="宋体"/>
                <w:color w:val="000000"/>
                <w:sz w:val="24"/>
                <w:szCs w:val="24"/>
              </w:rPr>
            </w:pPr>
          </w:p>
        </w:tc>
        <w:tc>
          <w:tcPr>
            <w:tcW w:w="1417" w:type="dxa"/>
            <w:vAlign w:val="center"/>
          </w:tcPr>
          <w:p w14:paraId="6790A27D">
            <w:pPr>
              <w:pStyle w:val="11"/>
              <w:keepNext/>
              <w:spacing w:after="0" w:line="360" w:lineRule="auto"/>
              <w:ind w:left="66" w:right="66"/>
              <w:rPr>
                <w:rFonts w:ascii="宋体" w:hAnsi="宋体" w:cs="宋体"/>
                <w:color w:val="000000"/>
                <w:sz w:val="24"/>
                <w:szCs w:val="24"/>
              </w:rPr>
            </w:pPr>
          </w:p>
        </w:tc>
        <w:tc>
          <w:tcPr>
            <w:tcW w:w="2410" w:type="dxa"/>
            <w:vAlign w:val="center"/>
          </w:tcPr>
          <w:p w14:paraId="71CECF3C">
            <w:pPr>
              <w:pStyle w:val="11"/>
              <w:keepNext/>
              <w:spacing w:after="0" w:line="360" w:lineRule="auto"/>
              <w:ind w:left="66" w:right="66"/>
              <w:rPr>
                <w:rFonts w:ascii="宋体" w:hAnsi="宋体" w:cs="宋体"/>
                <w:color w:val="000000"/>
                <w:sz w:val="24"/>
                <w:szCs w:val="24"/>
              </w:rPr>
            </w:pPr>
          </w:p>
        </w:tc>
        <w:tc>
          <w:tcPr>
            <w:tcW w:w="850" w:type="dxa"/>
            <w:vAlign w:val="center"/>
          </w:tcPr>
          <w:p w14:paraId="256F768B">
            <w:pPr>
              <w:pStyle w:val="11"/>
              <w:keepNext/>
              <w:spacing w:after="0" w:line="360" w:lineRule="auto"/>
              <w:ind w:left="66" w:right="66"/>
              <w:rPr>
                <w:rFonts w:ascii="宋体" w:hAnsi="宋体" w:cs="宋体"/>
                <w:color w:val="000000"/>
                <w:sz w:val="24"/>
                <w:szCs w:val="24"/>
              </w:rPr>
            </w:pPr>
          </w:p>
        </w:tc>
        <w:tc>
          <w:tcPr>
            <w:tcW w:w="1560" w:type="dxa"/>
            <w:vAlign w:val="center"/>
          </w:tcPr>
          <w:p w14:paraId="0DBAC071">
            <w:pPr>
              <w:pStyle w:val="11"/>
              <w:keepNext/>
              <w:spacing w:after="0" w:line="360" w:lineRule="auto"/>
              <w:ind w:left="66" w:right="66"/>
              <w:rPr>
                <w:rFonts w:ascii="宋体" w:hAnsi="宋体" w:cs="宋体"/>
                <w:color w:val="000000"/>
                <w:sz w:val="24"/>
                <w:szCs w:val="24"/>
              </w:rPr>
            </w:pPr>
          </w:p>
        </w:tc>
        <w:tc>
          <w:tcPr>
            <w:tcW w:w="2126" w:type="dxa"/>
            <w:vAlign w:val="center"/>
          </w:tcPr>
          <w:p w14:paraId="1FAAE237">
            <w:pPr>
              <w:pStyle w:val="11"/>
              <w:keepNext/>
              <w:spacing w:after="0" w:line="360" w:lineRule="auto"/>
              <w:ind w:left="66" w:right="66"/>
              <w:rPr>
                <w:rFonts w:ascii="宋体" w:hAnsi="宋体" w:cs="宋体"/>
                <w:color w:val="000000"/>
                <w:sz w:val="24"/>
                <w:szCs w:val="24"/>
              </w:rPr>
            </w:pPr>
          </w:p>
        </w:tc>
        <w:tc>
          <w:tcPr>
            <w:tcW w:w="1417" w:type="dxa"/>
            <w:vAlign w:val="center"/>
          </w:tcPr>
          <w:p w14:paraId="7175A5AF">
            <w:pPr>
              <w:pStyle w:val="11"/>
              <w:keepNext/>
              <w:spacing w:after="0" w:line="360" w:lineRule="auto"/>
              <w:ind w:left="66" w:right="66"/>
              <w:rPr>
                <w:rFonts w:ascii="宋体" w:hAnsi="宋体" w:cs="宋体"/>
                <w:color w:val="000000"/>
                <w:sz w:val="24"/>
                <w:szCs w:val="24"/>
              </w:rPr>
            </w:pPr>
          </w:p>
        </w:tc>
        <w:tc>
          <w:tcPr>
            <w:tcW w:w="851" w:type="dxa"/>
            <w:vAlign w:val="center"/>
          </w:tcPr>
          <w:p w14:paraId="1B090393">
            <w:pPr>
              <w:pStyle w:val="11"/>
              <w:keepNext/>
              <w:spacing w:after="0" w:line="360" w:lineRule="auto"/>
              <w:ind w:left="66" w:right="66"/>
              <w:rPr>
                <w:rFonts w:ascii="宋体" w:hAnsi="宋体" w:cs="宋体"/>
                <w:color w:val="000000"/>
                <w:sz w:val="24"/>
                <w:szCs w:val="24"/>
              </w:rPr>
            </w:pPr>
          </w:p>
        </w:tc>
        <w:tc>
          <w:tcPr>
            <w:tcW w:w="850" w:type="dxa"/>
            <w:vAlign w:val="center"/>
          </w:tcPr>
          <w:p w14:paraId="1C9D0187">
            <w:pPr>
              <w:pStyle w:val="11"/>
              <w:keepNext/>
              <w:spacing w:after="0" w:line="360" w:lineRule="auto"/>
              <w:ind w:left="66" w:right="66"/>
              <w:rPr>
                <w:rFonts w:ascii="宋体" w:hAnsi="宋体" w:cs="宋体"/>
                <w:color w:val="000000"/>
                <w:sz w:val="24"/>
                <w:szCs w:val="24"/>
              </w:rPr>
            </w:pPr>
          </w:p>
        </w:tc>
      </w:tr>
    </w:tbl>
    <w:p w14:paraId="5A1F796C">
      <w:pPr>
        <w:spacing w:line="360" w:lineRule="auto"/>
        <w:rPr>
          <w:rFonts w:ascii="宋体" w:hAnsi="宋体" w:cs="宋体"/>
          <w:b/>
          <w:color w:val="000000"/>
          <w:sz w:val="24"/>
          <w:szCs w:val="24"/>
        </w:rPr>
        <w:sectPr>
          <w:pgSz w:w="16838" w:h="11906" w:orient="landscape"/>
          <w:pgMar w:top="1554" w:right="1418" w:bottom="1531" w:left="1418"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1DC0480D">
      <w:pPr>
        <w:spacing w:line="360" w:lineRule="auto"/>
        <w:rPr>
          <w:rFonts w:ascii="宋体" w:hAnsi="宋体" w:cs="宋体"/>
          <w:color w:val="000000"/>
          <w:sz w:val="24"/>
          <w:szCs w:val="24"/>
        </w:rPr>
      </w:pPr>
      <w:r>
        <w:rPr>
          <w:rFonts w:hint="eastAsia" w:ascii="宋体" w:hAnsi="宋体" w:cs="宋体"/>
          <w:color w:val="000000"/>
          <w:sz w:val="24"/>
          <w:szCs w:val="24"/>
        </w:rPr>
        <w:t>附</w:t>
      </w:r>
      <w:bookmarkStart w:id="1351" w:name="_Toc296891053"/>
      <w:bookmarkStart w:id="1352" w:name="_Toc296347224"/>
      <w:bookmarkStart w:id="1353" w:name="_Toc296891265"/>
      <w:bookmarkStart w:id="1354" w:name="_Toc296346726"/>
      <w:bookmarkStart w:id="1355" w:name="_Toc267261692"/>
      <w:bookmarkStart w:id="1356" w:name="_Toc296944564"/>
      <w:bookmarkStart w:id="1357" w:name="_Toc296503225"/>
      <w:r>
        <w:rPr>
          <w:rFonts w:hint="eastAsia" w:ascii="宋体" w:hAnsi="宋体" w:cs="宋体"/>
          <w:color w:val="000000"/>
          <w:sz w:val="24"/>
          <w:szCs w:val="24"/>
        </w:rPr>
        <w:t>件2：</w:t>
      </w:r>
    </w:p>
    <w:bookmarkEnd w:id="1351"/>
    <w:bookmarkEnd w:id="1352"/>
    <w:bookmarkEnd w:id="1353"/>
    <w:bookmarkEnd w:id="1354"/>
    <w:bookmarkEnd w:id="1355"/>
    <w:bookmarkEnd w:id="1356"/>
    <w:bookmarkEnd w:id="1357"/>
    <w:p w14:paraId="2E9DC829">
      <w:pPr>
        <w:spacing w:line="360" w:lineRule="auto"/>
        <w:jc w:val="center"/>
        <w:rPr>
          <w:rFonts w:ascii="宋体" w:hAnsi="宋体" w:cs="宋体"/>
          <w:color w:val="000000"/>
          <w:sz w:val="24"/>
          <w:szCs w:val="24"/>
        </w:rPr>
      </w:pPr>
      <w:r>
        <w:rPr>
          <w:rFonts w:hint="eastAsia" w:ascii="宋体" w:hAnsi="宋体" w:cs="宋体"/>
          <w:color w:val="000000"/>
          <w:sz w:val="24"/>
          <w:szCs w:val="24"/>
        </w:rPr>
        <w:t>发包人供应材料设备一览表</w:t>
      </w:r>
    </w:p>
    <w:tbl>
      <w:tblPr>
        <w:tblStyle w:val="34"/>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CB1B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2D578CF1">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序号</w:t>
            </w:r>
          </w:p>
        </w:tc>
        <w:tc>
          <w:tcPr>
            <w:tcW w:w="1276" w:type="dxa"/>
            <w:tcBorders>
              <w:top w:val="single" w:color="auto" w:sz="12" w:space="0"/>
              <w:bottom w:val="double" w:color="auto" w:sz="6" w:space="0"/>
            </w:tcBorders>
            <w:vAlign w:val="center"/>
          </w:tcPr>
          <w:p w14:paraId="5CD0A6CE">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 xml:space="preserve">  材料、</w:t>
            </w:r>
          </w:p>
          <w:p w14:paraId="7D5F2563">
            <w:pPr>
              <w:pStyle w:val="11"/>
              <w:keepNext/>
              <w:spacing w:after="0" w:line="360" w:lineRule="auto"/>
              <w:ind w:right="66"/>
              <w:rPr>
                <w:rFonts w:ascii="宋体" w:hAnsi="宋体" w:cs="宋体"/>
                <w:color w:val="000000"/>
                <w:sz w:val="24"/>
                <w:szCs w:val="24"/>
              </w:rPr>
            </w:pPr>
            <w:r>
              <w:rPr>
                <w:rFonts w:hint="eastAsia" w:ascii="宋体" w:hAnsi="宋体" w:cs="宋体"/>
                <w:color w:val="000000"/>
                <w:sz w:val="24"/>
                <w:szCs w:val="24"/>
              </w:rPr>
              <w:t>设备品种</w:t>
            </w:r>
          </w:p>
        </w:tc>
        <w:tc>
          <w:tcPr>
            <w:tcW w:w="1418" w:type="dxa"/>
            <w:tcBorders>
              <w:top w:val="single" w:color="auto" w:sz="12" w:space="0"/>
              <w:bottom w:val="double" w:color="auto" w:sz="6" w:space="0"/>
            </w:tcBorders>
            <w:vAlign w:val="center"/>
          </w:tcPr>
          <w:p w14:paraId="39033CCA">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规格型号</w:t>
            </w:r>
          </w:p>
        </w:tc>
        <w:tc>
          <w:tcPr>
            <w:tcW w:w="940" w:type="dxa"/>
            <w:tcBorders>
              <w:top w:val="single" w:color="auto" w:sz="12" w:space="0"/>
              <w:bottom w:val="double" w:color="auto" w:sz="6" w:space="0"/>
            </w:tcBorders>
            <w:vAlign w:val="center"/>
          </w:tcPr>
          <w:p w14:paraId="3EE0A2A7">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单位</w:t>
            </w:r>
          </w:p>
        </w:tc>
        <w:tc>
          <w:tcPr>
            <w:tcW w:w="851" w:type="dxa"/>
            <w:tcBorders>
              <w:top w:val="single" w:color="auto" w:sz="12" w:space="0"/>
              <w:bottom w:val="double" w:color="auto" w:sz="6" w:space="0"/>
            </w:tcBorders>
            <w:vAlign w:val="center"/>
          </w:tcPr>
          <w:p w14:paraId="6B4CC0AB">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数量</w:t>
            </w:r>
          </w:p>
        </w:tc>
        <w:tc>
          <w:tcPr>
            <w:tcW w:w="1044" w:type="dxa"/>
            <w:tcBorders>
              <w:top w:val="single" w:color="auto" w:sz="12" w:space="0"/>
              <w:bottom w:val="double" w:color="auto" w:sz="6" w:space="0"/>
            </w:tcBorders>
            <w:vAlign w:val="center"/>
          </w:tcPr>
          <w:p w14:paraId="0F55FA34">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单价（元）</w:t>
            </w:r>
          </w:p>
        </w:tc>
        <w:tc>
          <w:tcPr>
            <w:tcW w:w="992" w:type="dxa"/>
            <w:tcBorders>
              <w:top w:val="single" w:color="auto" w:sz="12" w:space="0"/>
              <w:bottom w:val="double" w:color="auto" w:sz="6" w:space="0"/>
            </w:tcBorders>
            <w:vAlign w:val="center"/>
          </w:tcPr>
          <w:p w14:paraId="55AF1708">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质量等级</w:t>
            </w:r>
          </w:p>
        </w:tc>
        <w:tc>
          <w:tcPr>
            <w:tcW w:w="851" w:type="dxa"/>
            <w:tcBorders>
              <w:top w:val="single" w:color="auto" w:sz="12" w:space="0"/>
              <w:bottom w:val="double" w:color="auto" w:sz="6" w:space="0"/>
            </w:tcBorders>
            <w:vAlign w:val="center"/>
          </w:tcPr>
          <w:p w14:paraId="1363AB23">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供应时间</w:t>
            </w:r>
          </w:p>
        </w:tc>
        <w:tc>
          <w:tcPr>
            <w:tcW w:w="1487" w:type="dxa"/>
            <w:tcBorders>
              <w:top w:val="single" w:color="auto" w:sz="12" w:space="0"/>
              <w:bottom w:val="double" w:color="auto" w:sz="6" w:space="0"/>
            </w:tcBorders>
            <w:vAlign w:val="center"/>
          </w:tcPr>
          <w:p w14:paraId="67C1E415">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送达地点</w:t>
            </w:r>
          </w:p>
        </w:tc>
        <w:tc>
          <w:tcPr>
            <w:tcW w:w="992" w:type="dxa"/>
            <w:tcBorders>
              <w:top w:val="single" w:color="auto" w:sz="12" w:space="0"/>
              <w:bottom w:val="double" w:color="auto" w:sz="6" w:space="0"/>
            </w:tcBorders>
            <w:vAlign w:val="center"/>
          </w:tcPr>
          <w:p w14:paraId="06C0CF27">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备注</w:t>
            </w:r>
          </w:p>
        </w:tc>
      </w:tr>
      <w:tr w14:paraId="4E61B5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72C1C4A2">
            <w:pPr>
              <w:pStyle w:val="11"/>
              <w:keepNext/>
              <w:spacing w:after="0" w:line="360" w:lineRule="auto"/>
              <w:ind w:left="66" w:right="66"/>
              <w:rPr>
                <w:rFonts w:ascii="宋体" w:hAnsi="宋体" w:cs="宋体"/>
                <w:color w:val="000000"/>
                <w:sz w:val="24"/>
                <w:szCs w:val="24"/>
              </w:rPr>
            </w:pPr>
          </w:p>
        </w:tc>
        <w:tc>
          <w:tcPr>
            <w:tcW w:w="1276" w:type="dxa"/>
            <w:tcBorders>
              <w:top w:val="double" w:color="auto" w:sz="6" w:space="0"/>
              <w:bottom w:val="single" w:color="auto" w:sz="6" w:space="0"/>
            </w:tcBorders>
            <w:vAlign w:val="center"/>
          </w:tcPr>
          <w:p w14:paraId="0B35577E">
            <w:pPr>
              <w:pStyle w:val="11"/>
              <w:keepNext/>
              <w:spacing w:after="0" w:line="360" w:lineRule="auto"/>
              <w:ind w:left="66" w:right="66"/>
              <w:rPr>
                <w:rFonts w:ascii="宋体" w:hAnsi="宋体" w:cs="宋体"/>
                <w:color w:val="000000"/>
                <w:sz w:val="24"/>
                <w:szCs w:val="24"/>
              </w:rPr>
            </w:pPr>
          </w:p>
        </w:tc>
        <w:tc>
          <w:tcPr>
            <w:tcW w:w="1418" w:type="dxa"/>
            <w:tcBorders>
              <w:top w:val="double" w:color="auto" w:sz="6" w:space="0"/>
              <w:bottom w:val="single" w:color="auto" w:sz="6" w:space="0"/>
            </w:tcBorders>
            <w:vAlign w:val="center"/>
          </w:tcPr>
          <w:p w14:paraId="622FF7B1">
            <w:pPr>
              <w:pStyle w:val="11"/>
              <w:keepNext/>
              <w:spacing w:after="0" w:line="360" w:lineRule="auto"/>
              <w:ind w:left="66" w:right="66"/>
              <w:rPr>
                <w:rFonts w:ascii="宋体" w:hAnsi="宋体" w:cs="宋体"/>
                <w:color w:val="000000"/>
                <w:sz w:val="24"/>
                <w:szCs w:val="24"/>
              </w:rPr>
            </w:pPr>
          </w:p>
        </w:tc>
        <w:tc>
          <w:tcPr>
            <w:tcW w:w="940" w:type="dxa"/>
            <w:tcBorders>
              <w:top w:val="double" w:color="auto" w:sz="6" w:space="0"/>
              <w:bottom w:val="single" w:color="auto" w:sz="6" w:space="0"/>
            </w:tcBorders>
            <w:vAlign w:val="center"/>
          </w:tcPr>
          <w:p w14:paraId="331C7D03">
            <w:pPr>
              <w:pStyle w:val="11"/>
              <w:keepNext/>
              <w:spacing w:after="0" w:line="360" w:lineRule="auto"/>
              <w:ind w:left="66" w:right="66"/>
              <w:rPr>
                <w:rFonts w:ascii="宋体" w:hAnsi="宋体" w:cs="宋体"/>
                <w:color w:val="000000"/>
                <w:sz w:val="24"/>
                <w:szCs w:val="24"/>
              </w:rPr>
            </w:pPr>
          </w:p>
        </w:tc>
        <w:tc>
          <w:tcPr>
            <w:tcW w:w="851" w:type="dxa"/>
            <w:tcBorders>
              <w:top w:val="double" w:color="auto" w:sz="6" w:space="0"/>
              <w:bottom w:val="single" w:color="auto" w:sz="6" w:space="0"/>
            </w:tcBorders>
            <w:vAlign w:val="center"/>
          </w:tcPr>
          <w:p w14:paraId="3EFD3397">
            <w:pPr>
              <w:pStyle w:val="11"/>
              <w:keepNext/>
              <w:spacing w:after="0" w:line="360" w:lineRule="auto"/>
              <w:ind w:left="66" w:right="66"/>
              <w:rPr>
                <w:rFonts w:ascii="宋体" w:hAnsi="宋体" w:cs="宋体"/>
                <w:color w:val="000000"/>
                <w:sz w:val="24"/>
                <w:szCs w:val="24"/>
              </w:rPr>
            </w:pPr>
          </w:p>
        </w:tc>
        <w:tc>
          <w:tcPr>
            <w:tcW w:w="1044" w:type="dxa"/>
            <w:tcBorders>
              <w:top w:val="double" w:color="auto" w:sz="6" w:space="0"/>
              <w:bottom w:val="single" w:color="auto" w:sz="6" w:space="0"/>
            </w:tcBorders>
            <w:vAlign w:val="center"/>
          </w:tcPr>
          <w:p w14:paraId="4663543A">
            <w:pPr>
              <w:pStyle w:val="11"/>
              <w:keepNext/>
              <w:spacing w:after="0" w:line="360" w:lineRule="auto"/>
              <w:ind w:left="66" w:right="66"/>
              <w:rPr>
                <w:rFonts w:ascii="宋体" w:hAnsi="宋体" w:cs="宋体"/>
                <w:color w:val="000000"/>
                <w:sz w:val="24"/>
                <w:szCs w:val="24"/>
              </w:rPr>
            </w:pPr>
          </w:p>
        </w:tc>
        <w:tc>
          <w:tcPr>
            <w:tcW w:w="992" w:type="dxa"/>
            <w:tcBorders>
              <w:top w:val="double" w:color="auto" w:sz="6" w:space="0"/>
              <w:bottom w:val="single" w:color="auto" w:sz="6" w:space="0"/>
            </w:tcBorders>
            <w:vAlign w:val="center"/>
          </w:tcPr>
          <w:p w14:paraId="11386696">
            <w:pPr>
              <w:pStyle w:val="11"/>
              <w:keepNext/>
              <w:spacing w:after="0" w:line="360" w:lineRule="auto"/>
              <w:ind w:left="66" w:right="66"/>
              <w:rPr>
                <w:rFonts w:ascii="宋体" w:hAnsi="宋体" w:cs="宋体"/>
                <w:color w:val="000000"/>
                <w:sz w:val="24"/>
                <w:szCs w:val="24"/>
              </w:rPr>
            </w:pPr>
          </w:p>
        </w:tc>
        <w:tc>
          <w:tcPr>
            <w:tcW w:w="851" w:type="dxa"/>
            <w:tcBorders>
              <w:top w:val="double" w:color="auto" w:sz="6" w:space="0"/>
              <w:bottom w:val="single" w:color="auto" w:sz="6" w:space="0"/>
            </w:tcBorders>
            <w:vAlign w:val="center"/>
          </w:tcPr>
          <w:p w14:paraId="68A29142">
            <w:pPr>
              <w:pStyle w:val="11"/>
              <w:keepNext/>
              <w:spacing w:after="0" w:line="360" w:lineRule="auto"/>
              <w:ind w:left="66" w:right="66"/>
              <w:rPr>
                <w:rFonts w:ascii="宋体" w:hAnsi="宋体" w:cs="宋体"/>
                <w:color w:val="000000"/>
                <w:sz w:val="24"/>
                <w:szCs w:val="24"/>
              </w:rPr>
            </w:pPr>
          </w:p>
        </w:tc>
        <w:tc>
          <w:tcPr>
            <w:tcW w:w="1487" w:type="dxa"/>
            <w:tcBorders>
              <w:top w:val="double" w:color="auto" w:sz="6" w:space="0"/>
              <w:bottom w:val="single" w:color="auto" w:sz="6" w:space="0"/>
            </w:tcBorders>
            <w:vAlign w:val="center"/>
          </w:tcPr>
          <w:p w14:paraId="163AFBFE">
            <w:pPr>
              <w:pStyle w:val="11"/>
              <w:keepNext/>
              <w:spacing w:after="0" w:line="360" w:lineRule="auto"/>
              <w:ind w:left="66" w:right="66"/>
              <w:rPr>
                <w:rFonts w:ascii="宋体" w:hAnsi="宋体" w:cs="宋体"/>
                <w:color w:val="000000"/>
                <w:sz w:val="24"/>
                <w:szCs w:val="24"/>
              </w:rPr>
            </w:pPr>
          </w:p>
        </w:tc>
        <w:tc>
          <w:tcPr>
            <w:tcW w:w="992" w:type="dxa"/>
            <w:tcBorders>
              <w:top w:val="double" w:color="auto" w:sz="6" w:space="0"/>
              <w:bottom w:val="single" w:color="auto" w:sz="6" w:space="0"/>
            </w:tcBorders>
            <w:vAlign w:val="center"/>
          </w:tcPr>
          <w:p w14:paraId="216CB619">
            <w:pPr>
              <w:pStyle w:val="11"/>
              <w:keepNext/>
              <w:spacing w:after="0" w:line="360" w:lineRule="auto"/>
              <w:ind w:left="66" w:right="66"/>
              <w:rPr>
                <w:rFonts w:ascii="宋体" w:hAnsi="宋体" w:cs="宋体"/>
                <w:color w:val="000000"/>
                <w:sz w:val="24"/>
                <w:szCs w:val="24"/>
              </w:rPr>
            </w:pPr>
          </w:p>
        </w:tc>
      </w:tr>
      <w:tr w14:paraId="0E339F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0D7034E6">
            <w:pPr>
              <w:pStyle w:val="11"/>
              <w:keepNext/>
              <w:spacing w:after="0" w:line="360" w:lineRule="auto"/>
              <w:ind w:left="66" w:right="66"/>
              <w:rPr>
                <w:rFonts w:ascii="宋体" w:hAnsi="宋体" w:cs="宋体"/>
                <w:color w:val="000000"/>
                <w:sz w:val="24"/>
                <w:szCs w:val="24"/>
              </w:rPr>
            </w:pPr>
          </w:p>
        </w:tc>
        <w:tc>
          <w:tcPr>
            <w:tcW w:w="1276" w:type="dxa"/>
            <w:tcBorders>
              <w:top w:val="nil"/>
            </w:tcBorders>
            <w:vAlign w:val="center"/>
          </w:tcPr>
          <w:p w14:paraId="7AA0943C">
            <w:pPr>
              <w:pStyle w:val="11"/>
              <w:keepNext/>
              <w:spacing w:after="0" w:line="360" w:lineRule="auto"/>
              <w:ind w:left="66" w:right="66"/>
              <w:rPr>
                <w:rFonts w:ascii="宋体" w:hAnsi="宋体" w:cs="宋体"/>
                <w:color w:val="000000"/>
                <w:sz w:val="24"/>
                <w:szCs w:val="24"/>
              </w:rPr>
            </w:pPr>
          </w:p>
        </w:tc>
        <w:tc>
          <w:tcPr>
            <w:tcW w:w="1418" w:type="dxa"/>
            <w:tcBorders>
              <w:top w:val="nil"/>
            </w:tcBorders>
            <w:vAlign w:val="center"/>
          </w:tcPr>
          <w:p w14:paraId="118B8D29">
            <w:pPr>
              <w:pStyle w:val="11"/>
              <w:keepNext/>
              <w:spacing w:after="0" w:line="360" w:lineRule="auto"/>
              <w:ind w:left="66" w:right="66"/>
              <w:rPr>
                <w:rFonts w:ascii="宋体" w:hAnsi="宋体" w:cs="宋体"/>
                <w:color w:val="000000"/>
                <w:sz w:val="24"/>
                <w:szCs w:val="24"/>
              </w:rPr>
            </w:pPr>
          </w:p>
        </w:tc>
        <w:tc>
          <w:tcPr>
            <w:tcW w:w="940" w:type="dxa"/>
            <w:tcBorders>
              <w:top w:val="nil"/>
            </w:tcBorders>
            <w:vAlign w:val="center"/>
          </w:tcPr>
          <w:p w14:paraId="294FC3FE">
            <w:pPr>
              <w:pStyle w:val="11"/>
              <w:keepNext/>
              <w:spacing w:after="0" w:line="360" w:lineRule="auto"/>
              <w:ind w:left="66" w:right="66"/>
              <w:rPr>
                <w:rFonts w:ascii="宋体" w:hAnsi="宋体" w:cs="宋体"/>
                <w:color w:val="000000"/>
                <w:sz w:val="24"/>
                <w:szCs w:val="24"/>
              </w:rPr>
            </w:pPr>
          </w:p>
        </w:tc>
        <w:tc>
          <w:tcPr>
            <w:tcW w:w="851" w:type="dxa"/>
            <w:tcBorders>
              <w:top w:val="nil"/>
            </w:tcBorders>
            <w:vAlign w:val="center"/>
          </w:tcPr>
          <w:p w14:paraId="698B89D2">
            <w:pPr>
              <w:pStyle w:val="11"/>
              <w:keepNext/>
              <w:spacing w:after="0" w:line="360" w:lineRule="auto"/>
              <w:ind w:left="66" w:right="66"/>
              <w:rPr>
                <w:rFonts w:ascii="宋体" w:hAnsi="宋体" w:cs="宋体"/>
                <w:color w:val="000000"/>
                <w:sz w:val="24"/>
                <w:szCs w:val="24"/>
              </w:rPr>
            </w:pPr>
          </w:p>
        </w:tc>
        <w:tc>
          <w:tcPr>
            <w:tcW w:w="1044" w:type="dxa"/>
            <w:tcBorders>
              <w:top w:val="nil"/>
            </w:tcBorders>
            <w:vAlign w:val="center"/>
          </w:tcPr>
          <w:p w14:paraId="55487102">
            <w:pPr>
              <w:pStyle w:val="11"/>
              <w:keepNext/>
              <w:spacing w:after="0" w:line="360" w:lineRule="auto"/>
              <w:ind w:left="66" w:right="66"/>
              <w:rPr>
                <w:rFonts w:ascii="宋体" w:hAnsi="宋体" w:cs="宋体"/>
                <w:color w:val="000000"/>
                <w:sz w:val="24"/>
                <w:szCs w:val="24"/>
              </w:rPr>
            </w:pPr>
          </w:p>
        </w:tc>
        <w:tc>
          <w:tcPr>
            <w:tcW w:w="992" w:type="dxa"/>
            <w:tcBorders>
              <w:top w:val="nil"/>
            </w:tcBorders>
            <w:vAlign w:val="center"/>
          </w:tcPr>
          <w:p w14:paraId="79F5BEAE">
            <w:pPr>
              <w:pStyle w:val="11"/>
              <w:keepNext/>
              <w:spacing w:after="0" w:line="360" w:lineRule="auto"/>
              <w:ind w:left="66" w:right="66"/>
              <w:rPr>
                <w:rFonts w:ascii="宋体" w:hAnsi="宋体" w:cs="宋体"/>
                <w:color w:val="000000"/>
                <w:sz w:val="24"/>
                <w:szCs w:val="24"/>
              </w:rPr>
            </w:pPr>
          </w:p>
        </w:tc>
        <w:tc>
          <w:tcPr>
            <w:tcW w:w="851" w:type="dxa"/>
            <w:tcBorders>
              <w:top w:val="nil"/>
            </w:tcBorders>
            <w:vAlign w:val="center"/>
          </w:tcPr>
          <w:p w14:paraId="7A5817A7">
            <w:pPr>
              <w:pStyle w:val="11"/>
              <w:keepNext/>
              <w:spacing w:after="0" w:line="360" w:lineRule="auto"/>
              <w:ind w:left="66" w:right="66"/>
              <w:rPr>
                <w:rFonts w:ascii="宋体" w:hAnsi="宋体" w:cs="宋体"/>
                <w:color w:val="000000"/>
                <w:sz w:val="24"/>
                <w:szCs w:val="24"/>
              </w:rPr>
            </w:pPr>
          </w:p>
        </w:tc>
        <w:tc>
          <w:tcPr>
            <w:tcW w:w="1487" w:type="dxa"/>
            <w:tcBorders>
              <w:top w:val="nil"/>
            </w:tcBorders>
            <w:vAlign w:val="center"/>
          </w:tcPr>
          <w:p w14:paraId="11833DE2">
            <w:pPr>
              <w:pStyle w:val="11"/>
              <w:keepNext/>
              <w:spacing w:after="0" w:line="360" w:lineRule="auto"/>
              <w:ind w:left="66" w:right="66"/>
              <w:rPr>
                <w:rFonts w:ascii="宋体" w:hAnsi="宋体" w:cs="宋体"/>
                <w:color w:val="000000"/>
                <w:sz w:val="24"/>
                <w:szCs w:val="24"/>
              </w:rPr>
            </w:pPr>
          </w:p>
        </w:tc>
        <w:tc>
          <w:tcPr>
            <w:tcW w:w="992" w:type="dxa"/>
            <w:tcBorders>
              <w:top w:val="nil"/>
            </w:tcBorders>
            <w:vAlign w:val="center"/>
          </w:tcPr>
          <w:p w14:paraId="4387086E">
            <w:pPr>
              <w:pStyle w:val="11"/>
              <w:keepNext/>
              <w:spacing w:after="0" w:line="360" w:lineRule="auto"/>
              <w:ind w:left="66" w:right="66"/>
              <w:rPr>
                <w:rFonts w:ascii="宋体" w:hAnsi="宋体" w:cs="宋体"/>
                <w:color w:val="000000"/>
                <w:sz w:val="24"/>
                <w:szCs w:val="24"/>
              </w:rPr>
            </w:pPr>
          </w:p>
        </w:tc>
      </w:tr>
      <w:tr w14:paraId="50441C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968BAA1">
            <w:pPr>
              <w:pStyle w:val="11"/>
              <w:keepNext/>
              <w:spacing w:after="0" w:line="360" w:lineRule="auto"/>
              <w:ind w:left="66" w:right="66"/>
              <w:rPr>
                <w:rFonts w:ascii="宋体" w:hAnsi="宋体" w:cs="宋体"/>
                <w:color w:val="000000"/>
                <w:sz w:val="24"/>
                <w:szCs w:val="24"/>
              </w:rPr>
            </w:pPr>
          </w:p>
        </w:tc>
        <w:tc>
          <w:tcPr>
            <w:tcW w:w="1276" w:type="dxa"/>
            <w:vAlign w:val="center"/>
          </w:tcPr>
          <w:p w14:paraId="7A206CEC">
            <w:pPr>
              <w:pStyle w:val="11"/>
              <w:keepNext/>
              <w:spacing w:after="0" w:line="360" w:lineRule="auto"/>
              <w:ind w:left="66" w:right="66"/>
              <w:rPr>
                <w:rFonts w:ascii="宋体" w:hAnsi="宋体" w:cs="宋体"/>
                <w:color w:val="000000"/>
                <w:sz w:val="24"/>
                <w:szCs w:val="24"/>
              </w:rPr>
            </w:pPr>
          </w:p>
        </w:tc>
        <w:tc>
          <w:tcPr>
            <w:tcW w:w="1418" w:type="dxa"/>
            <w:vAlign w:val="center"/>
          </w:tcPr>
          <w:p w14:paraId="3184C8F4">
            <w:pPr>
              <w:pStyle w:val="11"/>
              <w:keepNext/>
              <w:spacing w:after="0" w:line="360" w:lineRule="auto"/>
              <w:ind w:left="66" w:right="66"/>
              <w:rPr>
                <w:rFonts w:ascii="宋体" w:hAnsi="宋体" w:cs="宋体"/>
                <w:color w:val="000000"/>
                <w:sz w:val="24"/>
                <w:szCs w:val="24"/>
              </w:rPr>
            </w:pPr>
          </w:p>
        </w:tc>
        <w:tc>
          <w:tcPr>
            <w:tcW w:w="940" w:type="dxa"/>
            <w:vAlign w:val="center"/>
          </w:tcPr>
          <w:p w14:paraId="45B81569">
            <w:pPr>
              <w:pStyle w:val="11"/>
              <w:keepNext/>
              <w:spacing w:after="0" w:line="360" w:lineRule="auto"/>
              <w:ind w:left="66" w:right="66"/>
              <w:rPr>
                <w:rFonts w:ascii="宋体" w:hAnsi="宋体" w:cs="宋体"/>
                <w:color w:val="000000"/>
                <w:sz w:val="24"/>
                <w:szCs w:val="24"/>
              </w:rPr>
            </w:pPr>
          </w:p>
        </w:tc>
        <w:tc>
          <w:tcPr>
            <w:tcW w:w="851" w:type="dxa"/>
            <w:vAlign w:val="center"/>
          </w:tcPr>
          <w:p w14:paraId="6313A994">
            <w:pPr>
              <w:pStyle w:val="11"/>
              <w:keepNext/>
              <w:spacing w:after="0" w:line="360" w:lineRule="auto"/>
              <w:ind w:left="66" w:right="66"/>
              <w:rPr>
                <w:rFonts w:ascii="宋体" w:hAnsi="宋体" w:cs="宋体"/>
                <w:color w:val="000000"/>
                <w:sz w:val="24"/>
                <w:szCs w:val="24"/>
              </w:rPr>
            </w:pPr>
          </w:p>
        </w:tc>
        <w:tc>
          <w:tcPr>
            <w:tcW w:w="1044" w:type="dxa"/>
            <w:vAlign w:val="center"/>
          </w:tcPr>
          <w:p w14:paraId="0121EEAF">
            <w:pPr>
              <w:pStyle w:val="11"/>
              <w:keepNext/>
              <w:spacing w:after="0" w:line="360" w:lineRule="auto"/>
              <w:ind w:left="66" w:right="66"/>
              <w:rPr>
                <w:rFonts w:ascii="宋体" w:hAnsi="宋体" w:cs="宋体"/>
                <w:color w:val="000000"/>
                <w:sz w:val="24"/>
                <w:szCs w:val="24"/>
              </w:rPr>
            </w:pPr>
          </w:p>
        </w:tc>
        <w:tc>
          <w:tcPr>
            <w:tcW w:w="992" w:type="dxa"/>
            <w:vAlign w:val="center"/>
          </w:tcPr>
          <w:p w14:paraId="5CD91ABE">
            <w:pPr>
              <w:pStyle w:val="11"/>
              <w:keepNext/>
              <w:spacing w:after="0" w:line="360" w:lineRule="auto"/>
              <w:ind w:left="66" w:right="66"/>
              <w:rPr>
                <w:rFonts w:ascii="宋体" w:hAnsi="宋体" w:cs="宋体"/>
                <w:color w:val="000000"/>
                <w:sz w:val="24"/>
                <w:szCs w:val="24"/>
              </w:rPr>
            </w:pPr>
          </w:p>
        </w:tc>
        <w:tc>
          <w:tcPr>
            <w:tcW w:w="851" w:type="dxa"/>
            <w:vAlign w:val="center"/>
          </w:tcPr>
          <w:p w14:paraId="736CD2AA">
            <w:pPr>
              <w:pStyle w:val="11"/>
              <w:keepNext/>
              <w:spacing w:after="0" w:line="360" w:lineRule="auto"/>
              <w:ind w:left="66" w:right="66"/>
              <w:rPr>
                <w:rFonts w:ascii="宋体" w:hAnsi="宋体" w:cs="宋体"/>
                <w:color w:val="000000"/>
                <w:sz w:val="24"/>
                <w:szCs w:val="24"/>
              </w:rPr>
            </w:pPr>
          </w:p>
        </w:tc>
        <w:tc>
          <w:tcPr>
            <w:tcW w:w="1487" w:type="dxa"/>
            <w:vAlign w:val="center"/>
          </w:tcPr>
          <w:p w14:paraId="275FF92F">
            <w:pPr>
              <w:pStyle w:val="11"/>
              <w:keepNext/>
              <w:spacing w:after="0" w:line="360" w:lineRule="auto"/>
              <w:ind w:left="66" w:right="66"/>
              <w:rPr>
                <w:rFonts w:ascii="宋体" w:hAnsi="宋体" w:cs="宋体"/>
                <w:color w:val="000000"/>
                <w:sz w:val="24"/>
                <w:szCs w:val="24"/>
              </w:rPr>
            </w:pPr>
          </w:p>
        </w:tc>
        <w:tc>
          <w:tcPr>
            <w:tcW w:w="992" w:type="dxa"/>
            <w:vAlign w:val="center"/>
          </w:tcPr>
          <w:p w14:paraId="7034D0A9">
            <w:pPr>
              <w:pStyle w:val="11"/>
              <w:keepNext/>
              <w:spacing w:after="0" w:line="360" w:lineRule="auto"/>
              <w:ind w:left="66" w:right="66"/>
              <w:rPr>
                <w:rFonts w:ascii="宋体" w:hAnsi="宋体" w:cs="宋体"/>
                <w:color w:val="000000"/>
                <w:sz w:val="24"/>
                <w:szCs w:val="24"/>
              </w:rPr>
            </w:pPr>
          </w:p>
        </w:tc>
      </w:tr>
      <w:tr w14:paraId="46C5B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FA5B63">
            <w:pPr>
              <w:pStyle w:val="11"/>
              <w:keepNext/>
              <w:spacing w:after="0" w:line="360" w:lineRule="auto"/>
              <w:ind w:left="66" w:right="66"/>
              <w:rPr>
                <w:rFonts w:ascii="宋体" w:hAnsi="宋体" w:cs="宋体"/>
                <w:color w:val="000000"/>
                <w:sz w:val="24"/>
                <w:szCs w:val="24"/>
              </w:rPr>
            </w:pPr>
          </w:p>
        </w:tc>
        <w:tc>
          <w:tcPr>
            <w:tcW w:w="1276" w:type="dxa"/>
            <w:vAlign w:val="center"/>
          </w:tcPr>
          <w:p w14:paraId="5368A829">
            <w:pPr>
              <w:pStyle w:val="11"/>
              <w:keepNext/>
              <w:spacing w:after="0" w:line="360" w:lineRule="auto"/>
              <w:ind w:left="66" w:right="66"/>
              <w:rPr>
                <w:rFonts w:ascii="宋体" w:hAnsi="宋体" w:cs="宋体"/>
                <w:color w:val="000000"/>
                <w:sz w:val="24"/>
                <w:szCs w:val="24"/>
              </w:rPr>
            </w:pPr>
          </w:p>
        </w:tc>
        <w:tc>
          <w:tcPr>
            <w:tcW w:w="1418" w:type="dxa"/>
            <w:vAlign w:val="center"/>
          </w:tcPr>
          <w:p w14:paraId="09E65F69">
            <w:pPr>
              <w:pStyle w:val="11"/>
              <w:keepNext/>
              <w:spacing w:after="0" w:line="360" w:lineRule="auto"/>
              <w:ind w:left="66" w:right="66"/>
              <w:rPr>
                <w:rFonts w:ascii="宋体" w:hAnsi="宋体" w:cs="宋体"/>
                <w:color w:val="000000"/>
                <w:sz w:val="24"/>
                <w:szCs w:val="24"/>
              </w:rPr>
            </w:pPr>
          </w:p>
        </w:tc>
        <w:tc>
          <w:tcPr>
            <w:tcW w:w="940" w:type="dxa"/>
            <w:vAlign w:val="center"/>
          </w:tcPr>
          <w:p w14:paraId="18FB3996">
            <w:pPr>
              <w:pStyle w:val="11"/>
              <w:keepNext/>
              <w:spacing w:after="0" w:line="360" w:lineRule="auto"/>
              <w:ind w:left="66" w:right="66"/>
              <w:rPr>
                <w:rFonts w:ascii="宋体" w:hAnsi="宋体" w:cs="宋体"/>
                <w:color w:val="000000"/>
                <w:sz w:val="24"/>
                <w:szCs w:val="24"/>
              </w:rPr>
            </w:pPr>
          </w:p>
        </w:tc>
        <w:tc>
          <w:tcPr>
            <w:tcW w:w="851" w:type="dxa"/>
            <w:vAlign w:val="center"/>
          </w:tcPr>
          <w:p w14:paraId="0E890F36">
            <w:pPr>
              <w:pStyle w:val="11"/>
              <w:keepNext/>
              <w:spacing w:after="0" w:line="360" w:lineRule="auto"/>
              <w:ind w:left="66" w:right="66"/>
              <w:rPr>
                <w:rFonts w:ascii="宋体" w:hAnsi="宋体" w:cs="宋体"/>
                <w:color w:val="000000"/>
                <w:sz w:val="24"/>
                <w:szCs w:val="24"/>
              </w:rPr>
            </w:pPr>
          </w:p>
        </w:tc>
        <w:tc>
          <w:tcPr>
            <w:tcW w:w="1044" w:type="dxa"/>
            <w:vAlign w:val="center"/>
          </w:tcPr>
          <w:p w14:paraId="592B8F38">
            <w:pPr>
              <w:pStyle w:val="11"/>
              <w:keepNext/>
              <w:spacing w:after="0" w:line="360" w:lineRule="auto"/>
              <w:ind w:left="66" w:right="66"/>
              <w:rPr>
                <w:rFonts w:ascii="宋体" w:hAnsi="宋体" w:cs="宋体"/>
                <w:color w:val="000000"/>
                <w:sz w:val="24"/>
                <w:szCs w:val="24"/>
              </w:rPr>
            </w:pPr>
          </w:p>
        </w:tc>
        <w:tc>
          <w:tcPr>
            <w:tcW w:w="992" w:type="dxa"/>
            <w:vAlign w:val="center"/>
          </w:tcPr>
          <w:p w14:paraId="464F2F48">
            <w:pPr>
              <w:pStyle w:val="11"/>
              <w:keepNext/>
              <w:spacing w:after="0" w:line="360" w:lineRule="auto"/>
              <w:ind w:left="66" w:right="66"/>
              <w:rPr>
                <w:rFonts w:ascii="宋体" w:hAnsi="宋体" w:cs="宋体"/>
                <w:color w:val="000000"/>
                <w:sz w:val="24"/>
                <w:szCs w:val="24"/>
              </w:rPr>
            </w:pPr>
          </w:p>
        </w:tc>
        <w:tc>
          <w:tcPr>
            <w:tcW w:w="851" w:type="dxa"/>
            <w:vAlign w:val="center"/>
          </w:tcPr>
          <w:p w14:paraId="213FFC15">
            <w:pPr>
              <w:pStyle w:val="11"/>
              <w:keepNext/>
              <w:spacing w:after="0" w:line="360" w:lineRule="auto"/>
              <w:ind w:left="66" w:right="66"/>
              <w:rPr>
                <w:rFonts w:ascii="宋体" w:hAnsi="宋体" w:cs="宋体"/>
                <w:color w:val="000000"/>
                <w:sz w:val="24"/>
                <w:szCs w:val="24"/>
              </w:rPr>
            </w:pPr>
          </w:p>
        </w:tc>
        <w:tc>
          <w:tcPr>
            <w:tcW w:w="1487" w:type="dxa"/>
            <w:vAlign w:val="center"/>
          </w:tcPr>
          <w:p w14:paraId="4382E834">
            <w:pPr>
              <w:pStyle w:val="11"/>
              <w:keepNext/>
              <w:spacing w:after="0" w:line="360" w:lineRule="auto"/>
              <w:ind w:left="66" w:right="66"/>
              <w:rPr>
                <w:rFonts w:ascii="宋体" w:hAnsi="宋体" w:cs="宋体"/>
                <w:color w:val="000000"/>
                <w:sz w:val="24"/>
                <w:szCs w:val="24"/>
              </w:rPr>
            </w:pPr>
          </w:p>
        </w:tc>
        <w:tc>
          <w:tcPr>
            <w:tcW w:w="992" w:type="dxa"/>
            <w:vAlign w:val="center"/>
          </w:tcPr>
          <w:p w14:paraId="538F94BA">
            <w:pPr>
              <w:pStyle w:val="11"/>
              <w:keepNext/>
              <w:spacing w:after="0" w:line="360" w:lineRule="auto"/>
              <w:ind w:left="66" w:right="66"/>
              <w:rPr>
                <w:rFonts w:ascii="宋体" w:hAnsi="宋体" w:cs="宋体"/>
                <w:color w:val="000000"/>
                <w:sz w:val="24"/>
                <w:szCs w:val="24"/>
              </w:rPr>
            </w:pPr>
          </w:p>
        </w:tc>
      </w:tr>
      <w:tr w14:paraId="0A8616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1ADDCBD">
            <w:pPr>
              <w:pStyle w:val="11"/>
              <w:keepNext/>
              <w:spacing w:after="0" w:line="360" w:lineRule="auto"/>
              <w:ind w:left="66" w:right="66"/>
              <w:rPr>
                <w:rFonts w:ascii="宋体" w:hAnsi="宋体" w:cs="宋体"/>
                <w:color w:val="000000"/>
                <w:sz w:val="24"/>
                <w:szCs w:val="24"/>
              </w:rPr>
            </w:pPr>
          </w:p>
        </w:tc>
        <w:tc>
          <w:tcPr>
            <w:tcW w:w="1276" w:type="dxa"/>
            <w:vAlign w:val="center"/>
          </w:tcPr>
          <w:p w14:paraId="275F6235">
            <w:pPr>
              <w:pStyle w:val="11"/>
              <w:keepNext/>
              <w:spacing w:after="0" w:line="360" w:lineRule="auto"/>
              <w:ind w:left="66" w:right="66"/>
              <w:rPr>
                <w:rFonts w:ascii="宋体" w:hAnsi="宋体" w:cs="宋体"/>
                <w:color w:val="000000"/>
                <w:sz w:val="24"/>
                <w:szCs w:val="24"/>
              </w:rPr>
            </w:pPr>
          </w:p>
        </w:tc>
        <w:tc>
          <w:tcPr>
            <w:tcW w:w="1418" w:type="dxa"/>
            <w:vAlign w:val="center"/>
          </w:tcPr>
          <w:p w14:paraId="50413853">
            <w:pPr>
              <w:pStyle w:val="11"/>
              <w:keepNext/>
              <w:spacing w:after="0" w:line="360" w:lineRule="auto"/>
              <w:ind w:left="66" w:right="66"/>
              <w:rPr>
                <w:rFonts w:ascii="宋体" w:hAnsi="宋体" w:cs="宋体"/>
                <w:color w:val="000000"/>
                <w:sz w:val="24"/>
                <w:szCs w:val="24"/>
              </w:rPr>
            </w:pPr>
          </w:p>
        </w:tc>
        <w:tc>
          <w:tcPr>
            <w:tcW w:w="940" w:type="dxa"/>
            <w:vAlign w:val="center"/>
          </w:tcPr>
          <w:p w14:paraId="39D121E2">
            <w:pPr>
              <w:pStyle w:val="11"/>
              <w:keepNext/>
              <w:spacing w:after="0" w:line="360" w:lineRule="auto"/>
              <w:ind w:left="66" w:right="66"/>
              <w:rPr>
                <w:rFonts w:ascii="宋体" w:hAnsi="宋体" w:cs="宋体"/>
                <w:color w:val="000000"/>
                <w:sz w:val="24"/>
                <w:szCs w:val="24"/>
              </w:rPr>
            </w:pPr>
          </w:p>
        </w:tc>
        <w:tc>
          <w:tcPr>
            <w:tcW w:w="851" w:type="dxa"/>
            <w:vAlign w:val="center"/>
          </w:tcPr>
          <w:p w14:paraId="3AC0EE3D">
            <w:pPr>
              <w:pStyle w:val="11"/>
              <w:keepNext/>
              <w:spacing w:after="0" w:line="360" w:lineRule="auto"/>
              <w:ind w:left="66" w:right="66"/>
              <w:rPr>
                <w:rFonts w:ascii="宋体" w:hAnsi="宋体" w:cs="宋体"/>
                <w:color w:val="000000"/>
                <w:sz w:val="24"/>
                <w:szCs w:val="24"/>
              </w:rPr>
            </w:pPr>
          </w:p>
        </w:tc>
        <w:tc>
          <w:tcPr>
            <w:tcW w:w="1044" w:type="dxa"/>
            <w:vAlign w:val="center"/>
          </w:tcPr>
          <w:p w14:paraId="153B6DD8">
            <w:pPr>
              <w:pStyle w:val="11"/>
              <w:keepNext/>
              <w:spacing w:after="0" w:line="360" w:lineRule="auto"/>
              <w:ind w:left="66" w:right="66"/>
              <w:rPr>
                <w:rFonts w:ascii="宋体" w:hAnsi="宋体" w:cs="宋体"/>
                <w:color w:val="000000"/>
                <w:sz w:val="24"/>
                <w:szCs w:val="24"/>
              </w:rPr>
            </w:pPr>
          </w:p>
        </w:tc>
        <w:tc>
          <w:tcPr>
            <w:tcW w:w="992" w:type="dxa"/>
            <w:vAlign w:val="center"/>
          </w:tcPr>
          <w:p w14:paraId="6E20E984">
            <w:pPr>
              <w:pStyle w:val="11"/>
              <w:keepNext/>
              <w:spacing w:after="0" w:line="360" w:lineRule="auto"/>
              <w:ind w:left="66" w:right="66"/>
              <w:rPr>
                <w:rFonts w:ascii="宋体" w:hAnsi="宋体" w:cs="宋体"/>
                <w:color w:val="000000"/>
                <w:sz w:val="24"/>
                <w:szCs w:val="24"/>
              </w:rPr>
            </w:pPr>
          </w:p>
        </w:tc>
        <w:tc>
          <w:tcPr>
            <w:tcW w:w="851" w:type="dxa"/>
            <w:vAlign w:val="center"/>
          </w:tcPr>
          <w:p w14:paraId="72A0B78E">
            <w:pPr>
              <w:pStyle w:val="11"/>
              <w:keepNext/>
              <w:spacing w:after="0" w:line="360" w:lineRule="auto"/>
              <w:ind w:left="66" w:right="66"/>
              <w:rPr>
                <w:rFonts w:ascii="宋体" w:hAnsi="宋体" w:cs="宋体"/>
                <w:color w:val="000000"/>
                <w:sz w:val="24"/>
                <w:szCs w:val="24"/>
              </w:rPr>
            </w:pPr>
          </w:p>
        </w:tc>
        <w:tc>
          <w:tcPr>
            <w:tcW w:w="1487" w:type="dxa"/>
            <w:vAlign w:val="center"/>
          </w:tcPr>
          <w:p w14:paraId="1F95C333">
            <w:pPr>
              <w:pStyle w:val="11"/>
              <w:keepNext/>
              <w:spacing w:after="0" w:line="360" w:lineRule="auto"/>
              <w:ind w:left="66" w:right="66"/>
              <w:rPr>
                <w:rFonts w:ascii="宋体" w:hAnsi="宋体" w:cs="宋体"/>
                <w:color w:val="000000"/>
                <w:sz w:val="24"/>
                <w:szCs w:val="24"/>
              </w:rPr>
            </w:pPr>
          </w:p>
        </w:tc>
        <w:tc>
          <w:tcPr>
            <w:tcW w:w="992" w:type="dxa"/>
            <w:vAlign w:val="center"/>
          </w:tcPr>
          <w:p w14:paraId="0D47D3F3">
            <w:pPr>
              <w:pStyle w:val="11"/>
              <w:keepNext/>
              <w:spacing w:after="0" w:line="360" w:lineRule="auto"/>
              <w:ind w:left="66" w:right="66"/>
              <w:rPr>
                <w:rFonts w:ascii="宋体" w:hAnsi="宋体" w:cs="宋体"/>
                <w:color w:val="000000"/>
                <w:sz w:val="24"/>
                <w:szCs w:val="24"/>
              </w:rPr>
            </w:pPr>
          </w:p>
        </w:tc>
      </w:tr>
      <w:tr w14:paraId="281A91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390B63E">
            <w:pPr>
              <w:pStyle w:val="11"/>
              <w:keepNext/>
              <w:spacing w:after="0" w:line="360" w:lineRule="auto"/>
              <w:ind w:left="66" w:right="66"/>
              <w:rPr>
                <w:rFonts w:ascii="宋体" w:hAnsi="宋体" w:cs="宋体"/>
                <w:color w:val="000000"/>
                <w:sz w:val="24"/>
                <w:szCs w:val="24"/>
              </w:rPr>
            </w:pPr>
          </w:p>
        </w:tc>
        <w:tc>
          <w:tcPr>
            <w:tcW w:w="1276" w:type="dxa"/>
            <w:vAlign w:val="center"/>
          </w:tcPr>
          <w:p w14:paraId="71F21332">
            <w:pPr>
              <w:pStyle w:val="11"/>
              <w:keepNext/>
              <w:spacing w:after="0" w:line="360" w:lineRule="auto"/>
              <w:ind w:left="66" w:right="66"/>
              <w:rPr>
                <w:rFonts w:ascii="宋体" w:hAnsi="宋体" w:cs="宋体"/>
                <w:color w:val="000000"/>
                <w:sz w:val="24"/>
                <w:szCs w:val="24"/>
              </w:rPr>
            </w:pPr>
          </w:p>
        </w:tc>
        <w:tc>
          <w:tcPr>
            <w:tcW w:w="1418" w:type="dxa"/>
            <w:vAlign w:val="center"/>
          </w:tcPr>
          <w:p w14:paraId="3CB09009">
            <w:pPr>
              <w:pStyle w:val="11"/>
              <w:keepNext/>
              <w:spacing w:after="0" w:line="360" w:lineRule="auto"/>
              <w:ind w:left="66" w:right="66"/>
              <w:rPr>
                <w:rFonts w:ascii="宋体" w:hAnsi="宋体" w:cs="宋体"/>
                <w:color w:val="000000"/>
                <w:sz w:val="24"/>
                <w:szCs w:val="24"/>
              </w:rPr>
            </w:pPr>
          </w:p>
        </w:tc>
        <w:tc>
          <w:tcPr>
            <w:tcW w:w="940" w:type="dxa"/>
            <w:vAlign w:val="center"/>
          </w:tcPr>
          <w:p w14:paraId="538C04CD">
            <w:pPr>
              <w:pStyle w:val="11"/>
              <w:keepNext/>
              <w:spacing w:after="0" w:line="360" w:lineRule="auto"/>
              <w:ind w:left="66" w:right="66"/>
              <w:rPr>
                <w:rFonts w:ascii="宋体" w:hAnsi="宋体" w:cs="宋体"/>
                <w:color w:val="000000"/>
                <w:sz w:val="24"/>
                <w:szCs w:val="24"/>
              </w:rPr>
            </w:pPr>
          </w:p>
        </w:tc>
        <w:tc>
          <w:tcPr>
            <w:tcW w:w="851" w:type="dxa"/>
            <w:vAlign w:val="center"/>
          </w:tcPr>
          <w:p w14:paraId="340BA9F3">
            <w:pPr>
              <w:pStyle w:val="11"/>
              <w:keepNext/>
              <w:spacing w:after="0" w:line="360" w:lineRule="auto"/>
              <w:ind w:left="66" w:right="66"/>
              <w:rPr>
                <w:rFonts w:ascii="宋体" w:hAnsi="宋体" w:cs="宋体"/>
                <w:color w:val="000000"/>
                <w:sz w:val="24"/>
                <w:szCs w:val="24"/>
              </w:rPr>
            </w:pPr>
          </w:p>
        </w:tc>
        <w:tc>
          <w:tcPr>
            <w:tcW w:w="1044" w:type="dxa"/>
            <w:vAlign w:val="center"/>
          </w:tcPr>
          <w:p w14:paraId="5716B146">
            <w:pPr>
              <w:pStyle w:val="11"/>
              <w:keepNext/>
              <w:spacing w:after="0" w:line="360" w:lineRule="auto"/>
              <w:ind w:left="66" w:right="66"/>
              <w:rPr>
                <w:rFonts w:ascii="宋体" w:hAnsi="宋体" w:cs="宋体"/>
                <w:color w:val="000000"/>
                <w:sz w:val="24"/>
                <w:szCs w:val="24"/>
              </w:rPr>
            </w:pPr>
          </w:p>
        </w:tc>
        <w:tc>
          <w:tcPr>
            <w:tcW w:w="992" w:type="dxa"/>
            <w:vAlign w:val="center"/>
          </w:tcPr>
          <w:p w14:paraId="7239D250">
            <w:pPr>
              <w:pStyle w:val="11"/>
              <w:keepNext/>
              <w:spacing w:after="0" w:line="360" w:lineRule="auto"/>
              <w:ind w:left="66" w:right="66"/>
              <w:rPr>
                <w:rFonts w:ascii="宋体" w:hAnsi="宋体" w:cs="宋体"/>
                <w:color w:val="000000"/>
                <w:sz w:val="24"/>
                <w:szCs w:val="24"/>
              </w:rPr>
            </w:pPr>
          </w:p>
        </w:tc>
        <w:tc>
          <w:tcPr>
            <w:tcW w:w="851" w:type="dxa"/>
            <w:vAlign w:val="center"/>
          </w:tcPr>
          <w:p w14:paraId="4E1722ED">
            <w:pPr>
              <w:pStyle w:val="11"/>
              <w:keepNext/>
              <w:spacing w:after="0" w:line="360" w:lineRule="auto"/>
              <w:ind w:left="66" w:right="66"/>
              <w:rPr>
                <w:rFonts w:ascii="宋体" w:hAnsi="宋体" w:cs="宋体"/>
                <w:color w:val="000000"/>
                <w:sz w:val="24"/>
                <w:szCs w:val="24"/>
              </w:rPr>
            </w:pPr>
          </w:p>
        </w:tc>
        <w:tc>
          <w:tcPr>
            <w:tcW w:w="1487" w:type="dxa"/>
            <w:vAlign w:val="center"/>
          </w:tcPr>
          <w:p w14:paraId="0A004AE9">
            <w:pPr>
              <w:pStyle w:val="11"/>
              <w:keepNext/>
              <w:spacing w:after="0" w:line="360" w:lineRule="auto"/>
              <w:ind w:left="66" w:right="66"/>
              <w:rPr>
                <w:rFonts w:ascii="宋体" w:hAnsi="宋体" w:cs="宋体"/>
                <w:color w:val="000000"/>
                <w:sz w:val="24"/>
                <w:szCs w:val="24"/>
              </w:rPr>
            </w:pPr>
          </w:p>
        </w:tc>
        <w:tc>
          <w:tcPr>
            <w:tcW w:w="992" w:type="dxa"/>
            <w:vAlign w:val="center"/>
          </w:tcPr>
          <w:p w14:paraId="77089027">
            <w:pPr>
              <w:pStyle w:val="11"/>
              <w:keepNext/>
              <w:spacing w:after="0" w:line="360" w:lineRule="auto"/>
              <w:ind w:left="66" w:right="66"/>
              <w:rPr>
                <w:rFonts w:ascii="宋体" w:hAnsi="宋体" w:cs="宋体"/>
                <w:color w:val="000000"/>
                <w:sz w:val="24"/>
                <w:szCs w:val="24"/>
              </w:rPr>
            </w:pPr>
          </w:p>
        </w:tc>
      </w:tr>
      <w:tr w14:paraId="4AEC01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D6F09C8">
            <w:pPr>
              <w:pStyle w:val="11"/>
              <w:keepNext/>
              <w:spacing w:after="0" w:line="360" w:lineRule="auto"/>
              <w:ind w:left="66" w:right="66"/>
              <w:rPr>
                <w:rFonts w:ascii="宋体" w:hAnsi="宋体" w:cs="宋体"/>
                <w:color w:val="000000"/>
                <w:sz w:val="24"/>
                <w:szCs w:val="24"/>
              </w:rPr>
            </w:pPr>
          </w:p>
        </w:tc>
        <w:tc>
          <w:tcPr>
            <w:tcW w:w="1276" w:type="dxa"/>
            <w:vAlign w:val="center"/>
          </w:tcPr>
          <w:p w14:paraId="5F8F746D">
            <w:pPr>
              <w:pStyle w:val="11"/>
              <w:keepNext/>
              <w:spacing w:after="0" w:line="360" w:lineRule="auto"/>
              <w:ind w:left="66" w:right="66"/>
              <w:rPr>
                <w:rFonts w:ascii="宋体" w:hAnsi="宋体" w:cs="宋体"/>
                <w:color w:val="000000"/>
                <w:sz w:val="24"/>
                <w:szCs w:val="24"/>
              </w:rPr>
            </w:pPr>
          </w:p>
        </w:tc>
        <w:tc>
          <w:tcPr>
            <w:tcW w:w="1418" w:type="dxa"/>
            <w:vAlign w:val="center"/>
          </w:tcPr>
          <w:p w14:paraId="74406A63">
            <w:pPr>
              <w:pStyle w:val="11"/>
              <w:keepNext/>
              <w:spacing w:after="0" w:line="360" w:lineRule="auto"/>
              <w:ind w:left="66" w:right="66"/>
              <w:rPr>
                <w:rFonts w:ascii="宋体" w:hAnsi="宋体" w:cs="宋体"/>
                <w:color w:val="000000"/>
                <w:sz w:val="24"/>
                <w:szCs w:val="24"/>
              </w:rPr>
            </w:pPr>
          </w:p>
        </w:tc>
        <w:tc>
          <w:tcPr>
            <w:tcW w:w="940" w:type="dxa"/>
            <w:vAlign w:val="center"/>
          </w:tcPr>
          <w:p w14:paraId="3DF034EC">
            <w:pPr>
              <w:pStyle w:val="11"/>
              <w:keepNext/>
              <w:spacing w:after="0" w:line="360" w:lineRule="auto"/>
              <w:ind w:left="66" w:right="66"/>
              <w:rPr>
                <w:rFonts w:ascii="宋体" w:hAnsi="宋体" w:cs="宋体"/>
                <w:color w:val="000000"/>
                <w:sz w:val="24"/>
                <w:szCs w:val="24"/>
              </w:rPr>
            </w:pPr>
          </w:p>
        </w:tc>
        <w:tc>
          <w:tcPr>
            <w:tcW w:w="851" w:type="dxa"/>
            <w:vAlign w:val="center"/>
          </w:tcPr>
          <w:p w14:paraId="4B11C6D5">
            <w:pPr>
              <w:pStyle w:val="11"/>
              <w:keepNext/>
              <w:spacing w:after="0" w:line="360" w:lineRule="auto"/>
              <w:ind w:left="66" w:right="66"/>
              <w:rPr>
                <w:rFonts w:ascii="宋体" w:hAnsi="宋体" w:cs="宋体"/>
                <w:color w:val="000000"/>
                <w:sz w:val="24"/>
                <w:szCs w:val="24"/>
              </w:rPr>
            </w:pPr>
          </w:p>
        </w:tc>
        <w:tc>
          <w:tcPr>
            <w:tcW w:w="1044" w:type="dxa"/>
            <w:vAlign w:val="center"/>
          </w:tcPr>
          <w:p w14:paraId="2A680245">
            <w:pPr>
              <w:pStyle w:val="11"/>
              <w:keepNext/>
              <w:spacing w:after="0" w:line="360" w:lineRule="auto"/>
              <w:ind w:left="66" w:right="66"/>
              <w:rPr>
                <w:rFonts w:ascii="宋体" w:hAnsi="宋体" w:cs="宋体"/>
                <w:color w:val="000000"/>
                <w:sz w:val="24"/>
                <w:szCs w:val="24"/>
              </w:rPr>
            </w:pPr>
          </w:p>
        </w:tc>
        <w:tc>
          <w:tcPr>
            <w:tcW w:w="992" w:type="dxa"/>
            <w:vAlign w:val="center"/>
          </w:tcPr>
          <w:p w14:paraId="3ED4D967">
            <w:pPr>
              <w:pStyle w:val="11"/>
              <w:keepNext/>
              <w:spacing w:after="0" w:line="360" w:lineRule="auto"/>
              <w:ind w:left="66" w:right="66"/>
              <w:rPr>
                <w:rFonts w:ascii="宋体" w:hAnsi="宋体" w:cs="宋体"/>
                <w:color w:val="000000"/>
                <w:sz w:val="24"/>
                <w:szCs w:val="24"/>
              </w:rPr>
            </w:pPr>
          </w:p>
        </w:tc>
        <w:tc>
          <w:tcPr>
            <w:tcW w:w="851" w:type="dxa"/>
            <w:vAlign w:val="center"/>
          </w:tcPr>
          <w:p w14:paraId="7921C3B6">
            <w:pPr>
              <w:pStyle w:val="11"/>
              <w:keepNext/>
              <w:spacing w:after="0" w:line="360" w:lineRule="auto"/>
              <w:ind w:left="66" w:right="66"/>
              <w:rPr>
                <w:rFonts w:ascii="宋体" w:hAnsi="宋体" w:cs="宋体"/>
                <w:color w:val="000000"/>
                <w:sz w:val="24"/>
                <w:szCs w:val="24"/>
              </w:rPr>
            </w:pPr>
          </w:p>
        </w:tc>
        <w:tc>
          <w:tcPr>
            <w:tcW w:w="1487" w:type="dxa"/>
            <w:vAlign w:val="center"/>
          </w:tcPr>
          <w:p w14:paraId="667A5384">
            <w:pPr>
              <w:pStyle w:val="11"/>
              <w:keepNext/>
              <w:spacing w:after="0" w:line="360" w:lineRule="auto"/>
              <w:ind w:left="66" w:right="66"/>
              <w:rPr>
                <w:rFonts w:ascii="宋体" w:hAnsi="宋体" w:cs="宋体"/>
                <w:color w:val="000000"/>
                <w:sz w:val="24"/>
                <w:szCs w:val="24"/>
              </w:rPr>
            </w:pPr>
          </w:p>
        </w:tc>
        <w:tc>
          <w:tcPr>
            <w:tcW w:w="992" w:type="dxa"/>
            <w:vAlign w:val="center"/>
          </w:tcPr>
          <w:p w14:paraId="7EEC0AED">
            <w:pPr>
              <w:pStyle w:val="11"/>
              <w:keepNext/>
              <w:spacing w:after="0" w:line="360" w:lineRule="auto"/>
              <w:ind w:left="66" w:right="66"/>
              <w:rPr>
                <w:rFonts w:ascii="宋体" w:hAnsi="宋体" w:cs="宋体"/>
                <w:color w:val="000000"/>
                <w:sz w:val="24"/>
                <w:szCs w:val="24"/>
              </w:rPr>
            </w:pPr>
          </w:p>
        </w:tc>
      </w:tr>
      <w:tr w14:paraId="75C88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E3EACD1">
            <w:pPr>
              <w:pStyle w:val="11"/>
              <w:keepNext/>
              <w:spacing w:after="0" w:line="360" w:lineRule="auto"/>
              <w:ind w:left="66" w:right="66"/>
              <w:rPr>
                <w:rFonts w:ascii="宋体" w:hAnsi="宋体" w:cs="宋体"/>
                <w:color w:val="000000"/>
                <w:sz w:val="24"/>
                <w:szCs w:val="24"/>
              </w:rPr>
            </w:pPr>
          </w:p>
        </w:tc>
        <w:tc>
          <w:tcPr>
            <w:tcW w:w="1276" w:type="dxa"/>
            <w:vAlign w:val="center"/>
          </w:tcPr>
          <w:p w14:paraId="233E2D19">
            <w:pPr>
              <w:pStyle w:val="11"/>
              <w:keepNext/>
              <w:spacing w:after="0" w:line="360" w:lineRule="auto"/>
              <w:ind w:left="66" w:right="66"/>
              <w:rPr>
                <w:rFonts w:ascii="宋体" w:hAnsi="宋体" w:cs="宋体"/>
                <w:color w:val="000000"/>
                <w:sz w:val="24"/>
                <w:szCs w:val="24"/>
              </w:rPr>
            </w:pPr>
          </w:p>
        </w:tc>
        <w:tc>
          <w:tcPr>
            <w:tcW w:w="1418" w:type="dxa"/>
            <w:vAlign w:val="center"/>
          </w:tcPr>
          <w:p w14:paraId="71B4FE64">
            <w:pPr>
              <w:pStyle w:val="11"/>
              <w:keepNext/>
              <w:spacing w:after="0" w:line="360" w:lineRule="auto"/>
              <w:ind w:left="66" w:right="66"/>
              <w:rPr>
                <w:rFonts w:ascii="宋体" w:hAnsi="宋体" w:cs="宋体"/>
                <w:color w:val="000000"/>
                <w:sz w:val="24"/>
                <w:szCs w:val="24"/>
              </w:rPr>
            </w:pPr>
          </w:p>
        </w:tc>
        <w:tc>
          <w:tcPr>
            <w:tcW w:w="940" w:type="dxa"/>
            <w:vAlign w:val="center"/>
          </w:tcPr>
          <w:p w14:paraId="76B1F8C4">
            <w:pPr>
              <w:pStyle w:val="11"/>
              <w:keepNext/>
              <w:spacing w:after="0" w:line="360" w:lineRule="auto"/>
              <w:ind w:left="66" w:right="66"/>
              <w:rPr>
                <w:rFonts w:ascii="宋体" w:hAnsi="宋体" w:cs="宋体"/>
                <w:color w:val="000000"/>
                <w:sz w:val="24"/>
                <w:szCs w:val="24"/>
              </w:rPr>
            </w:pPr>
          </w:p>
        </w:tc>
        <w:tc>
          <w:tcPr>
            <w:tcW w:w="851" w:type="dxa"/>
            <w:vAlign w:val="center"/>
          </w:tcPr>
          <w:p w14:paraId="547B51B4">
            <w:pPr>
              <w:pStyle w:val="11"/>
              <w:keepNext/>
              <w:spacing w:after="0" w:line="360" w:lineRule="auto"/>
              <w:ind w:left="66" w:right="66"/>
              <w:rPr>
                <w:rFonts w:ascii="宋体" w:hAnsi="宋体" w:cs="宋体"/>
                <w:color w:val="000000"/>
                <w:sz w:val="24"/>
                <w:szCs w:val="24"/>
              </w:rPr>
            </w:pPr>
          </w:p>
        </w:tc>
        <w:tc>
          <w:tcPr>
            <w:tcW w:w="1044" w:type="dxa"/>
            <w:vAlign w:val="center"/>
          </w:tcPr>
          <w:p w14:paraId="43B38809">
            <w:pPr>
              <w:pStyle w:val="11"/>
              <w:keepNext/>
              <w:spacing w:after="0" w:line="360" w:lineRule="auto"/>
              <w:ind w:left="66" w:right="66"/>
              <w:rPr>
                <w:rFonts w:ascii="宋体" w:hAnsi="宋体" w:cs="宋体"/>
                <w:color w:val="000000"/>
                <w:sz w:val="24"/>
                <w:szCs w:val="24"/>
              </w:rPr>
            </w:pPr>
          </w:p>
        </w:tc>
        <w:tc>
          <w:tcPr>
            <w:tcW w:w="992" w:type="dxa"/>
            <w:vAlign w:val="center"/>
          </w:tcPr>
          <w:p w14:paraId="7FC68985">
            <w:pPr>
              <w:pStyle w:val="11"/>
              <w:keepNext/>
              <w:spacing w:after="0" w:line="360" w:lineRule="auto"/>
              <w:ind w:left="66" w:right="66"/>
              <w:rPr>
                <w:rFonts w:ascii="宋体" w:hAnsi="宋体" w:cs="宋体"/>
                <w:color w:val="000000"/>
                <w:sz w:val="24"/>
                <w:szCs w:val="24"/>
              </w:rPr>
            </w:pPr>
          </w:p>
        </w:tc>
        <w:tc>
          <w:tcPr>
            <w:tcW w:w="851" w:type="dxa"/>
            <w:vAlign w:val="center"/>
          </w:tcPr>
          <w:p w14:paraId="0725EAB4">
            <w:pPr>
              <w:pStyle w:val="11"/>
              <w:keepNext/>
              <w:spacing w:after="0" w:line="360" w:lineRule="auto"/>
              <w:ind w:left="66" w:right="66"/>
              <w:rPr>
                <w:rFonts w:ascii="宋体" w:hAnsi="宋体" w:cs="宋体"/>
                <w:color w:val="000000"/>
                <w:sz w:val="24"/>
                <w:szCs w:val="24"/>
              </w:rPr>
            </w:pPr>
          </w:p>
        </w:tc>
        <w:tc>
          <w:tcPr>
            <w:tcW w:w="1487" w:type="dxa"/>
            <w:vAlign w:val="center"/>
          </w:tcPr>
          <w:p w14:paraId="38475C26">
            <w:pPr>
              <w:pStyle w:val="11"/>
              <w:keepNext/>
              <w:spacing w:after="0" w:line="360" w:lineRule="auto"/>
              <w:ind w:left="66" w:right="66"/>
              <w:rPr>
                <w:rFonts w:ascii="宋体" w:hAnsi="宋体" w:cs="宋体"/>
                <w:color w:val="000000"/>
                <w:sz w:val="24"/>
                <w:szCs w:val="24"/>
              </w:rPr>
            </w:pPr>
          </w:p>
        </w:tc>
        <w:tc>
          <w:tcPr>
            <w:tcW w:w="992" w:type="dxa"/>
            <w:vAlign w:val="center"/>
          </w:tcPr>
          <w:p w14:paraId="67712CF9">
            <w:pPr>
              <w:pStyle w:val="11"/>
              <w:keepNext/>
              <w:spacing w:after="0" w:line="360" w:lineRule="auto"/>
              <w:ind w:left="66" w:right="66"/>
              <w:rPr>
                <w:rFonts w:ascii="宋体" w:hAnsi="宋体" w:cs="宋体"/>
                <w:color w:val="000000"/>
                <w:sz w:val="24"/>
                <w:szCs w:val="24"/>
              </w:rPr>
            </w:pPr>
          </w:p>
        </w:tc>
      </w:tr>
      <w:tr w14:paraId="2F8EB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A626A75">
            <w:pPr>
              <w:spacing w:line="360" w:lineRule="auto"/>
              <w:jc w:val="center"/>
              <w:rPr>
                <w:rFonts w:ascii="宋体" w:hAnsi="宋体" w:cs="宋体"/>
                <w:color w:val="000000"/>
                <w:sz w:val="24"/>
                <w:szCs w:val="24"/>
              </w:rPr>
            </w:pPr>
          </w:p>
        </w:tc>
        <w:tc>
          <w:tcPr>
            <w:tcW w:w="1276" w:type="dxa"/>
            <w:vAlign w:val="center"/>
          </w:tcPr>
          <w:p w14:paraId="5D97D1C4">
            <w:pPr>
              <w:spacing w:line="360" w:lineRule="auto"/>
              <w:jc w:val="center"/>
              <w:rPr>
                <w:rFonts w:ascii="宋体" w:hAnsi="宋体" w:cs="宋体"/>
                <w:color w:val="000000"/>
                <w:sz w:val="24"/>
                <w:szCs w:val="24"/>
              </w:rPr>
            </w:pPr>
          </w:p>
        </w:tc>
        <w:tc>
          <w:tcPr>
            <w:tcW w:w="1418" w:type="dxa"/>
            <w:vAlign w:val="center"/>
          </w:tcPr>
          <w:p w14:paraId="53DF7FFE">
            <w:pPr>
              <w:spacing w:line="360" w:lineRule="auto"/>
              <w:jc w:val="center"/>
              <w:rPr>
                <w:rFonts w:ascii="宋体" w:hAnsi="宋体" w:cs="宋体"/>
                <w:color w:val="000000"/>
                <w:sz w:val="24"/>
                <w:szCs w:val="24"/>
              </w:rPr>
            </w:pPr>
          </w:p>
        </w:tc>
        <w:tc>
          <w:tcPr>
            <w:tcW w:w="940" w:type="dxa"/>
            <w:vAlign w:val="center"/>
          </w:tcPr>
          <w:p w14:paraId="331DFBE1">
            <w:pPr>
              <w:spacing w:line="360" w:lineRule="auto"/>
              <w:jc w:val="center"/>
              <w:rPr>
                <w:rFonts w:ascii="宋体" w:hAnsi="宋体" w:cs="宋体"/>
                <w:color w:val="000000"/>
                <w:sz w:val="24"/>
                <w:szCs w:val="24"/>
              </w:rPr>
            </w:pPr>
          </w:p>
        </w:tc>
        <w:tc>
          <w:tcPr>
            <w:tcW w:w="851" w:type="dxa"/>
            <w:vAlign w:val="center"/>
          </w:tcPr>
          <w:p w14:paraId="7FAFA1B8">
            <w:pPr>
              <w:spacing w:line="360" w:lineRule="auto"/>
              <w:jc w:val="center"/>
              <w:rPr>
                <w:rFonts w:ascii="宋体" w:hAnsi="宋体" w:cs="宋体"/>
                <w:color w:val="000000"/>
                <w:sz w:val="24"/>
                <w:szCs w:val="24"/>
              </w:rPr>
            </w:pPr>
          </w:p>
        </w:tc>
        <w:tc>
          <w:tcPr>
            <w:tcW w:w="1044" w:type="dxa"/>
            <w:vAlign w:val="center"/>
          </w:tcPr>
          <w:p w14:paraId="2B231ACE">
            <w:pPr>
              <w:spacing w:line="360" w:lineRule="auto"/>
              <w:jc w:val="center"/>
              <w:rPr>
                <w:rFonts w:ascii="宋体" w:hAnsi="宋体" w:cs="宋体"/>
                <w:color w:val="000000"/>
                <w:sz w:val="24"/>
                <w:szCs w:val="24"/>
              </w:rPr>
            </w:pPr>
          </w:p>
        </w:tc>
        <w:tc>
          <w:tcPr>
            <w:tcW w:w="992" w:type="dxa"/>
            <w:vAlign w:val="center"/>
          </w:tcPr>
          <w:p w14:paraId="3E7CC0D5">
            <w:pPr>
              <w:spacing w:line="360" w:lineRule="auto"/>
              <w:jc w:val="center"/>
              <w:rPr>
                <w:rFonts w:ascii="宋体" w:hAnsi="宋体" w:cs="宋体"/>
                <w:color w:val="000000"/>
                <w:sz w:val="24"/>
                <w:szCs w:val="24"/>
              </w:rPr>
            </w:pPr>
          </w:p>
        </w:tc>
        <w:tc>
          <w:tcPr>
            <w:tcW w:w="851" w:type="dxa"/>
            <w:vAlign w:val="center"/>
          </w:tcPr>
          <w:p w14:paraId="68446FB8">
            <w:pPr>
              <w:spacing w:line="360" w:lineRule="auto"/>
              <w:jc w:val="center"/>
              <w:rPr>
                <w:rFonts w:ascii="宋体" w:hAnsi="宋体" w:cs="宋体"/>
                <w:color w:val="000000"/>
                <w:sz w:val="24"/>
                <w:szCs w:val="24"/>
              </w:rPr>
            </w:pPr>
          </w:p>
        </w:tc>
        <w:tc>
          <w:tcPr>
            <w:tcW w:w="1487" w:type="dxa"/>
            <w:vAlign w:val="center"/>
          </w:tcPr>
          <w:p w14:paraId="21D43EBA">
            <w:pPr>
              <w:spacing w:line="360" w:lineRule="auto"/>
              <w:jc w:val="center"/>
              <w:rPr>
                <w:rFonts w:ascii="宋体" w:hAnsi="宋体" w:cs="宋体"/>
                <w:color w:val="000000"/>
                <w:sz w:val="24"/>
                <w:szCs w:val="24"/>
              </w:rPr>
            </w:pPr>
          </w:p>
        </w:tc>
        <w:tc>
          <w:tcPr>
            <w:tcW w:w="992" w:type="dxa"/>
            <w:vAlign w:val="center"/>
          </w:tcPr>
          <w:p w14:paraId="6B5E43DC">
            <w:pPr>
              <w:spacing w:line="360" w:lineRule="auto"/>
              <w:jc w:val="center"/>
              <w:rPr>
                <w:rFonts w:ascii="宋体" w:hAnsi="宋体" w:cs="宋体"/>
                <w:color w:val="000000"/>
                <w:sz w:val="24"/>
                <w:szCs w:val="24"/>
              </w:rPr>
            </w:pPr>
          </w:p>
        </w:tc>
      </w:tr>
      <w:tr w14:paraId="316887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C8346B0">
            <w:pPr>
              <w:pStyle w:val="11"/>
              <w:keepNext/>
              <w:spacing w:after="0" w:line="360" w:lineRule="auto"/>
              <w:ind w:left="66" w:right="66"/>
              <w:rPr>
                <w:rFonts w:ascii="宋体" w:hAnsi="宋体" w:cs="宋体"/>
                <w:color w:val="000000"/>
                <w:sz w:val="24"/>
                <w:szCs w:val="24"/>
              </w:rPr>
            </w:pPr>
          </w:p>
        </w:tc>
        <w:tc>
          <w:tcPr>
            <w:tcW w:w="1276" w:type="dxa"/>
            <w:vAlign w:val="center"/>
          </w:tcPr>
          <w:p w14:paraId="2A12EA2A">
            <w:pPr>
              <w:pStyle w:val="11"/>
              <w:keepNext/>
              <w:spacing w:after="0" w:line="360" w:lineRule="auto"/>
              <w:ind w:left="66" w:right="66"/>
              <w:rPr>
                <w:rFonts w:ascii="宋体" w:hAnsi="宋体" w:cs="宋体"/>
                <w:color w:val="000000"/>
                <w:sz w:val="24"/>
                <w:szCs w:val="24"/>
              </w:rPr>
            </w:pPr>
          </w:p>
        </w:tc>
        <w:tc>
          <w:tcPr>
            <w:tcW w:w="1418" w:type="dxa"/>
            <w:vAlign w:val="center"/>
          </w:tcPr>
          <w:p w14:paraId="1263B2B0">
            <w:pPr>
              <w:pStyle w:val="11"/>
              <w:keepNext/>
              <w:spacing w:after="0" w:line="360" w:lineRule="auto"/>
              <w:ind w:left="66" w:right="66"/>
              <w:rPr>
                <w:rFonts w:ascii="宋体" w:hAnsi="宋体" w:cs="宋体"/>
                <w:color w:val="000000"/>
                <w:sz w:val="24"/>
                <w:szCs w:val="24"/>
              </w:rPr>
            </w:pPr>
          </w:p>
        </w:tc>
        <w:tc>
          <w:tcPr>
            <w:tcW w:w="940" w:type="dxa"/>
            <w:vAlign w:val="center"/>
          </w:tcPr>
          <w:p w14:paraId="14C551B9">
            <w:pPr>
              <w:pStyle w:val="11"/>
              <w:keepNext/>
              <w:spacing w:after="0" w:line="360" w:lineRule="auto"/>
              <w:ind w:left="66" w:right="66"/>
              <w:rPr>
                <w:rFonts w:ascii="宋体" w:hAnsi="宋体" w:cs="宋体"/>
                <w:color w:val="000000"/>
                <w:sz w:val="24"/>
                <w:szCs w:val="24"/>
              </w:rPr>
            </w:pPr>
          </w:p>
        </w:tc>
        <w:tc>
          <w:tcPr>
            <w:tcW w:w="851" w:type="dxa"/>
            <w:vAlign w:val="center"/>
          </w:tcPr>
          <w:p w14:paraId="1FD64969">
            <w:pPr>
              <w:pStyle w:val="11"/>
              <w:keepNext/>
              <w:spacing w:after="0" w:line="360" w:lineRule="auto"/>
              <w:ind w:left="66" w:right="66"/>
              <w:rPr>
                <w:rFonts w:ascii="宋体" w:hAnsi="宋体" w:cs="宋体"/>
                <w:color w:val="000000"/>
                <w:sz w:val="24"/>
                <w:szCs w:val="24"/>
              </w:rPr>
            </w:pPr>
          </w:p>
        </w:tc>
        <w:tc>
          <w:tcPr>
            <w:tcW w:w="1044" w:type="dxa"/>
            <w:vAlign w:val="center"/>
          </w:tcPr>
          <w:p w14:paraId="49D7518D">
            <w:pPr>
              <w:pStyle w:val="11"/>
              <w:keepNext/>
              <w:spacing w:after="0" w:line="360" w:lineRule="auto"/>
              <w:ind w:left="66" w:right="66"/>
              <w:rPr>
                <w:rFonts w:ascii="宋体" w:hAnsi="宋体" w:cs="宋体"/>
                <w:color w:val="000000"/>
                <w:sz w:val="24"/>
                <w:szCs w:val="24"/>
              </w:rPr>
            </w:pPr>
          </w:p>
        </w:tc>
        <w:tc>
          <w:tcPr>
            <w:tcW w:w="992" w:type="dxa"/>
            <w:vAlign w:val="center"/>
          </w:tcPr>
          <w:p w14:paraId="5BF73FC2">
            <w:pPr>
              <w:pStyle w:val="11"/>
              <w:keepNext/>
              <w:spacing w:after="0" w:line="360" w:lineRule="auto"/>
              <w:ind w:left="66" w:right="66"/>
              <w:rPr>
                <w:rFonts w:ascii="宋体" w:hAnsi="宋体" w:cs="宋体"/>
                <w:color w:val="000000"/>
                <w:sz w:val="24"/>
                <w:szCs w:val="24"/>
              </w:rPr>
            </w:pPr>
          </w:p>
        </w:tc>
        <w:tc>
          <w:tcPr>
            <w:tcW w:w="851" w:type="dxa"/>
            <w:vAlign w:val="center"/>
          </w:tcPr>
          <w:p w14:paraId="5DFB02D2">
            <w:pPr>
              <w:pStyle w:val="11"/>
              <w:keepNext/>
              <w:spacing w:after="0" w:line="360" w:lineRule="auto"/>
              <w:ind w:left="66" w:right="66"/>
              <w:rPr>
                <w:rFonts w:ascii="宋体" w:hAnsi="宋体" w:cs="宋体"/>
                <w:color w:val="000000"/>
                <w:sz w:val="24"/>
                <w:szCs w:val="24"/>
              </w:rPr>
            </w:pPr>
          </w:p>
        </w:tc>
        <w:tc>
          <w:tcPr>
            <w:tcW w:w="1487" w:type="dxa"/>
            <w:vAlign w:val="center"/>
          </w:tcPr>
          <w:p w14:paraId="56A0DEC5">
            <w:pPr>
              <w:pStyle w:val="11"/>
              <w:keepNext/>
              <w:spacing w:after="0" w:line="360" w:lineRule="auto"/>
              <w:ind w:left="66" w:right="66"/>
              <w:rPr>
                <w:rFonts w:ascii="宋体" w:hAnsi="宋体" w:cs="宋体"/>
                <w:color w:val="000000"/>
                <w:sz w:val="24"/>
                <w:szCs w:val="24"/>
              </w:rPr>
            </w:pPr>
          </w:p>
        </w:tc>
        <w:tc>
          <w:tcPr>
            <w:tcW w:w="992" w:type="dxa"/>
            <w:vAlign w:val="center"/>
          </w:tcPr>
          <w:p w14:paraId="0C9711F1">
            <w:pPr>
              <w:pStyle w:val="11"/>
              <w:keepNext/>
              <w:spacing w:after="0" w:line="360" w:lineRule="auto"/>
              <w:ind w:left="66" w:right="66"/>
              <w:rPr>
                <w:rFonts w:ascii="宋体" w:hAnsi="宋体" w:cs="宋体"/>
                <w:color w:val="000000"/>
                <w:sz w:val="24"/>
                <w:szCs w:val="24"/>
              </w:rPr>
            </w:pPr>
          </w:p>
        </w:tc>
      </w:tr>
      <w:tr w14:paraId="6D4DC9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61580BE">
            <w:pPr>
              <w:spacing w:line="360" w:lineRule="auto"/>
              <w:jc w:val="center"/>
              <w:rPr>
                <w:rFonts w:ascii="宋体" w:hAnsi="宋体" w:cs="宋体"/>
                <w:color w:val="000000"/>
                <w:sz w:val="24"/>
                <w:szCs w:val="24"/>
              </w:rPr>
            </w:pPr>
          </w:p>
        </w:tc>
        <w:tc>
          <w:tcPr>
            <w:tcW w:w="1276" w:type="dxa"/>
            <w:vAlign w:val="center"/>
          </w:tcPr>
          <w:p w14:paraId="5A34C93F">
            <w:pPr>
              <w:spacing w:line="360" w:lineRule="auto"/>
              <w:jc w:val="center"/>
              <w:rPr>
                <w:rFonts w:ascii="宋体" w:hAnsi="宋体" w:cs="宋体"/>
                <w:color w:val="000000"/>
                <w:sz w:val="24"/>
                <w:szCs w:val="24"/>
              </w:rPr>
            </w:pPr>
          </w:p>
        </w:tc>
        <w:tc>
          <w:tcPr>
            <w:tcW w:w="1418" w:type="dxa"/>
            <w:vAlign w:val="center"/>
          </w:tcPr>
          <w:p w14:paraId="72D03DC3">
            <w:pPr>
              <w:spacing w:line="360" w:lineRule="auto"/>
              <w:jc w:val="center"/>
              <w:rPr>
                <w:rFonts w:ascii="宋体" w:hAnsi="宋体" w:cs="宋体"/>
                <w:color w:val="000000"/>
                <w:sz w:val="24"/>
                <w:szCs w:val="24"/>
              </w:rPr>
            </w:pPr>
          </w:p>
        </w:tc>
        <w:tc>
          <w:tcPr>
            <w:tcW w:w="940" w:type="dxa"/>
            <w:vAlign w:val="center"/>
          </w:tcPr>
          <w:p w14:paraId="4026BC10">
            <w:pPr>
              <w:spacing w:line="360" w:lineRule="auto"/>
              <w:jc w:val="center"/>
              <w:rPr>
                <w:rFonts w:ascii="宋体" w:hAnsi="宋体" w:cs="宋体"/>
                <w:color w:val="000000"/>
                <w:sz w:val="24"/>
                <w:szCs w:val="24"/>
              </w:rPr>
            </w:pPr>
          </w:p>
        </w:tc>
        <w:tc>
          <w:tcPr>
            <w:tcW w:w="851" w:type="dxa"/>
            <w:vAlign w:val="center"/>
          </w:tcPr>
          <w:p w14:paraId="48E5CC3E">
            <w:pPr>
              <w:spacing w:line="360" w:lineRule="auto"/>
              <w:jc w:val="center"/>
              <w:rPr>
                <w:rFonts w:ascii="宋体" w:hAnsi="宋体" w:cs="宋体"/>
                <w:color w:val="000000"/>
                <w:sz w:val="24"/>
                <w:szCs w:val="24"/>
              </w:rPr>
            </w:pPr>
          </w:p>
        </w:tc>
        <w:tc>
          <w:tcPr>
            <w:tcW w:w="1044" w:type="dxa"/>
            <w:vAlign w:val="center"/>
          </w:tcPr>
          <w:p w14:paraId="485E2C1D">
            <w:pPr>
              <w:spacing w:line="360" w:lineRule="auto"/>
              <w:jc w:val="center"/>
              <w:rPr>
                <w:rFonts w:ascii="宋体" w:hAnsi="宋体" w:cs="宋体"/>
                <w:color w:val="000000"/>
                <w:sz w:val="24"/>
                <w:szCs w:val="24"/>
              </w:rPr>
            </w:pPr>
          </w:p>
        </w:tc>
        <w:tc>
          <w:tcPr>
            <w:tcW w:w="992" w:type="dxa"/>
            <w:vAlign w:val="center"/>
          </w:tcPr>
          <w:p w14:paraId="11B712CF">
            <w:pPr>
              <w:spacing w:line="360" w:lineRule="auto"/>
              <w:jc w:val="center"/>
              <w:rPr>
                <w:rFonts w:ascii="宋体" w:hAnsi="宋体" w:cs="宋体"/>
                <w:color w:val="000000"/>
                <w:sz w:val="24"/>
                <w:szCs w:val="24"/>
              </w:rPr>
            </w:pPr>
          </w:p>
        </w:tc>
        <w:tc>
          <w:tcPr>
            <w:tcW w:w="851" w:type="dxa"/>
            <w:vAlign w:val="center"/>
          </w:tcPr>
          <w:p w14:paraId="1E8CECE5">
            <w:pPr>
              <w:spacing w:line="360" w:lineRule="auto"/>
              <w:jc w:val="center"/>
              <w:rPr>
                <w:rFonts w:ascii="宋体" w:hAnsi="宋体" w:cs="宋体"/>
                <w:color w:val="000000"/>
                <w:sz w:val="24"/>
                <w:szCs w:val="24"/>
              </w:rPr>
            </w:pPr>
          </w:p>
        </w:tc>
        <w:tc>
          <w:tcPr>
            <w:tcW w:w="1487" w:type="dxa"/>
            <w:vAlign w:val="center"/>
          </w:tcPr>
          <w:p w14:paraId="0AD8328A">
            <w:pPr>
              <w:spacing w:line="360" w:lineRule="auto"/>
              <w:jc w:val="center"/>
              <w:rPr>
                <w:rFonts w:ascii="宋体" w:hAnsi="宋体" w:cs="宋体"/>
                <w:color w:val="000000"/>
                <w:sz w:val="24"/>
                <w:szCs w:val="24"/>
              </w:rPr>
            </w:pPr>
          </w:p>
        </w:tc>
        <w:tc>
          <w:tcPr>
            <w:tcW w:w="992" w:type="dxa"/>
            <w:vAlign w:val="center"/>
          </w:tcPr>
          <w:p w14:paraId="42EF3408">
            <w:pPr>
              <w:spacing w:line="360" w:lineRule="auto"/>
              <w:jc w:val="center"/>
              <w:rPr>
                <w:rFonts w:ascii="宋体" w:hAnsi="宋体" w:cs="宋体"/>
                <w:color w:val="000000"/>
                <w:sz w:val="24"/>
                <w:szCs w:val="24"/>
              </w:rPr>
            </w:pPr>
          </w:p>
        </w:tc>
      </w:tr>
      <w:tr w14:paraId="0607E0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AF31C50">
            <w:pPr>
              <w:spacing w:line="360" w:lineRule="auto"/>
              <w:jc w:val="center"/>
              <w:rPr>
                <w:rFonts w:ascii="宋体" w:hAnsi="宋体" w:cs="宋体"/>
                <w:color w:val="000000"/>
                <w:sz w:val="24"/>
                <w:szCs w:val="24"/>
              </w:rPr>
            </w:pPr>
          </w:p>
        </w:tc>
        <w:tc>
          <w:tcPr>
            <w:tcW w:w="1276" w:type="dxa"/>
            <w:vAlign w:val="center"/>
          </w:tcPr>
          <w:p w14:paraId="23D8E79E">
            <w:pPr>
              <w:spacing w:line="360" w:lineRule="auto"/>
              <w:jc w:val="center"/>
              <w:rPr>
                <w:rFonts w:ascii="宋体" w:hAnsi="宋体" w:cs="宋体"/>
                <w:color w:val="000000"/>
                <w:sz w:val="24"/>
                <w:szCs w:val="24"/>
              </w:rPr>
            </w:pPr>
          </w:p>
        </w:tc>
        <w:tc>
          <w:tcPr>
            <w:tcW w:w="1418" w:type="dxa"/>
            <w:vAlign w:val="center"/>
          </w:tcPr>
          <w:p w14:paraId="40E48C6F">
            <w:pPr>
              <w:spacing w:line="360" w:lineRule="auto"/>
              <w:jc w:val="center"/>
              <w:rPr>
                <w:rFonts w:ascii="宋体" w:hAnsi="宋体" w:cs="宋体"/>
                <w:color w:val="000000"/>
                <w:sz w:val="24"/>
                <w:szCs w:val="24"/>
              </w:rPr>
            </w:pPr>
          </w:p>
        </w:tc>
        <w:tc>
          <w:tcPr>
            <w:tcW w:w="940" w:type="dxa"/>
            <w:vAlign w:val="center"/>
          </w:tcPr>
          <w:p w14:paraId="3961ECAB">
            <w:pPr>
              <w:spacing w:line="360" w:lineRule="auto"/>
              <w:jc w:val="center"/>
              <w:rPr>
                <w:rFonts w:ascii="宋体" w:hAnsi="宋体" w:cs="宋体"/>
                <w:color w:val="000000"/>
                <w:sz w:val="24"/>
                <w:szCs w:val="24"/>
              </w:rPr>
            </w:pPr>
          </w:p>
        </w:tc>
        <w:tc>
          <w:tcPr>
            <w:tcW w:w="851" w:type="dxa"/>
            <w:vAlign w:val="center"/>
          </w:tcPr>
          <w:p w14:paraId="3FEB263F">
            <w:pPr>
              <w:spacing w:line="360" w:lineRule="auto"/>
              <w:jc w:val="center"/>
              <w:rPr>
                <w:rFonts w:ascii="宋体" w:hAnsi="宋体" w:cs="宋体"/>
                <w:color w:val="000000"/>
                <w:sz w:val="24"/>
                <w:szCs w:val="24"/>
              </w:rPr>
            </w:pPr>
          </w:p>
        </w:tc>
        <w:tc>
          <w:tcPr>
            <w:tcW w:w="1044" w:type="dxa"/>
            <w:vAlign w:val="center"/>
          </w:tcPr>
          <w:p w14:paraId="76BFDE21">
            <w:pPr>
              <w:spacing w:line="360" w:lineRule="auto"/>
              <w:jc w:val="center"/>
              <w:rPr>
                <w:rFonts w:ascii="宋体" w:hAnsi="宋体" w:cs="宋体"/>
                <w:color w:val="000000"/>
                <w:sz w:val="24"/>
                <w:szCs w:val="24"/>
              </w:rPr>
            </w:pPr>
          </w:p>
        </w:tc>
        <w:tc>
          <w:tcPr>
            <w:tcW w:w="992" w:type="dxa"/>
            <w:vAlign w:val="center"/>
          </w:tcPr>
          <w:p w14:paraId="5C22B713">
            <w:pPr>
              <w:spacing w:line="360" w:lineRule="auto"/>
              <w:jc w:val="center"/>
              <w:rPr>
                <w:rFonts w:ascii="宋体" w:hAnsi="宋体" w:cs="宋体"/>
                <w:color w:val="000000"/>
                <w:sz w:val="24"/>
                <w:szCs w:val="24"/>
              </w:rPr>
            </w:pPr>
          </w:p>
        </w:tc>
        <w:tc>
          <w:tcPr>
            <w:tcW w:w="851" w:type="dxa"/>
            <w:vAlign w:val="center"/>
          </w:tcPr>
          <w:p w14:paraId="0017E17F">
            <w:pPr>
              <w:spacing w:line="360" w:lineRule="auto"/>
              <w:jc w:val="center"/>
              <w:rPr>
                <w:rFonts w:ascii="宋体" w:hAnsi="宋体" w:cs="宋体"/>
                <w:color w:val="000000"/>
                <w:sz w:val="24"/>
                <w:szCs w:val="24"/>
              </w:rPr>
            </w:pPr>
          </w:p>
        </w:tc>
        <w:tc>
          <w:tcPr>
            <w:tcW w:w="1487" w:type="dxa"/>
            <w:vAlign w:val="center"/>
          </w:tcPr>
          <w:p w14:paraId="424CF661">
            <w:pPr>
              <w:spacing w:line="360" w:lineRule="auto"/>
              <w:jc w:val="center"/>
              <w:rPr>
                <w:rFonts w:ascii="宋体" w:hAnsi="宋体" w:cs="宋体"/>
                <w:color w:val="000000"/>
                <w:sz w:val="24"/>
                <w:szCs w:val="24"/>
              </w:rPr>
            </w:pPr>
          </w:p>
        </w:tc>
        <w:tc>
          <w:tcPr>
            <w:tcW w:w="992" w:type="dxa"/>
            <w:vAlign w:val="center"/>
          </w:tcPr>
          <w:p w14:paraId="6B53C77B">
            <w:pPr>
              <w:spacing w:line="360" w:lineRule="auto"/>
              <w:jc w:val="center"/>
              <w:rPr>
                <w:rFonts w:ascii="宋体" w:hAnsi="宋体" w:cs="宋体"/>
                <w:color w:val="000000"/>
                <w:sz w:val="24"/>
                <w:szCs w:val="24"/>
              </w:rPr>
            </w:pPr>
          </w:p>
        </w:tc>
      </w:tr>
      <w:tr w14:paraId="5F2295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99F7001">
            <w:pPr>
              <w:spacing w:line="360" w:lineRule="auto"/>
              <w:jc w:val="center"/>
              <w:rPr>
                <w:rFonts w:ascii="宋体" w:hAnsi="宋体" w:cs="宋体"/>
                <w:color w:val="000000"/>
                <w:sz w:val="24"/>
                <w:szCs w:val="24"/>
              </w:rPr>
            </w:pPr>
          </w:p>
        </w:tc>
        <w:tc>
          <w:tcPr>
            <w:tcW w:w="1276" w:type="dxa"/>
            <w:vAlign w:val="center"/>
          </w:tcPr>
          <w:p w14:paraId="1D859601">
            <w:pPr>
              <w:spacing w:line="360" w:lineRule="auto"/>
              <w:jc w:val="center"/>
              <w:rPr>
                <w:rFonts w:ascii="宋体" w:hAnsi="宋体" w:cs="宋体"/>
                <w:color w:val="000000"/>
                <w:sz w:val="24"/>
                <w:szCs w:val="24"/>
              </w:rPr>
            </w:pPr>
          </w:p>
        </w:tc>
        <w:tc>
          <w:tcPr>
            <w:tcW w:w="1418" w:type="dxa"/>
            <w:vAlign w:val="center"/>
          </w:tcPr>
          <w:p w14:paraId="67417ECD">
            <w:pPr>
              <w:spacing w:line="360" w:lineRule="auto"/>
              <w:jc w:val="center"/>
              <w:rPr>
                <w:rFonts w:ascii="宋体" w:hAnsi="宋体" w:cs="宋体"/>
                <w:color w:val="000000"/>
                <w:sz w:val="24"/>
                <w:szCs w:val="24"/>
              </w:rPr>
            </w:pPr>
          </w:p>
        </w:tc>
        <w:tc>
          <w:tcPr>
            <w:tcW w:w="940" w:type="dxa"/>
            <w:vAlign w:val="center"/>
          </w:tcPr>
          <w:p w14:paraId="10926B3B">
            <w:pPr>
              <w:spacing w:line="360" w:lineRule="auto"/>
              <w:jc w:val="center"/>
              <w:rPr>
                <w:rFonts w:ascii="宋体" w:hAnsi="宋体" w:cs="宋体"/>
                <w:color w:val="000000"/>
                <w:sz w:val="24"/>
                <w:szCs w:val="24"/>
              </w:rPr>
            </w:pPr>
          </w:p>
        </w:tc>
        <w:tc>
          <w:tcPr>
            <w:tcW w:w="851" w:type="dxa"/>
            <w:vAlign w:val="center"/>
          </w:tcPr>
          <w:p w14:paraId="68B8BFC8">
            <w:pPr>
              <w:spacing w:line="360" w:lineRule="auto"/>
              <w:jc w:val="center"/>
              <w:rPr>
                <w:rFonts w:ascii="宋体" w:hAnsi="宋体" w:cs="宋体"/>
                <w:color w:val="000000"/>
                <w:sz w:val="24"/>
                <w:szCs w:val="24"/>
              </w:rPr>
            </w:pPr>
          </w:p>
        </w:tc>
        <w:tc>
          <w:tcPr>
            <w:tcW w:w="1044" w:type="dxa"/>
            <w:vAlign w:val="center"/>
          </w:tcPr>
          <w:p w14:paraId="79C1B716">
            <w:pPr>
              <w:spacing w:line="360" w:lineRule="auto"/>
              <w:jc w:val="center"/>
              <w:rPr>
                <w:rFonts w:ascii="宋体" w:hAnsi="宋体" w:cs="宋体"/>
                <w:color w:val="000000"/>
                <w:sz w:val="24"/>
                <w:szCs w:val="24"/>
              </w:rPr>
            </w:pPr>
          </w:p>
        </w:tc>
        <w:tc>
          <w:tcPr>
            <w:tcW w:w="992" w:type="dxa"/>
            <w:vAlign w:val="center"/>
          </w:tcPr>
          <w:p w14:paraId="69EDA737">
            <w:pPr>
              <w:spacing w:line="360" w:lineRule="auto"/>
              <w:jc w:val="center"/>
              <w:rPr>
                <w:rFonts w:ascii="宋体" w:hAnsi="宋体" w:cs="宋体"/>
                <w:color w:val="000000"/>
                <w:sz w:val="24"/>
                <w:szCs w:val="24"/>
              </w:rPr>
            </w:pPr>
          </w:p>
        </w:tc>
        <w:tc>
          <w:tcPr>
            <w:tcW w:w="851" w:type="dxa"/>
            <w:vAlign w:val="center"/>
          </w:tcPr>
          <w:p w14:paraId="3D993FB1">
            <w:pPr>
              <w:spacing w:line="360" w:lineRule="auto"/>
              <w:jc w:val="center"/>
              <w:rPr>
                <w:rFonts w:ascii="宋体" w:hAnsi="宋体" w:cs="宋体"/>
                <w:color w:val="000000"/>
                <w:sz w:val="24"/>
                <w:szCs w:val="24"/>
              </w:rPr>
            </w:pPr>
          </w:p>
        </w:tc>
        <w:tc>
          <w:tcPr>
            <w:tcW w:w="1487" w:type="dxa"/>
            <w:vAlign w:val="center"/>
          </w:tcPr>
          <w:p w14:paraId="72ED5CCE">
            <w:pPr>
              <w:spacing w:line="360" w:lineRule="auto"/>
              <w:jc w:val="center"/>
              <w:rPr>
                <w:rFonts w:ascii="宋体" w:hAnsi="宋体" w:cs="宋体"/>
                <w:color w:val="000000"/>
                <w:sz w:val="24"/>
                <w:szCs w:val="24"/>
              </w:rPr>
            </w:pPr>
          </w:p>
        </w:tc>
        <w:tc>
          <w:tcPr>
            <w:tcW w:w="992" w:type="dxa"/>
            <w:vAlign w:val="center"/>
          </w:tcPr>
          <w:p w14:paraId="40360C13">
            <w:pPr>
              <w:spacing w:line="360" w:lineRule="auto"/>
              <w:jc w:val="center"/>
              <w:rPr>
                <w:rFonts w:ascii="宋体" w:hAnsi="宋体" w:cs="宋体"/>
                <w:color w:val="000000"/>
                <w:sz w:val="24"/>
                <w:szCs w:val="24"/>
              </w:rPr>
            </w:pPr>
          </w:p>
        </w:tc>
      </w:tr>
      <w:tr w14:paraId="50FC2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FAE87CB">
            <w:pPr>
              <w:spacing w:line="360" w:lineRule="auto"/>
              <w:jc w:val="center"/>
              <w:rPr>
                <w:rFonts w:ascii="宋体" w:hAnsi="宋体" w:cs="宋体"/>
                <w:color w:val="000000"/>
                <w:sz w:val="24"/>
                <w:szCs w:val="24"/>
              </w:rPr>
            </w:pPr>
          </w:p>
        </w:tc>
        <w:tc>
          <w:tcPr>
            <w:tcW w:w="1276" w:type="dxa"/>
            <w:vAlign w:val="center"/>
          </w:tcPr>
          <w:p w14:paraId="2698DF93">
            <w:pPr>
              <w:spacing w:line="360" w:lineRule="auto"/>
              <w:jc w:val="center"/>
              <w:rPr>
                <w:rFonts w:ascii="宋体" w:hAnsi="宋体" w:cs="宋体"/>
                <w:color w:val="000000"/>
                <w:sz w:val="24"/>
                <w:szCs w:val="24"/>
              </w:rPr>
            </w:pPr>
          </w:p>
        </w:tc>
        <w:tc>
          <w:tcPr>
            <w:tcW w:w="1418" w:type="dxa"/>
            <w:vAlign w:val="center"/>
          </w:tcPr>
          <w:p w14:paraId="29CD5555">
            <w:pPr>
              <w:spacing w:line="360" w:lineRule="auto"/>
              <w:jc w:val="center"/>
              <w:rPr>
                <w:rFonts w:ascii="宋体" w:hAnsi="宋体" w:cs="宋体"/>
                <w:color w:val="000000"/>
                <w:sz w:val="24"/>
                <w:szCs w:val="24"/>
              </w:rPr>
            </w:pPr>
          </w:p>
        </w:tc>
        <w:tc>
          <w:tcPr>
            <w:tcW w:w="940" w:type="dxa"/>
            <w:vAlign w:val="center"/>
          </w:tcPr>
          <w:p w14:paraId="56A0ED74">
            <w:pPr>
              <w:spacing w:line="360" w:lineRule="auto"/>
              <w:jc w:val="center"/>
              <w:rPr>
                <w:rFonts w:ascii="宋体" w:hAnsi="宋体" w:cs="宋体"/>
                <w:color w:val="000000"/>
                <w:sz w:val="24"/>
                <w:szCs w:val="24"/>
              </w:rPr>
            </w:pPr>
          </w:p>
        </w:tc>
        <w:tc>
          <w:tcPr>
            <w:tcW w:w="851" w:type="dxa"/>
            <w:vAlign w:val="center"/>
          </w:tcPr>
          <w:p w14:paraId="06F0FE6F">
            <w:pPr>
              <w:spacing w:line="360" w:lineRule="auto"/>
              <w:jc w:val="center"/>
              <w:rPr>
                <w:rFonts w:ascii="宋体" w:hAnsi="宋体" w:cs="宋体"/>
                <w:color w:val="000000"/>
                <w:sz w:val="24"/>
                <w:szCs w:val="24"/>
              </w:rPr>
            </w:pPr>
          </w:p>
        </w:tc>
        <w:tc>
          <w:tcPr>
            <w:tcW w:w="1044" w:type="dxa"/>
            <w:vAlign w:val="center"/>
          </w:tcPr>
          <w:p w14:paraId="1FCF91D7">
            <w:pPr>
              <w:spacing w:line="360" w:lineRule="auto"/>
              <w:jc w:val="center"/>
              <w:rPr>
                <w:rFonts w:ascii="宋体" w:hAnsi="宋体" w:cs="宋体"/>
                <w:color w:val="000000"/>
                <w:sz w:val="24"/>
                <w:szCs w:val="24"/>
              </w:rPr>
            </w:pPr>
          </w:p>
        </w:tc>
        <w:tc>
          <w:tcPr>
            <w:tcW w:w="992" w:type="dxa"/>
            <w:vAlign w:val="center"/>
          </w:tcPr>
          <w:p w14:paraId="066704A5">
            <w:pPr>
              <w:spacing w:line="360" w:lineRule="auto"/>
              <w:jc w:val="center"/>
              <w:rPr>
                <w:rFonts w:ascii="宋体" w:hAnsi="宋体" w:cs="宋体"/>
                <w:color w:val="000000"/>
                <w:sz w:val="24"/>
                <w:szCs w:val="24"/>
              </w:rPr>
            </w:pPr>
          </w:p>
        </w:tc>
        <w:tc>
          <w:tcPr>
            <w:tcW w:w="851" w:type="dxa"/>
            <w:vAlign w:val="center"/>
          </w:tcPr>
          <w:p w14:paraId="07166838">
            <w:pPr>
              <w:spacing w:line="360" w:lineRule="auto"/>
              <w:jc w:val="center"/>
              <w:rPr>
                <w:rFonts w:ascii="宋体" w:hAnsi="宋体" w:cs="宋体"/>
                <w:color w:val="000000"/>
                <w:sz w:val="24"/>
                <w:szCs w:val="24"/>
              </w:rPr>
            </w:pPr>
          </w:p>
        </w:tc>
        <w:tc>
          <w:tcPr>
            <w:tcW w:w="1487" w:type="dxa"/>
            <w:vAlign w:val="center"/>
          </w:tcPr>
          <w:p w14:paraId="3AC6820F">
            <w:pPr>
              <w:spacing w:line="360" w:lineRule="auto"/>
              <w:jc w:val="center"/>
              <w:rPr>
                <w:rFonts w:ascii="宋体" w:hAnsi="宋体" w:cs="宋体"/>
                <w:color w:val="000000"/>
                <w:sz w:val="24"/>
                <w:szCs w:val="24"/>
              </w:rPr>
            </w:pPr>
          </w:p>
        </w:tc>
        <w:tc>
          <w:tcPr>
            <w:tcW w:w="992" w:type="dxa"/>
            <w:vAlign w:val="center"/>
          </w:tcPr>
          <w:p w14:paraId="5E388118">
            <w:pPr>
              <w:spacing w:line="360" w:lineRule="auto"/>
              <w:jc w:val="center"/>
              <w:rPr>
                <w:rFonts w:ascii="宋体" w:hAnsi="宋体" w:cs="宋体"/>
                <w:color w:val="000000"/>
                <w:sz w:val="24"/>
                <w:szCs w:val="24"/>
              </w:rPr>
            </w:pPr>
          </w:p>
        </w:tc>
      </w:tr>
      <w:tr w14:paraId="3C589F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3E78112">
            <w:pPr>
              <w:spacing w:line="360" w:lineRule="auto"/>
              <w:jc w:val="center"/>
              <w:rPr>
                <w:rFonts w:ascii="宋体" w:hAnsi="宋体" w:cs="宋体"/>
                <w:color w:val="000000"/>
                <w:sz w:val="24"/>
                <w:szCs w:val="24"/>
              </w:rPr>
            </w:pPr>
          </w:p>
        </w:tc>
        <w:tc>
          <w:tcPr>
            <w:tcW w:w="1276" w:type="dxa"/>
            <w:vAlign w:val="center"/>
          </w:tcPr>
          <w:p w14:paraId="747231EB">
            <w:pPr>
              <w:spacing w:line="360" w:lineRule="auto"/>
              <w:jc w:val="center"/>
              <w:rPr>
                <w:rFonts w:ascii="宋体" w:hAnsi="宋体" w:cs="宋体"/>
                <w:color w:val="000000"/>
                <w:sz w:val="24"/>
                <w:szCs w:val="24"/>
              </w:rPr>
            </w:pPr>
          </w:p>
        </w:tc>
        <w:tc>
          <w:tcPr>
            <w:tcW w:w="1418" w:type="dxa"/>
            <w:vAlign w:val="center"/>
          </w:tcPr>
          <w:p w14:paraId="10A87756">
            <w:pPr>
              <w:spacing w:line="360" w:lineRule="auto"/>
              <w:jc w:val="center"/>
              <w:rPr>
                <w:rFonts w:ascii="宋体" w:hAnsi="宋体" w:cs="宋体"/>
                <w:color w:val="000000"/>
                <w:sz w:val="24"/>
                <w:szCs w:val="24"/>
              </w:rPr>
            </w:pPr>
          </w:p>
        </w:tc>
        <w:tc>
          <w:tcPr>
            <w:tcW w:w="940" w:type="dxa"/>
            <w:vAlign w:val="center"/>
          </w:tcPr>
          <w:p w14:paraId="359EB9FF">
            <w:pPr>
              <w:spacing w:line="360" w:lineRule="auto"/>
              <w:jc w:val="center"/>
              <w:rPr>
                <w:rFonts w:ascii="宋体" w:hAnsi="宋体" w:cs="宋体"/>
                <w:color w:val="000000"/>
                <w:sz w:val="24"/>
                <w:szCs w:val="24"/>
              </w:rPr>
            </w:pPr>
          </w:p>
        </w:tc>
        <w:tc>
          <w:tcPr>
            <w:tcW w:w="851" w:type="dxa"/>
            <w:vAlign w:val="center"/>
          </w:tcPr>
          <w:p w14:paraId="680F0E5C">
            <w:pPr>
              <w:spacing w:line="360" w:lineRule="auto"/>
              <w:jc w:val="center"/>
              <w:rPr>
                <w:rFonts w:ascii="宋体" w:hAnsi="宋体" w:cs="宋体"/>
                <w:color w:val="000000"/>
                <w:sz w:val="24"/>
                <w:szCs w:val="24"/>
              </w:rPr>
            </w:pPr>
          </w:p>
        </w:tc>
        <w:tc>
          <w:tcPr>
            <w:tcW w:w="1044" w:type="dxa"/>
            <w:vAlign w:val="center"/>
          </w:tcPr>
          <w:p w14:paraId="0BE8A6B3">
            <w:pPr>
              <w:spacing w:line="360" w:lineRule="auto"/>
              <w:jc w:val="center"/>
              <w:rPr>
                <w:rFonts w:ascii="宋体" w:hAnsi="宋体" w:cs="宋体"/>
                <w:color w:val="000000"/>
                <w:sz w:val="24"/>
                <w:szCs w:val="24"/>
              </w:rPr>
            </w:pPr>
          </w:p>
        </w:tc>
        <w:tc>
          <w:tcPr>
            <w:tcW w:w="992" w:type="dxa"/>
            <w:vAlign w:val="center"/>
          </w:tcPr>
          <w:p w14:paraId="180F5451">
            <w:pPr>
              <w:spacing w:line="360" w:lineRule="auto"/>
              <w:jc w:val="center"/>
              <w:rPr>
                <w:rFonts w:ascii="宋体" w:hAnsi="宋体" w:cs="宋体"/>
                <w:color w:val="000000"/>
                <w:sz w:val="24"/>
                <w:szCs w:val="24"/>
              </w:rPr>
            </w:pPr>
          </w:p>
        </w:tc>
        <w:tc>
          <w:tcPr>
            <w:tcW w:w="851" w:type="dxa"/>
            <w:vAlign w:val="center"/>
          </w:tcPr>
          <w:p w14:paraId="7F69338D">
            <w:pPr>
              <w:spacing w:line="360" w:lineRule="auto"/>
              <w:jc w:val="center"/>
              <w:rPr>
                <w:rFonts w:ascii="宋体" w:hAnsi="宋体" w:cs="宋体"/>
                <w:color w:val="000000"/>
                <w:sz w:val="24"/>
                <w:szCs w:val="24"/>
              </w:rPr>
            </w:pPr>
          </w:p>
        </w:tc>
        <w:tc>
          <w:tcPr>
            <w:tcW w:w="1487" w:type="dxa"/>
            <w:vAlign w:val="center"/>
          </w:tcPr>
          <w:p w14:paraId="757C24D0">
            <w:pPr>
              <w:spacing w:line="360" w:lineRule="auto"/>
              <w:jc w:val="center"/>
              <w:rPr>
                <w:rFonts w:ascii="宋体" w:hAnsi="宋体" w:cs="宋体"/>
                <w:color w:val="000000"/>
                <w:sz w:val="24"/>
                <w:szCs w:val="24"/>
              </w:rPr>
            </w:pPr>
          </w:p>
        </w:tc>
        <w:tc>
          <w:tcPr>
            <w:tcW w:w="992" w:type="dxa"/>
            <w:vAlign w:val="center"/>
          </w:tcPr>
          <w:p w14:paraId="278F1AE8">
            <w:pPr>
              <w:spacing w:line="360" w:lineRule="auto"/>
              <w:jc w:val="center"/>
              <w:rPr>
                <w:rFonts w:ascii="宋体" w:hAnsi="宋体" w:cs="宋体"/>
                <w:color w:val="000000"/>
                <w:sz w:val="24"/>
                <w:szCs w:val="24"/>
              </w:rPr>
            </w:pPr>
          </w:p>
        </w:tc>
      </w:tr>
      <w:tr w14:paraId="21FAEB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42E0DDF">
            <w:pPr>
              <w:spacing w:line="360" w:lineRule="auto"/>
              <w:jc w:val="center"/>
              <w:rPr>
                <w:rFonts w:ascii="宋体" w:hAnsi="宋体" w:cs="宋体"/>
                <w:color w:val="000000"/>
                <w:sz w:val="24"/>
                <w:szCs w:val="24"/>
              </w:rPr>
            </w:pPr>
          </w:p>
        </w:tc>
        <w:tc>
          <w:tcPr>
            <w:tcW w:w="1276" w:type="dxa"/>
            <w:vAlign w:val="center"/>
          </w:tcPr>
          <w:p w14:paraId="52C3B5F6">
            <w:pPr>
              <w:spacing w:line="360" w:lineRule="auto"/>
              <w:jc w:val="center"/>
              <w:rPr>
                <w:rFonts w:ascii="宋体" w:hAnsi="宋体" w:cs="宋体"/>
                <w:color w:val="000000"/>
                <w:sz w:val="24"/>
                <w:szCs w:val="24"/>
              </w:rPr>
            </w:pPr>
          </w:p>
        </w:tc>
        <w:tc>
          <w:tcPr>
            <w:tcW w:w="1418" w:type="dxa"/>
            <w:vAlign w:val="center"/>
          </w:tcPr>
          <w:p w14:paraId="72BC6005">
            <w:pPr>
              <w:spacing w:line="360" w:lineRule="auto"/>
              <w:jc w:val="center"/>
              <w:rPr>
                <w:rFonts w:ascii="宋体" w:hAnsi="宋体" w:cs="宋体"/>
                <w:color w:val="000000"/>
                <w:sz w:val="24"/>
                <w:szCs w:val="24"/>
              </w:rPr>
            </w:pPr>
          </w:p>
        </w:tc>
        <w:tc>
          <w:tcPr>
            <w:tcW w:w="940" w:type="dxa"/>
            <w:vAlign w:val="center"/>
          </w:tcPr>
          <w:p w14:paraId="4B056909">
            <w:pPr>
              <w:spacing w:line="360" w:lineRule="auto"/>
              <w:jc w:val="center"/>
              <w:rPr>
                <w:rFonts w:ascii="宋体" w:hAnsi="宋体" w:cs="宋体"/>
                <w:color w:val="000000"/>
                <w:sz w:val="24"/>
                <w:szCs w:val="24"/>
              </w:rPr>
            </w:pPr>
          </w:p>
        </w:tc>
        <w:tc>
          <w:tcPr>
            <w:tcW w:w="851" w:type="dxa"/>
            <w:vAlign w:val="center"/>
          </w:tcPr>
          <w:p w14:paraId="4ED4BE0C">
            <w:pPr>
              <w:spacing w:line="360" w:lineRule="auto"/>
              <w:jc w:val="center"/>
              <w:rPr>
                <w:rFonts w:ascii="宋体" w:hAnsi="宋体" w:cs="宋体"/>
                <w:color w:val="000000"/>
                <w:sz w:val="24"/>
                <w:szCs w:val="24"/>
              </w:rPr>
            </w:pPr>
          </w:p>
        </w:tc>
        <w:tc>
          <w:tcPr>
            <w:tcW w:w="1044" w:type="dxa"/>
            <w:vAlign w:val="center"/>
          </w:tcPr>
          <w:p w14:paraId="2E628476">
            <w:pPr>
              <w:spacing w:line="360" w:lineRule="auto"/>
              <w:jc w:val="center"/>
              <w:rPr>
                <w:rFonts w:ascii="宋体" w:hAnsi="宋体" w:cs="宋体"/>
                <w:color w:val="000000"/>
                <w:sz w:val="24"/>
                <w:szCs w:val="24"/>
              </w:rPr>
            </w:pPr>
          </w:p>
        </w:tc>
        <w:tc>
          <w:tcPr>
            <w:tcW w:w="992" w:type="dxa"/>
            <w:vAlign w:val="center"/>
          </w:tcPr>
          <w:p w14:paraId="7E466DA9">
            <w:pPr>
              <w:spacing w:line="360" w:lineRule="auto"/>
              <w:jc w:val="center"/>
              <w:rPr>
                <w:rFonts w:ascii="宋体" w:hAnsi="宋体" w:cs="宋体"/>
                <w:color w:val="000000"/>
                <w:sz w:val="24"/>
                <w:szCs w:val="24"/>
              </w:rPr>
            </w:pPr>
          </w:p>
        </w:tc>
        <w:tc>
          <w:tcPr>
            <w:tcW w:w="851" w:type="dxa"/>
            <w:vAlign w:val="center"/>
          </w:tcPr>
          <w:p w14:paraId="042CC822">
            <w:pPr>
              <w:spacing w:line="360" w:lineRule="auto"/>
              <w:jc w:val="center"/>
              <w:rPr>
                <w:rFonts w:ascii="宋体" w:hAnsi="宋体" w:cs="宋体"/>
                <w:color w:val="000000"/>
                <w:sz w:val="24"/>
                <w:szCs w:val="24"/>
              </w:rPr>
            </w:pPr>
          </w:p>
        </w:tc>
        <w:tc>
          <w:tcPr>
            <w:tcW w:w="1487" w:type="dxa"/>
            <w:vAlign w:val="center"/>
          </w:tcPr>
          <w:p w14:paraId="2CE3B203">
            <w:pPr>
              <w:spacing w:line="360" w:lineRule="auto"/>
              <w:jc w:val="center"/>
              <w:rPr>
                <w:rFonts w:ascii="宋体" w:hAnsi="宋体" w:cs="宋体"/>
                <w:color w:val="000000"/>
                <w:sz w:val="24"/>
                <w:szCs w:val="24"/>
              </w:rPr>
            </w:pPr>
          </w:p>
        </w:tc>
        <w:tc>
          <w:tcPr>
            <w:tcW w:w="992" w:type="dxa"/>
            <w:vAlign w:val="center"/>
          </w:tcPr>
          <w:p w14:paraId="318BC572">
            <w:pPr>
              <w:spacing w:line="360" w:lineRule="auto"/>
              <w:jc w:val="center"/>
              <w:rPr>
                <w:rFonts w:ascii="宋体" w:hAnsi="宋体" w:cs="宋体"/>
                <w:color w:val="000000"/>
                <w:sz w:val="24"/>
                <w:szCs w:val="24"/>
              </w:rPr>
            </w:pPr>
          </w:p>
        </w:tc>
      </w:tr>
      <w:tr w14:paraId="2B4F8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C1AFDFF">
            <w:pPr>
              <w:spacing w:line="360" w:lineRule="auto"/>
              <w:jc w:val="center"/>
              <w:rPr>
                <w:rFonts w:ascii="宋体" w:hAnsi="宋体" w:cs="宋体"/>
                <w:color w:val="000000"/>
                <w:sz w:val="24"/>
                <w:szCs w:val="24"/>
              </w:rPr>
            </w:pPr>
          </w:p>
        </w:tc>
        <w:tc>
          <w:tcPr>
            <w:tcW w:w="1276" w:type="dxa"/>
            <w:vAlign w:val="center"/>
          </w:tcPr>
          <w:p w14:paraId="16E99899">
            <w:pPr>
              <w:spacing w:line="360" w:lineRule="auto"/>
              <w:jc w:val="center"/>
              <w:rPr>
                <w:rFonts w:ascii="宋体" w:hAnsi="宋体" w:cs="宋体"/>
                <w:color w:val="000000"/>
                <w:sz w:val="24"/>
                <w:szCs w:val="24"/>
              </w:rPr>
            </w:pPr>
          </w:p>
        </w:tc>
        <w:tc>
          <w:tcPr>
            <w:tcW w:w="1418" w:type="dxa"/>
            <w:vAlign w:val="center"/>
          </w:tcPr>
          <w:p w14:paraId="31A2C833">
            <w:pPr>
              <w:spacing w:line="360" w:lineRule="auto"/>
              <w:jc w:val="center"/>
              <w:rPr>
                <w:rFonts w:ascii="宋体" w:hAnsi="宋体" w:cs="宋体"/>
                <w:color w:val="000000"/>
                <w:sz w:val="24"/>
                <w:szCs w:val="24"/>
              </w:rPr>
            </w:pPr>
          </w:p>
        </w:tc>
        <w:tc>
          <w:tcPr>
            <w:tcW w:w="940" w:type="dxa"/>
            <w:vAlign w:val="center"/>
          </w:tcPr>
          <w:p w14:paraId="63E47F11">
            <w:pPr>
              <w:spacing w:line="360" w:lineRule="auto"/>
              <w:jc w:val="center"/>
              <w:rPr>
                <w:rFonts w:ascii="宋体" w:hAnsi="宋体" w:cs="宋体"/>
                <w:color w:val="000000"/>
                <w:sz w:val="24"/>
                <w:szCs w:val="24"/>
              </w:rPr>
            </w:pPr>
          </w:p>
        </w:tc>
        <w:tc>
          <w:tcPr>
            <w:tcW w:w="851" w:type="dxa"/>
            <w:vAlign w:val="center"/>
          </w:tcPr>
          <w:p w14:paraId="088F270D">
            <w:pPr>
              <w:spacing w:line="360" w:lineRule="auto"/>
              <w:jc w:val="center"/>
              <w:rPr>
                <w:rFonts w:ascii="宋体" w:hAnsi="宋体" w:cs="宋体"/>
                <w:color w:val="000000"/>
                <w:sz w:val="24"/>
                <w:szCs w:val="24"/>
              </w:rPr>
            </w:pPr>
          </w:p>
        </w:tc>
        <w:tc>
          <w:tcPr>
            <w:tcW w:w="1044" w:type="dxa"/>
            <w:vAlign w:val="center"/>
          </w:tcPr>
          <w:p w14:paraId="263DC76B">
            <w:pPr>
              <w:spacing w:line="360" w:lineRule="auto"/>
              <w:jc w:val="center"/>
              <w:rPr>
                <w:rFonts w:ascii="宋体" w:hAnsi="宋体" w:cs="宋体"/>
                <w:color w:val="000000"/>
                <w:sz w:val="24"/>
                <w:szCs w:val="24"/>
              </w:rPr>
            </w:pPr>
          </w:p>
        </w:tc>
        <w:tc>
          <w:tcPr>
            <w:tcW w:w="992" w:type="dxa"/>
            <w:vAlign w:val="center"/>
          </w:tcPr>
          <w:p w14:paraId="548E1857">
            <w:pPr>
              <w:spacing w:line="360" w:lineRule="auto"/>
              <w:jc w:val="center"/>
              <w:rPr>
                <w:rFonts w:ascii="宋体" w:hAnsi="宋体" w:cs="宋体"/>
                <w:color w:val="000000"/>
                <w:sz w:val="24"/>
                <w:szCs w:val="24"/>
              </w:rPr>
            </w:pPr>
          </w:p>
        </w:tc>
        <w:tc>
          <w:tcPr>
            <w:tcW w:w="851" w:type="dxa"/>
            <w:vAlign w:val="center"/>
          </w:tcPr>
          <w:p w14:paraId="7697819A">
            <w:pPr>
              <w:spacing w:line="360" w:lineRule="auto"/>
              <w:jc w:val="center"/>
              <w:rPr>
                <w:rFonts w:ascii="宋体" w:hAnsi="宋体" w:cs="宋体"/>
                <w:color w:val="000000"/>
                <w:sz w:val="24"/>
                <w:szCs w:val="24"/>
              </w:rPr>
            </w:pPr>
          </w:p>
        </w:tc>
        <w:tc>
          <w:tcPr>
            <w:tcW w:w="1487" w:type="dxa"/>
            <w:vAlign w:val="center"/>
          </w:tcPr>
          <w:p w14:paraId="1B7CD4C4">
            <w:pPr>
              <w:spacing w:line="360" w:lineRule="auto"/>
              <w:jc w:val="center"/>
              <w:rPr>
                <w:rFonts w:ascii="宋体" w:hAnsi="宋体" w:cs="宋体"/>
                <w:color w:val="000000"/>
                <w:sz w:val="24"/>
                <w:szCs w:val="24"/>
              </w:rPr>
            </w:pPr>
          </w:p>
        </w:tc>
        <w:tc>
          <w:tcPr>
            <w:tcW w:w="992" w:type="dxa"/>
            <w:vAlign w:val="center"/>
          </w:tcPr>
          <w:p w14:paraId="35526FE7">
            <w:pPr>
              <w:spacing w:line="360" w:lineRule="auto"/>
              <w:jc w:val="center"/>
              <w:rPr>
                <w:rFonts w:ascii="宋体" w:hAnsi="宋体" w:cs="宋体"/>
                <w:color w:val="000000"/>
                <w:sz w:val="24"/>
                <w:szCs w:val="24"/>
              </w:rPr>
            </w:pPr>
          </w:p>
        </w:tc>
      </w:tr>
      <w:tr w14:paraId="0ACFD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329BE7B">
            <w:pPr>
              <w:spacing w:line="360" w:lineRule="auto"/>
              <w:jc w:val="center"/>
              <w:rPr>
                <w:rFonts w:ascii="宋体" w:hAnsi="宋体" w:cs="宋体"/>
                <w:color w:val="000000"/>
                <w:sz w:val="24"/>
                <w:szCs w:val="24"/>
              </w:rPr>
            </w:pPr>
          </w:p>
        </w:tc>
        <w:tc>
          <w:tcPr>
            <w:tcW w:w="1276" w:type="dxa"/>
            <w:vAlign w:val="center"/>
          </w:tcPr>
          <w:p w14:paraId="4416A85D">
            <w:pPr>
              <w:spacing w:line="360" w:lineRule="auto"/>
              <w:jc w:val="center"/>
              <w:rPr>
                <w:rFonts w:ascii="宋体" w:hAnsi="宋体" w:cs="宋体"/>
                <w:color w:val="000000"/>
                <w:sz w:val="24"/>
                <w:szCs w:val="24"/>
              </w:rPr>
            </w:pPr>
          </w:p>
        </w:tc>
        <w:tc>
          <w:tcPr>
            <w:tcW w:w="1418" w:type="dxa"/>
            <w:vAlign w:val="center"/>
          </w:tcPr>
          <w:p w14:paraId="03B11DFA">
            <w:pPr>
              <w:spacing w:line="360" w:lineRule="auto"/>
              <w:jc w:val="center"/>
              <w:rPr>
                <w:rFonts w:ascii="宋体" w:hAnsi="宋体" w:cs="宋体"/>
                <w:color w:val="000000"/>
                <w:sz w:val="24"/>
                <w:szCs w:val="24"/>
              </w:rPr>
            </w:pPr>
          </w:p>
        </w:tc>
        <w:tc>
          <w:tcPr>
            <w:tcW w:w="940" w:type="dxa"/>
            <w:vAlign w:val="center"/>
          </w:tcPr>
          <w:p w14:paraId="7D3CD67D">
            <w:pPr>
              <w:spacing w:line="360" w:lineRule="auto"/>
              <w:jc w:val="center"/>
              <w:rPr>
                <w:rFonts w:ascii="宋体" w:hAnsi="宋体" w:cs="宋体"/>
                <w:color w:val="000000"/>
                <w:sz w:val="24"/>
                <w:szCs w:val="24"/>
              </w:rPr>
            </w:pPr>
          </w:p>
        </w:tc>
        <w:tc>
          <w:tcPr>
            <w:tcW w:w="851" w:type="dxa"/>
            <w:vAlign w:val="center"/>
          </w:tcPr>
          <w:p w14:paraId="3D011390">
            <w:pPr>
              <w:spacing w:line="360" w:lineRule="auto"/>
              <w:jc w:val="center"/>
              <w:rPr>
                <w:rFonts w:ascii="宋体" w:hAnsi="宋体" w:cs="宋体"/>
                <w:color w:val="000000"/>
                <w:sz w:val="24"/>
                <w:szCs w:val="24"/>
              </w:rPr>
            </w:pPr>
          </w:p>
        </w:tc>
        <w:tc>
          <w:tcPr>
            <w:tcW w:w="1044" w:type="dxa"/>
            <w:vAlign w:val="center"/>
          </w:tcPr>
          <w:p w14:paraId="5F4F514C">
            <w:pPr>
              <w:spacing w:line="360" w:lineRule="auto"/>
              <w:jc w:val="center"/>
              <w:rPr>
                <w:rFonts w:ascii="宋体" w:hAnsi="宋体" w:cs="宋体"/>
                <w:color w:val="000000"/>
                <w:sz w:val="24"/>
                <w:szCs w:val="24"/>
              </w:rPr>
            </w:pPr>
          </w:p>
        </w:tc>
        <w:tc>
          <w:tcPr>
            <w:tcW w:w="992" w:type="dxa"/>
            <w:vAlign w:val="center"/>
          </w:tcPr>
          <w:p w14:paraId="6BCCAD50">
            <w:pPr>
              <w:spacing w:line="360" w:lineRule="auto"/>
              <w:jc w:val="center"/>
              <w:rPr>
                <w:rFonts w:ascii="宋体" w:hAnsi="宋体" w:cs="宋体"/>
                <w:color w:val="000000"/>
                <w:sz w:val="24"/>
                <w:szCs w:val="24"/>
              </w:rPr>
            </w:pPr>
          </w:p>
        </w:tc>
        <w:tc>
          <w:tcPr>
            <w:tcW w:w="851" w:type="dxa"/>
            <w:vAlign w:val="center"/>
          </w:tcPr>
          <w:p w14:paraId="08227406">
            <w:pPr>
              <w:spacing w:line="360" w:lineRule="auto"/>
              <w:jc w:val="center"/>
              <w:rPr>
                <w:rFonts w:ascii="宋体" w:hAnsi="宋体" w:cs="宋体"/>
                <w:color w:val="000000"/>
                <w:sz w:val="24"/>
                <w:szCs w:val="24"/>
              </w:rPr>
            </w:pPr>
          </w:p>
        </w:tc>
        <w:tc>
          <w:tcPr>
            <w:tcW w:w="1487" w:type="dxa"/>
            <w:vAlign w:val="center"/>
          </w:tcPr>
          <w:p w14:paraId="7D1BA6D3">
            <w:pPr>
              <w:spacing w:line="360" w:lineRule="auto"/>
              <w:jc w:val="center"/>
              <w:rPr>
                <w:rFonts w:ascii="宋体" w:hAnsi="宋体" w:cs="宋体"/>
                <w:color w:val="000000"/>
                <w:sz w:val="24"/>
                <w:szCs w:val="24"/>
              </w:rPr>
            </w:pPr>
          </w:p>
        </w:tc>
        <w:tc>
          <w:tcPr>
            <w:tcW w:w="992" w:type="dxa"/>
            <w:vAlign w:val="center"/>
          </w:tcPr>
          <w:p w14:paraId="5C39D35E">
            <w:pPr>
              <w:spacing w:line="360" w:lineRule="auto"/>
              <w:jc w:val="center"/>
              <w:rPr>
                <w:rFonts w:ascii="宋体" w:hAnsi="宋体" w:cs="宋体"/>
                <w:color w:val="000000"/>
                <w:sz w:val="24"/>
                <w:szCs w:val="24"/>
              </w:rPr>
            </w:pPr>
          </w:p>
        </w:tc>
      </w:tr>
    </w:tbl>
    <w:p w14:paraId="3C32633F">
      <w:pPr>
        <w:spacing w:line="360" w:lineRule="auto"/>
        <w:rPr>
          <w:rFonts w:ascii="宋体" w:hAnsi="宋体" w:cs="宋体"/>
          <w:color w:val="000000"/>
          <w:sz w:val="24"/>
          <w:szCs w:val="24"/>
        </w:rPr>
      </w:pPr>
    </w:p>
    <w:p w14:paraId="4E002D64">
      <w:pPr>
        <w:spacing w:line="360" w:lineRule="auto"/>
        <w:rPr>
          <w:rFonts w:ascii="宋体" w:hAnsi="宋体" w:cs="宋体"/>
          <w:color w:val="000000"/>
          <w:sz w:val="24"/>
          <w:szCs w:val="24"/>
        </w:rPr>
      </w:pPr>
    </w:p>
    <w:p w14:paraId="1E621FC6">
      <w:pPr>
        <w:spacing w:line="360" w:lineRule="auto"/>
        <w:rPr>
          <w:rFonts w:ascii="宋体" w:hAnsi="宋体" w:cs="宋体"/>
          <w:color w:val="000000"/>
          <w:sz w:val="24"/>
          <w:szCs w:val="24"/>
        </w:rPr>
      </w:pPr>
    </w:p>
    <w:p w14:paraId="46D8BB14">
      <w:pPr>
        <w:spacing w:line="360" w:lineRule="auto"/>
        <w:rPr>
          <w:rFonts w:ascii="宋体" w:hAnsi="宋体" w:cs="宋体"/>
          <w:color w:val="000000"/>
          <w:sz w:val="24"/>
          <w:szCs w:val="24"/>
        </w:rPr>
      </w:pPr>
      <w:r>
        <w:rPr>
          <w:rFonts w:hint="eastAsia" w:ascii="宋体" w:hAnsi="宋体" w:cs="宋体"/>
          <w:color w:val="000000"/>
          <w:sz w:val="24"/>
          <w:szCs w:val="24"/>
        </w:rPr>
        <w:t>附</w:t>
      </w:r>
      <w:bookmarkStart w:id="1358" w:name="_Toc267261693"/>
      <w:bookmarkStart w:id="1359" w:name="_Toc296891054"/>
      <w:bookmarkStart w:id="1360" w:name="_Toc296891266"/>
      <w:bookmarkStart w:id="1361" w:name="_Toc296347225"/>
      <w:bookmarkStart w:id="1362" w:name="_Toc296503226"/>
      <w:bookmarkStart w:id="1363" w:name="_Toc296346727"/>
      <w:bookmarkStart w:id="1364" w:name="_Toc296944565"/>
      <w:r>
        <w:rPr>
          <w:rFonts w:hint="eastAsia" w:ascii="宋体" w:hAnsi="宋体" w:cs="宋体"/>
          <w:color w:val="000000"/>
          <w:sz w:val="24"/>
          <w:szCs w:val="24"/>
        </w:rPr>
        <w:t>件3：</w:t>
      </w:r>
      <w:bookmarkEnd w:id="1358"/>
      <w:bookmarkEnd w:id="1359"/>
      <w:bookmarkEnd w:id="1360"/>
      <w:bookmarkEnd w:id="1361"/>
      <w:bookmarkEnd w:id="1362"/>
      <w:bookmarkEnd w:id="1363"/>
      <w:bookmarkEnd w:id="1364"/>
      <w:r>
        <w:rPr>
          <w:rFonts w:hint="eastAsia" w:ascii="宋体" w:hAnsi="宋体" w:cs="宋体"/>
          <w:color w:val="000000"/>
          <w:sz w:val="24"/>
          <w:szCs w:val="24"/>
        </w:rPr>
        <w:t xml:space="preserve">    </w:t>
      </w:r>
    </w:p>
    <w:p w14:paraId="2142D9C6">
      <w:pPr>
        <w:spacing w:line="360" w:lineRule="auto"/>
        <w:ind w:firstLine="480" w:firstLineChars="200"/>
        <w:jc w:val="center"/>
        <w:rPr>
          <w:rFonts w:ascii="宋体" w:hAnsi="宋体" w:cs="宋体"/>
          <w:color w:val="000000"/>
          <w:sz w:val="24"/>
          <w:szCs w:val="24"/>
        </w:rPr>
      </w:pPr>
      <w:r>
        <w:rPr>
          <w:rFonts w:hint="eastAsia" w:ascii="宋体" w:hAnsi="宋体" w:cs="宋体"/>
          <w:color w:val="000000"/>
          <w:sz w:val="24"/>
          <w:szCs w:val="24"/>
        </w:rPr>
        <w:t>工程质量保修书</w:t>
      </w:r>
    </w:p>
    <w:p w14:paraId="7069ED2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发包人（全称）：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54F4013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承包人（全称）：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0DEBB86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发包人和承包人根据《中华人民共和国建筑法》和《建设工程质量管理条例》，经协商一致就</w:t>
      </w:r>
      <w:r>
        <w:rPr>
          <w:rFonts w:hint="eastAsia" w:ascii="宋体" w:hAnsi="宋体" w:cs="宋体"/>
          <w:color w:val="000000"/>
          <w:sz w:val="24"/>
          <w:szCs w:val="24"/>
          <w:u w:val="single"/>
        </w:rPr>
        <w:t xml:space="preserve">                </w:t>
      </w:r>
      <w:r>
        <w:rPr>
          <w:rFonts w:hint="eastAsia" w:ascii="宋体" w:hAnsi="宋体" w:cs="宋体"/>
          <w:color w:val="000000"/>
          <w:sz w:val="24"/>
          <w:szCs w:val="24"/>
        </w:rPr>
        <w:t>（工程全称）签订工程质量保修书。</w:t>
      </w:r>
    </w:p>
    <w:p w14:paraId="3EF1CCBB">
      <w:pPr>
        <w:spacing w:line="360" w:lineRule="auto"/>
        <w:ind w:firstLine="480" w:firstLineChars="200"/>
        <w:rPr>
          <w:rFonts w:ascii="宋体" w:hAnsi="宋体" w:cs="宋体"/>
          <w:color w:val="000000"/>
          <w:sz w:val="24"/>
          <w:szCs w:val="24"/>
        </w:rPr>
      </w:pPr>
      <w:bookmarkStart w:id="1365" w:name="_Toc518573558"/>
      <w:bookmarkStart w:id="1366" w:name="_Toc11348"/>
      <w:bookmarkStart w:id="1367" w:name="_Toc17544"/>
      <w:bookmarkStart w:id="1368" w:name="_Toc518240122"/>
      <w:bookmarkStart w:id="1369" w:name="_Toc518573674"/>
      <w:bookmarkStart w:id="1370" w:name="_Toc9301"/>
      <w:bookmarkStart w:id="1371" w:name="_Toc30664"/>
      <w:bookmarkStart w:id="1372" w:name="_Toc10952"/>
      <w:bookmarkStart w:id="1373" w:name="_Toc10922"/>
      <w:bookmarkStart w:id="1374" w:name="_Toc16837"/>
      <w:bookmarkStart w:id="1375" w:name="_Toc28052"/>
      <w:bookmarkStart w:id="1376" w:name="_Toc28958"/>
      <w:bookmarkStart w:id="1377" w:name="_Toc27713"/>
      <w:bookmarkStart w:id="1378" w:name="_Toc12593"/>
      <w:bookmarkStart w:id="1379" w:name="_Toc4749"/>
      <w:bookmarkStart w:id="1380" w:name="_Toc4239"/>
      <w:r>
        <w:rPr>
          <w:rFonts w:hint="eastAsia" w:ascii="宋体" w:hAnsi="宋体" w:cs="宋体"/>
          <w:color w:val="000000"/>
          <w:sz w:val="24"/>
          <w:szCs w:val="24"/>
        </w:rPr>
        <w:t>一、工程质量保修范围和内容</w:t>
      </w:r>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p>
    <w:p w14:paraId="55AF227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承包人在质量保修期内，按照有关法律规定和合同约定，承担工程质量保修责任。</w:t>
      </w:r>
    </w:p>
    <w:p w14:paraId="03E2AF0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444E9C29">
      <w:pPr>
        <w:spacing w:line="360" w:lineRule="auto"/>
        <w:ind w:firstLine="480" w:firstLineChars="200"/>
        <w:rPr>
          <w:rFonts w:ascii="宋体" w:hAnsi="宋体" w:cs="宋体"/>
          <w:color w:val="000000"/>
          <w:sz w:val="24"/>
          <w:szCs w:val="24"/>
        </w:rPr>
      </w:pPr>
      <w:bookmarkStart w:id="1381" w:name="_Toc28875"/>
      <w:bookmarkStart w:id="1382" w:name="_Toc31082"/>
      <w:bookmarkStart w:id="1383" w:name="_Toc17495"/>
      <w:bookmarkStart w:id="1384" w:name="_Toc28067"/>
      <w:bookmarkStart w:id="1385" w:name="_Toc518240123"/>
      <w:bookmarkStart w:id="1386" w:name="_Toc27391"/>
      <w:bookmarkStart w:id="1387" w:name="_Toc3084"/>
      <w:bookmarkStart w:id="1388" w:name="_Toc25515"/>
      <w:bookmarkStart w:id="1389" w:name="_Toc20685"/>
      <w:bookmarkStart w:id="1390" w:name="_Toc28322"/>
      <w:bookmarkStart w:id="1391" w:name="_Toc7275"/>
      <w:bookmarkStart w:id="1392" w:name="_Toc19315"/>
      <w:bookmarkStart w:id="1393" w:name="_Toc12224"/>
      <w:bookmarkStart w:id="1394" w:name="_Toc518573675"/>
      <w:bookmarkStart w:id="1395" w:name="_Toc518573559"/>
      <w:bookmarkStart w:id="1396" w:name="_Toc11443"/>
      <w:r>
        <w:rPr>
          <w:rFonts w:hint="eastAsia" w:ascii="宋体" w:hAnsi="宋体" w:cs="宋体"/>
          <w:color w:val="000000"/>
          <w:sz w:val="24"/>
          <w:szCs w:val="24"/>
        </w:rPr>
        <w:t>二、质量保修期</w:t>
      </w:r>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p>
    <w:p w14:paraId="6D25D19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根据《建设工程质量管理条例》及有关规定，工程的质量保修期如下：</w:t>
      </w:r>
    </w:p>
    <w:p w14:paraId="79FAC7F3">
      <w:pPr>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color w:val="000000"/>
          <w:sz w:val="24"/>
          <w:szCs w:val="24"/>
        </w:rPr>
        <w:t>．</w:t>
      </w:r>
      <w:r>
        <w:rPr>
          <w:rFonts w:hint="eastAsia" w:ascii="宋体" w:hAnsi="宋体" w:cs="宋体"/>
          <w:sz w:val="24"/>
          <w:szCs w:val="24"/>
        </w:rPr>
        <w:t>地基基础工程和主体结构工程为设计文件规定的工程合理使用年限；</w:t>
      </w:r>
    </w:p>
    <w:p w14:paraId="0C79E0A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sz w:val="24"/>
          <w:szCs w:val="24"/>
        </w:rPr>
        <w:t>．</w:t>
      </w:r>
      <w:r>
        <w:rPr>
          <w:rFonts w:hint="eastAsia" w:ascii="宋体" w:hAnsi="宋体" w:cs="宋体"/>
          <w:color w:val="000000"/>
          <w:sz w:val="24"/>
          <w:szCs w:val="24"/>
        </w:rPr>
        <w:t>屋面防水工程、有防水要求的卫生间、房间和外墙面的防渗为</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p>
    <w:p w14:paraId="477E389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sz w:val="24"/>
          <w:szCs w:val="24"/>
        </w:rPr>
        <w:t>．</w:t>
      </w:r>
      <w:r>
        <w:rPr>
          <w:rFonts w:hint="eastAsia" w:ascii="宋体" w:hAnsi="宋体" w:cs="宋体"/>
          <w:color w:val="000000"/>
          <w:sz w:val="24"/>
          <w:szCs w:val="24"/>
        </w:rPr>
        <w:t>装修工程为</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p>
    <w:p w14:paraId="1BAF46C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w:t>
      </w:r>
      <w:r>
        <w:rPr>
          <w:rFonts w:hint="eastAsia" w:ascii="宋体" w:hAnsi="宋体" w:cs="宋体"/>
          <w:sz w:val="24"/>
          <w:szCs w:val="24"/>
        </w:rPr>
        <w:t>．</w:t>
      </w:r>
      <w:r>
        <w:rPr>
          <w:rFonts w:hint="eastAsia" w:ascii="宋体" w:hAnsi="宋体" w:cs="宋体"/>
          <w:color w:val="000000"/>
          <w:sz w:val="24"/>
          <w:szCs w:val="24"/>
        </w:rPr>
        <w:t>电气管线、给排水管道、设备安装工程为</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p>
    <w:p w14:paraId="5D4992A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5</w:t>
      </w:r>
      <w:r>
        <w:rPr>
          <w:rFonts w:hint="eastAsia" w:ascii="宋体" w:hAnsi="宋体" w:cs="宋体"/>
          <w:sz w:val="24"/>
          <w:szCs w:val="24"/>
        </w:rPr>
        <w:t>．</w:t>
      </w:r>
      <w:r>
        <w:rPr>
          <w:rFonts w:hint="eastAsia" w:ascii="宋体" w:hAnsi="宋体" w:cs="宋体"/>
          <w:color w:val="000000"/>
          <w:sz w:val="24"/>
          <w:szCs w:val="24"/>
        </w:rPr>
        <w:t>供热与供冷系统为</w:t>
      </w:r>
      <w:r>
        <w:rPr>
          <w:rFonts w:hint="eastAsia" w:ascii="宋体" w:hAnsi="宋体" w:cs="宋体"/>
          <w:color w:val="000000"/>
          <w:sz w:val="24"/>
          <w:szCs w:val="24"/>
          <w:u w:val="single"/>
        </w:rPr>
        <w:t xml:space="preserve">         </w:t>
      </w:r>
      <w:r>
        <w:rPr>
          <w:rFonts w:hint="eastAsia" w:ascii="宋体" w:hAnsi="宋体" w:cs="宋体"/>
          <w:color w:val="000000"/>
          <w:sz w:val="24"/>
          <w:szCs w:val="24"/>
        </w:rPr>
        <w:t>个采暖期、供冷期；</w:t>
      </w:r>
    </w:p>
    <w:p w14:paraId="129B46F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w:t>
      </w:r>
      <w:r>
        <w:rPr>
          <w:rFonts w:hint="eastAsia" w:ascii="宋体" w:hAnsi="宋体" w:cs="宋体"/>
          <w:sz w:val="24"/>
          <w:szCs w:val="24"/>
        </w:rPr>
        <w:t>．</w:t>
      </w:r>
      <w:r>
        <w:rPr>
          <w:rFonts w:hint="eastAsia" w:ascii="宋体" w:hAnsi="宋体" w:cs="宋体"/>
          <w:color w:val="000000"/>
          <w:sz w:val="24"/>
          <w:szCs w:val="24"/>
        </w:rPr>
        <w:t>住宅小区内的给排水设施、道路等配套工程为</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p>
    <w:p w14:paraId="4157602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w:t>
      </w:r>
      <w:r>
        <w:rPr>
          <w:rFonts w:hint="eastAsia" w:ascii="宋体" w:hAnsi="宋体" w:cs="宋体"/>
          <w:sz w:val="24"/>
          <w:szCs w:val="24"/>
        </w:rPr>
        <w:t>．</w:t>
      </w:r>
      <w:r>
        <w:rPr>
          <w:rFonts w:hint="eastAsia" w:ascii="宋体" w:hAnsi="宋体" w:cs="宋体"/>
          <w:color w:val="000000"/>
          <w:sz w:val="24"/>
          <w:szCs w:val="24"/>
        </w:rPr>
        <w:t>其他项目保修期限约定如下：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9C57EE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质量保修期自工程竣工验收合格之日起计算。</w:t>
      </w:r>
    </w:p>
    <w:p w14:paraId="6D39753B">
      <w:pPr>
        <w:spacing w:line="360" w:lineRule="auto"/>
        <w:ind w:firstLine="480" w:firstLineChars="200"/>
        <w:rPr>
          <w:rFonts w:ascii="宋体" w:hAnsi="宋体" w:cs="宋体"/>
          <w:color w:val="000000"/>
          <w:sz w:val="24"/>
          <w:szCs w:val="24"/>
        </w:rPr>
      </w:pPr>
      <w:bookmarkStart w:id="1397" w:name="_Toc11502"/>
      <w:bookmarkStart w:id="1398" w:name="_Toc518573676"/>
      <w:bookmarkStart w:id="1399" w:name="_Toc19083"/>
      <w:bookmarkStart w:id="1400" w:name="_Toc518573560"/>
      <w:bookmarkStart w:id="1401" w:name="_Toc32676"/>
      <w:bookmarkStart w:id="1402" w:name="_Toc23024"/>
      <w:bookmarkStart w:id="1403" w:name="_Toc10987"/>
      <w:bookmarkStart w:id="1404" w:name="_Toc174"/>
      <w:bookmarkStart w:id="1405" w:name="_Toc21138"/>
      <w:bookmarkStart w:id="1406" w:name="_Toc18301"/>
      <w:bookmarkStart w:id="1407" w:name="_Toc27509"/>
      <w:bookmarkStart w:id="1408" w:name="_Toc518240124"/>
      <w:bookmarkStart w:id="1409" w:name="_Toc26918"/>
      <w:bookmarkStart w:id="1410" w:name="_Toc14725"/>
      <w:bookmarkStart w:id="1411" w:name="_Toc10659"/>
      <w:bookmarkStart w:id="1412" w:name="_Toc22810"/>
      <w:r>
        <w:rPr>
          <w:rFonts w:hint="eastAsia" w:ascii="宋体" w:hAnsi="宋体" w:cs="宋体"/>
          <w:color w:val="000000"/>
          <w:sz w:val="24"/>
          <w:szCs w:val="24"/>
        </w:rPr>
        <w:t>三、缺陷责任期</w:t>
      </w:r>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p>
    <w:p w14:paraId="46A857C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工程缺陷责任期为</w:t>
      </w:r>
      <w:r>
        <w:rPr>
          <w:rFonts w:hint="eastAsia" w:ascii="宋体" w:hAnsi="宋体" w:cs="宋体"/>
          <w:color w:val="000000"/>
          <w:sz w:val="24"/>
          <w:szCs w:val="24"/>
          <w:u w:val="single"/>
        </w:rPr>
        <w:t xml:space="preserve">         </w:t>
      </w:r>
      <w:r>
        <w:rPr>
          <w:rFonts w:hint="eastAsia" w:ascii="宋体" w:hAnsi="宋体" w:cs="宋体"/>
          <w:color w:val="000000"/>
          <w:sz w:val="24"/>
          <w:szCs w:val="24"/>
        </w:rPr>
        <w:t>个月，缺陷责任期自工程通过竣工验收之日起计算。单位工程先于全部工程进行验收，单位工程缺陷责任期自单位工程验收合格之日起算。</w:t>
      </w:r>
    </w:p>
    <w:p w14:paraId="5EAE563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缺陷责任期终止后，发包人应退还剩余的质量保证金。</w:t>
      </w:r>
    </w:p>
    <w:p w14:paraId="50B2EEE8">
      <w:pPr>
        <w:spacing w:line="360" w:lineRule="auto"/>
        <w:ind w:firstLine="480" w:firstLineChars="200"/>
        <w:rPr>
          <w:rFonts w:ascii="宋体" w:hAnsi="宋体" w:cs="宋体"/>
          <w:color w:val="000000"/>
          <w:sz w:val="24"/>
          <w:szCs w:val="24"/>
        </w:rPr>
      </w:pPr>
      <w:bookmarkStart w:id="1413" w:name="_Toc5155"/>
      <w:bookmarkStart w:id="1414" w:name="_Toc28319"/>
      <w:bookmarkStart w:id="1415" w:name="_Toc518573561"/>
      <w:bookmarkStart w:id="1416" w:name="_Toc518240125"/>
      <w:bookmarkStart w:id="1417" w:name="_Toc13741"/>
      <w:bookmarkStart w:id="1418" w:name="_Toc7640"/>
      <w:bookmarkStart w:id="1419" w:name="_Toc8485"/>
      <w:bookmarkStart w:id="1420" w:name="_Toc13633"/>
      <w:bookmarkStart w:id="1421" w:name="_Toc1509"/>
      <w:bookmarkStart w:id="1422" w:name="_Toc30115"/>
      <w:bookmarkStart w:id="1423" w:name="_Toc8754"/>
      <w:bookmarkStart w:id="1424" w:name="_Toc17224"/>
      <w:bookmarkStart w:id="1425" w:name="_Toc24106"/>
      <w:bookmarkStart w:id="1426" w:name="_Toc31336"/>
      <w:bookmarkStart w:id="1427" w:name="_Toc17371"/>
      <w:bookmarkStart w:id="1428" w:name="_Toc518573677"/>
      <w:r>
        <w:rPr>
          <w:rFonts w:hint="eastAsia" w:ascii="宋体" w:hAnsi="宋体" w:cs="宋体"/>
          <w:color w:val="000000"/>
          <w:sz w:val="24"/>
          <w:szCs w:val="24"/>
        </w:rPr>
        <w:t>四、质量保修责任</w:t>
      </w:r>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p>
    <w:p w14:paraId="00D9A36D">
      <w:pPr>
        <w:spacing w:line="360" w:lineRule="auto"/>
        <w:ind w:left="105" w:leftChars="50" w:firstLine="480" w:firstLineChars="200"/>
        <w:rPr>
          <w:rFonts w:ascii="宋体" w:hAnsi="宋体" w:cs="宋体"/>
          <w:color w:val="000000"/>
          <w:sz w:val="24"/>
          <w:szCs w:val="24"/>
        </w:rPr>
      </w:pPr>
      <w:r>
        <w:rPr>
          <w:rFonts w:hint="eastAsia" w:ascii="宋体" w:hAnsi="宋体" w:cs="宋体"/>
          <w:color w:val="000000"/>
          <w:sz w:val="24"/>
          <w:szCs w:val="24"/>
        </w:rPr>
        <w:t>1</w:t>
      </w:r>
      <w:r>
        <w:rPr>
          <w:rFonts w:hint="eastAsia" w:ascii="宋体" w:hAnsi="宋体" w:cs="宋体"/>
          <w:sz w:val="24"/>
          <w:szCs w:val="24"/>
        </w:rPr>
        <w:t>．</w:t>
      </w:r>
      <w:r>
        <w:rPr>
          <w:rFonts w:hint="eastAsia" w:ascii="宋体" w:hAnsi="宋体" w:cs="宋体"/>
          <w:color w:val="000000"/>
          <w:sz w:val="24"/>
          <w:szCs w:val="24"/>
        </w:rPr>
        <w:t>属于保修范围、内容的项目，承包人应当在接到保修通知之日起7天内派人保修。承包人不在约定期限内派人保修的，发包人可以委托他人修理。</w:t>
      </w:r>
    </w:p>
    <w:p w14:paraId="25130C6A">
      <w:pPr>
        <w:spacing w:line="360" w:lineRule="auto"/>
        <w:ind w:left="105" w:leftChars="50" w:firstLine="480" w:firstLineChars="20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sz w:val="24"/>
          <w:szCs w:val="24"/>
        </w:rPr>
        <w:t>．</w:t>
      </w:r>
      <w:r>
        <w:rPr>
          <w:rFonts w:hint="eastAsia" w:ascii="宋体" w:hAnsi="宋体" w:cs="宋体"/>
          <w:color w:val="000000"/>
          <w:sz w:val="24"/>
          <w:szCs w:val="24"/>
        </w:rPr>
        <w:t>发生紧急事故需抢修的，承包人在接到事故通知后，应当立即到达事故现场抢修。</w:t>
      </w:r>
    </w:p>
    <w:p w14:paraId="3E1D3630">
      <w:pPr>
        <w:spacing w:line="360" w:lineRule="auto"/>
        <w:ind w:left="105" w:leftChars="50" w:firstLine="480" w:firstLineChars="200"/>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sz w:val="24"/>
          <w:szCs w:val="24"/>
        </w:rPr>
        <w:t>．</w:t>
      </w:r>
      <w:r>
        <w:rPr>
          <w:rFonts w:hint="eastAsia" w:ascii="宋体" w:hAnsi="宋体" w:cs="宋体"/>
          <w:color w:val="000000"/>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6F0E4A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w:t>
      </w:r>
      <w:r>
        <w:rPr>
          <w:rFonts w:hint="eastAsia" w:ascii="宋体" w:hAnsi="宋体" w:cs="宋体"/>
          <w:sz w:val="24"/>
          <w:szCs w:val="24"/>
        </w:rPr>
        <w:t>．</w:t>
      </w:r>
      <w:r>
        <w:rPr>
          <w:rFonts w:hint="eastAsia" w:ascii="宋体" w:hAnsi="宋体" w:cs="宋体"/>
          <w:color w:val="000000"/>
          <w:sz w:val="24"/>
          <w:szCs w:val="24"/>
        </w:rPr>
        <w:t>质量保修完成后，由发包人组织验收。</w:t>
      </w:r>
    </w:p>
    <w:p w14:paraId="7DB46FCD">
      <w:pPr>
        <w:spacing w:line="360" w:lineRule="auto"/>
        <w:ind w:firstLine="480" w:firstLineChars="200"/>
        <w:rPr>
          <w:rFonts w:ascii="宋体" w:hAnsi="宋体" w:cs="宋体"/>
          <w:color w:val="000000"/>
          <w:sz w:val="24"/>
          <w:szCs w:val="24"/>
        </w:rPr>
      </w:pPr>
      <w:bookmarkStart w:id="1429" w:name="_Toc20607"/>
      <w:bookmarkStart w:id="1430" w:name="_Toc518573562"/>
      <w:bookmarkStart w:id="1431" w:name="_Toc19726"/>
      <w:bookmarkStart w:id="1432" w:name="_Toc24881"/>
      <w:bookmarkStart w:id="1433" w:name="_Toc25462"/>
      <w:bookmarkStart w:id="1434" w:name="_Toc10381"/>
      <w:bookmarkStart w:id="1435" w:name="_Toc518240126"/>
      <w:bookmarkStart w:id="1436" w:name="_Toc10664"/>
      <w:bookmarkStart w:id="1437" w:name="_Toc22260"/>
      <w:bookmarkStart w:id="1438" w:name="_Toc13898"/>
      <w:bookmarkStart w:id="1439" w:name="_Toc26901"/>
      <w:bookmarkStart w:id="1440" w:name="_Toc518573678"/>
      <w:bookmarkStart w:id="1441" w:name="_Toc22941"/>
      <w:bookmarkStart w:id="1442" w:name="_Toc23438"/>
      <w:bookmarkStart w:id="1443" w:name="_Toc3387"/>
      <w:bookmarkStart w:id="1444" w:name="_Toc4973"/>
      <w:r>
        <w:rPr>
          <w:rFonts w:hint="eastAsia" w:ascii="宋体" w:hAnsi="宋体" w:cs="宋体"/>
          <w:color w:val="000000"/>
          <w:sz w:val="24"/>
          <w:szCs w:val="24"/>
        </w:rPr>
        <w:t>五、保修费用</w:t>
      </w:r>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p>
    <w:p w14:paraId="7D84422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保修费用由造成质量缺陷的责任方承担。</w:t>
      </w:r>
    </w:p>
    <w:p w14:paraId="257AE78D">
      <w:pPr>
        <w:spacing w:line="360" w:lineRule="auto"/>
        <w:ind w:firstLine="480" w:firstLineChars="200"/>
        <w:rPr>
          <w:rFonts w:ascii="宋体" w:hAnsi="宋体" w:cs="宋体"/>
          <w:color w:val="000000"/>
          <w:sz w:val="24"/>
          <w:szCs w:val="24"/>
        </w:rPr>
      </w:pPr>
      <w:bookmarkStart w:id="1445" w:name="_Toc102"/>
      <w:bookmarkStart w:id="1446" w:name="_Toc31920"/>
      <w:bookmarkStart w:id="1447" w:name="_Toc20045"/>
      <w:bookmarkStart w:id="1448" w:name="_Toc19490"/>
      <w:bookmarkStart w:id="1449" w:name="_Toc518573563"/>
      <w:bookmarkStart w:id="1450" w:name="_Toc6755"/>
      <w:bookmarkStart w:id="1451" w:name="_Toc27924"/>
      <w:bookmarkStart w:id="1452" w:name="_Toc518240127"/>
      <w:bookmarkStart w:id="1453" w:name="_Toc24897"/>
      <w:bookmarkStart w:id="1454" w:name="_Toc518573679"/>
      <w:bookmarkStart w:id="1455" w:name="_Toc49"/>
      <w:bookmarkStart w:id="1456" w:name="_Toc5287"/>
      <w:bookmarkStart w:id="1457" w:name="_Toc30259"/>
      <w:bookmarkStart w:id="1458" w:name="_Toc22263"/>
      <w:bookmarkStart w:id="1459" w:name="_Toc23079"/>
      <w:r>
        <w:rPr>
          <w:rFonts w:hint="eastAsia" w:ascii="宋体" w:hAnsi="宋体" w:cs="宋体"/>
          <w:bCs/>
          <w:color w:val="000000"/>
          <w:sz w:val="24"/>
          <w:szCs w:val="24"/>
        </w:rPr>
        <w:t>六、</w:t>
      </w:r>
      <w:r>
        <w:rPr>
          <w:rFonts w:hint="eastAsia" w:ascii="宋体" w:hAnsi="宋体" w:cs="宋体"/>
          <w:color w:val="000000"/>
          <w:sz w:val="24"/>
          <w:szCs w:val="24"/>
        </w:rPr>
        <w:t>双方约定的其他工程质量保修事项：</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F4EDA71">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工程质量保修书由发包人、承包人在工程竣工验收前共同签署，作为施工合同附件，其有效期限至保修期满。</w:t>
      </w:r>
    </w:p>
    <w:p w14:paraId="33580D49">
      <w:pPr>
        <w:spacing w:line="360" w:lineRule="auto"/>
        <w:ind w:firstLine="420"/>
        <w:rPr>
          <w:rFonts w:ascii="宋体" w:hAnsi="宋体" w:cs="宋体"/>
          <w:color w:val="000000"/>
          <w:sz w:val="24"/>
          <w:szCs w:val="24"/>
        </w:rPr>
      </w:pPr>
    </w:p>
    <w:p w14:paraId="5E112466">
      <w:pPr>
        <w:spacing w:line="360" w:lineRule="auto"/>
        <w:rPr>
          <w:rFonts w:ascii="宋体" w:hAnsi="宋体" w:cs="宋体"/>
          <w:color w:val="000000"/>
          <w:sz w:val="24"/>
          <w:szCs w:val="24"/>
        </w:rPr>
      </w:pPr>
      <w:r>
        <w:rPr>
          <w:rFonts w:hint="eastAsia" w:ascii="宋体" w:hAnsi="宋体" w:cs="宋体"/>
          <w:color w:val="000000"/>
          <w:sz w:val="24"/>
          <w:szCs w:val="24"/>
        </w:rPr>
        <w:t>发包人(公章)：</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 承包人(公章)：</w:t>
      </w:r>
      <w:r>
        <w:rPr>
          <w:rFonts w:hint="eastAsia" w:ascii="宋体" w:hAnsi="宋体" w:cs="宋体"/>
          <w:color w:val="000000"/>
          <w:sz w:val="24"/>
          <w:szCs w:val="24"/>
          <w:u w:val="single"/>
        </w:rPr>
        <w:t xml:space="preserve">           </w:t>
      </w:r>
    </w:p>
    <w:p w14:paraId="36C6F1A5">
      <w:pPr>
        <w:spacing w:line="360" w:lineRule="auto"/>
        <w:rPr>
          <w:rFonts w:ascii="宋体" w:hAnsi="宋体" w:cs="宋体"/>
          <w:color w:val="000000"/>
          <w:sz w:val="24"/>
          <w:szCs w:val="24"/>
        </w:rPr>
      </w:pPr>
      <w:r>
        <w:rPr>
          <w:rFonts w:hint="eastAsia" w:ascii="宋体" w:hAnsi="宋体" w:cs="宋体"/>
          <w:color w:val="000000"/>
          <w:sz w:val="24"/>
          <w:szCs w:val="24"/>
        </w:rPr>
        <w:t>地  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地  址：</w:t>
      </w:r>
      <w:r>
        <w:rPr>
          <w:rFonts w:hint="eastAsia" w:ascii="宋体" w:hAnsi="宋体" w:cs="宋体"/>
          <w:color w:val="000000"/>
          <w:sz w:val="24"/>
          <w:szCs w:val="24"/>
          <w:u w:val="single"/>
        </w:rPr>
        <w:t xml:space="preserve">       </w:t>
      </w:r>
    </w:p>
    <w:p w14:paraId="408770E0">
      <w:pPr>
        <w:spacing w:line="360" w:lineRule="auto"/>
        <w:rPr>
          <w:rFonts w:ascii="宋体" w:hAnsi="宋体" w:cs="宋体"/>
          <w:color w:val="000000"/>
          <w:sz w:val="24"/>
          <w:szCs w:val="24"/>
        </w:rPr>
      </w:pPr>
      <w:r>
        <w:rPr>
          <w:rFonts w:hint="eastAsia" w:ascii="宋体" w:hAnsi="宋体" w:cs="宋体"/>
          <w:color w:val="000000"/>
          <w:sz w:val="24"/>
          <w:szCs w:val="24"/>
        </w:rPr>
        <w:t>法定代表人(签字)：</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法定代表人(签字)：</w:t>
      </w:r>
      <w:r>
        <w:rPr>
          <w:rFonts w:hint="eastAsia" w:ascii="宋体" w:hAnsi="宋体" w:cs="宋体"/>
          <w:color w:val="000000"/>
          <w:sz w:val="24"/>
          <w:szCs w:val="24"/>
          <w:u w:val="single"/>
        </w:rPr>
        <w:t xml:space="preserve">       </w:t>
      </w:r>
    </w:p>
    <w:p w14:paraId="0EC70858">
      <w:pPr>
        <w:spacing w:line="360" w:lineRule="auto"/>
        <w:rPr>
          <w:rFonts w:ascii="宋体" w:hAnsi="宋体" w:cs="宋体"/>
          <w:color w:val="000000"/>
          <w:sz w:val="24"/>
          <w:szCs w:val="24"/>
        </w:rPr>
      </w:pPr>
      <w:r>
        <w:rPr>
          <w:rFonts w:hint="eastAsia" w:ascii="宋体" w:hAnsi="宋体" w:cs="宋体"/>
          <w:color w:val="000000"/>
          <w:sz w:val="24"/>
          <w:szCs w:val="24"/>
        </w:rPr>
        <w:t>委托代理人(签字)：</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委托代理人(签字)：</w:t>
      </w:r>
      <w:r>
        <w:rPr>
          <w:rFonts w:hint="eastAsia" w:ascii="宋体" w:hAnsi="宋体" w:cs="宋体"/>
          <w:color w:val="000000"/>
          <w:sz w:val="24"/>
          <w:szCs w:val="24"/>
          <w:u w:val="single"/>
        </w:rPr>
        <w:t xml:space="preserve">       </w:t>
      </w:r>
    </w:p>
    <w:p w14:paraId="0D6E5528">
      <w:pPr>
        <w:spacing w:line="360" w:lineRule="auto"/>
        <w:rPr>
          <w:rFonts w:ascii="宋体" w:hAnsi="宋体" w:cs="宋体"/>
          <w:color w:val="000000"/>
          <w:sz w:val="24"/>
          <w:szCs w:val="24"/>
        </w:rPr>
      </w:pPr>
      <w:r>
        <w:rPr>
          <w:rFonts w:hint="eastAsia" w:ascii="宋体" w:hAnsi="宋体" w:cs="宋体"/>
          <w:color w:val="000000"/>
          <w:sz w:val="24"/>
          <w:szCs w:val="24"/>
        </w:rPr>
        <w:t>电  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  话：</w:t>
      </w:r>
      <w:r>
        <w:rPr>
          <w:rFonts w:hint="eastAsia" w:ascii="宋体" w:hAnsi="宋体" w:cs="宋体"/>
          <w:color w:val="000000"/>
          <w:sz w:val="24"/>
          <w:szCs w:val="24"/>
          <w:u w:val="single"/>
        </w:rPr>
        <w:t xml:space="preserve">     </w:t>
      </w:r>
    </w:p>
    <w:p w14:paraId="5BAF12F0">
      <w:pPr>
        <w:spacing w:line="360" w:lineRule="auto"/>
        <w:rPr>
          <w:rFonts w:ascii="宋体" w:hAnsi="宋体" w:cs="宋体"/>
          <w:color w:val="000000"/>
          <w:sz w:val="24"/>
          <w:szCs w:val="24"/>
        </w:rPr>
      </w:pPr>
      <w:r>
        <w:rPr>
          <w:rFonts w:hint="eastAsia" w:ascii="宋体" w:hAnsi="宋体" w:cs="宋体"/>
          <w:color w:val="000000"/>
          <w:sz w:val="24"/>
          <w:szCs w:val="24"/>
        </w:rPr>
        <w:t>传  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传  真：</w:t>
      </w:r>
      <w:r>
        <w:rPr>
          <w:rFonts w:hint="eastAsia" w:ascii="宋体" w:hAnsi="宋体" w:cs="宋体"/>
          <w:color w:val="000000"/>
          <w:sz w:val="24"/>
          <w:szCs w:val="24"/>
          <w:u w:val="single"/>
        </w:rPr>
        <w:t xml:space="preserve">     </w:t>
      </w:r>
    </w:p>
    <w:p w14:paraId="41DE4F98">
      <w:pPr>
        <w:spacing w:line="360" w:lineRule="auto"/>
        <w:rPr>
          <w:rFonts w:ascii="宋体" w:hAnsi="宋体" w:cs="宋体"/>
          <w:color w:val="000000"/>
          <w:sz w:val="24"/>
          <w:szCs w:val="24"/>
        </w:rPr>
      </w:pPr>
      <w:r>
        <w:rPr>
          <w:rFonts w:hint="eastAsia" w:ascii="宋体" w:hAnsi="宋体" w:cs="宋体"/>
          <w:color w:val="000000"/>
          <w:sz w:val="24"/>
          <w:szCs w:val="24"/>
        </w:rPr>
        <w:t>开户银行：</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w:t>
      </w:r>
    </w:p>
    <w:p w14:paraId="333CB9DF">
      <w:pPr>
        <w:spacing w:line="360" w:lineRule="auto"/>
        <w:rPr>
          <w:rFonts w:ascii="宋体" w:hAnsi="宋体" w:cs="宋体"/>
          <w:color w:val="000000"/>
          <w:sz w:val="24"/>
          <w:szCs w:val="24"/>
        </w:rPr>
      </w:pPr>
      <w:r>
        <w:rPr>
          <w:rFonts w:hint="eastAsia" w:ascii="宋体" w:hAnsi="宋体" w:cs="宋体"/>
          <w:color w:val="000000"/>
          <w:sz w:val="24"/>
          <w:szCs w:val="24"/>
        </w:rPr>
        <w:t>账  号：</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账  号：</w:t>
      </w:r>
      <w:r>
        <w:rPr>
          <w:rFonts w:hint="eastAsia" w:ascii="宋体" w:hAnsi="宋体" w:cs="宋体"/>
          <w:color w:val="000000"/>
          <w:sz w:val="24"/>
          <w:szCs w:val="24"/>
          <w:u w:val="single"/>
        </w:rPr>
        <w:t xml:space="preserve">     </w:t>
      </w:r>
    </w:p>
    <w:p w14:paraId="40E504BD">
      <w:pPr>
        <w:spacing w:line="360" w:lineRule="auto"/>
        <w:rPr>
          <w:rFonts w:ascii="宋体" w:hAnsi="宋体" w:cs="宋体"/>
          <w:color w:val="000000"/>
          <w:sz w:val="24"/>
          <w:szCs w:val="24"/>
        </w:rPr>
      </w:pPr>
      <w:r>
        <w:rPr>
          <w:rFonts w:hint="eastAsia" w:ascii="宋体" w:hAnsi="宋体" w:cs="宋体"/>
          <w:color w:val="000000"/>
          <w:sz w:val="24"/>
          <w:szCs w:val="24"/>
        </w:rPr>
        <w:t>邮政编码：</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邮政编码：</w:t>
      </w:r>
      <w:r>
        <w:rPr>
          <w:rFonts w:hint="eastAsia" w:ascii="宋体" w:hAnsi="宋体" w:cs="宋体"/>
          <w:color w:val="000000"/>
          <w:sz w:val="24"/>
          <w:szCs w:val="24"/>
          <w:u w:val="single"/>
        </w:rPr>
        <w:t xml:space="preserve">   </w:t>
      </w:r>
    </w:p>
    <w:p w14:paraId="28BF4F54">
      <w:pPr>
        <w:spacing w:line="360" w:lineRule="auto"/>
        <w:rPr>
          <w:rFonts w:ascii="宋体" w:hAnsi="宋体" w:cs="宋体"/>
          <w:color w:val="000000"/>
          <w:sz w:val="24"/>
          <w:szCs w:val="24"/>
        </w:rPr>
      </w:pPr>
      <w:r>
        <w:rPr>
          <w:rFonts w:hint="eastAsia" w:ascii="宋体" w:hAnsi="宋体" w:cs="宋体"/>
          <w:b/>
          <w:color w:val="000000"/>
          <w:sz w:val="24"/>
          <w:szCs w:val="24"/>
        </w:rPr>
        <w:br w:type="page"/>
      </w:r>
      <w:r>
        <w:rPr>
          <w:rFonts w:hint="eastAsia" w:ascii="宋体" w:hAnsi="宋体" w:cs="宋体"/>
          <w:color w:val="000000"/>
          <w:sz w:val="24"/>
          <w:szCs w:val="24"/>
        </w:rPr>
        <w:t>附件4：</w:t>
      </w:r>
    </w:p>
    <w:p w14:paraId="2B2D13E7">
      <w:pPr>
        <w:spacing w:line="360" w:lineRule="auto"/>
        <w:jc w:val="center"/>
        <w:rPr>
          <w:rFonts w:ascii="宋体" w:hAnsi="宋体" w:cs="宋体"/>
          <w:color w:val="000000"/>
          <w:sz w:val="24"/>
          <w:szCs w:val="24"/>
        </w:rPr>
      </w:pPr>
      <w:r>
        <w:rPr>
          <w:rFonts w:hint="eastAsia" w:ascii="宋体" w:hAnsi="宋体" w:cs="宋体"/>
          <w:color w:val="000000"/>
          <w:sz w:val="24"/>
          <w:szCs w:val="24"/>
        </w:rPr>
        <w:t>主要建设工程文件目录</w:t>
      </w:r>
    </w:p>
    <w:tbl>
      <w:tblPr>
        <w:tblStyle w:val="34"/>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5550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30FAB308">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文件名称</w:t>
            </w:r>
          </w:p>
        </w:tc>
        <w:tc>
          <w:tcPr>
            <w:tcW w:w="1276" w:type="dxa"/>
            <w:tcBorders>
              <w:top w:val="single" w:color="auto" w:sz="12" w:space="0"/>
              <w:bottom w:val="double" w:color="auto" w:sz="6" w:space="0"/>
            </w:tcBorders>
            <w:vAlign w:val="center"/>
          </w:tcPr>
          <w:p w14:paraId="2A04DBBB">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套数</w:t>
            </w:r>
          </w:p>
        </w:tc>
        <w:tc>
          <w:tcPr>
            <w:tcW w:w="1450" w:type="dxa"/>
            <w:tcBorders>
              <w:top w:val="single" w:color="auto" w:sz="12" w:space="0"/>
              <w:bottom w:val="double" w:color="auto" w:sz="6" w:space="0"/>
            </w:tcBorders>
            <w:vAlign w:val="center"/>
          </w:tcPr>
          <w:p w14:paraId="1B7405E5">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费用（元）</w:t>
            </w:r>
          </w:p>
        </w:tc>
        <w:tc>
          <w:tcPr>
            <w:tcW w:w="1243" w:type="dxa"/>
            <w:tcBorders>
              <w:top w:val="single" w:color="auto" w:sz="12" w:space="0"/>
              <w:bottom w:val="double" w:color="auto" w:sz="6" w:space="0"/>
            </w:tcBorders>
            <w:vAlign w:val="center"/>
          </w:tcPr>
          <w:p w14:paraId="6C2FBA2F">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质量</w:t>
            </w:r>
          </w:p>
        </w:tc>
        <w:tc>
          <w:tcPr>
            <w:tcW w:w="1450" w:type="dxa"/>
            <w:tcBorders>
              <w:top w:val="single" w:color="auto" w:sz="12" w:space="0"/>
              <w:bottom w:val="double" w:color="auto" w:sz="6" w:space="0"/>
            </w:tcBorders>
            <w:vAlign w:val="center"/>
          </w:tcPr>
          <w:p w14:paraId="2536158A">
            <w:pPr>
              <w:spacing w:line="360" w:lineRule="auto"/>
              <w:jc w:val="center"/>
              <w:rPr>
                <w:rFonts w:ascii="宋体" w:hAnsi="宋体" w:cs="宋体"/>
                <w:color w:val="000000"/>
                <w:sz w:val="24"/>
                <w:szCs w:val="24"/>
              </w:rPr>
            </w:pPr>
            <w:r>
              <w:rPr>
                <w:rFonts w:hint="eastAsia" w:ascii="宋体" w:hAnsi="宋体" w:cs="宋体"/>
                <w:color w:val="000000"/>
                <w:sz w:val="24"/>
                <w:szCs w:val="24"/>
              </w:rPr>
              <w:t>移交时间</w:t>
            </w:r>
          </w:p>
        </w:tc>
        <w:tc>
          <w:tcPr>
            <w:tcW w:w="1667" w:type="dxa"/>
            <w:tcBorders>
              <w:top w:val="single" w:color="auto" w:sz="12" w:space="0"/>
              <w:bottom w:val="double" w:color="auto" w:sz="6" w:space="0"/>
            </w:tcBorders>
            <w:vAlign w:val="center"/>
          </w:tcPr>
          <w:p w14:paraId="2758D1CC">
            <w:pPr>
              <w:spacing w:line="360" w:lineRule="auto"/>
              <w:jc w:val="center"/>
              <w:rPr>
                <w:rFonts w:ascii="宋体" w:hAnsi="宋体" w:cs="宋体"/>
                <w:color w:val="000000"/>
                <w:sz w:val="24"/>
                <w:szCs w:val="24"/>
              </w:rPr>
            </w:pPr>
            <w:r>
              <w:rPr>
                <w:rFonts w:hint="eastAsia" w:ascii="宋体" w:hAnsi="宋体" w:cs="宋体"/>
                <w:color w:val="000000"/>
                <w:sz w:val="24"/>
                <w:szCs w:val="24"/>
              </w:rPr>
              <w:t>责任人</w:t>
            </w:r>
          </w:p>
        </w:tc>
      </w:tr>
      <w:tr w14:paraId="20F1E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23413059">
            <w:pPr>
              <w:pStyle w:val="11"/>
              <w:keepNext/>
              <w:spacing w:after="0" w:line="360" w:lineRule="auto"/>
              <w:ind w:left="66" w:right="66"/>
              <w:rPr>
                <w:rFonts w:ascii="宋体" w:hAnsi="宋体" w:cs="宋体"/>
                <w:color w:val="000000"/>
                <w:sz w:val="24"/>
                <w:szCs w:val="24"/>
              </w:rPr>
            </w:pPr>
          </w:p>
        </w:tc>
        <w:tc>
          <w:tcPr>
            <w:tcW w:w="1276" w:type="dxa"/>
            <w:tcBorders>
              <w:top w:val="double" w:color="auto" w:sz="6" w:space="0"/>
              <w:bottom w:val="single" w:color="auto" w:sz="6" w:space="0"/>
            </w:tcBorders>
            <w:vAlign w:val="center"/>
          </w:tcPr>
          <w:p w14:paraId="6673F073">
            <w:pPr>
              <w:pStyle w:val="11"/>
              <w:keepNext/>
              <w:spacing w:after="0" w:line="360" w:lineRule="auto"/>
              <w:ind w:left="66" w:right="66"/>
              <w:rPr>
                <w:rFonts w:ascii="宋体" w:hAnsi="宋体" w:cs="宋体"/>
                <w:color w:val="000000"/>
                <w:sz w:val="24"/>
                <w:szCs w:val="24"/>
              </w:rPr>
            </w:pPr>
          </w:p>
        </w:tc>
        <w:tc>
          <w:tcPr>
            <w:tcW w:w="1450" w:type="dxa"/>
            <w:tcBorders>
              <w:top w:val="double" w:color="auto" w:sz="6" w:space="0"/>
              <w:bottom w:val="single" w:color="auto" w:sz="6" w:space="0"/>
            </w:tcBorders>
            <w:vAlign w:val="center"/>
          </w:tcPr>
          <w:p w14:paraId="012C4387">
            <w:pPr>
              <w:pStyle w:val="11"/>
              <w:keepNext/>
              <w:spacing w:after="0" w:line="360" w:lineRule="auto"/>
              <w:ind w:left="66" w:right="66"/>
              <w:rPr>
                <w:rFonts w:ascii="宋体" w:hAnsi="宋体" w:cs="宋体"/>
                <w:color w:val="000000"/>
                <w:sz w:val="24"/>
                <w:szCs w:val="24"/>
              </w:rPr>
            </w:pPr>
          </w:p>
        </w:tc>
        <w:tc>
          <w:tcPr>
            <w:tcW w:w="1243" w:type="dxa"/>
            <w:tcBorders>
              <w:top w:val="double" w:color="auto" w:sz="6" w:space="0"/>
              <w:bottom w:val="single" w:color="auto" w:sz="6" w:space="0"/>
            </w:tcBorders>
            <w:vAlign w:val="center"/>
          </w:tcPr>
          <w:p w14:paraId="72C2B8C7">
            <w:pPr>
              <w:pStyle w:val="11"/>
              <w:keepNext/>
              <w:spacing w:after="0" w:line="360" w:lineRule="auto"/>
              <w:ind w:left="66" w:right="66"/>
              <w:rPr>
                <w:rFonts w:ascii="宋体" w:hAnsi="宋体" w:cs="宋体"/>
                <w:color w:val="000000"/>
                <w:sz w:val="24"/>
                <w:szCs w:val="24"/>
              </w:rPr>
            </w:pPr>
          </w:p>
        </w:tc>
        <w:tc>
          <w:tcPr>
            <w:tcW w:w="1450" w:type="dxa"/>
            <w:tcBorders>
              <w:top w:val="double" w:color="auto" w:sz="6" w:space="0"/>
              <w:bottom w:val="single" w:color="auto" w:sz="6" w:space="0"/>
            </w:tcBorders>
            <w:vAlign w:val="center"/>
          </w:tcPr>
          <w:p w14:paraId="1877CF4D">
            <w:pPr>
              <w:pStyle w:val="11"/>
              <w:keepNext/>
              <w:spacing w:after="0" w:line="360" w:lineRule="auto"/>
              <w:ind w:left="66" w:right="66"/>
              <w:rPr>
                <w:rFonts w:ascii="宋体" w:hAnsi="宋体" w:cs="宋体"/>
                <w:color w:val="000000"/>
                <w:sz w:val="24"/>
                <w:szCs w:val="24"/>
              </w:rPr>
            </w:pPr>
          </w:p>
        </w:tc>
        <w:tc>
          <w:tcPr>
            <w:tcW w:w="1667" w:type="dxa"/>
            <w:tcBorders>
              <w:top w:val="double" w:color="auto" w:sz="6" w:space="0"/>
              <w:bottom w:val="single" w:color="auto" w:sz="6" w:space="0"/>
            </w:tcBorders>
            <w:vAlign w:val="center"/>
          </w:tcPr>
          <w:p w14:paraId="202CD6A0">
            <w:pPr>
              <w:pStyle w:val="11"/>
              <w:keepNext/>
              <w:spacing w:after="0" w:line="360" w:lineRule="auto"/>
              <w:ind w:left="66" w:right="66"/>
              <w:rPr>
                <w:rFonts w:ascii="宋体" w:hAnsi="宋体" w:cs="宋体"/>
                <w:color w:val="000000"/>
                <w:sz w:val="24"/>
                <w:szCs w:val="24"/>
              </w:rPr>
            </w:pPr>
          </w:p>
        </w:tc>
      </w:tr>
      <w:tr w14:paraId="53695E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3153C6BE">
            <w:pPr>
              <w:pStyle w:val="11"/>
              <w:keepNext/>
              <w:spacing w:after="0" w:line="360" w:lineRule="auto"/>
              <w:ind w:left="66" w:right="66"/>
              <w:rPr>
                <w:rFonts w:ascii="宋体" w:hAnsi="宋体" w:cs="宋体"/>
                <w:color w:val="000000"/>
                <w:sz w:val="24"/>
                <w:szCs w:val="24"/>
              </w:rPr>
            </w:pPr>
          </w:p>
        </w:tc>
        <w:tc>
          <w:tcPr>
            <w:tcW w:w="1276" w:type="dxa"/>
            <w:tcBorders>
              <w:top w:val="nil"/>
            </w:tcBorders>
            <w:vAlign w:val="center"/>
          </w:tcPr>
          <w:p w14:paraId="2FC3CEE0">
            <w:pPr>
              <w:pStyle w:val="11"/>
              <w:keepNext/>
              <w:spacing w:after="0" w:line="360" w:lineRule="auto"/>
              <w:ind w:left="66" w:right="66"/>
              <w:rPr>
                <w:rFonts w:ascii="宋体" w:hAnsi="宋体" w:cs="宋体"/>
                <w:color w:val="000000"/>
                <w:sz w:val="24"/>
                <w:szCs w:val="24"/>
              </w:rPr>
            </w:pPr>
          </w:p>
        </w:tc>
        <w:tc>
          <w:tcPr>
            <w:tcW w:w="1450" w:type="dxa"/>
            <w:tcBorders>
              <w:top w:val="nil"/>
            </w:tcBorders>
            <w:vAlign w:val="center"/>
          </w:tcPr>
          <w:p w14:paraId="445ABAE2">
            <w:pPr>
              <w:pStyle w:val="11"/>
              <w:keepNext/>
              <w:spacing w:after="0" w:line="360" w:lineRule="auto"/>
              <w:ind w:left="66" w:right="66"/>
              <w:rPr>
                <w:rFonts w:ascii="宋体" w:hAnsi="宋体" w:cs="宋体"/>
                <w:color w:val="000000"/>
                <w:sz w:val="24"/>
                <w:szCs w:val="24"/>
              </w:rPr>
            </w:pPr>
          </w:p>
        </w:tc>
        <w:tc>
          <w:tcPr>
            <w:tcW w:w="1243" w:type="dxa"/>
            <w:tcBorders>
              <w:top w:val="nil"/>
            </w:tcBorders>
            <w:vAlign w:val="center"/>
          </w:tcPr>
          <w:p w14:paraId="71B70C17">
            <w:pPr>
              <w:pStyle w:val="11"/>
              <w:keepNext/>
              <w:spacing w:after="0" w:line="360" w:lineRule="auto"/>
              <w:ind w:left="66" w:right="66"/>
              <w:rPr>
                <w:rFonts w:ascii="宋体" w:hAnsi="宋体" w:cs="宋体"/>
                <w:color w:val="000000"/>
                <w:sz w:val="24"/>
                <w:szCs w:val="24"/>
              </w:rPr>
            </w:pPr>
          </w:p>
        </w:tc>
        <w:tc>
          <w:tcPr>
            <w:tcW w:w="1450" w:type="dxa"/>
            <w:tcBorders>
              <w:top w:val="nil"/>
            </w:tcBorders>
            <w:vAlign w:val="center"/>
          </w:tcPr>
          <w:p w14:paraId="6C4770EC">
            <w:pPr>
              <w:pStyle w:val="11"/>
              <w:keepNext/>
              <w:spacing w:after="0" w:line="360" w:lineRule="auto"/>
              <w:ind w:left="66" w:right="66"/>
              <w:rPr>
                <w:rFonts w:ascii="宋体" w:hAnsi="宋体" w:cs="宋体"/>
                <w:color w:val="000000"/>
                <w:sz w:val="24"/>
                <w:szCs w:val="24"/>
              </w:rPr>
            </w:pPr>
          </w:p>
        </w:tc>
        <w:tc>
          <w:tcPr>
            <w:tcW w:w="1667" w:type="dxa"/>
            <w:tcBorders>
              <w:top w:val="nil"/>
            </w:tcBorders>
            <w:vAlign w:val="center"/>
          </w:tcPr>
          <w:p w14:paraId="238D2B76">
            <w:pPr>
              <w:pStyle w:val="11"/>
              <w:keepNext/>
              <w:spacing w:after="0" w:line="360" w:lineRule="auto"/>
              <w:ind w:left="66" w:right="66"/>
              <w:rPr>
                <w:rFonts w:ascii="宋体" w:hAnsi="宋体" w:cs="宋体"/>
                <w:color w:val="000000"/>
                <w:sz w:val="24"/>
                <w:szCs w:val="24"/>
              </w:rPr>
            </w:pPr>
          </w:p>
        </w:tc>
      </w:tr>
      <w:tr w14:paraId="7EE7C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9A1F6C2">
            <w:pPr>
              <w:pStyle w:val="11"/>
              <w:keepNext/>
              <w:spacing w:after="0" w:line="360" w:lineRule="auto"/>
              <w:ind w:left="66" w:right="66"/>
              <w:rPr>
                <w:rFonts w:ascii="宋体" w:hAnsi="宋体" w:cs="宋体"/>
                <w:color w:val="000000"/>
                <w:sz w:val="24"/>
                <w:szCs w:val="24"/>
              </w:rPr>
            </w:pPr>
          </w:p>
        </w:tc>
        <w:tc>
          <w:tcPr>
            <w:tcW w:w="1276" w:type="dxa"/>
            <w:vAlign w:val="center"/>
          </w:tcPr>
          <w:p w14:paraId="112F9BB5">
            <w:pPr>
              <w:pStyle w:val="11"/>
              <w:keepNext/>
              <w:spacing w:after="0" w:line="360" w:lineRule="auto"/>
              <w:ind w:left="66" w:right="66"/>
              <w:rPr>
                <w:rFonts w:ascii="宋体" w:hAnsi="宋体" w:cs="宋体"/>
                <w:color w:val="000000"/>
                <w:sz w:val="24"/>
                <w:szCs w:val="24"/>
              </w:rPr>
            </w:pPr>
          </w:p>
        </w:tc>
        <w:tc>
          <w:tcPr>
            <w:tcW w:w="1450" w:type="dxa"/>
            <w:vAlign w:val="center"/>
          </w:tcPr>
          <w:p w14:paraId="5D348D9E">
            <w:pPr>
              <w:pStyle w:val="11"/>
              <w:keepNext/>
              <w:spacing w:after="0" w:line="360" w:lineRule="auto"/>
              <w:ind w:left="66" w:right="66"/>
              <w:rPr>
                <w:rFonts w:ascii="宋体" w:hAnsi="宋体" w:cs="宋体"/>
                <w:color w:val="000000"/>
                <w:sz w:val="24"/>
                <w:szCs w:val="24"/>
              </w:rPr>
            </w:pPr>
          </w:p>
        </w:tc>
        <w:tc>
          <w:tcPr>
            <w:tcW w:w="1243" w:type="dxa"/>
            <w:vAlign w:val="center"/>
          </w:tcPr>
          <w:p w14:paraId="794FB45F">
            <w:pPr>
              <w:pStyle w:val="11"/>
              <w:keepNext/>
              <w:spacing w:after="0" w:line="360" w:lineRule="auto"/>
              <w:ind w:left="66" w:right="66"/>
              <w:rPr>
                <w:rFonts w:ascii="宋体" w:hAnsi="宋体" w:cs="宋体"/>
                <w:color w:val="000000"/>
                <w:sz w:val="24"/>
                <w:szCs w:val="24"/>
              </w:rPr>
            </w:pPr>
          </w:p>
        </w:tc>
        <w:tc>
          <w:tcPr>
            <w:tcW w:w="1450" w:type="dxa"/>
            <w:vAlign w:val="center"/>
          </w:tcPr>
          <w:p w14:paraId="669EAACA">
            <w:pPr>
              <w:pStyle w:val="11"/>
              <w:keepNext/>
              <w:spacing w:after="0" w:line="360" w:lineRule="auto"/>
              <w:ind w:left="66" w:right="66"/>
              <w:rPr>
                <w:rFonts w:ascii="宋体" w:hAnsi="宋体" w:cs="宋体"/>
                <w:color w:val="000000"/>
                <w:sz w:val="24"/>
                <w:szCs w:val="24"/>
              </w:rPr>
            </w:pPr>
          </w:p>
        </w:tc>
        <w:tc>
          <w:tcPr>
            <w:tcW w:w="1667" w:type="dxa"/>
            <w:vAlign w:val="center"/>
          </w:tcPr>
          <w:p w14:paraId="0D120D81">
            <w:pPr>
              <w:pStyle w:val="11"/>
              <w:keepNext/>
              <w:spacing w:after="0" w:line="360" w:lineRule="auto"/>
              <w:ind w:left="66" w:right="66"/>
              <w:rPr>
                <w:rFonts w:ascii="宋体" w:hAnsi="宋体" w:cs="宋体"/>
                <w:color w:val="000000"/>
                <w:sz w:val="24"/>
                <w:szCs w:val="24"/>
              </w:rPr>
            </w:pPr>
          </w:p>
        </w:tc>
      </w:tr>
      <w:tr w14:paraId="7C47AB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4F1B104">
            <w:pPr>
              <w:pStyle w:val="11"/>
              <w:keepNext/>
              <w:spacing w:after="0" w:line="360" w:lineRule="auto"/>
              <w:ind w:left="66" w:right="66"/>
              <w:rPr>
                <w:rFonts w:ascii="宋体" w:hAnsi="宋体" w:cs="宋体"/>
                <w:color w:val="000000"/>
                <w:sz w:val="24"/>
                <w:szCs w:val="24"/>
              </w:rPr>
            </w:pPr>
          </w:p>
        </w:tc>
        <w:tc>
          <w:tcPr>
            <w:tcW w:w="1276" w:type="dxa"/>
            <w:vAlign w:val="center"/>
          </w:tcPr>
          <w:p w14:paraId="1A55F70F">
            <w:pPr>
              <w:pStyle w:val="11"/>
              <w:keepNext/>
              <w:spacing w:after="0" w:line="360" w:lineRule="auto"/>
              <w:ind w:left="66" w:right="66"/>
              <w:rPr>
                <w:rFonts w:ascii="宋体" w:hAnsi="宋体" w:cs="宋体"/>
                <w:color w:val="000000"/>
                <w:sz w:val="24"/>
                <w:szCs w:val="24"/>
              </w:rPr>
            </w:pPr>
          </w:p>
        </w:tc>
        <w:tc>
          <w:tcPr>
            <w:tcW w:w="1450" w:type="dxa"/>
            <w:vAlign w:val="center"/>
          </w:tcPr>
          <w:p w14:paraId="2E48159D">
            <w:pPr>
              <w:pStyle w:val="11"/>
              <w:keepNext/>
              <w:spacing w:after="0" w:line="360" w:lineRule="auto"/>
              <w:ind w:left="66" w:right="66"/>
              <w:rPr>
                <w:rFonts w:ascii="宋体" w:hAnsi="宋体" w:cs="宋体"/>
                <w:color w:val="000000"/>
                <w:sz w:val="24"/>
                <w:szCs w:val="24"/>
              </w:rPr>
            </w:pPr>
          </w:p>
        </w:tc>
        <w:tc>
          <w:tcPr>
            <w:tcW w:w="1243" w:type="dxa"/>
            <w:vAlign w:val="center"/>
          </w:tcPr>
          <w:p w14:paraId="3FD0C50B">
            <w:pPr>
              <w:pStyle w:val="11"/>
              <w:keepNext/>
              <w:spacing w:after="0" w:line="360" w:lineRule="auto"/>
              <w:ind w:left="66" w:right="66"/>
              <w:rPr>
                <w:rFonts w:ascii="宋体" w:hAnsi="宋体" w:cs="宋体"/>
                <w:color w:val="000000"/>
                <w:sz w:val="24"/>
                <w:szCs w:val="24"/>
              </w:rPr>
            </w:pPr>
          </w:p>
        </w:tc>
        <w:tc>
          <w:tcPr>
            <w:tcW w:w="1450" w:type="dxa"/>
            <w:vAlign w:val="center"/>
          </w:tcPr>
          <w:p w14:paraId="4F8118F9">
            <w:pPr>
              <w:pStyle w:val="11"/>
              <w:keepNext/>
              <w:spacing w:after="0" w:line="360" w:lineRule="auto"/>
              <w:ind w:left="66" w:right="66"/>
              <w:rPr>
                <w:rFonts w:ascii="宋体" w:hAnsi="宋体" w:cs="宋体"/>
                <w:color w:val="000000"/>
                <w:sz w:val="24"/>
                <w:szCs w:val="24"/>
              </w:rPr>
            </w:pPr>
          </w:p>
        </w:tc>
        <w:tc>
          <w:tcPr>
            <w:tcW w:w="1667" w:type="dxa"/>
            <w:vAlign w:val="center"/>
          </w:tcPr>
          <w:p w14:paraId="55DFDA80">
            <w:pPr>
              <w:pStyle w:val="11"/>
              <w:keepNext/>
              <w:spacing w:after="0" w:line="360" w:lineRule="auto"/>
              <w:ind w:left="66" w:right="66"/>
              <w:rPr>
                <w:rFonts w:ascii="宋体" w:hAnsi="宋体" w:cs="宋体"/>
                <w:color w:val="000000"/>
                <w:sz w:val="24"/>
                <w:szCs w:val="24"/>
              </w:rPr>
            </w:pPr>
          </w:p>
        </w:tc>
      </w:tr>
      <w:tr w14:paraId="4D18A7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46F136E">
            <w:pPr>
              <w:pStyle w:val="11"/>
              <w:keepNext/>
              <w:spacing w:after="0" w:line="360" w:lineRule="auto"/>
              <w:ind w:left="66" w:right="66"/>
              <w:rPr>
                <w:rFonts w:ascii="宋体" w:hAnsi="宋体" w:cs="宋体"/>
                <w:color w:val="000000"/>
                <w:sz w:val="24"/>
                <w:szCs w:val="24"/>
              </w:rPr>
            </w:pPr>
          </w:p>
        </w:tc>
        <w:tc>
          <w:tcPr>
            <w:tcW w:w="1276" w:type="dxa"/>
            <w:vAlign w:val="center"/>
          </w:tcPr>
          <w:p w14:paraId="67F01CFD">
            <w:pPr>
              <w:pStyle w:val="11"/>
              <w:keepNext/>
              <w:spacing w:after="0" w:line="360" w:lineRule="auto"/>
              <w:ind w:left="66" w:right="66"/>
              <w:rPr>
                <w:rFonts w:ascii="宋体" w:hAnsi="宋体" w:cs="宋体"/>
                <w:color w:val="000000"/>
                <w:sz w:val="24"/>
                <w:szCs w:val="24"/>
              </w:rPr>
            </w:pPr>
          </w:p>
        </w:tc>
        <w:tc>
          <w:tcPr>
            <w:tcW w:w="1450" w:type="dxa"/>
            <w:vAlign w:val="center"/>
          </w:tcPr>
          <w:p w14:paraId="2190A545">
            <w:pPr>
              <w:pStyle w:val="11"/>
              <w:keepNext/>
              <w:spacing w:after="0" w:line="360" w:lineRule="auto"/>
              <w:ind w:left="66" w:right="66"/>
              <w:rPr>
                <w:rFonts w:ascii="宋体" w:hAnsi="宋体" w:cs="宋体"/>
                <w:color w:val="000000"/>
                <w:sz w:val="24"/>
                <w:szCs w:val="24"/>
              </w:rPr>
            </w:pPr>
          </w:p>
        </w:tc>
        <w:tc>
          <w:tcPr>
            <w:tcW w:w="1243" w:type="dxa"/>
            <w:vAlign w:val="center"/>
          </w:tcPr>
          <w:p w14:paraId="41BC4C69">
            <w:pPr>
              <w:pStyle w:val="11"/>
              <w:keepNext/>
              <w:spacing w:after="0" w:line="360" w:lineRule="auto"/>
              <w:ind w:left="66" w:right="66"/>
              <w:rPr>
                <w:rFonts w:ascii="宋体" w:hAnsi="宋体" w:cs="宋体"/>
                <w:color w:val="000000"/>
                <w:sz w:val="24"/>
                <w:szCs w:val="24"/>
              </w:rPr>
            </w:pPr>
          </w:p>
        </w:tc>
        <w:tc>
          <w:tcPr>
            <w:tcW w:w="1450" w:type="dxa"/>
            <w:vAlign w:val="center"/>
          </w:tcPr>
          <w:p w14:paraId="13A2D625">
            <w:pPr>
              <w:pStyle w:val="11"/>
              <w:keepNext/>
              <w:spacing w:after="0" w:line="360" w:lineRule="auto"/>
              <w:ind w:left="66" w:right="66"/>
              <w:rPr>
                <w:rFonts w:ascii="宋体" w:hAnsi="宋体" w:cs="宋体"/>
                <w:color w:val="000000"/>
                <w:sz w:val="24"/>
                <w:szCs w:val="24"/>
              </w:rPr>
            </w:pPr>
          </w:p>
        </w:tc>
        <w:tc>
          <w:tcPr>
            <w:tcW w:w="1667" w:type="dxa"/>
            <w:vAlign w:val="center"/>
          </w:tcPr>
          <w:p w14:paraId="68F4392E">
            <w:pPr>
              <w:pStyle w:val="11"/>
              <w:keepNext/>
              <w:spacing w:after="0" w:line="360" w:lineRule="auto"/>
              <w:ind w:left="66" w:right="66"/>
              <w:rPr>
                <w:rFonts w:ascii="宋体" w:hAnsi="宋体" w:cs="宋体"/>
                <w:color w:val="000000"/>
                <w:sz w:val="24"/>
                <w:szCs w:val="24"/>
              </w:rPr>
            </w:pPr>
          </w:p>
        </w:tc>
      </w:tr>
      <w:tr w14:paraId="2EF52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32E65C3">
            <w:pPr>
              <w:pStyle w:val="11"/>
              <w:keepNext/>
              <w:spacing w:after="0" w:line="360" w:lineRule="auto"/>
              <w:ind w:left="66" w:right="66"/>
              <w:rPr>
                <w:rFonts w:ascii="宋体" w:hAnsi="宋体" w:cs="宋体"/>
                <w:color w:val="000000"/>
                <w:sz w:val="24"/>
                <w:szCs w:val="24"/>
              </w:rPr>
            </w:pPr>
          </w:p>
        </w:tc>
        <w:tc>
          <w:tcPr>
            <w:tcW w:w="1276" w:type="dxa"/>
            <w:vAlign w:val="center"/>
          </w:tcPr>
          <w:p w14:paraId="56D1E2CD">
            <w:pPr>
              <w:pStyle w:val="11"/>
              <w:keepNext/>
              <w:spacing w:after="0" w:line="360" w:lineRule="auto"/>
              <w:ind w:left="66" w:right="66"/>
              <w:rPr>
                <w:rFonts w:ascii="宋体" w:hAnsi="宋体" w:cs="宋体"/>
                <w:color w:val="000000"/>
                <w:sz w:val="24"/>
                <w:szCs w:val="24"/>
              </w:rPr>
            </w:pPr>
          </w:p>
        </w:tc>
        <w:tc>
          <w:tcPr>
            <w:tcW w:w="1450" w:type="dxa"/>
            <w:vAlign w:val="center"/>
          </w:tcPr>
          <w:p w14:paraId="4FFC7E9F">
            <w:pPr>
              <w:pStyle w:val="11"/>
              <w:keepNext/>
              <w:spacing w:after="0" w:line="360" w:lineRule="auto"/>
              <w:ind w:left="66" w:right="66"/>
              <w:rPr>
                <w:rFonts w:ascii="宋体" w:hAnsi="宋体" w:cs="宋体"/>
                <w:color w:val="000000"/>
                <w:sz w:val="24"/>
                <w:szCs w:val="24"/>
              </w:rPr>
            </w:pPr>
          </w:p>
        </w:tc>
        <w:tc>
          <w:tcPr>
            <w:tcW w:w="1243" w:type="dxa"/>
            <w:vAlign w:val="center"/>
          </w:tcPr>
          <w:p w14:paraId="5E627C49">
            <w:pPr>
              <w:pStyle w:val="11"/>
              <w:keepNext/>
              <w:spacing w:after="0" w:line="360" w:lineRule="auto"/>
              <w:ind w:left="66" w:right="66"/>
              <w:rPr>
                <w:rFonts w:ascii="宋体" w:hAnsi="宋体" w:cs="宋体"/>
                <w:color w:val="000000"/>
                <w:sz w:val="24"/>
                <w:szCs w:val="24"/>
              </w:rPr>
            </w:pPr>
          </w:p>
        </w:tc>
        <w:tc>
          <w:tcPr>
            <w:tcW w:w="1450" w:type="dxa"/>
            <w:vAlign w:val="center"/>
          </w:tcPr>
          <w:p w14:paraId="1CEB5E2B">
            <w:pPr>
              <w:pStyle w:val="11"/>
              <w:keepNext/>
              <w:spacing w:after="0" w:line="360" w:lineRule="auto"/>
              <w:ind w:left="66" w:right="66"/>
              <w:rPr>
                <w:rFonts w:ascii="宋体" w:hAnsi="宋体" w:cs="宋体"/>
                <w:color w:val="000000"/>
                <w:sz w:val="24"/>
                <w:szCs w:val="24"/>
              </w:rPr>
            </w:pPr>
          </w:p>
        </w:tc>
        <w:tc>
          <w:tcPr>
            <w:tcW w:w="1667" w:type="dxa"/>
            <w:vAlign w:val="center"/>
          </w:tcPr>
          <w:p w14:paraId="5B27B6D8">
            <w:pPr>
              <w:pStyle w:val="11"/>
              <w:keepNext/>
              <w:spacing w:after="0" w:line="360" w:lineRule="auto"/>
              <w:ind w:left="66" w:right="66"/>
              <w:rPr>
                <w:rFonts w:ascii="宋体" w:hAnsi="宋体" w:cs="宋体"/>
                <w:color w:val="000000"/>
                <w:sz w:val="24"/>
                <w:szCs w:val="24"/>
              </w:rPr>
            </w:pPr>
          </w:p>
        </w:tc>
      </w:tr>
      <w:tr w14:paraId="65CCA3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AA4B2F6">
            <w:pPr>
              <w:pStyle w:val="11"/>
              <w:keepNext/>
              <w:spacing w:after="0" w:line="360" w:lineRule="auto"/>
              <w:ind w:left="66" w:right="66"/>
              <w:rPr>
                <w:rFonts w:ascii="宋体" w:hAnsi="宋体" w:cs="宋体"/>
                <w:color w:val="000000"/>
                <w:sz w:val="24"/>
                <w:szCs w:val="24"/>
              </w:rPr>
            </w:pPr>
          </w:p>
        </w:tc>
        <w:tc>
          <w:tcPr>
            <w:tcW w:w="1276" w:type="dxa"/>
            <w:vAlign w:val="center"/>
          </w:tcPr>
          <w:p w14:paraId="22FCD02F">
            <w:pPr>
              <w:pStyle w:val="11"/>
              <w:keepNext/>
              <w:spacing w:after="0" w:line="360" w:lineRule="auto"/>
              <w:ind w:left="66" w:right="66"/>
              <w:rPr>
                <w:rFonts w:ascii="宋体" w:hAnsi="宋体" w:cs="宋体"/>
                <w:color w:val="000000"/>
                <w:sz w:val="24"/>
                <w:szCs w:val="24"/>
              </w:rPr>
            </w:pPr>
          </w:p>
        </w:tc>
        <w:tc>
          <w:tcPr>
            <w:tcW w:w="1450" w:type="dxa"/>
            <w:vAlign w:val="center"/>
          </w:tcPr>
          <w:p w14:paraId="0D2FE97D">
            <w:pPr>
              <w:pStyle w:val="11"/>
              <w:keepNext/>
              <w:spacing w:after="0" w:line="360" w:lineRule="auto"/>
              <w:ind w:left="66" w:right="66"/>
              <w:rPr>
                <w:rFonts w:ascii="宋体" w:hAnsi="宋体" w:cs="宋体"/>
                <w:color w:val="000000"/>
                <w:sz w:val="24"/>
                <w:szCs w:val="24"/>
              </w:rPr>
            </w:pPr>
          </w:p>
        </w:tc>
        <w:tc>
          <w:tcPr>
            <w:tcW w:w="1243" w:type="dxa"/>
            <w:vAlign w:val="center"/>
          </w:tcPr>
          <w:p w14:paraId="271434DF">
            <w:pPr>
              <w:pStyle w:val="11"/>
              <w:keepNext/>
              <w:spacing w:after="0" w:line="360" w:lineRule="auto"/>
              <w:ind w:left="66" w:right="66"/>
              <w:rPr>
                <w:rFonts w:ascii="宋体" w:hAnsi="宋体" w:cs="宋体"/>
                <w:color w:val="000000"/>
                <w:sz w:val="24"/>
                <w:szCs w:val="24"/>
              </w:rPr>
            </w:pPr>
          </w:p>
        </w:tc>
        <w:tc>
          <w:tcPr>
            <w:tcW w:w="1450" w:type="dxa"/>
            <w:vAlign w:val="center"/>
          </w:tcPr>
          <w:p w14:paraId="12C4AD3C">
            <w:pPr>
              <w:pStyle w:val="11"/>
              <w:keepNext/>
              <w:spacing w:after="0" w:line="360" w:lineRule="auto"/>
              <w:ind w:left="66" w:right="66"/>
              <w:rPr>
                <w:rFonts w:ascii="宋体" w:hAnsi="宋体" w:cs="宋体"/>
                <w:color w:val="000000"/>
                <w:sz w:val="24"/>
                <w:szCs w:val="24"/>
              </w:rPr>
            </w:pPr>
          </w:p>
        </w:tc>
        <w:tc>
          <w:tcPr>
            <w:tcW w:w="1667" w:type="dxa"/>
            <w:vAlign w:val="center"/>
          </w:tcPr>
          <w:p w14:paraId="72AFF882">
            <w:pPr>
              <w:pStyle w:val="11"/>
              <w:keepNext/>
              <w:spacing w:after="0" w:line="360" w:lineRule="auto"/>
              <w:ind w:left="66" w:right="66"/>
              <w:rPr>
                <w:rFonts w:ascii="宋体" w:hAnsi="宋体" w:cs="宋体"/>
                <w:color w:val="000000"/>
                <w:sz w:val="24"/>
                <w:szCs w:val="24"/>
              </w:rPr>
            </w:pPr>
          </w:p>
        </w:tc>
      </w:tr>
      <w:tr w14:paraId="5C9DF7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617D969">
            <w:pPr>
              <w:pStyle w:val="11"/>
              <w:keepNext/>
              <w:spacing w:after="0" w:line="360" w:lineRule="auto"/>
              <w:ind w:left="66" w:right="66"/>
              <w:rPr>
                <w:rFonts w:ascii="宋体" w:hAnsi="宋体" w:cs="宋体"/>
                <w:color w:val="000000"/>
                <w:sz w:val="24"/>
                <w:szCs w:val="24"/>
              </w:rPr>
            </w:pPr>
          </w:p>
        </w:tc>
        <w:tc>
          <w:tcPr>
            <w:tcW w:w="1276" w:type="dxa"/>
            <w:vAlign w:val="center"/>
          </w:tcPr>
          <w:p w14:paraId="0E8CADF9">
            <w:pPr>
              <w:pStyle w:val="11"/>
              <w:keepNext/>
              <w:spacing w:after="0" w:line="360" w:lineRule="auto"/>
              <w:ind w:left="66" w:right="66"/>
              <w:rPr>
                <w:rFonts w:ascii="宋体" w:hAnsi="宋体" w:cs="宋体"/>
                <w:color w:val="000000"/>
                <w:sz w:val="24"/>
                <w:szCs w:val="24"/>
              </w:rPr>
            </w:pPr>
          </w:p>
        </w:tc>
        <w:tc>
          <w:tcPr>
            <w:tcW w:w="1450" w:type="dxa"/>
            <w:vAlign w:val="center"/>
          </w:tcPr>
          <w:p w14:paraId="53C1A106">
            <w:pPr>
              <w:pStyle w:val="11"/>
              <w:keepNext/>
              <w:spacing w:after="0" w:line="360" w:lineRule="auto"/>
              <w:ind w:left="66" w:right="66"/>
              <w:rPr>
                <w:rFonts w:ascii="宋体" w:hAnsi="宋体" w:cs="宋体"/>
                <w:color w:val="000000"/>
                <w:sz w:val="24"/>
                <w:szCs w:val="24"/>
              </w:rPr>
            </w:pPr>
          </w:p>
        </w:tc>
        <w:tc>
          <w:tcPr>
            <w:tcW w:w="1243" w:type="dxa"/>
            <w:vAlign w:val="center"/>
          </w:tcPr>
          <w:p w14:paraId="59D9DD5C">
            <w:pPr>
              <w:pStyle w:val="11"/>
              <w:keepNext/>
              <w:spacing w:after="0" w:line="360" w:lineRule="auto"/>
              <w:ind w:left="66" w:right="66"/>
              <w:rPr>
                <w:rFonts w:ascii="宋体" w:hAnsi="宋体" w:cs="宋体"/>
                <w:color w:val="000000"/>
                <w:sz w:val="24"/>
                <w:szCs w:val="24"/>
              </w:rPr>
            </w:pPr>
          </w:p>
        </w:tc>
        <w:tc>
          <w:tcPr>
            <w:tcW w:w="1450" w:type="dxa"/>
            <w:vAlign w:val="center"/>
          </w:tcPr>
          <w:p w14:paraId="622A2C31">
            <w:pPr>
              <w:pStyle w:val="11"/>
              <w:keepNext/>
              <w:spacing w:after="0" w:line="360" w:lineRule="auto"/>
              <w:ind w:left="66" w:right="66"/>
              <w:rPr>
                <w:rFonts w:ascii="宋体" w:hAnsi="宋体" w:cs="宋体"/>
                <w:color w:val="000000"/>
                <w:sz w:val="24"/>
                <w:szCs w:val="24"/>
              </w:rPr>
            </w:pPr>
          </w:p>
        </w:tc>
        <w:tc>
          <w:tcPr>
            <w:tcW w:w="1667" w:type="dxa"/>
            <w:vAlign w:val="center"/>
          </w:tcPr>
          <w:p w14:paraId="23D159DA">
            <w:pPr>
              <w:pStyle w:val="11"/>
              <w:keepNext/>
              <w:spacing w:after="0" w:line="360" w:lineRule="auto"/>
              <w:ind w:left="66" w:right="66"/>
              <w:rPr>
                <w:rFonts w:ascii="宋体" w:hAnsi="宋体" w:cs="宋体"/>
                <w:color w:val="000000"/>
                <w:sz w:val="24"/>
                <w:szCs w:val="24"/>
              </w:rPr>
            </w:pPr>
          </w:p>
        </w:tc>
      </w:tr>
      <w:tr w14:paraId="3A0EBA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E87D7FD">
            <w:pPr>
              <w:spacing w:line="360" w:lineRule="auto"/>
              <w:rPr>
                <w:rFonts w:ascii="宋体" w:hAnsi="宋体" w:cs="宋体"/>
                <w:color w:val="000000"/>
                <w:sz w:val="24"/>
                <w:szCs w:val="24"/>
              </w:rPr>
            </w:pPr>
          </w:p>
        </w:tc>
        <w:tc>
          <w:tcPr>
            <w:tcW w:w="1276" w:type="dxa"/>
          </w:tcPr>
          <w:p w14:paraId="047415C7">
            <w:pPr>
              <w:spacing w:line="360" w:lineRule="auto"/>
              <w:rPr>
                <w:rFonts w:ascii="宋体" w:hAnsi="宋体" w:cs="宋体"/>
                <w:color w:val="000000"/>
                <w:sz w:val="24"/>
                <w:szCs w:val="24"/>
              </w:rPr>
            </w:pPr>
          </w:p>
        </w:tc>
        <w:tc>
          <w:tcPr>
            <w:tcW w:w="1450" w:type="dxa"/>
          </w:tcPr>
          <w:p w14:paraId="0DF0F546">
            <w:pPr>
              <w:spacing w:line="360" w:lineRule="auto"/>
              <w:rPr>
                <w:rFonts w:ascii="宋体" w:hAnsi="宋体" w:cs="宋体"/>
                <w:color w:val="000000"/>
                <w:sz w:val="24"/>
                <w:szCs w:val="24"/>
              </w:rPr>
            </w:pPr>
          </w:p>
        </w:tc>
        <w:tc>
          <w:tcPr>
            <w:tcW w:w="1243" w:type="dxa"/>
          </w:tcPr>
          <w:p w14:paraId="11A28C1D">
            <w:pPr>
              <w:spacing w:line="360" w:lineRule="auto"/>
              <w:rPr>
                <w:rFonts w:ascii="宋体" w:hAnsi="宋体" w:cs="宋体"/>
                <w:color w:val="000000"/>
                <w:sz w:val="24"/>
                <w:szCs w:val="24"/>
              </w:rPr>
            </w:pPr>
          </w:p>
        </w:tc>
        <w:tc>
          <w:tcPr>
            <w:tcW w:w="1450" w:type="dxa"/>
          </w:tcPr>
          <w:p w14:paraId="4C3E6203">
            <w:pPr>
              <w:spacing w:line="360" w:lineRule="auto"/>
              <w:rPr>
                <w:rFonts w:ascii="宋体" w:hAnsi="宋体" w:cs="宋体"/>
                <w:color w:val="000000"/>
                <w:sz w:val="24"/>
                <w:szCs w:val="24"/>
              </w:rPr>
            </w:pPr>
          </w:p>
        </w:tc>
        <w:tc>
          <w:tcPr>
            <w:tcW w:w="1667" w:type="dxa"/>
          </w:tcPr>
          <w:p w14:paraId="154B77BB">
            <w:pPr>
              <w:spacing w:line="360" w:lineRule="auto"/>
              <w:rPr>
                <w:rFonts w:ascii="宋体" w:hAnsi="宋体" w:cs="宋体"/>
                <w:color w:val="000000"/>
                <w:sz w:val="24"/>
                <w:szCs w:val="24"/>
              </w:rPr>
            </w:pPr>
          </w:p>
        </w:tc>
      </w:tr>
      <w:tr w14:paraId="233C08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D7634CD">
            <w:pPr>
              <w:pStyle w:val="11"/>
              <w:keepNext/>
              <w:spacing w:after="0" w:line="360" w:lineRule="auto"/>
              <w:ind w:left="66" w:right="66"/>
              <w:rPr>
                <w:rFonts w:ascii="宋体" w:hAnsi="宋体" w:cs="宋体"/>
                <w:color w:val="000000"/>
                <w:sz w:val="24"/>
                <w:szCs w:val="24"/>
              </w:rPr>
            </w:pPr>
          </w:p>
        </w:tc>
        <w:tc>
          <w:tcPr>
            <w:tcW w:w="1276" w:type="dxa"/>
            <w:vAlign w:val="center"/>
          </w:tcPr>
          <w:p w14:paraId="50FF3963">
            <w:pPr>
              <w:pStyle w:val="11"/>
              <w:keepNext/>
              <w:spacing w:after="0" w:line="360" w:lineRule="auto"/>
              <w:ind w:left="66" w:right="66"/>
              <w:rPr>
                <w:rFonts w:ascii="宋体" w:hAnsi="宋体" w:cs="宋体"/>
                <w:color w:val="000000"/>
                <w:sz w:val="24"/>
                <w:szCs w:val="24"/>
              </w:rPr>
            </w:pPr>
          </w:p>
        </w:tc>
        <w:tc>
          <w:tcPr>
            <w:tcW w:w="1450" w:type="dxa"/>
            <w:vAlign w:val="center"/>
          </w:tcPr>
          <w:p w14:paraId="2EC72278">
            <w:pPr>
              <w:pStyle w:val="11"/>
              <w:keepNext/>
              <w:spacing w:after="0" w:line="360" w:lineRule="auto"/>
              <w:ind w:left="66" w:right="66"/>
              <w:rPr>
                <w:rFonts w:ascii="宋体" w:hAnsi="宋体" w:cs="宋体"/>
                <w:color w:val="000000"/>
                <w:sz w:val="24"/>
                <w:szCs w:val="24"/>
              </w:rPr>
            </w:pPr>
          </w:p>
        </w:tc>
        <w:tc>
          <w:tcPr>
            <w:tcW w:w="1243" w:type="dxa"/>
            <w:vAlign w:val="center"/>
          </w:tcPr>
          <w:p w14:paraId="0DD3FF9B">
            <w:pPr>
              <w:pStyle w:val="11"/>
              <w:keepNext/>
              <w:spacing w:after="0" w:line="360" w:lineRule="auto"/>
              <w:ind w:left="66" w:right="66"/>
              <w:rPr>
                <w:rFonts w:ascii="宋体" w:hAnsi="宋体" w:cs="宋体"/>
                <w:color w:val="000000"/>
                <w:sz w:val="24"/>
                <w:szCs w:val="24"/>
              </w:rPr>
            </w:pPr>
          </w:p>
        </w:tc>
        <w:tc>
          <w:tcPr>
            <w:tcW w:w="1450" w:type="dxa"/>
            <w:vAlign w:val="center"/>
          </w:tcPr>
          <w:p w14:paraId="22530454">
            <w:pPr>
              <w:pStyle w:val="11"/>
              <w:keepNext/>
              <w:spacing w:after="0" w:line="360" w:lineRule="auto"/>
              <w:ind w:left="66" w:right="66"/>
              <w:rPr>
                <w:rFonts w:ascii="宋体" w:hAnsi="宋体" w:cs="宋体"/>
                <w:color w:val="000000"/>
                <w:sz w:val="24"/>
                <w:szCs w:val="24"/>
              </w:rPr>
            </w:pPr>
          </w:p>
        </w:tc>
        <w:tc>
          <w:tcPr>
            <w:tcW w:w="1667" w:type="dxa"/>
            <w:vAlign w:val="center"/>
          </w:tcPr>
          <w:p w14:paraId="5CCFEB93">
            <w:pPr>
              <w:pStyle w:val="11"/>
              <w:keepNext/>
              <w:spacing w:after="0" w:line="360" w:lineRule="auto"/>
              <w:ind w:left="66" w:right="66"/>
              <w:rPr>
                <w:rFonts w:ascii="宋体" w:hAnsi="宋体" w:cs="宋体"/>
                <w:color w:val="000000"/>
                <w:sz w:val="24"/>
                <w:szCs w:val="24"/>
              </w:rPr>
            </w:pPr>
          </w:p>
        </w:tc>
      </w:tr>
      <w:tr w14:paraId="49D096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841517E">
            <w:pPr>
              <w:spacing w:line="360" w:lineRule="auto"/>
              <w:rPr>
                <w:rFonts w:ascii="宋体" w:hAnsi="宋体" w:cs="宋体"/>
                <w:color w:val="000000"/>
                <w:sz w:val="24"/>
                <w:szCs w:val="24"/>
              </w:rPr>
            </w:pPr>
          </w:p>
        </w:tc>
        <w:tc>
          <w:tcPr>
            <w:tcW w:w="1276" w:type="dxa"/>
          </w:tcPr>
          <w:p w14:paraId="792CE39D">
            <w:pPr>
              <w:spacing w:line="360" w:lineRule="auto"/>
              <w:rPr>
                <w:rFonts w:ascii="宋体" w:hAnsi="宋体" w:cs="宋体"/>
                <w:color w:val="000000"/>
                <w:sz w:val="24"/>
                <w:szCs w:val="24"/>
              </w:rPr>
            </w:pPr>
          </w:p>
        </w:tc>
        <w:tc>
          <w:tcPr>
            <w:tcW w:w="1450" w:type="dxa"/>
          </w:tcPr>
          <w:p w14:paraId="4C1FF351">
            <w:pPr>
              <w:spacing w:line="360" w:lineRule="auto"/>
              <w:rPr>
                <w:rFonts w:ascii="宋体" w:hAnsi="宋体" w:cs="宋体"/>
                <w:color w:val="000000"/>
                <w:sz w:val="24"/>
                <w:szCs w:val="24"/>
              </w:rPr>
            </w:pPr>
          </w:p>
        </w:tc>
        <w:tc>
          <w:tcPr>
            <w:tcW w:w="1243" w:type="dxa"/>
          </w:tcPr>
          <w:p w14:paraId="40160ADE">
            <w:pPr>
              <w:spacing w:line="360" w:lineRule="auto"/>
              <w:rPr>
                <w:rFonts w:ascii="宋体" w:hAnsi="宋体" w:cs="宋体"/>
                <w:color w:val="000000"/>
                <w:sz w:val="24"/>
                <w:szCs w:val="24"/>
              </w:rPr>
            </w:pPr>
          </w:p>
        </w:tc>
        <w:tc>
          <w:tcPr>
            <w:tcW w:w="1450" w:type="dxa"/>
          </w:tcPr>
          <w:p w14:paraId="12F659E2">
            <w:pPr>
              <w:spacing w:line="360" w:lineRule="auto"/>
              <w:rPr>
                <w:rFonts w:ascii="宋体" w:hAnsi="宋体" w:cs="宋体"/>
                <w:color w:val="000000"/>
                <w:sz w:val="24"/>
                <w:szCs w:val="24"/>
              </w:rPr>
            </w:pPr>
          </w:p>
        </w:tc>
        <w:tc>
          <w:tcPr>
            <w:tcW w:w="1667" w:type="dxa"/>
          </w:tcPr>
          <w:p w14:paraId="25E29711">
            <w:pPr>
              <w:spacing w:line="360" w:lineRule="auto"/>
              <w:rPr>
                <w:rFonts w:ascii="宋体" w:hAnsi="宋体" w:cs="宋体"/>
                <w:color w:val="000000"/>
                <w:sz w:val="24"/>
                <w:szCs w:val="24"/>
              </w:rPr>
            </w:pPr>
          </w:p>
        </w:tc>
      </w:tr>
      <w:tr w14:paraId="397C3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65B691A">
            <w:pPr>
              <w:spacing w:line="360" w:lineRule="auto"/>
              <w:rPr>
                <w:rFonts w:ascii="宋体" w:hAnsi="宋体" w:cs="宋体"/>
                <w:color w:val="000000"/>
                <w:sz w:val="24"/>
                <w:szCs w:val="24"/>
              </w:rPr>
            </w:pPr>
          </w:p>
        </w:tc>
        <w:tc>
          <w:tcPr>
            <w:tcW w:w="1276" w:type="dxa"/>
          </w:tcPr>
          <w:p w14:paraId="62129A64">
            <w:pPr>
              <w:spacing w:line="360" w:lineRule="auto"/>
              <w:rPr>
                <w:rFonts w:ascii="宋体" w:hAnsi="宋体" w:cs="宋体"/>
                <w:color w:val="000000"/>
                <w:sz w:val="24"/>
                <w:szCs w:val="24"/>
              </w:rPr>
            </w:pPr>
          </w:p>
        </w:tc>
        <w:tc>
          <w:tcPr>
            <w:tcW w:w="1450" w:type="dxa"/>
          </w:tcPr>
          <w:p w14:paraId="46AFE130">
            <w:pPr>
              <w:spacing w:line="360" w:lineRule="auto"/>
              <w:rPr>
                <w:rFonts w:ascii="宋体" w:hAnsi="宋体" w:cs="宋体"/>
                <w:color w:val="000000"/>
                <w:sz w:val="24"/>
                <w:szCs w:val="24"/>
              </w:rPr>
            </w:pPr>
          </w:p>
        </w:tc>
        <w:tc>
          <w:tcPr>
            <w:tcW w:w="1243" w:type="dxa"/>
          </w:tcPr>
          <w:p w14:paraId="6EA9F97D">
            <w:pPr>
              <w:spacing w:line="360" w:lineRule="auto"/>
              <w:rPr>
                <w:rFonts w:ascii="宋体" w:hAnsi="宋体" w:cs="宋体"/>
                <w:color w:val="000000"/>
                <w:sz w:val="24"/>
                <w:szCs w:val="24"/>
              </w:rPr>
            </w:pPr>
          </w:p>
        </w:tc>
        <w:tc>
          <w:tcPr>
            <w:tcW w:w="1450" w:type="dxa"/>
          </w:tcPr>
          <w:p w14:paraId="3B4A9538">
            <w:pPr>
              <w:spacing w:line="360" w:lineRule="auto"/>
              <w:rPr>
                <w:rFonts w:ascii="宋体" w:hAnsi="宋体" w:cs="宋体"/>
                <w:color w:val="000000"/>
                <w:sz w:val="24"/>
                <w:szCs w:val="24"/>
              </w:rPr>
            </w:pPr>
          </w:p>
        </w:tc>
        <w:tc>
          <w:tcPr>
            <w:tcW w:w="1667" w:type="dxa"/>
          </w:tcPr>
          <w:p w14:paraId="73BD26D5">
            <w:pPr>
              <w:spacing w:line="360" w:lineRule="auto"/>
              <w:rPr>
                <w:rFonts w:ascii="宋体" w:hAnsi="宋体" w:cs="宋体"/>
                <w:color w:val="000000"/>
                <w:sz w:val="24"/>
                <w:szCs w:val="24"/>
              </w:rPr>
            </w:pPr>
          </w:p>
        </w:tc>
      </w:tr>
      <w:tr w14:paraId="58ED6D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65EB920">
            <w:pPr>
              <w:spacing w:line="360" w:lineRule="auto"/>
              <w:rPr>
                <w:rFonts w:ascii="宋体" w:hAnsi="宋体" w:cs="宋体"/>
                <w:color w:val="000000"/>
                <w:sz w:val="24"/>
                <w:szCs w:val="24"/>
              </w:rPr>
            </w:pPr>
          </w:p>
        </w:tc>
        <w:tc>
          <w:tcPr>
            <w:tcW w:w="1276" w:type="dxa"/>
          </w:tcPr>
          <w:p w14:paraId="4754388B">
            <w:pPr>
              <w:spacing w:line="360" w:lineRule="auto"/>
              <w:rPr>
                <w:rFonts w:ascii="宋体" w:hAnsi="宋体" w:cs="宋体"/>
                <w:color w:val="000000"/>
                <w:sz w:val="24"/>
                <w:szCs w:val="24"/>
              </w:rPr>
            </w:pPr>
          </w:p>
        </w:tc>
        <w:tc>
          <w:tcPr>
            <w:tcW w:w="1450" w:type="dxa"/>
          </w:tcPr>
          <w:p w14:paraId="5BFD9951">
            <w:pPr>
              <w:spacing w:line="360" w:lineRule="auto"/>
              <w:rPr>
                <w:rFonts w:ascii="宋体" w:hAnsi="宋体" w:cs="宋体"/>
                <w:color w:val="000000"/>
                <w:sz w:val="24"/>
                <w:szCs w:val="24"/>
              </w:rPr>
            </w:pPr>
          </w:p>
        </w:tc>
        <w:tc>
          <w:tcPr>
            <w:tcW w:w="1243" w:type="dxa"/>
          </w:tcPr>
          <w:p w14:paraId="382AAFC4">
            <w:pPr>
              <w:spacing w:line="360" w:lineRule="auto"/>
              <w:rPr>
                <w:rFonts w:ascii="宋体" w:hAnsi="宋体" w:cs="宋体"/>
                <w:color w:val="000000"/>
                <w:sz w:val="24"/>
                <w:szCs w:val="24"/>
              </w:rPr>
            </w:pPr>
          </w:p>
        </w:tc>
        <w:tc>
          <w:tcPr>
            <w:tcW w:w="1450" w:type="dxa"/>
          </w:tcPr>
          <w:p w14:paraId="65B11AB0">
            <w:pPr>
              <w:spacing w:line="360" w:lineRule="auto"/>
              <w:rPr>
                <w:rFonts w:ascii="宋体" w:hAnsi="宋体" w:cs="宋体"/>
                <w:color w:val="000000"/>
                <w:sz w:val="24"/>
                <w:szCs w:val="24"/>
              </w:rPr>
            </w:pPr>
          </w:p>
        </w:tc>
        <w:tc>
          <w:tcPr>
            <w:tcW w:w="1667" w:type="dxa"/>
          </w:tcPr>
          <w:p w14:paraId="0203EB0B">
            <w:pPr>
              <w:spacing w:line="360" w:lineRule="auto"/>
              <w:rPr>
                <w:rFonts w:ascii="宋体" w:hAnsi="宋体" w:cs="宋体"/>
                <w:color w:val="000000"/>
                <w:sz w:val="24"/>
                <w:szCs w:val="24"/>
              </w:rPr>
            </w:pPr>
          </w:p>
        </w:tc>
      </w:tr>
      <w:tr w14:paraId="6189D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F99774C">
            <w:pPr>
              <w:spacing w:line="360" w:lineRule="auto"/>
              <w:rPr>
                <w:rFonts w:ascii="宋体" w:hAnsi="宋体" w:cs="宋体"/>
                <w:color w:val="000000"/>
                <w:sz w:val="24"/>
                <w:szCs w:val="24"/>
              </w:rPr>
            </w:pPr>
          </w:p>
        </w:tc>
        <w:tc>
          <w:tcPr>
            <w:tcW w:w="1276" w:type="dxa"/>
          </w:tcPr>
          <w:p w14:paraId="09CE613B">
            <w:pPr>
              <w:spacing w:line="360" w:lineRule="auto"/>
              <w:rPr>
                <w:rFonts w:ascii="宋体" w:hAnsi="宋体" w:cs="宋体"/>
                <w:color w:val="000000"/>
                <w:sz w:val="24"/>
                <w:szCs w:val="24"/>
              </w:rPr>
            </w:pPr>
          </w:p>
        </w:tc>
        <w:tc>
          <w:tcPr>
            <w:tcW w:w="1450" w:type="dxa"/>
          </w:tcPr>
          <w:p w14:paraId="6A27867D">
            <w:pPr>
              <w:spacing w:line="360" w:lineRule="auto"/>
              <w:rPr>
                <w:rFonts w:ascii="宋体" w:hAnsi="宋体" w:cs="宋体"/>
                <w:color w:val="000000"/>
                <w:sz w:val="24"/>
                <w:szCs w:val="24"/>
              </w:rPr>
            </w:pPr>
          </w:p>
        </w:tc>
        <w:tc>
          <w:tcPr>
            <w:tcW w:w="1243" w:type="dxa"/>
          </w:tcPr>
          <w:p w14:paraId="473F577D">
            <w:pPr>
              <w:spacing w:line="360" w:lineRule="auto"/>
              <w:rPr>
                <w:rFonts w:ascii="宋体" w:hAnsi="宋体" w:cs="宋体"/>
                <w:color w:val="000000"/>
                <w:sz w:val="24"/>
                <w:szCs w:val="24"/>
              </w:rPr>
            </w:pPr>
          </w:p>
        </w:tc>
        <w:tc>
          <w:tcPr>
            <w:tcW w:w="1450" w:type="dxa"/>
          </w:tcPr>
          <w:p w14:paraId="0837582B">
            <w:pPr>
              <w:spacing w:line="360" w:lineRule="auto"/>
              <w:rPr>
                <w:rFonts w:ascii="宋体" w:hAnsi="宋体" w:cs="宋体"/>
                <w:color w:val="000000"/>
                <w:sz w:val="24"/>
                <w:szCs w:val="24"/>
              </w:rPr>
            </w:pPr>
          </w:p>
        </w:tc>
        <w:tc>
          <w:tcPr>
            <w:tcW w:w="1667" w:type="dxa"/>
          </w:tcPr>
          <w:p w14:paraId="7E3DB35F">
            <w:pPr>
              <w:spacing w:line="360" w:lineRule="auto"/>
              <w:rPr>
                <w:rFonts w:ascii="宋体" w:hAnsi="宋体" w:cs="宋体"/>
                <w:color w:val="000000"/>
                <w:sz w:val="24"/>
                <w:szCs w:val="24"/>
              </w:rPr>
            </w:pPr>
          </w:p>
        </w:tc>
      </w:tr>
      <w:tr w14:paraId="05B109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3986BBC">
            <w:pPr>
              <w:spacing w:line="360" w:lineRule="auto"/>
              <w:rPr>
                <w:rFonts w:ascii="宋体" w:hAnsi="宋体" w:cs="宋体"/>
                <w:color w:val="000000"/>
                <w:sz w:val="24"/>
                <w:szCs w:val="24"/>
              </w:rPr>
            </w:pPr>
          </w:p>
        </w:tc>
        <w:tc>
          <w:tcPr>
            <w:tcW w:w="1276" w:type="dxa"/>
          </w:tcPr>
          <w:p w14:paraId="43078CC7">
            <w:pPr>
              <w:spacing w:line="360" w:lineRule="auto"/>
              <w:rPr>
                <w:rFonts w:ascii="宋体" w:hAnsi="宋体" w:cs="宋体"/>
                <w:color w:val="000000"/>
                <w:sz w:val="24"/>
                <w:szCs w:val="24"/>
              </w:rPr>
            </w:pPr>
          </w:p>
        </w:tc>
        <w:tc>
          <w:tcPr>
            <w:tcW w:w="1450" w:type="dxa"/>
          </w:tcPr>
          <w:p w14:paraId="682184AB">
            <w:pPr>
              <w:spacing w:line="360" w:lineRule="auto"/>
              <w:rPr>
                <w:rFonts w:ascii="宋体" w:hAnsi="宋体" w:cs="宋体"/>
                <w:color w:val="000000"/>
                <w:sz w:val="24"/>
                <w:szCs w:val="24"/>
              </w:rPr>
            </w:pPr>
          </w:p>
        </w:tc>
        <w:tc>
          <w:tcPr>
            <w:tcW w:w="1243" w:type="dxa"/>
          </w:tcPr>
          <w:p w14:paraId="205F8D18">
            <w:pPr>
              <w:spacing w:line="360" w:lineRule="auto"/>
              <w:rPr>
                <w:rFonts w:ascii="宋体" w:hAnsi="宋体" w:cs="宋体"/>
                <w:color w:val="000000"/>
                <w:sz w:val="24"/>
                <w:szCs w:val="24"/>
              </w:rPr>
            </w:pPr>
          </w:p>
        </w:tc>
        <w:tc>
          <w:tcPr>
            <w:tcW w:w="1450" w:type="dxa"/>
          </w:tcPr>
          <w:p w14:paraId="09703DBB">
            <w:pPr>
              <w:spacing w:line="360" w:lineRule="auto"/>
              <w:rPr>
                <w:rFonts w:ascii="宋体" w:hAnsi="宋体" w:cs="宋体"/>
                <w:color w:val="000000"/>
                <w:sz w:val="24"/>
                <w:szCs w:val="24"/>
              </w:rPr>
            </w:pPr>
          </w:p>
        </w:tc>
        <w:tc>
          <w:tcPr>
            <w:tcW w:w="1667" w:type="dxa"/>
          </w:tcPr>
          <w:p w14:paraId="3CFB1C94">
            <w:pPr>
              <w:spacing w:line="360" w:lineRule="auto"/>
              <w:rPr>
                <w:rFonts w:ascii="宋体" w:hAnsi="宋体" w:cs="宋体"/>
                <w:color w:val="000000"/>
                <w:sz w:val="24"/>
                <w:szCs w:val="24"/>
              </w:rPr>
            </w:pPr>
          </w:p>
        </w:tc>
      </w:tr>
      <w:tr w14:paraId="20A737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AFF5790">
            <w:pPr>
              <w:spacing w:line="360" w:lineRule="auto"/>
              <w:rPr>
                <w:rFonts w:ascii="宋体" w:hAnsi="宋体" w:cs="宋体"/>
                <w:color w:val="000000"/>
                <w:sz w:val="24"/>
                <w:szCs w:val="24"/>
              </w:rPr>
            </w:pPr>
          </w:p>
        </w:tc>
        <w:tc>
          <w:tcPr>
            <w:tcW w:w="1276" w:type="dxa"/>
          </w:tcPr>
          <w:p w14:paraId="01B89683">
            <w:pPr>
              <w:spacing w:line="360" w:lineRule="auto"/>
              <w:rPr>
                <w:rFonts w:ascii="宋体" w:hAnsi="宋体" w:cs="宋体"/>
                <w:color w:val="000000"/>
                <w:sz w:val="24"/>
                <w:szCs w:val="24"/>
              </w:rPr>
            </w:pPr>
          </w:p>
        </w:tc>
        <w:tc>
          <w:tcPr>
            <w:tcW w:w="1450" w:type="dxa"/>
          </w:tcPr>
          <w:p w14:paraId="3E78F784">
            <w:pPr>
              <w:spacing w:line="360" w:lineRule="auto"/>
              <w:rPr>
                <w:rFonts w:ascii="宋体" w:hAnsi="宋体" w:cs="宋体"/>
                <w:color w:val="000000"/>
                <w:sz w:val="24"/>
                <w:szCs w:val="24"/>
              </w:rPr>
            </w:pPr>
          </w:p>
        </w:tc>
        <w:tc>
          <w:tcPr>
            <w:tcW w:w="1243" w:type="dxa"/>
          </w:tcPr>
          <w:p w14:paraId="4AF0368A">
            <w:pPr>
              <w:spacing w:line="360" w:lineRule="auto"/>
              <w:rPr>
                <w:rFonts w:ascii="宋体" w:hAnsi="宋体" w:cs="宋体"/>
                <w:color w:val="000000"/>
                <w:sz w:val="24"/>
                <w:szCs w:val="24"/>
              </w:rPr>
            </w:pPr>
          </w:p>
        </w:tc>
        <w:tc>
          <w:tcPr>
            <w:tcW w:w="1450" w:type="dxa"/>
          </w:tcPr>
          <w:p w14:paraId="5206E9B5">
            <w:pPr>
              <w:spacing w:line="360" w:lineRule="auto"/>
              <w:rPr>
                <w:rFonts w:ascii="宋体" w:hAnsi="宋体" w:cs="宋体"/>
                <w:color w:val="000000"/>
                <w:sz w:val="24"/>
                <w:szCs w:val="24"/>
              </w:rPr>
            </w:pPr>
          </w:p>
        </w:tc>
        <w:tc>
          <w:tcPr>
            <w:tcW w:w="1667" w:type="dxa"/>
          </w:tcPr>
          <w:p w14:paraId="15CD4B82">
            <w:pPr>
              <w:spacing w:line="360" w:lineRule="auto"/>
              <w:rPr>
                <w:rFonts w:ascii="宋体" w:hAnsi="宋体" w:cs="宋体"/>
                <w:color w:val="000000"/>
                <w:sz w:val="24"/>
                <w:szCs w:val="24"/>
              </w:rPr>
            </w:pPr>
          </w:p>
        </w:tc>
      </w:tr>
      <w:tr w14:paraId="32A491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155558E">
            <w:pPr>
              <w:spacing w:line="360" w:lineRule="auto"/>
              <w:rPr>
                <w:rFonts w:ascii="宋体" w:hAnsi="宋体" w:cs="宋体"/>
                <w:color w:val="000000"/>
                <w:sz w:val="24"/>
                <w:szCs w:val="24"/>
              </w:rPr>
            </w:pPr>
          </w:p>
        </w:tc>
        <w:tc>
          <w:tcPr>
            <w:tcW w:w="1276" w:type="dxa"/>
          </w:tcPr>
          <w:p w14:paraId="4DFDBD82">
            <w:pPr>
              <w:spacing w:line="360" w:lineRule="auto"/>
              <w:rPr>
                <w:rFonts w:ascii="宋体" w:hAnsi="宋体" w:cs="宋体"/>
                <w:color w:val="000000"/>
                <w:sz w:val="24"/>
                <w:szCs w:val="24"/>
              </w:rPr>
            </w:pPr>
          </w:p>
        </w:tc>
        <w:tc>
          <w:tcPr>
            <w:tcW w:w="1450" w:type="dxa"/>
          </w:tcPr>
          <w:p w14:paraId="044A4EA8">
            <w:pPr>
              <w:spacing w:line="360" w:lineRule="auto"/>
              <w:rPr>
                <w:rFonts w:ascii="宋体" w:hAnsi="宋体" w:cs="宋体"/>
                <w:color w:val="000000"/>
                <w:sz w:val="24"/>
                <w:szCs w:val="24"/>
              </w:rPr>
            </w:pPr>
          </w:p>
        </w:tc>
        <w:tc>
          <w:tcPr>
            <w:tcW w:w="1243" w:type="dxa"/>
          </w:tcPr>
          <w:p w14:paraId="6CDDBF68">
            <w:pPr>
              <w:spacing w:line="360" w:lineRule="auto"/>
              <w:rPr>
                <w:rFonts w:ascii="宋体" w:hAnsi="宋体" w:cs="宋体"/>
                <w:color w:val="000000"/>
                <w:sz w:val="24"/>
                <w:szCs w:val="24"/>
              </w:rPr>
            </w:pPr>
          </w:p>
        </w:tc>
        <w:tc>
          <w:tcPr>
            <w:tcW w:w="1450" w:type="dxa"/>
          </w:tcPr>
          <w:p w14:paraId="739AB8BB">
            <w:pPr>
              <w:spacing w:line="360" w:lineRule="auto"/>
              <w:rPr>
                <w:rFonts w:ascii="宋体" w:hAnsi="宋体" w:cs="宋体"/>
                <w:color w:val="000000"/>
                <w:sz w:val="24"/>
                <w:szCs w:val="24"/>
              </w:rPr>
            </w:pPr>
          </w:p>
        </w:tc>
        <w:tc>
          <w:tcPr>
            <w:tcW w:w="1667" w:type="dxa"/>
          </w:tcPr>
          <w:p w14:paraId="41132CE4">
            <w:pPr>
              <w:spacing w:line="360" w:lineRule="auto"/>
              <w:rPr>
                <w:rFonts w:ascii="宋体" w:hAnsi="宋体" w:cs="宋体"/>
                <w:color w:val="000000"/>
                <w:sz w:val="24"/>
                <w:szCs w:val="24"/>
              </w:rPr>
            </w:pPr>
          </w:p>
        </w:tc>
      </w:tr>
      <w:tr w14:paraId="67E49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8F9B778">
            <w:pPr>
              <w:spacing w:line="360" w:lineRule="auto"/>
              <w:rPr>
                <w:rFonts w:ascii="宋体" w:hAnsi="宋体" w:cs="宋体"/>
                <w:color w:val="000000"/>
                <w:sz w:val="24"/>
                <w:szCs w:val="24"/>
              </w:rPr>
            </w:pPr>
          </w:p>
        </w:tc>
        <w:tc>
          <w:tcPr>
            <w:tcW w:w="1276" w:type="dxa"/>
          </w:tcPr>
          <w:p w14:paraId="22448F27">
            <w:pPr>
              <w:spacing w:line="360" w:lineRule="auto"/>
              <w:rPr>
                <w:rFonts w:ascii="宋体" w:hAnsi="宋体" w:cs="宋体"/>
                <w:color w:val="000000"/>
                <w:sz w:val="24"/>
                <w:szCs w:val="24"/>
              </w:rPr>
            </w:pPr>
          </w:p>
        </w:tc>
        <w:tc>
          <w:tcPr>
            <w:tcW w:w="1450" w:type="dxa"/>
          </w:tcPr>
          <w:p w14:paraId="5F40BED8">
            <w:pPr>
              <w:spacing w:line="360" w:lineRule="auto"/>
              <w:rPr>
                <w:rFonts w:ascii="宋体" w:hAnsi="宋体" w:cs="宋体"/>
                <w:color w:val="000000"/>
                <w:sz w:val="24"/>
                <w:szCs w:val="24"/>
              </w:rPr>
            </w:pPr>
          </w:p>
        </w:tc>
        <w:tc>
          <w:tcPr>
            <w:tcW w:w="1243" w:type="dxa"/>
          </w:tcPr>
          <w:p w14:paraId="3E7D5A0E">
            <w:pPr>
              <w:spacing w:line="360" w:lineRule="auto"/>
              <w:rPr>
                <w:rFonts w:ascii="宋体" w:hAnsi="宋体" w:cs="宋体"/>
                <w:color w:val="000000"/>
                <w:sz w:val="24"/>
                <w:szCs w:val="24"/>
              </w:rPr>
            </w:pPr>
          </w:p>
        </w:tc>
        <w:tc>
          <w:tcPr>
            <w:tcW w:w="1450" w:type="dxa"/>
          </w:tcPr>
          <w:p w14:paraId="2BFD7AA4">
            <w:pPr>
              <w:spacing w:line="360" w:lineRule="auto"/>
              <w:rPr>
                <w:rFonts w:ascii="宋体" w:hAnsi="宋体" w:cs="宋体"/>
                <w:color w:val="000000"/>
                <w:sz w:val="24"/>
                <w:szCs w:val="24"/>
              </w:rPr>
            </w:pPr>
          </w:p>
        </w:tc>
        <w:tc>
          <w:tcPr>
            <w:tcW w:w="1667" w:type="dxa"/>
          </w:tcPr>
          <w:p w14:paraId="27D1F858">
            <w:pPr>
              <w:spacing w:line="360" w:lineRule="auto"/>
              <w:rPr>
                <w:rFonts w:ascii="宋体" w:hAnsi="宋体" w:cs="宋体"/>
                <w:color w:val="000000"/>
                <w:sz w:val="24"/>
                <w:szCs w:val="24"/>
              </w:rPr>
            </w:pPr>
          </w:p>
        </w:tc>
      </w:tr>
      <w:tr w14:paraId="5A8199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35EA236">
            <w:pPr>
              <w:spacing w:line="360" w:lineRule="auto"/>
              <w:rPr>
                <w:rFonts w:ascii="宋体" w:hAnsi="宋体" w:cs="宋体"/>
                <w:color w:val="000000"/>
                <w:sz w:val="24"/>
                <w:szCs w:val="24"/>
              </w:rPr>
            </w:pPr>
          </w:p>
        </w:tc>
        <w:tc>
          <w:tcPr>
            <w:tcW w:w="1276" w:type="dxa"/>
          </w:tcPr>
          <w:p w14:paraId="2BDF87DC">
            <w:pPr>
              <w:spacing w:line="360" w:lineRule="auto"/>
              <w:rPr>
                <w:rFonts w:ascii="宋体" w:hAnsi="宋体" w:cs="宋体"/>
                <w:color w:val="000000"/>
                <w:sz w:val="24"/>
                <w:szCs w:val="24"/>
              </w:rPr>
            </w:pPr>
          </w:p>
        </w:tc>
        <w:tc>
          <w:tcPr>
            <w:tcW w:w="1450" w:type="dxa"/>
          </w:tcPr>
          <w:p w14:paraId="3F4FA5E6">
            <w:pPr>
              <w:spacing w:line="360" w:lineRule="auto"/>
              <w:rPr>
                <w:rFonts w:ascii="宋体" w:hAnsi="宋体" w:cs="宋体"/>
                <w:color w:val="000000"/>
                <w:sz w:val="24"/>
                <w:szCs w:val="24"/>
              </w:rPr>
            </w:pPr>
          </w:p>
        </w:tc>
        <w:tc>
          <w:tcPr>
            <w:tcW w:w="1243" w:type="dxa"/>
          </w:tcPr>
          <w:p w14:paraId="0D0B4B07">
            <w:pPr>
              <w:spacing w:line="360" w:lineRule="auto"/>
              <w:rPr>
                <w:rFonts w:ascii="宋体" w:hAnsi="宋体" w:cs="宋体"/>
                <w:color w:val="000000"/>
                <w:sz w:val="24"/>
                <w:szCs w:val="24"/>
              </w:rPr>
            </w:pPr>
          </w:p>
        </w:tc>
        <w:tc>
          <w:tcPr>
            <w:tcW w:w="1450" w:type="dxa"/>
          </w:tcPr>
          <w:p w14:paraId="6D3E35D6">
            <w:pPr>
              <w:spacing w:line="360" w:lineRule="auto"/>
              <w:rPr>
                <w:rFonts w:ascii="宋体" w:hAnsi="宋体" w:cs="宋体"/>
                <w:color w:val="000000"/>
                <w:sz w:val="24"/>
                <w:szCs w:val="24"/>
              </w:rPr>
            </w:pPr>
          </w:p>
        </w:tc>
        <w:tc>
          <w:tcPr>
            <w:tcW w:w="1667" w:type="dxa"/>
          </w:tcPr>
          <w:p w14:paraId="44BEF7FD">
            <w:pPr>
              <w:spacing w:line="360" w:lineRule="auto"/>
              <w:rPr>
                <w:rFonts w:ascii="宋体" w:hAnsi="宋体" w:cs="宋体"/>
                <w:color w:val="000000"/>
                <w:sz w:val="24"/>
                <w:szCs w:val="24"/>
              </w:rPr>
            </w:pPr>
          </w:p>
        </w:tc>
      </w:tr>
    </w:tbl>
    <w:p w14:paraId="41CB3AF0">
      <w:pPr>
        <w:spacing w:line="360" w:lineRule="auto"/>
        <w:rPr>
          <w:rFonts w:ascii="宋体" w:hAnsi="宋体" w:cs="宋体"/>
          <w:color w:val="000000"/>
          <w:sz w:val="24"/>
          <w:szCs w:val="24"/>
        </w:rPr>
      </w:pPr>
    </w:p>
    <w:p w14:paraId="1BD77FA8">
      <w:pPr>
        <w:spacing w:line="360" w:lineRule="auto"/>
        <w:rPr>
          <w:rFonts w:ascii="宋体" w:hAnsi="宋体" w:cs="宋体"/>
          <w:color w:val="000000"/>
          <w:sz w:val="24"/>
          <w:szCs w:val="24"/>
        </w:rPr>
      </w:pPr>
      <w:r>
        <w:rPr>
          <w:rFonts w:hint="eastAsia" w:ascii="宋体" w:hAnsi="宋体" w:cs="宋体"/>
          <w:color w:val="000000"/>
          <w:sz w:val="24"/>
          <w:szCs w:val="24"/>
        </w:rPr>
        <w:br w:type="page"/>
      </w:r>
      <w:r>
        <w:rPr>
          <w:rFonts w:hint="eastAsia" w:ascii="宋体" w:hAnsi="宋体" w:cs="宋体"/>
          <w:color w:val="000000"/>
          <w:sz w:val="24"/>
          <w:szCs w:val="24"/>
        </w:rPr>
        <w:t>附</w:t>
      </w:r>
      <w:bookmarkStart w:id="1460" w:name="_Toc296346728"/>
      <w:bookmarkStart w:id="1461" w:name="_Toc296503227"/>
      <w:bookmarkStart w:id="1462" w:name="_Toc296891267"/>
      <w:bookmarkStart w:id="1463" w:name="_Toc296347226"/>
      <w:bookmarkStart w:id="1464" w:name="_Toc267261698"/>
      <w:bookmarkStart w:id="1465" w:name="_Toc296944566"/>
      <w:bookmarkStart w:id="1466" w:name="_Toc296891055"/>
      <w:r>
        <w:rPr>
          <w:rFonts w:hint="eastAsia" w:ascii="宋体" w:hAnsi="宋体" w:cs="宋体"/>
          <w:color w:val="000000"/>
          <w:sz w:val="24"/>
          <w:szCs w:val="24"/>
        </w:rPr>
        <w:t>件5：</w:t>
      </w:r>
    </w:p>
    <w:bookmarkEnd w:id="1460"/>
    <w:bookmarkEnd w:id="1461"/>
    <w:bookmarkEnd w:id="1462"/>
    <w:bookmarkEnd w:id="1463"/>
    <w:bookmarkEnd w:id="1464"/>
    <w:bookmarkEnd w:id="1465"/>
    <w:bookmarkEnd w:id="1466"/>
    <w:p w14:paraId="01DF0E92">
      <w:pPr>
        <w:spacing w:line="360" w:lineRule="auto"/>
        <w:jc w:val="center"/>
        <w:rPr>
          <w:rFonts w:ascii="宋体" w:hAnsi="宋体" w:cs="宋体"/>
          <w:color w:val="000000"/>
          <w:sz w:val="24"/>
          <w:szCs w:val="24"/>
        </w:rPr>
      </w:pPr>
      <w:r>
        <w:rPr>
          <w:rFonts w:hint="eastAsia" w:ascii="宋体" w:hAnsi="宋体" w:cs="宋体"/>
          <w:color w:val="000000"/>
          <w:sz w:val="24"/>
          <w:szCs w:val="24"/>
        </w:rPr>
        <w:t>承包人用于本工程施工的机械设备表</w:t>
      </w:r>
    </w:p>
    <w:tbl>
      <w:tblPr>
        <w:tblStyle w:val="3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7BF912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6653EF3E">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序号</w:t>
            </w:r>
          </w:p>
        </w:tc>
        <w:tc>
          <w:tcPr>
            <w:tcW w:w="1418" w:type="dxa"/>
            <w:tcBorders>
              <w:top w:val="single" w:color="auto" w:sz="12" w:space="0"/>
              <w:bottom w:val="double" w:color="auto" w:sz="6" w:space="0"/>
            </w:tcBorders>
            <w:vAlign w:val="center"/>
          </w:tcPr>
          <w:p w14:paraId="1CCAA757">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机械或设备名称</w:t>
            </w:r>
          </w:p>
        </w:tc>
        <w:tc>
          <w:tcPr>
            <w:tcW w:w="850" w:type="dxa"/>
            <w:tcBorders>
              <w:top w:val="single" w:color="auto" w:sz="12" w:space="0"/>
              <w:bottom w:val="double" w:color="auto" w:sz="6" w:space="0"/>
            </w:tcBorders>
            <w:vAlign w:val="center"/>
          </w:tcPr>
          <w:p w14:paraId="6BD83665">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规格型号</w:t>
            </w:r>
          </w:p>
        </w:tc>
        <w:tc>
          <w:tcPr>
            <w:tcW w:w="1058" w:type="dxa"/>
            <w:tcBorders>
              <w:top w:val="single" w:color="auto" w:sz="12" w:space="0"/>
              <w:bottom w:val="double" w:color="auto" w:sz="6" w:space="0"/>
            </w:tcBorders>
            <w:vAlign w:val="center"/>
          </w:tcPr>
          <w:p w14:paraId="7EBFFD6E">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数量</w:t>
            </w:r>
          </w:p>
        </w:tc>
        <w:tc>
          <w:tcPr>
            <w:tcW w:w="880" w:type="dxa"/>
            <w:tcBorders>
              <w:top w:val="single" w:color="auto" w:sz="12" w:space="0"/>
              <w:bottom w:val="double" w:color="auto" w:sz="6" w:space="0"/>
            </w:tcBorders>
            <w:vAlign w:val="center"/>
          </w:tcPr>
          <w:p w14:paraId="368BB663">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产地</w:t>
            </w:r>
          </w:p>
        </w:tc>
        <w:tc>
          <w:tcPr>
            <w:tcW w:w="1020" w:type="dxa"/>
            <w:tcBorders>
              <w:top w:val="single" w:color="auto" w:sz="12" w:space="0"/>
              <w:bottom w:val="double" w:color="auto" w:sz="6" w:space="0"/>
            </w:tcBorders>
            <w:vAlign w:val="center"/>
          </w:tcPr>
          <w:p w14:paraId="71685889">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制造年份</w:t>
            </w:r>
          </w:p>
        </w:tc>
        <w:tc>
          <w:tcPr>
            <w:tcW w:w="1480" w:type="dxa"/>
            <w:tcBorders>
              <w:top w:val="single" w:color="auto" w:sz="12" w:space="0"/>
              <w:bottom w:val="double" w:color="auto" w:sz="6" w:space="0"/>
            </w:tcBorders>
            <w:vAlign w:val="center"/>
          </w:tcPr>
          <w:p w14:paraId="00186AAB">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额定功率(kW)</w:t>
            </w:r>
          </w:p>
        </w:tc>
        <w:tc>
          <w:tcPr>
            <w:tcW w:w="1020" w:type="dxa"/>
            <w:tcBorders>
              <w:top w:val="single" w:color="auto" w:sz="12" w:space="0"/>
              <w:bottom w:val="double" w:color="auto" w:sz="6" w:space="0"/>
            </w:tcBorders>
            <w:vAlign w:val="center"/>
          </w:tcPr>
          <w:p w14:paraId="28E775C9">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生产</w:t>
            </w:r>
          </w:p>
          <w:p w14:paraId="49AB3689">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能力</w:t>
            </w:r>
          </w:p>
        </w:tc>
        <w:tc>
          <w:tcPr>
            <w:tcW w:w="921" w:type="dxa"/>
            <w:tcBorders>
              <w:top w:val="single" w:color="auto" w:sz="12" w:space="0"/>
              <w:bottom w:val="double" w:color="auto" w:sz="6" w:space="0"/>
            </w:tcBorders>
            <w:vAlign w:val="center"/>
          </w:tcPr>
          <w:p w14:paraId="5BEBF47F">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备注</w:t>
            </w:r>
          </w:p>
        </w:tc>
      </w:tr>
      <w:tr w14:paraId="0F90A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012637F4">
            <w:pPr>
              <w:pStyle w:val="11"/>
              <w:keepNext/>
              <w:spacing w:after="0" w:line="360" w:lineRule="auto"/>
              <w:ind w:left="66" w:right="66"/>
              <w:rPr>
                <w:rFonts w:ascii="宋体" w:hAnsi="宋体" w:cs="宋体"/>
                <w:color w:val="000000"/>
                <w:sz w:val="24"/>
                <w:szCs w:val="24"/>
              </w:rPr>
            </w:pPr>
          </w:p>
        </w:tc>
        <w:tc>
          <w:tcPr>
            <w:tcW w:w="1418" w:type="dxa"/>
            <w:tcBorders>
              <w:top w:val="double" w:color="auto" w:sz="6" w:space="0"/>
              <w:bottom w:val="single" w:color="auto" w:sz="6" w:space="0"/>
            </w:tcBorders>
            <w:vAlign w:val="center"/>
          </w:tcPr>
          <w:p w14:paraId="3DA203E7">
            <w:pPr>
              <w:pStyle w:val="11"/>
              <w:keepNext/>
              <w:spacing w:after="0" w:line="360" w:lineRule="auto"/>
              <w:ind w:left="66" w:right="66"/>
              <w:rPr>
                <w:rFonts w:ascii="宋体" w:hAnsi="宋体" w:cs="宋体"/>
                <w:color w:val="000000"/>
                <w:sz w:val="24"/>
                <w:szCs w:val="24"/>
              </w:rPr>
            </w:pPr>
          </w:p>
        </w:tc>
        <w:tc>
          <w:tcPr>
            <w:tcW w:w="850" w:type="dxa"/>
            <w:tcBorders>
              <w:top w:val="double" w:color="auto" w:sz="6" w:space="0"/>
              <w:bottom w:val="single" w:color="auto" w:sz="6" w:space="0"/>
            </w:tcBorders>
            <w:vAlign w:val="center"/>
          </w:tcPr>
          <w:p w14:paraId="24F07428">
            <w:pPr>
              <w:pStyle w:val="11"/>
              <w:keepNext/>
              <w:spacing w:after="0" w:line="360" w:lineRule="auto"/>
              <w:ind w:left="66" w:right="66"/>
              <w:rPr>
                <w:rFonts w:ascii="宋体" w:hAnsi="宋体" w:cs="宋体"/>
                <w:color w:val="000000"/>
                <w:sz w:val="24"/>
                <w:szCs w:val="24"/>
              </w:rPr>
            </w:pPr>
          </w:p>
        </w:tc>
        <w:tc>
          <w:tcPr>
            <w:tcW w:w="1058" w:type="dxa"/>
            <w:tcBorders>
              <w:top w:val="double" w:color="auto" w:sz="6" w:space="0"/>
              <w:bottom w:val="single" w:color="auto" w:sz="6" w:space="0"/>
            </w:tcBorders>
            <w:vAlign w:val="center"/>
          </w:tcPr>
          <w:p w14:paraId="0A24EEAC">
            <w:pPr>
              <w:pStyle w:val="11"/>
              <w:keepNext/>
              <w:spacing w:after="0" w:line="360" w:lineRule="auto"/>
              <w:ind w:left="66" w:right="66"/>
              <w:rPr>
                <w:rFonts w:ascii="宋体" w:hAnsi="宋体" w:cs="宋体"/>
                <w:color w:val="000000"/>
                <w:sz w:val="24"/>
                <w:szCs w:val="24"/>
              </w:rPr>
            </w:pPr>
          </w:p>
        </w:tc>
        <w:tc>
          <w:tcPr>
            <w:tcW w:w="880" w:type="dxa"/>
            <w:tcBorders>
              <w:top w:val="double" w:color="auto" w:sz="6" w:space="0"/>
              <w:bottom w:val="single" w:color="auto" w:sz="6" w:space="0"/>
            </w:tcBorders>
            <w:vAlign w:val="center"/>
          </w:tcPr>
          <w:p w14:paraId="24A06CE5">
            <w:pPr>
              <w:pStyle w:val="11"/>
              <w:keepNext/>
              <w:spacing w:after="0" w:line="360" w:lineRule="auto"/>
              <w:ind w:left="66" w:right="66"/>
              <w:rPr>
                <w:rFonts w:ascii="宋体" w:hAnsi="宋体" w:cs="宋体"/>
                <w:color w:val="000000"/>
                <w:sz w:val="24"/>
                <w:szCs w:val="24"/>
              </w:rPr>
            </w:pPr>
          </w:p>
        </w:tc>
        <w:tc>
          <w:tcPr>
            <w:tcW w:w="1020" w:type="dxa"/>
            <w:tcBorders>
              <w:top w:val="double" w:color="auto" w:sz="6" w:space="0"/>
              <w:bottom w:val="single" w:color="auto" w:sz="6" w:space="0"/>
            </w:tcBorders>
            <w:vAlign w:val="center"/>
          </w:tcPr>
          <w:p w14:paraId="3B1380A1">
            <w:pPr>
              <w:pStyle w:val="11"/>
              <w:keepNext/>
              <w:spacing w:after="0" w:line="360" w:lineRule="auto"/>
              <w:ind w:left="66" w:right="66"/>
              <w:rPr>
                <w:rFonts w:ascii="宋体" w:hAnsi="宋体" w:cs="宋体"/>
                <w:color w:val="000000"/>
                <w:sz w:val="24"/>
                <w:szCs w:val="24"/>
              </w:rPr>
            </w:pPr>
          </w:p>
        </w:tc>
        <w:tc>
          <w:tcPr>
            <w:tcW w:w="1480" w:type="dxa"/>
            <w:tcBorders>
              <w:top w:val="double" w:color="auto" w:sz="6" w:space="0"/>
              <w:bottom w:val="single" w:color="auto" w:sz="6" w:space="0"/>
            </w:tcBorders>
            <w:vAlign w:val="center"/>
          </w:tcPr>
          <w:p w14:paraId="2D4C2F97">
            <w:pPr>
              <w:pStyle w:val="11"/>
              <w:keepNext/>
              <w:spacing w:after="0" w:line="360" w:lineRule="auto"/>
              <w:ind w:left="66" w:right="66"/>
              <w:rPr>
                <w:rFonts w:ascii="宋体" w:hAnsi="宋体" w:cs="宋体"/>
                <w:color w:val="000000"/>
                <w:sz w:val="24"/>
                <w:szCs w:val="24"/>
              </w:rPr>
            </w:pPr>
          </w:p>
        </w:tc>
        <w:tc>
          <w:tcPr>
            <w:tcW w:w="1020" w:type="dxa"/>
            <w:tcBorders>
              <w:top w:val="double" w:color="auto" w:sz="6" w:space="0"/>
              <w:bottom w:val="single" w:color="auto" w:sz="6" w:space="0"/>
            </w:tcBorders>
            <w:vAlign w:val="center"/>
          </w:tcPr>
          <w:p w14:paraId="171C56CC">
            <w:pPr>
              <w:pStyle w:val="11"/>
              <w:keepNext/>
              <w:spacing w:after="0" w:line="360" w:lineRule="auto"/>
              <w:ind w:left="66" w:right="66"/>
              <w:rPr>
                <w:rFonts w:ascii="宋体" w:hAnsi="宋体" w:cs="宋体"/>
                <w:color w:val="000000"/>
                <w:sz w:val="24"/>
                <w:szCs w:val="24"/>
              </w:rPr>
            </w:pPr>
          </w:p>
        </w:tc>
        <w:tc>
          <w:tcPr>
            <w:tcW w:w="921" w:type="dxa"/>
            <w:tcBorders>
              <w:top w:val="double" w:color="auto" w:sz="6" w:space="0"/>
              <w:bottom w:val="single" w:color="auto" w:sz="6" w:space="0"/>
            </w:tcBorders>
            <w:vAlign w:val="center"/>
          </w:tcPr>
          <w:p w14:paraId="7D45EEC1">
            <w:pPr>
              <w:pStyle w:val="11"/>
              <w:keepNext/>
              <w:spacing w:after="0" w:line="360" w:lineRule="auto"/>
              <w:ind w:left="66" w:right="66"/>
              <w:rPr>
                <w:rFonts w:ascii="宋体" w:hAnsi="宋体" w:cs="宋体"/>
                <w:color w:val="000000"/>
                <w:sz w:val="24"/>
                <w:szCs w:val="24"/>
              </w:rPr>
            </w:pPr>
          </w:p>
        </w:tc>
      </w:tr>
      <w:tr w14:paraId="5B1578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169318EA">
            <w:pPr>
              <w:pStyle w:val="11"/>
              <w:keepNext/>
              <w:spacing w:after="0" w:line="360" w:lineRule="auto"/>
              <w:ind w:left="66" w:right="66"/>
              <w:rPr>
                <w:rFonts w:ascii="宋体" w:hAnsi="宋体" w:cs="宋体"/>
                <w:color w:val="000000"/>
                <w:sz w:val="24"/>
                <w:szCs w:val="24"/>
              </w:rPr>
            </w:pPr>
          </w:p>
        </w:tc>
        <w:tc>
          <w:tcPr>
            <w:tcW w:w="1418" w:type="dxa"/>
            <w:tcBorders>
              <w:top w:val="nil"/>
            </w:tcBorders>
            <w:vAlign w:val="center"/>
          </w:tcPr>
          <w:p w14:paraId="0DC90D4D">
            <w:pPr>
              <w:pStyle w:val="11"/>
              <w:keepNext/>
              <w:spacing w:after="0" w:line="360" w:lineRule="auto"/>
              <w:ind w:left="66" w:right="66"/>
              <w:rPr>
                <w:rFonts w:ascii="宋体" w:hAnsi="宋体" w:cs="宋体"/>
                <w:color w:val="000000"/>
                <w:sz w:val="24"/>
                <w:szCs w:val="24"/>
              </w:rPr>
            </w:pPr>
          </w:p>
        </w:tc>
        <w:tc>
          <w:tcPr>
            <w:tcW w:w="850" w:type="dxa"/>
            <w:tcBorders>
              <w:top w:val="nil"/>
            </w:tcBorders>
            <w:vAlign w:val="center"/>
          </w:tcPr>
          <w:p w14:paraId="2325ADDF">
            <w:pPr>
              <w:pStyle w:val="11"/>
              <w:keepNext/>
              <w:spacing w:after="0" w:line="360" w:lineRule="auto"/>
              <w:ind w:left="66" w:right="66"/>
              <w:rPr>
                <w:rFonts w:ascii="宋体" w:hAnsi="宋体" w:cs="宋体"/>
                <w:color w:val="000000"/>
                <w:sz w:val="24"/>
                <w:szCs w:val="24"/>
              </w:rPr>
            </w:pPr>
          </w:p>
        </w:tc>
        <w:tc>
          <w:tcPr>
            <w:tcW w:w="1058" w:type="dxa"/>
            <w:tcBorders>
              <w:top w:val="nil"/>
            </w:tcBorders>
            <w:vAlign w:val="center"/>
          </w:tcPr>
          <w:p w14:paraId="1E2F9FE5">
            <w:pPr>
              <w:pStyle w:val="11"/>
              <w:keepNext/>
              <w:spacing w:after="0" w:line="360" w:lineRule="auto"/>
              <w:ind w:left="66" w:right="66"/>
              <w:rPr>
                <w:rFonts w:ascii="宋体" w:hAnsi="宋体" w:cs="宋体"/>
                <w:color w:val="000000"/>
                <w:sz w:val="24"/>
                <w:szCs w:val="24"/>
              </w:rPr>
            </w:pPr>
          </w:p>
        </w:tc>
        <w:tc>
          <w:tcPr>
            <w:tcW w:w="880" w:type="dxa"/>
            <w:tcBorders>
              <w:top w:val="nil"/>
            </w:tcBorders>
            <w:vAlign w:val="center"/>
          </w:tcPr>
          <w:p w14:paraId="5EBDBA65">
            <w:pPr>
              <w:pStyle w:val="11"/>
              <w:keepNext/>
              <w:spacing w:after="0" w:line="360" w:lineRule="auto"/>
              <w:ind w:left="66" w:right="66"/>
              <w:rPr>
                <w:rFonts w:ascii="宋体" w:hAnsi="宋体" w:cs="宋体"/>
                <w:color w:val="000000"/>
                <w:sz w:val="24"/>
                <w:szCs w:val="24"/>
              </w:rPr>
            </w:pPr>
          </w:p>
        </w:tc>
        <w:tc>
          <w:tcPr>
            <w:tcW w:w="1020" w:type="dxa"/>
            <w:tcBorders>
              <w:top w:val="nil"/>
            </w:tcBorders>
            <w:vAlign w:val="center"/>
          </w:tcPr>
          <w:p w14:paraId="1B13C485">
            <w:pPr>
              <w:pStyle w:val="11"/>
              <w:keepNext/>
              <w:spacing w:after="0" w:line="360" w:lineRule="auto"/>
              <w:ind w:left="66" w:right="66"/>
              <w:rPr>
                <w:rFonts w:ascii="宋体" w:hAnsi="宋体" w:cs="宋体"/>
                <w:color w:val="000000"/>
                <w:sz w:val="24"/>
                <w:szCs w:val="24"/>
              </w:rPr>
            </w:pPr>
          </w:p>
        </w:tc>
        <w:tc>
          <w:tcPr>
            <w:tcW w:w="1480" w:type="dxa"/>
            <w:tcBorders>
              <w:top w:val="nil"/>
            </w:tcBorders>
            <w:vAlign w:val="center"/>
          </w:tcPr>
          <w:p w14:paraId="0FA66B01">
            <w:pPr>
              <w:pStyle w:val="11"/>
              <w:keepNext/>
              <w:spacing w:after="0" w:line="360" w:lineRule="auto"/>
              <w:ind w:left="66" w:right="66"/>
              <w:rPr>
                <w:rFonts w:ascii="宋体" w:hAnsi="宋体" w:cs="宋体"/>
                <w:color w:val="000000"/>
                <w:sz w:val="24"/>
                <w:szCs w:val="24"/>
              </w:rPr>
            </w:pPr>
          </w:p>
        </w:tc>
        <w:tc>
          <w:tcPr>
            <w:tcW w:w="1020" w:type="dxa"/>
            <w:tcBorders>
              <w:top w:val="nil"/>
            </w:tcBorders>
            <w:vAlign w:val="center"/>
          </w:tcPr>
          <w:p w14:paraId="10CCB22F">
            <w:pPr>
              <w:pStyle w:val="11"/>
              <w:keepNext/>
              <w:spacing w:after="0" w:line="360" w:lineRule="auto"/>
              <w:ind w:left="66" w:right="66"/>
              <w:rPr>
                <w:rFonts w:ascii="宋体" w:hAnsi="宋体" w:cs="宋体"/>
                <w:color w:val="000000"/>
                <w:sz w:val="24"/>
                <w:szCs w:val="24"/>
              </w:rPr>
            </w:pPr>
          </w:p>
        </w:tc>
        <w:tc>
          <w:tcPr>
            <w:tcW w:w="921" w:type="dxa"/>
            <w:tcBorders>
              <w:top w:val="nil"/>
            </w:tcBorders>
            <w:vAlign w:val="center"/>
          </w:tcPr>
          <w:p w14:paraId="238B0FCF">
            <w:pPr>
              <w:pStyle w:val="11"/>
              <w:keepNext/>
              <w:spacing w:after="0" w:line="360" w:lineRule="auto"/>
              <w:ind w:left="66" w:right="66"/>
              <w:rPr>
                <w:rFonts w:ascii="宋体" w:hAnsi="宋体" w:cs="宋体"/>
                <w:color w:val="000000"/>
                <w:sz w:val="24"/>
                <w:szCs w:val="24"/>
              </w:rPr>
            </w:pPr>
          </w:p>
        </w:tc>
      </w:tr>
      <w:tr w14:paraId="5718F2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C991FC5">
            <w:pPr>
              <w:pStyle w:val="11"/>
              <w:keepNext/>
              <w:spacing w:after="0" w:line="360" w:lineRule="auto"/>
              <w:ind w:left="66" w:right="66"/>
              <w:rPr>
                <w:rFonts w:ascii="宋体" w:hAnsi="宋体" w:cs="宋体"/>
                <w:color w:val="000000"/>
                <w:sz w:val="24"/>
                <w:szCs w:val="24"/>
              </w:rPr>
            </w:pPr>
          </w:p>
        </w:tc>
        <w:tc>
          <w:tcPr>
            <w:tcW w:w="1418" w:type="dxa"/>
            <w:vAlign w:val="center"/>
          </w:tcPr>
          <w:p w14:paraId="663E742B">
            <w:pPr>
              <w:pStyle w:val="11"/>
              <w:keepNext/>
              <w:spacing w:after="0" w:line="360" w:lineRule="auto"/>
              <w:ind w:left="66" w:right="66"/>
              <w:rPr>
                <w:rFonts w:ascii="宋体" w:hAnsi="宋体" w:cs="宋体"/>
                <w:color w:val="000000"/>
                <w:sz w:val="24"/>
                <w:szCs w:val="24"/>
              </w:rPr>
            </w:pPr>
          </w:p>
        </w:tc>
        <w:tc>
          <w:tcPr>
            <w:tcW w:w="850" w:type="dxa"/>
            <w:vAlign w:val="center"/>
          </w:tcPr>
          <w:p w14:paraId="39D0BE3A">
            <w:pPr>
              <w:pStyle w:val="11"/>
              <w:keepNext/>
              <w:spacing w:after="0" w:line="360" w:lineRule="auto"/>
              <w:ind w:left="66" w:right="66"/>
              <w:rPr>
                <w:rFonts w:ascii="宋体" w:hAnsi="宋体" w:cs="宋体"/>
                <w:color w:val="000000"/>
                <w:sz w:val="24"/>
                <w:szCs w:val="24"/>
              </w:rPr>
            </w:pPr>
          </w:p>
        </w:tc>
        <w:tc>
          <w:tcPr>
            <w:tcW w:w="1058" w:type="dxa"/>
            <w:vAlign w:val="center"/>
          </w:tcPr>
          <w:p w14:paraId="63C96D3E">
            <w:pPr>
              <w:pStyle w:val="11"/>
              <w:keepNext/>
              <w:spacing w:after="0" w:line="360" w:lineRule="auto"/>
              <w:ind w:left="66" w:right="66"/>
              <w:rPr>
                <w:rFonts w:ascii="宋体" w:hAnsi="宋体" w:cs="宋体"/>
                <w:color w:val="000000"/>
                <w:sz w:val="24"/>
                <w:szCs w:val="24"/>
              </w:rPr>
            </w:pPr>
          </w:p>
        </w:tc>
        <w:tc>
          <w:tcPr>
            <w:tcW w:w="880" w:type="dxa"/>
            <w:vAlign w:val="center"/>
          </w:tcPr>
          <w:p w14:paraId="022DF820">
            <w:pPr>
              <w:pStyle w:val="11"/>
              <w:keepNext/>
              <w:spacing w:after="0" w:line="360" w:lineRule="auto"/>
              <w:ind w:left="66" w:right="66"/>
              <w:rPr>
                <w:rFonts w:ascii="宋体" w:hAnsi="宋体" w:cs="宋体"/>
                <w:color w:val="000000"/>
                <w:sz w:val="24"/>
                <w:szCs w:val="24"/>
              </w:rPr>
            </w:pPr>
          </w:p>
        </w:tc>
        <w:tc>
          <w:tcPr>
            <w:tcW w:w="1020" w:type="dxa"/>
            <w:vAlign w:val="center"/>
          </w:tcPr>
          <w:p w14:paraId="25EFC89B">
            <w:pPr>
              <w:pStyle w:val="11"/>
              <w:keepNext/>
              <w:spacing w:after="0" w:line="360" w:lineRule="auto"/>
              <w:ind w:left="66" w:right="66"/>
              <w:rPr>
                <w:rFonts w:ascii="宋体" w:hAnsi="宋体" w:cs="宋体"/>
                <w:color w:val="000000"/>
                <w:sz w:val="24"/>
                <w:szCs w:val="24"/>
              </w:rPr>
            </w:pPr>
          </w:p>
        </w:tc>
        <w:tc>
          <w:tcPr>
            <w:tcW w:w="1480" w:type="dxa"/>
            <w:vAlign w:val="center"/>
          </w:tcPr>
          <w:p w14:paraId="51719575">
            <w:pPr>
              <w:pStyle w:val="11"/>
              <w:keepNext/>
              <w:spacing w:after="0" w:line="360" w:lineRule="auto"/>
              <w:ind w:left="66" w:right="66"/>
              <w:rPr>
                <w:rFonts w:ascii="宋体" w:hAnsi="宋体" w:cs="宋体"/>
                <w:color w:val="000000"/>
                <w:sz w:val="24"/>
                <w:szCs w:val="24"/>
              </w:rPr>
            </w:pPr>
          </w:p>
        </w:tc>
        <w:tc>
          <w:tcPr>
            <w:tcW w:w="1020" w:type="dxa"/>
            <w:vAlign w:val="center"/>
          </w:tcPr>
          <w:p w14:paraId="20B0FCAC">
            <w:pPr>
              <w:pStyle w:val="11"/>
              <w:keepNext/>
              <w:spacing w:after="0" w:line="360" w:lineRule="auto"/>
              <w:ind w:left="66" w:right="66"/>
              <w:rPr>
                <w:rFonts w:ascii="宋体" w:hAnsi="宋体" w:cs="宋体"/>
                <w:color w:val="000000"/>
                <w:sz w:val="24"/>
                <w:szCs w:val="24"/>
              </w:rPr>
            </w:pPr>
          </w:p>
        </w:tc>
        <w:tc>
          <w:tcPr>
            <w:tcW w:w="921" w:type="dxa"/>
            <w:vAlign w:val="center"/>
          </w:tcPr>
          <w:p w14:paraId="1A6614C4">
            <w:pPr>
              <w:pStyle w:val="11"/>
              <w:keepNext/>
              <w:spacing w:after="0" w:line="360" w:lineRule="auto"/>
              <w:ind w:left="66" w:right="66"/>
              <w:rPr>
                <w:rFonts w:ascii="宋体" w:hAnsi="宋体" w:cs="宋体"/>
                <w:color w:val="000000"/>
                <w:sz w:val="24"/>
                <w:szCs w:val="24"/>
              </w:rPr>
            </w:pPr>
          </w:p>
        </w:tc>
      </w:tr>
      <w:tr w14:paraId="03724D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00FA0F0">
            <w:pPr>
              <w:pStyle w:val="11"/>
              <w:keepNext/>
              <w:spacing w:after="0" w:line="360" w:lineRule="auto"/>
              <w:ind w:left="66" w:right="66"/>
              <w:rPr>
                <w:rFonts w:ascii="宋体" w:hAnsi="宋体" w:cs="宋体"/>
                <w:color w:val="000000"/>
                <w:sz w:val="24"/>
                <w:szCs w:val="24"/>
              </w:rPr>
            </w:pPr>
          </w:p>
        </w:tc>
        <w:tc>
          <w:tcPr>
            <w:tcW w:w="1418" w:type="dxa"/>
            <w:vAlign w:val="center"/>
          </w:tcPr>
          <w:p w14:paraId="39946B4F">
            <w:pPr>
              <w:pStyle w:val="11"/>
              <w:keepNext/>
              <w:spacing w:after="0" w:line="360" w:lineRule="auto"/>
              <w:ind w:left="66" w:right="66"/>
              <w:rPr>
                <w:rFonts w:ascii="宋体" w:hAnsi="宋体" w:cs="宋体"/>
                <w:color w:val="000000"/>
                <w:sz w:val="24"/>
                <w:szCs w:val="24"/>
              </w:rPr>
            </w:pPr>
          </w:p>
        </w:tc>
        <w:tc>
          <w:tcPr>
            <w:tcW w:w="850" w:type="dxa"/>
            <w:vAlign w:val="center"/>
          </w:tcPr>
          <w:p w14:paraId="2714A002">
            <w:pPr>
              <w:pStyle w:val="11"/>
              <w:keepNext/>
              <w:spacing w:after="0" w:line="360" w:lineRule="auto"/>
              <w:ind w:left="66" w:right="66"/>
              <w:rPr>
                <w:rFonts w:ascii="宋体" w:hAnsi="宋体" w:cs="宋体"/>
                <w:color w:val="000000"/>
                <w:sz w:val="24"/>
                <w:szCs w:val="24"/>
              </w:rPr>
            </w:pPr>
          </w:p>
        </w:tc>
        <w:tc>
          <w:tcPr>
            <w:tcW w:w="1058" w:type="dxa"/>
            <w:vAlign w:val="center"/>
          </w:tcPr>
          <w:p w14:paraId="7472B927">
            <w:pPr>
              <w:pStyle w:val="11"/>
              <w:keepNext/>
              <w:spacing w:after="0" w:line="360" w:lineRule="auto"/>
              <w:ind w:left="66" w:right="66"/>
              <w:rPr>
                <w:rFonts w:ascii="宋体" w:hAnsi="宋体" w:cs="宋体"/>
                <w:color w:val="000000"/>
                <w:sz w:val="24"/>
                <w:szCs w:val="24"/>
              </w:rPr>
            </w:pPr>
          </w:p>
        </w:tc>
        <w:tc>
          <w:tcPr>
            <w:tcW w:w="880" w:type="dxa"/>
            <w:vAlign w:val="center"/>
          </w:tcPr>
          <w:p w14:paraId="53058EE4">
            <w:pPr>
              <w:pStyle w:val="11"/>
              <w:keepNext/>
              <w:spacing w:after="0" w:line="360" w:lineRule="auto"/>
              <w:ind w:left="66" w:right="66"/>
              <w:rPr>
                <w:rFonts w:ascii="宋体" w:hAnsi="宋体" w:cs="宋体"/>
                <w:color w:val="000000"/>
                <w:sz w:val="24"/>
                <w:szCs w:val="24"/>
              </w:rPr>
            </w:pPr>
          </w:p>
        </w:tc>
        <w:tc>
          <w:tcPr>
            <w:tcW w:w="1020" w:type="dxa"/>
            <w:vAlign w:val="center"/>
          </w:tcPr>
          <w:p w14:paraId="3F1FEFF1">
            <w:pPr>
              <w:pStyle w:val="11"/>
              <w:keepNext/>
              <w:spacing w:after="0" w:line="360" w:lineRule="auto"/>
              <w:ind w:left="66" w:right="66"/>
              <w:rPr>
                <w:rFonts w:ascii="宋体" w:hAnsi="宋体" w:cs="宋体"/>
                <w:color w:val="000000"/>
                <w:sz w:val="24"/>
                <w:szCs w:val="24"/>
              </w:rPr>
            </w:pPr>
          </w:p>
        </w:tc>
        <w:tc>
          <w:tcPr>
            <w:tcW w:w="1480" w:type="dxa"/>
            <w:vAlign w:val="center"/>
          </w:tcPr>
          <w:p w14:paraId="3EA4B8A5">
            <w:pPr>
              <w:pStyle w:val="11"/>
              <w:keepNext/>
              <w:spacing w:after="0" w:line="360" w:lineRule="auto"/>
              <w:ind w:left="66" w:right="66"/>
              <w:rPr>
                <w:rFonts w:ascii="宋体" w:hAnsi="宋体" w:cs="宋体"/>
                <w:color w:val="000000"/>
                <w:sz w:val="24"/>
                <w:szCs w:val="24"/>
              </w:rPr>
            </w:pPr>
          </w:p>
        </w:tc>
        <w:tc>
          <w:tcPr>
            <w:tcW w:w="1020" w:type="dxa"/>
            <w:vAlign w:val="center"/>
          </w:tcPr>
          <w:p w14:paraId="7F478859">
            <w:pPr>
              <w:pStyle w:val="11"/>
              <w:keepNext/>
              <w:spacing w:after="0" w:line="360" w:lineRule="auto"/>
              <w:ind w:left="66" w:right="66"/>
              <w:rPr>
                <w:rFonts w:ascii="宋体" w:hAnsi="宋体" w:cs="宋体"/>
                <w:color w:val="000000"/>
                <w:sz w:val="24"/>
                <w:szCs w:val="24"/>
              </w:rPr>
            </w:pPr>
          </w:p>
        </w:tc>
        <w:tc>
          <w:tcPr>
            <w:tcW w:w="921" w:type="dxa"/>
            <w:vAlign w:val="center"/>
          </w:tcPr>
          <w:p w14:paraId="04C84FA7">
            <w:pPr>
              <w:pStyle w:val="11"/>
              <w:keepNext/>
              <w:spacing w:after="0" w:line="360" w:lineRule="auto"/>
              <w:ind w:left="66" w:right="66"/>
              <w:rPr>
                <w:rFonts w:ascii="宋体" w:hAnsi="宋体" w:cs="宋体"/>
                <w:color w:val="000000"/>
                <w:sz w:val="24"/>
                <w:szCs w:val="24"/>
              </w:rPr>
            </w:pPr>
          </w:p>
        </w:tc>
      </w:tr>
      <w:tr w14:paraId="6B5495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1B83FA8">
            <w:pPr>
              <w:pStyle w:val="11"/>
              <w:keepNext/>
              <w:spacing w:after="0" w:line="360" w:lineRule="auto"/>
              <w:ind w:left="66" w:right="66"/>
              <w:rPr>
                <w:rFonts w:ascii="宋体" w:hAnsi="宋体" w:cs="宋体"/>
                <w:color w:val="000000"/>
                <w:sz w:val="24"/>
                <w:szCs w:val="24"/>
              </w:rPr>
            </w:pPr>
          </w:p>
        </w:tc>
        <w:tc>
          <w:tcPr>
            <w:tcW w:w="1418" w:type="dxa"/>
            <w:vAlign w:val="center"/>
          </w:tcPr>
          <w:p w14:paraId="6534C721">
            <w:pPr>
              <w:pStyle w:val="11"/>
              <w:keepNext/>
              <w:spacing w:after="0" w:line="360" w:lineRule="auto"/>
              <w:ind w:left="66" w:right="66"/>
              <w:rPr>
                <w:rFonts w:ascii="宋体" w:hAnsi="宋体" w:cs="宋体"/>
                <w:color w:val="000000"/>
                <w:sz w:val="24"/>
                <w:szCs w:val="24"/>
              </w:rPr>
            </w:pPr>
          </w:p>
        </w:tc>
        <w:tc>
          <w:tcPr>
            <w:tcW w:w="850" w:type="dxa"/>
            <w:vAlign w:val="center"/>
          </w:tcPr>
          <w:p w14:paraId="6DF62B25">
            <w:pPr>
              <w:pStyle w:val="11"/>
              <w:keepNext/>
              <w:spacing w:after="0" w:line="360" w:lineRule="auto"/>
              <w:ind w:left="66" w:right="66"/>
              <w:rPr>
                <w:rFonts w:ascii="宋体" w:hAnsi="宋体" w:cs="宋体"/>
                <w:color w:val="000000"/>
                <w:sz w:val="24"/>
                <w:szCs w:val="24"/>
              </w:rPr>
            </w:pPr>
          </w:p>
        </w:tc>
        <w:tc>
          <w:tcPr>
            <w:tcW w:w="1058" w:type="dxa"/>
            <w:vAlign w:val="center"/>
          </w:tcPr>
          <w:p w14:paraId="50CF193B">
            <w:pPr>
              <w:pStyle w:val="11"/>
              <w:keepNext/>
              <w:spacing w:after="0" w:line="360" w:lineRule="auto"/>
              <w:ind w:left="66" w:right="66"/>
              <w:rPr>
                <w:rFonts w:ascii="宋体" w:hAnsi="宋体" w:cs="宋体"/>
                <w:color w:val="000000"/>
                <w:sz w:val="24"/>
                <w:szCs w:val="24"/>
              </w:rPr>
            </w:pPr>
          </w:p>
        </w:tc>
        <w:tc>
          <w:tcPr>
            <w:tcW w:w="880" w:type="dxa"/>
            <w:vAlign w:val="center"/>
          </w:tcPr>
          <w:p w14:paraId="22183596">
            <w:pPr>
              <w:pStyle w:val="11"/>
              <w:keepNext/>
              <w:spacing w:after="0" w:line="360" w:lineRule="auto"/>
              <w:ind w:left="66" w:right="66"/>
              <w:rPr>
                <w:rFonts w:ascii="宋体" w:hAnsi="宋体" w:cs="宋体"/>
                <w:color w:val="000000"/>
                <w:sz w:val="24"/>
                <w:szCs w:val="24"/>
              </w:rPr>
            </w:pPr>
          </w:p>
        </w:tc>
        <w:tc>
          <w:tcPr>
            <w:tcW w:w="1020" w:type="dxa"/>
            <w:vAlign w:val="center"/>
          </w:tcPr>
          <w:p w14:paraId="073B7479">
            <w:pPr>
              <w:pStyle w:val="11"/>
              <w:keepNext/>
              <w:spacing w:after="0" w:line="360" w:lineRule="auto"/>
              <w:ind w:left="66" w:right="66"/>
              <w:rPr>
                <w:rFonts w:ascii="宋体" w:hAnsi="宋体" w:cs="宋体"/>
                <w:color w:val="000000"/>
                <w:sz w:val="24"/>
                <w:szCs w:val="24"/>
              </w:rPr>
            </w:pPr>
          </w:p>
        </w:tc>
        <w:tc>
          <w:tcPr>
            <w:tcW w:w="1480" w:type="dxa"/>
            <w:vAlign w:val="center"/>
          </w:tcPr>
          <w:p w14:paraId="771ECF96">
            <w:pPr>
              <w:pStyle w:val="11"/>
              <w:keepNext/>
              <w:spacing w:after="0" w:line="360" w:lineRule="auto"/>
              <w:ind w:left="66" w:right="66"/>
              <w:rPr>
                <w:rFonts w:ascii="宋体" w:hAnsi="宋体" w:cs="宋体"/>
                <w:color w:val="000000"/>
                <w:sz w:val="24"/>
                <w:szCs w:val="24"/>
              </w:rPr>
            </w:pPr>
          </w:p>
        </w:tc>
        <w:tc>
          <w:tcPr>
            <w:tcW w:w="1020" w:type="dxa"/>
            <w:vAlign w:val="center"/>
          </w:tcPr>
          <w:p w14:paraId="39BD6711">
            <w:pPr>
              <w:pStyle w:val="11"/>
              <w:keepNext/>
              <w:spacing w:after="0" w:line="360" w:lineRule="auto"/>
              <w:ind w:left="66" w:right="66"/>
              <w:rPr>
                <w:rFonts w:ascii="宋体" w:hAnsi="宋体" w:cs="宋体"/>
                <w:color w:val="000000"/>
                <w:sz w:val="24"/>
                <w:szCs w:val="24"/>
              </w:rPr>
            </w:pPr>
          </w:p>
        </w:tc>
        <w:tc>
          <w:tcPr>
            <w:tcW w:w="921" w:type="dxa"/>
            <w:vAlign w:val="center"/>
          </w:tcPr>
          <w:p w14:paraId="5374E434">
            <w:pPr>
              <w:pStyle w:val="11"/>
              <w:keepNext/>
              <w:spacing w:after="0" w:line="360" w:lineRule="auto"/>
              <w:ind w:left="66" w:right="66"/>
              <w:rPr>
                <w:rFonts w:ascii="宋体" w:hAnsi="宋体" w:cs="宋体"/>
                <w:color w:val="000000"/>
                <w:sz w:val="24"/>
                <w:szCs w:val="24"/>
              </w:rPr>
            </w:pPr>
          </w:p>
        </w:tc>
      </w:tr>
      <w:tr w14:paraId="0D10CC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2791978">
            <w:pPr>
              <w:pStyle w:val="11"/>
              <w:keepNext/>
              <w:spacing w:after="0" w:line="360" w:lineRule="auto"/>
              <w:ind w:left="66" w:right="66"/>
              <w:rPr>
                <w:rFonts w:ascii="宋体" w:hAnsi="宋体" w:cs="宋体"/>
                <w:color w:val="000000"/>
                <w:sz w:val="24"/>
                <w:szCs w:val="24"/>
              </w:rPr>
            </w:pPr>
          </w:p>
        </w:tc>
        <w:tc>
          <w:tcPr>
            <w:tcW w:w="1418" w:type="dxa"/>
            <w:vAlign w:val="center"/>
          </w:tcPr>
          <w:p w14:paraId="76E6C907">
            <w:pPr>
              <w:pStyle w:val="11"/>
              <w:keepNext/>
              <w:spacing w:after="0" w:line="360" w:lineRule="auto"/>
              <w:ind w:left="66" w:right="66"/>
              <w:rPr>
                <w:rFonts w:ascii="宋体" w:hAnsi="宋体" w:cs="宋体"/>
                <w:color w:val="000000"/>
                <w:sz w:val="24"/>
                <w:szCs w:val="24"/>
              </w:rPr>
            </w:pPr>
          </w:p>
        </w:tc>
        <w:tc>
          <w:tcPr>
            <w:tcW w:w="850" w:type="dxa"/>
            <w:vAlign w:val="center"/>
          </w:tcPr>
          <w:p w14:paraId="664BA689">
            <w:pPr>
              <w:pStyle w:val="11"/>
              <w:keepNext/>
              <w:spacing w:after="0" w:line="360" w:lineRule="auto"/>
              <w:ind w:left="66" w:right="66"/>
              <w:rPr>
                <w:rFonts w:ascii="宋体" w:hAnsi="宋体" w:cs="宋体"/>
                <w:color w:val="000000"/>
                <w:sz w:val="24"/>
                <w:szCs w:val="24"/>
              </w:rPr>
            </w:pPr>
          </w:p>
        </w:tc>
        <w:tc>
          <w:tcPr>
            <w:tcW w:w="1058" w:type="dxa"/>
            <w:vAlign w:val="center"/>
          </w:tcPr>
          <w:p w14:paraId="61B254AE">
            <w:pPr>
              <w:pStyle w:val="11"/>
              <w:keepNext/>
              <w:spacing w:after="0" w:line="360" w:lineRule="auto"/>
              <w:ind w:left="66" w:right="66"/>
              <w:rPr>
                <w:rFonts w:ascii="宋体" w:hAnsi="宋体" w:cs="宋体"/>
                <w:color w:val="000000"/>
                <w:sz w:val="24"/>
                <w:szCs w:val="24"/>
              </w:rPr>
            </w:pPr>
          </w:p>
        </w:tc>
        <w:tc>
          <w:tcPr>
            <w:tcW w:w="880" w:type="dxa"/>
            <w:vAlign w:val="center"/>
          </w:tcPr>
          <w:p w14:paraId="459D3229">
            <w:pPr>
              <w:pStyle w:val="11"/>
              <w:keepNext/>
              <w:spacing w:after="0" w:line="360" w:lineRule="auto"/>
              <w:ind w:left="66" w:right="66"/>
              <w:rPr>
                <w:rFonts w:ascii="宋体" w:hAnsi="宋体" w:cs="宋体"/>
                <w:color w:val="000000"/>
                <w:sz w:val="24"/>
                <w:szCs w:val="24"/>
              </w:rPr>
            </w:pPr>
          </w:p>
        </w:tc>
        <w:tc>
          <w:tcPr>
            <w:tcW w:w="1020" w:type="dxa"/>
            <w:vAlign w:val="center"/>
          </w:tcPr>
          <w:p w14:paraId="54A19113">
            <w:pPr>
              <w:pStyle w:val="11"/>
              <w:keepNext/>
              <w:spacing w:after="0" w:line="360" w:lineRule="auto"/>
              <w:ind w:left="66" w:right="66"/>
              <w:rPr>
                <w:rFonts w:ascii="宋体" w:hAnsi="宋体" w:cs="宋体"/>
                <w:color w:val="000000"/>
                <w:sz w:val="24"/>
                <w:szCs w:val="24"/>
              </w:rPr>
            </w:pPr>
          </w:p>
        </w:tc>
        <w:tc>
          <w:tcPr>
            <w:tcW w:w="1480" w:type="dxa"/>
            <w:vAlign w:val="center"/>
          </w:tcPr>
          <w:p w14:paraId="6D4947ED">
            <w:pPr>
              <w:pStyle w:val="11"/>
              <w:keepNext/>
              <w:spacing w:after="0" w:line="360" w:lineRule="auto"/>
              <w:ind w:left="66" w:right="66"/>
              <w:rPr>
                <w:rFonts w:ascii="宋体" w:hAnsi="宋体" w:cs="宋体"/>
                <w:color w:val="000000"/>
                <w:sz w:val="24"/>
                <w:szCs w:val="24"/>
              </w:rPr>
            </w:pPr>
          </w:p>
        </w:tc>
        <w:tc>
          <w:tcPr>
            <w:tcW w:w="1020" w:type="dxa"/>
            <w:vAlign w:val="center"/>
          </w:tcPr>
          <w:p w14:paraId="059B1D77">
            <w:pPr>
              <w:pStyle w:val="11"/>
              <w:keepNext/>
              <w:spacing w:after="0" w:line="360" w:lineRule="auto"/>
              <w:ind w:left="66" w:right="66"/>
              <w:rPr>
                <w:rFonts w:ascii="宋体" w:hAnsi="宋体" w:cs="宋体"/>
                <w:color w:val="000000"/>
                <w:sz w:val="24"/>
                <w:szCs w:val="24"/>
              </w:rPr>
            </w:pPr>
          </w:p>
        </w:tc>
        <w:tc>
          <w:tcPr>
            <w:tcW w:w="921" w:type="dxa"/>
            <w:vAlign w:val="center"/>
          </w:tcPr>
          <w:p w14:paraId="0A7CF84B">
            <w:pPr>
              <w:pStyle w:val="11"/>
              <w:keepNext/>
              <w:spacing w:after="0" w:line="360" w:lineRule="auto"/>
              <w:ind w:left="66" w:right="66"/>
              <w:rPr>
                <w:rFonts w:ascii="宋体" w:hAnsi="宋体" w:cs="宋体"/>
                <w:color w:val="000000"/>
                <w:sz w:val="24"/>
                <w:szCs w:val="24"/>
              </w:rPr>
            </w:pPr>
          </w:p>
        </w:tc>
      </w:tr>
      <w:tr w14:paraId="41C3BA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246F01E">
            <w:pPr>
              <w:pStyle w:val="11"/>
              <w:keepNext/>
              <w:spacing w:after="0" w:line="360" w:lineRule="auto"/>
              <w:ind w:left="66" w:right="66"/>
              <w:rPr>
                <w:rFonts w:ascii="宋体" w:hAnsi="宋体" w:cs="宋体"/>
                <w:color w:val="000000"/>
                <w:sz w:val="24"/>
                <w:szCs w:val="24"/>
              </w:rPr>
            </w:pPr>
          </w:p>
        </w:tc>
        <w:tc>
          <w:tcPr>
            <w:tcW w:w="1418" w:type="dxa"/>
            <w:vAlign w:val="center"/>
          </w:tcPr>
          <w:p w14:paraId="2637FE4C">
            <w:pPr>
              <w:pStyle w:val="11"/>
              <w:keepNext/>
              <w:spacing w:after="0" w:line="360" w:lineRule="auto"/>
              <w:ind w:left="66" w:right="66"/>
              <w:rPr>
                <w:rFonts w:ascii="宋体" w:hAnsi="宋体" w:cs="宋体"/>
                <w:color w:val="000000"/>
                <w:sz w:val="24"/>
                <w:szCs w:val="24"/>
              </w:rPr>
            </w:pPr>
          </w:p>
        </w:tc>
        <w:tc>
          <w:tcPr>
            <w:tcW w:w="850" w:type="dxa"/>
            <w:vAlign w:val="center"/>
          </w:tcPr>
          <w:p w14:paraId="042275C2">
            <w:pPr>
              <w:pStyle w:val="11"/>
              <w:keepNext/>
              <w:spacing w:after="0" w:line="360" w:lineRule="auto"/>
              <w:ind w:left="66" w:right="66"/>
              <w:rPr>
                <w:rFonts w:ascii="宋体" w:hAnsi="宋体" w:cs="宋体"/>
                <w:color w:val="000000"/>
                <w:sz w:val="24"/>
                <w:szCs w:val="24"/>
              </w:rPr>
            </w:pPr>
          </w:p>
        </w:tc>
        <w:tc>
          <w:tcPr>
            <w:tcW w:w="1058" w:type="dxa"/>
            <w:vAlign w:val="center"/>
          </w:tcPr>
          <w:p w14:paraId="7FD9C957">
            <w:pPr>
              <w:pStyle w:val="11"/>
              <w:keepNext/>
              <w:spacing w:after="0" w:line="360" w:lineRule="auto"/>
              <w:ind w:left="66" w:right="66"/>
              <w:rPr>
                <w:rFonts w:ascii="宋体" w:hAnsi="宋体" w:cs="宋体"/>
                <w:color w:val="000000"/>
                <w:sz w:val="24"/>
                <w:szCs w:val="24"/>
              </w:rPr>
            </w:pPr>
          </w:p>
        </w:tc>
        <w:tc>
          <w:tcPr>
            <w:tcW w:w="880" w:type="dxa"/>
            <w:vAlign w:val="center"/>
          </w:tcPr>
          <w:p w14:paraId="37D9ECE5">
            <w:pPr>
              <w:pStyle w:val="11"/>
              <w:keepNext/>
              <w:spacing w:after="0" w:line="360" w:lineRule="auto"/>
              <w:ind w:left="66" w:right="66"/>
              <w:rPr>
                <w:rFonts w:ascii="宋体" w:hAnsi="宋体" w:cs="宋体"/>
                <w:color w:val="000000"/>
                <w:sz w:val="24"/>
                <w:szCs w:val="24"/>
              </w:rPr>
            </w:pPr>
          </w:p>
        </w:tc>
        <w:tc>
          <w:tcPr>
            <w:tcW w:w="1020" w:type="dxa"/>
            <w:vAlign w:val="center"/>
          </w:tcPr>
          <w:p w14:paraId="247F33E2">
            <w:pPr>
              <w:pStyle w:val="11"/>
              <w:keepNext/>
              <w:spacing w:after="0" w:line="360" w:lineRule="auto"/>
              <w:ind w:left="66" w:right="66"/>
              <w:rPr>
                <w:rFonts w:ascii="宋体" w:hAnsi="宋体" w:cs="宋体"/>
                <w:color w:val="000000"/>
                <w:sz w:val="24"/>
                <w:szCs w:val="24"/>
              </w:rPr>
            </w:pPr>
          </w:p>
        </w:tc>
        <w:tc>
          <w:tcPr>
            <w:tcW w:w="1480" w:type="dxa"/>
            <w:vAlign w:val="center"/>
          </w:tcPr>
          <w:p w14:paraId="17666A34">
            <w:pPr>
              <w:pStyle w:val="11"/>
              <w:keepNext/>
              <w:spacing w:after="0" w:line="360" w:lineRule="auto"/>
              <w:ind w:left="66" w:right="66"/>
              <w:rPr>
                <w:rFonts w:ascii="宋体" w:hAnsi="宋体" w:cs="宋体"/>
                <w:color w:val="000000"/>
                <w:sz w:val="24"/>
                <w:szCs w:val="24"/>
              </w:rPr>
            </w:pPr>
          </w:p>
        </w:tc>
        <w:tc>
          <w:tcPr>
            <w:tcW w:w="1020" w:type="dxa"/>
            <w:vAlign w:val="center"/>
          </w:tcPr>
          <w:p w14:paraId="77EA2A7F">
            <w:pPr>
              <w:pStyle w:val="11"/>
              <w:keepNext/>
              <w:spacing w:after="0" w:line="360" w:lineRule="auto"/>
              <w:ind w:left="66" w:right="66"/>
              <w:rPr>
                <w:rFonts w:ascii="宋体" w:hAnsi="宋体" w:cs="宋体"/>
                <w:color w:val="000000"/>
                <w:sz w:val="24"/>
                <w:szCs w:val="24"/>
              </w:rPr>
            </w:pPr>
          </w:p>
        </w:tc>
        <w:tc>
          <w:tcPr>
            <w:tcW w:w="921" w:type="dxa"/>
            <w:vAlign w:val="center"/>
          </w:tcPr>
          <w:p w14:paraId="7F718B22">
            <w:pPr>
              <w:pStyle w:val="11"/>
              <w:keepNext/>
              <w:spacing w:after="0" w:line="360" w:lineRule="auto"/>
              <w:ind w:left="66" w:right="66"/>
              <w:rPr>
                <w:rFonts w:ascii="宋体" w:hAnsi="宋体" w:cs="宋体"/>
                <w:color w:val="000000"/>
                <w:sz w:val="24"/>
                <w:szCs w:val="24"/>
              </w:rPr>
            </w:pPr>
          </w:p>
        </w:tc>
      </w:tr>
      <w:tr w14:paraId="5F08A1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074422B">
            <w:pPr>
              <w:pStyle w:val="11"/>
              <w:keepNext/>
              <w:spacing w:after="0" w:line="360" w:lineRule="auto"/>
              <w:ind w:left="66" w:right="66"/>
              <w:rPr>
                <w:rFonts w:ascii="宋体" w:hAnsi="宋体" w:cs="宋体"/>
                <w:color w:val="000000"/>
                <w:sz w:val="24"/>
                <w:szCs w:val="24"/>
              </w:rPr>
            </w:pPr>
          </w:p>
        </w:tc>
        <w:tc>
          <w:tcPr>
            <w:tcW w:w="1418" w:type="dxa"/>
            <w:vAlign w:val="center"/>
          </w:tcPr>
          <w:p w14:paraId="266CF92E">
            <w:pPr>
              <w:pStyle w:val="11"/>
              <w:keepNext/>
              <w:spacing w:after="0" w:line="360" w:lineRule="auto"/>
              <w:ind w:left="66" w:right="66"/>
              <w:rPr>
                <w:rFonts w:ascii="宋体" w:hAnsi="宋体" w:cs="宋体"/>
                <w:color w:val="000000"/>
                <w:sz w:val="24"/>
                <w:szCs w:val="24"/>
              </w:rPr>
            </w:pPr>
          </w:p>
        </w:tc>
        <w:tc>
          <w:tcPr>
            <w:tcW w:w="850" w:type="dxa"/>
            <w:vAlign w:val="center"/>
          </w:tcPr>
          <w:p w14:paraId="597156EC">
            <w:pPr>
              <w:pStyle w:val="11"/>
              <w:keepNext/>
              <w:spacing w:after="0" w:line="360" w:lineRule="auto"/>
              <w:ind w:left="66" w:right="66"/>
              <w:rPr>
                <w:rFonts w:ascii="宋体" w:hAnsi="宋体" w:cs="宋体"/>
                <w:color w:val="000000"/>
                <w:sz w:val="24"/>
                <w:szCs w:val="24"/>
              </w:rPr>
            </w:pPr>
          </w:p>
        </w:tc>
        <w:tc>
          <w:tcPr>
            <w:tcW w:w="1058" w:type="dxa"/>
            <w:vAlign w:val="center"/>
          </w:tcPr>
          <w:p w14:paraId="28E3E804">
            <w:pPr>
              <w:pStyle w:val="11"/>
              <w:keepNext/>
              <w:spacing w:after="0" w:line="360" w:lineRule="auto"/>
              <w:ind w:left="66" w:right="66"/>
              <w:rPr>
                <w:rFonts w:ascii="宋体" w:hAnsi="宋体" w:cs="宋体"/>
                <w:color w:val="000000"/>
                <w:sz w:val="24"/>
                <w:szCs w:val="24"/>
              </w:rPr>
            </w:pPr>
          </w:p>
        </w:tc>
        <w:tc>
          <w:tcPr>
            <w:tcW w:w="880" w:type="dxa"/>
            <w:vAlign w:val="center"/>
          </w:tcPr>
          <w:p w14:paraId="51A9A308">
            <w:pPr>
              <w:pStyle w:val="11"/>
              <w:keepNext/>
              <w:spacing w:after="0" w:line="360" w:lineRule="auto"/>
              <w:ind w:left="66" w:right="66"/>
              <w:rPr>
                <w:rFonts w:ascii="宋体" w:hAnsi="宋体" w:cs="宋体"/>
                <w:color w:val="000000"/>
                <w:sz w:val="24"/>
                <w:szCs w:val="24"/>
              </w:rPr>
            </w:pPr>
          </w:p>
        </w:tc>
        <w:tc>
          <w:tcPr>
            <w:tcW w:w="1020" w:type="dxa"/>
            <w:vAlign w:val="center"/>
          </w:tcPr>
          <w:p w14:paraId="2B9E33D4">
            <w:pPr>
              <w:pStyle w:val="11"/>
              <w:keepNext/>
              <w:spacing w:after="0" w:line="360" w:lineRule="auto"/>
              <w:ind w:left="66" w:right="66"/>
              <w:rPr>
                <w:rFonts w:ascii="宋体" w:hAnsi="宋体" w:cs="宋体"/>
                <w:color w:val="000000"/>
                <w:sz w:val="24"/>
                <w:szCs w:val="24"/>
              </w:rPr>
            </w:pPr>
          </w:p>
        </w:tc>
        <w:tc>
          <w:tcPr>
            <w:tcW w:w="1480" w:type="dxa"/>
            <w:vAlign w:val="center"/>
          </w:tcPr>
          <w:p w14:paraId="03C60746">
            <w:pPr>
              <w:pStyle w:val="11"/>
              <w:keepNext/>
              <w:spacing w:after="0" w:line="360" w:lineRule="auto"/>
              <w:ind w:left="66" w:right="66"/>
              <w:rPr>
                <w:rFonts w:ascii="宋体" w:hAnsi="宋体" w:cs="宋体"/>
                <w:color w:val="000000"/>
                <w:sz w:val="24"/>
                <w:szCs w:val="24"/>
              </w:rPr>
            </w:pPr>
          </w:p>
        </w:tc>
        <w:tc>
          <w:tcPr>
            <w:tcW w:w="1020" w:type="dxa"/>
            <w:vAlign w:val="center"/>
          </w:tcPr>
          <w:p w14:paraId="25FBB413">
            <w:pPr>
              <w:pStyle w:val="11"/>
              <w:keepNext/>
              <w:spacing w:after="0" w:line="360" w:lineRule="auto"/>
              <w:ind w:left="66" w:right="66"/>
              <w:rPr>
                <w:rFonts w:ascii="宋体" w:hAnsi="宋体" w:cs="宋体"/>
                <w:color w:val="000000"/>
                <w:sz w:val="24"/>
                <w:szCs w:val="24"/>
              </w:rPr>
            </w:pPr>
          </w:p>
        </w:tc>
        <w:tc>
          <w:tcPr>
            <w:tcW w:w="921" w:type="dxa"/>
            <w:vAlign w:val="center"/>
          </w:tcPr>
          <w:p w14:paraId="7BBC1200">
            <w:pPr>
              <w:pStyle w:val="11"/>
              <w:keepNext/>
              <w:spacing w:after="0" w:line="360" w:lineRule="auto"/>
              <w:ind w:left="66" w:right="66"/>
              <w:rPr>
                <w:rFonts w:ascii="宋体" w:hAnsi="宋体" w:cs="宋体"/>
                <w:color w:val="000000"/>
                <w:sz w:val="24"/>
                <w:szCs w:val="24"/>
              </w:rPr>
            </w:pPr>
          </w:p>
        </w:tc>
      </w:tr>
      <w:tr w14:paraId="3964AA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1BF5D40">
            <w:pPr>
              <w:spacing w:line="360" w:lineRule="auto"/>
              <w:rPr>
                <w:rFonts w:ascii="宋体" w:hAnsi="宋体" w:cs="宋体"/>
                <w:color w:val="000000"/>
                <w:sz w:val="24"/>
                <w:szCs w:val="24"/>
              </w:rPr>
            </w:pPr>
          </w:p>
        </w:tc>
        <w:tc>
          <w:tcPr>
            <w:tcW w:w="1418" w:type="dxa"/>
          </w:tcPr>
          <w:p w14:paraId="3FFE7693">
            <w:pPr>
              <w:spacing w:line="360" w:lineRule="auto"/>
              <w:rPr>
                <w:rFonts w:ascii="宋体" w:hAnsi="宋体" w:cs="宋体"/>
                <w:color w:val="000000"/>
                <w:sz w:val="24"/>
                <w:szCs w:val="24"/>
              </w:rPr>
            </w:pPr>
          </w:p>
        </w:tc>
        <w:tc>
          <w:tcPr>
            <w:tcW w:w="850" w:type="dxa"/>
          </w:tcPr>
          <w:p w14:paraId="75CFDDE7">
            <w:pPr>
              <w:spacing w:line="360" w:lineRule="auto"/>
              <w:rPr>
                <w:rFonts w:ascii="宋体" w:hAnsi="宋体" w:cs="宋体"/>
                <w:color w:val="000000"/>
                <w:sz w:val="24"/>
                <w:szCs w:val="24"/>
              </w:rPr>
            </w:pPr>
          </w:p>
        </w:tc>
        <w:tc>
          <w:tcPr>
            <w:tcW w:w="1058" w:type="dxa"/>
          </w:tcPr>
          <w:p w14:paraId="7C7B234D">
            <w:pPr>
              <w:spacing w:line="360" w:lineRule="auto"/>
              <w:rPr>
                <w:rFonts w:ascii="宋体" w:hAnsi="宋体" w:cs="宋体"/>
                <w:color w:val="000000"/>
                <w:sz w:val="24"/>
                <w:szCs w:val="24"/>
              </w:rPr>
            </w:pPr>
          </w:p>
        </w:tc>
        <w:tc>
          <w:tcPr>
            <w:tcW w:w="880" w:type="dxa"/>
          </w:tcPr>
          <w:p w14:paraId="6284F09F">
            <w:pPr>
              <w:spacing w:line="360" w:lineRule="auto"/>
              <w:rPr>
                <w:rFonts w:ascii="宋体" w:hAnsi="宋体" w:cs="宋体"/>
                <w:color w:val="000000"/>
                <w:sz w:val="24"/>
                <w:szCs w:val="24"/>
              </w:rPr>
            </w:pPr>
          </w:p>
        </w:tc>
        <w:tc>
          <w:tcPr>
            <w:tcW w:w="1020" w:type="dxa"/>
          </w:tcPr>
          <w:p w14:paraId="715A7BC5">
            <w:pPr>
              <w:spacing w:line="360" w:lineRule="auto"/>
              <w:rPr>
                <w:rFonts w:ascii="宋体" w:hAnsi="宋体" w:cs="宋体"/>
                <w:color w:val="000000"/>
                <w:sz w:val="24"/>
                <w:szCs w:val="24"/>
              </w:rPr>
            </w:pPr>
          </w:p>
        </w:tc>
        <w:tc>
          <w:tcPr>
            <w:tcW w:w="1480" w:type="dxa"/>
          </w:tcPr>
          <w:p w14:paraId="302E0250">
            <w:pPr>
              <w:spacing w:line="360" w:lineRule="auto"/>
              <w:rPr>
                <w:rFonts w:ascii="宋体" w:hAnsi="宋体" w:cs="宋体"/>
                <w:color w:val="000000"/>
                <w:sz w:val="24"/>
                <w:szCs w:val="24"/>
              </w:rPr>
            </w:pPr>
          </w:p>
        </w:tc>
        <w:tc>
          <w:tcPr>
            <w:tcW w:w="1020" w:type="dxa"/>
          </w:tcPr>
          <w:p w14:paraId="322C92BA">
            <w:pPr>
              <w:spacing w:line="360" w:lineRule="auto"/>
              <w:rPr>
                <w:rFonts w:ascii="宋体" w:hAnsi="宋体" w:cs="宋体"/>
                <w:color w:val="000000"/>
                <w:sz w:val="24"/>
                <w:szCs w:val="24"/>
              </w:rPr>
            </w:pPr>
          </w:p>
        </w:tc>
        <w:tc>
          <w:tcPr>
            <w:tcW w:w="921" w:type="dxa"/>
          </w:tcPr>
          <w:p w14:paraId="349035E2">
            <w:pPr>
              <w:spacing w:line="360" w:lineRule="auto"/>
              <w:rPr>
                <w:rFonts w:ascii="宋体" w:hAnsi="宋体" w:cs="宋体"/>
                <w:color w:val="000000"/>
                <w:sz w:val="24"/>
                <w:szCs w:val="24"/>
              </w:rPr>
            </w:pPr>
          </w:p>
        </w:tc>
      </w:tr>
      <w:tr w14:paraId="2BA3E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F7908FA">
            <w:pPr>
              <w:pStyle w:val="11"/>
              <w:keepNext/>
              <w:spacing w:after="0" w:line="360" w:lineRule="auto"/>
              <w:ind w:left="66" w:right="66"/>
              <w:rPr>
                <w:rFonts w:ascii="宋体" w:hAnsi="宋体" w:cs="宋体"/>
                <w:color w:val="000000"/>
                <w:sz w:val="24"/>
                <w:szCs w:val="24"/>
              </w:rPr>
            </w:pPr>
          </w:p>
        </w:tc>
        <w:tc>
          <w:tcPr>
            <w:tcW w:w="1418" w:type="dxa"/>
            <w:vAlign w:val="center"/>
          </w:tcPr>
          <w:p w14:paraId="5C0FBC2E">
            <w:pPr>
              <w:pStyle w:val="11"/>
              <w:keepNext/>
              <w:spacing w:after="0" w:line="360" w:lineRule="auto"/>
              <w:ind w:left="66" w:right="66"/>
              <w:rPr>
                <w:rFonts w:ascii="宋体" w:hAnsi="宋体" w:cs="宋体"/>
                <w:color w:val="000000"/>
                <w:sz w:val="24"/>
                <w:szCs w:val="24"/>
              </w:rPr>
            </w:pPr>
          </w:p>
        </w:tc>
        <w:tc>
          <w:tcPr>
            <w:tcW w:w="850" w:type="dxa"/>
            <w:vAlign w:val="center"/>
          </w:tcPr>
          <w:p w14:paraId="791A16A5">
            <w:pPr>
              <w:pStyle w:val="11"/>
              <w:keepNext/>
              <w:spacing w:after="0" w:line="360" w:lineRule="auto"/>
              <w:ind w:left="66" w:right="66"/>
              <w:rPr>
                <w:rFonts w:ascii="宋体" w:hAnsi="宋体" w:cs="宋体"/>
                <w:color w:val="000000"/>
                <w:sz w:val="24"/>
                <w:szCs w:val="24"/>
              </w:rPr>
            </w:pPr>
          </w:p>
        </w:tc>
        <w:tc>
          <w:tcPr>
            <w:tcW w:w="1058" w:type="dxa"/>
            <w:vAlign w:val="center"/>
          </w:tcPr>
          <w:p w14:paraId="3250991E">
            <w:pPr>
              <w:pStyle w:val="11"/>
              <w:keepNext/>
              <w:spacing w:after="0" w:line="360" w:lineRule="auto"/>
              <w:ind w:left="66" w:right="66"/>
              <w:rPr>
                <w:rFonts w:ascii="宋体" w:hAnsi="宋体" w:cs="宋体"/>
                <w:color w:val="000000"/>
                <w:sz w:val="24"/>
                <w:szCs w:val="24"/>
              </w:rPr>
            </w:pPr>
          </w:p>
        </w:tc>
        <w:tc>
          <w:tcPr>
            <w:tcW w:w="880" w:type="dxa"/>
            <w:vAlign w:val="center"/>
          </w:tcPr>
          <w:p w14:paraId="681570D4">
            <w:pPr>
              <w:pStyle w:val="11"/>
              <w:keepNext/>
              <w:spacing w:after="0" w:line="360" w:lineRule="auto"/>
              <w:ind w:left="66" w:right="66"/>
              <w:rPr>
                <w:rFonts w:ascii="宋体" w:hAnsi="宋体" w:cs="宋体"/>
                <w:color w:val="000000"/>
                <w:sz w:val="24"/>
                <w:szCs w:val="24"/>
              </w:rPr>
            </w:pPr>
          </w:p>
        </w:tc>
        <w:tc>
          <w:tcPr>
            <w:tcW w:w="1020" w:type="dxa"/>
            <w:vAlign w:val="center"/>
          </w:tcPr>
          <w:p w14:paraId="78C31D69">
            <w:pPr>
              <w:pStyle w:val="11"/>
              <w:keepNext/>
              <w:spacing w:after="0" w:line="360" w:lineRule="auto"/>
              <w:ind w:left="66" w:right="66"/>
              <w:rPr>
                <w:rFonts w:ascii="宋体" w:hAnsi="宋体" w:cs="宋体"/>
                <w:color w:val="000000"/>
                <w:sz w:val="24"/>
                <w:szCs w:val="24"/>
              </w:rPr>
            </w:pPr>
          </w:p>
        </w:tc>
        <w:tc>
          <w:tcPr>
            <w:tcW w:w="1480" w:type="dxa"/>
            <w:vAlign w:val="center"/>
          </w:tcPr>
          <w:p w14:paraId="3948E0D2">
            <w:pPr>
              <w:pStyle w:val="11"/>
              <w:keepNext/>
              <w:spacing w:after="0" w:line="360" w:lineRule="auto"/>
              <w:ind w:left="66" w:right="66"/>
              <w:rPr>
                <w:rFonts w:ascii="宋体" w:hAnsi="宋体" w:cs="宋体"/>
                <w:color w:val="000000"/>
                <w:sz w:val="24"/>
                <w:szCs w:val="24"/>
              </w:rPr>
            </w:pPr>
          </w:p>
        </w:tc>
        <w:tc>
          <w:tcPr>
            <w:tcW w:w="1020" w:type="dxa"/>
            <w:vAlign w:val="center"/>
          </w:tcPr>
          <w:p w14:paraId="02DBC53A">
            <w:pPr>
              <w:pStyle w:val="11"/>
              <w:keepNext/>
              <w:spacing w:after="0" w:line="360" w:lineRule="auto"/>
              <w:ind w:left="66" w:right="66"/>
              <w:rPr>
                <w:rFonts w:ascii="宋体" w:hAnsi="宋体" w:cs="宋体"/>
                <w:color w:val="000000"/>
                <w:sz w:val="24"/>
                <w:szCs w:val="24"/>
              </w:rPr>
            </w:pPr>
          </w:p>
        </w:tc>
        <w:tc>
          <w:tcPr>
            <w:tcW w:w="921" w:type="dxa"/>
            <w:vAlign w:val="center"/>
          </w:tcPr>
          <w:p w14:paraId="080B315D">
            <w:pPr>
              <w:pStyle w:val="11"/>
              <w:keepNext/>
              <w:spacing w:after="0" w:line="360" w:lineRule="auto"/>
              <w:ind w:left="66" w:right="66"/>
              <w:rPr>
                <w:rFonts w:ascii="宋体" w:hAnsi="宋体" w:cs="宋体"/>
                <w:color w:val="000000"/>
                <w:sz w:val="24"/>
                <w:szCs w:val="24"/>
              </w:rPr>
            </w:pPr>
          </w:p>
        </w:tc>
      </w:tr>
      <w:tr w14:paraId="6C4DB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C80D0FC">
            <w:pPr>
              <w:spacing w:line="360" w:lineRule="auto"/>
              <w:rPr>
                <w:rFonts w:ascii="宋体" w:hAnsi="宋体" w:cs="宋体"/>
                <w:color w:val="000000"/>
                <w:sz w:val="24"/>
                <w:szCs w:val="24"/>
              </w:rPr>
            </w:pPr>
          </w:p>
        </w:tc>
        <w:tc>
          <w:tcPr>
            <w:tcW w:w="1418" w:type="dxa"/>
          </w:tcPr>
          <w:p w14:paraId="7C78A499">
            <w:pPr>
              <w:spacing w:line="360" w:lineRule="auto"/>
              <w:rPr>
                <w:rFonts w:ascii="宋体" w:hAnsi="宋体" w:cs="宋体"/>
                <w:color w:val="000000"/>
                <w:sz w:val="24"/>
                <w:szCs w:val="24"/>
              </w:rPr>
            </w:pPr>
          </w:p>
        </w:tc>
        <w:tc>
          <w:tcPr>
            <w:tcW w:w="850" w:type="dxa"/>
          </w:tcPr>
          <w:p w14:paraId="6A359DCF">
            <w:pPr>
              <w:spacing w:line="360" w:lineRule="auto"/>
              <w:rPr>
                <w:rFonts w:ascii="宋体" w:hAnsi="宋体" w:cs="宋体"/>
                <w:color w:val="000000"/>
                <w:sz w:val="24"/>
                <w:szCs w:val="24"/>
              </w:rPr>
            </w:pPr>
          </w:p>
        </w:tc>
        <w:tc>
          <w:tcPr>
            <w:tcW w:w="1058" w:type="dxa"/>
          </w:tcPr>
          <w:p w14:paraId="40872797">
            <w:pPr>
              <w:spacing w:line="360" w:lineRule="auto"/>
              <w:rPr>
                <w:rFonts w:ascii="宋体" w:hAnsi="宋体" w:cs="宋体"/>
                <w:color w:val="000000"/>
                <w:sz w:val="24"/>
                <w:szCs w:val="24"/>
              </w:rPr>
            </w:pPr>
          </w:p>
        </w:tc>
        <w:tc>
          <w:tcPr>
            <w:tcW w:w="880" w:type="dxa"/>
          </w:tcPr>
          <w:p w14:paraId="1A4DE3D5">
            <w:pPr>
              <w:spacing w:line="360" w:lineRule="auto"/>
              <w:rPr>
                <w:rFonts w:ascii="宋体" w:hAnsi="宋体" w:cs="宋体"/>
                <w:color w:val="000000"/>
                <w:sz w:val="24"/>
                <w:szCs w:val="24"/>
              </w:rPr>
            </w:pPr>
          </w:p>
        </w:tc>
        <w:tc>
          <w:tcPr>
            <w:tcW w:w="1020" w:type="dxa"/>
          </w:tcPr>
          <w:p w14:paraId="73B6385C">
            <w:pPr>
              <w:spacing w:line="360" w:lineRule="auto"/>
              <w:rPr>
                <w:rFonts w:ascii="宋体" w:hAnsi="宋体" w:cs="宋体"/>
                <w:color w:val="000000"/>
                <w:sz w:val="24"/>
                <w:szCs w:val="24"/>
              </w:rPr>
            </w:pPr>
          </w:p>
        </w:tc>
        <w:tc>
          <w:tcPr>
            <w:tcW w:w="1480" w:type="dxa"/>
          </w:tcPr>
          <w:p w14:paraId="49983866">
            <w:pPr>
              <w:spacing w:line="360" w:lineRule="auto"/>
              <w:rPr>
                <w:rFonts w:ascii="宋体" w:hAnsi="宋体" w:cs="宋体"/>
                <w:color w:val="000000"/>
                <w:sz w:val="24"/>
                <w:szCs w:val="24"/>
              </w:rPr>
            </w:pPr>
          </w:p>
        </w:tc>
        <w:tc>
          <w:tcPr>
            <w:tcW w:w="1020" w:type="dxa"/>
          </w:tcPr>
          <w:p w14:paraId="52A2D41D">
            <w:pPr>
              <w:spacing w:line="360" w:lineRule="auto"/>
              <w:rPr>
                <w:rFonts w:ascii="宋体" w:hAnsi="宋体" w:cs="宋体"/>
                <w:color w:val="000000"/>
                <w:sz w:val="24"/>
                <w:szCs w:val="24"/>
              </w:rPr>
            </w:pPr>
          </w:p>
        </w:tc>
        <w:tc>
          <w:tcPr>
            <w:tcW w:w="921" w:type="dxa"/>
          </w:tcPr>
          <w:p w14:paraId="3AD2515E">
            <w:pPr>
              <w:spacing w:line="360" w:lineRule="auto"/>
              <w:rPr>
                <w:rFonts w:ascii="宋体" w:hAnsi="宋体" w:cs="宋体"/>
                <w:color w:val="000000"/>
                <w:sz w:val="24"/>
                <w:szCs w:val="24"/>
              </w:rPr>
            </w:pPr>
          </w:p>
        </w:tc>
      </w:tr>
      <w:tr w14:paraId="5A61DD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30963D9">
            <w:pPr>
              <w:spacing w:line="360" w:lineRule="auto"/>
              <w:rPr>
                <w:rFonts w:ascii="宋体" w:hAnsi="宋体" w:cs="宋体"/>
                <w:color w:val="000000"/>
                <w:sz w:val="24"/>
                <w:szCs w:val="24"/>
              </w:rPr>
            </w:pPr>
          </w:p>
        </w:tc>
        <w:tc>
          <w:tcPr>
            <w:tcW w:w="1418" w:type="dxa"/>
          </w:tcPr>
          <w:p w14:paraId="39B912F3">
            <w:pPr>
              <w:spacing w:line="360" w:lineRule="auto"/>
              <w:rPr>
                <w:rFonts w:ascii="宋体" w:hAnsi="宋体" w:cs="宋体"/>
                <w:color w:val="000000"/>
                <w:sz w:val="24"/>
                <w:szCs w:val="24"/>
              </w:rPr>
            </w:pPr>
          </w:p>
        </w:tc>
        <w:tc>
          <w:tcPr>
            <w:tcW w:w="850" w:type="dxa"/>
          </w:tcPr>
          <w:p w14:paraId="4DD4CC59">
            <w:pPr>
              <w:spacing w:line="360" w:lineRule="auto"/>
              <w:rPr>
                <w:rFonts w:ascii="宋体" w:hAnsi="宋体" w:cs="宋体"/>
                <w:color w:val="000000"/>
                <w:sz w:val="24"/>
                <w:szCs w:val="24"/>
              </w:rPr>
            </w:pPr>
          </w:p>
        </w:tc>
        <w:tc>
          <w:tcPr>
            <w:tcW w:w="1058" w:type="dxa"/>
          </w:tcPr>
          <w:p w14:paraId="4E755196">
            <w:pPr>
              <w:spacing w:line="360" w:lineRule="auto"/>
              <w:rPr>
                <w:rFonts w:ascii="宋体" w:hAnsi="宋体" w:cs="宋体"/>
                <w:color w:val="000000"/>
                <w:sz w:val="24"/>
                <w:szCs w:val="24"/>
              </w:rPr>
            </w:pPr>
          </w:p>
        </w:tc>
        <w:tc>
          <w:tcPr>
            <w:tcW w:w="880" w:type="dxa"/>
          </w:tcPr>
          <w:p w14:paraId="1F91030C">
            <w:pPr>
              <w:spacing w:line="360" w:lineRule="auto"/>
              <w:rPr>
                <w:rFonts w:ascii="宋体" w:hAnsi="宋体" w:cs="宋体"/>
                <w:color w:val="000000"/>
                <w:sz w:val="24"/>
                <w:szCs w:val="24"/>
              </w:rPr>
            </w:pPr>
          </w:p>
        </w:tc>
        <w:tc>
          <w:tcPr>
            <w:tcW w:w="1020" w:type="dxa"/>
          </w:tcPr>
          <w:p w14:paraId="52293F4C">
            <w:pPr>
              <w:spacing w:line="360" w:lineRule="auto"/>
              <w:rPr>
                <w:rFonts w:ascii="宋体" w:hAnsi="宋体" w:cs="宋体"/>
                <w:color w:val="000000"/>
                <w:sz w:val="24"/>
                <w:szCs w:val="24"/>
              </w:rPr>
            </w:pPr>
          </w:p>
        </w:tc>
        <w:tc>
          <w:tcPr>
            <w:tcW w:w="1480" w:type="dxa"/>
          </w:tcPr>
          <w:p w14:paraId="1AC53A27">
            <w:pPr>
              <w:spacing w:line="360" w:lineRule="auto"/>
              <w:rPr>
                <w:rFonts w:ascii="宋体" w:hAnsi="宋体" w:cs="宋体"/>
                <w:color w:val="000000"/>
                <w:sz w:val="24"/>
                <w:szCs w:val="24"/>
              </w:rPr>
            </w:pPr>
          </w:p>
        </w:tc>
        <w:tc>
          <w:tcPr>
            <w:tcW w:w="1020" w:type="dxa"/>
          </w:tcPr>
          <w:p w14:paraId="5F2C4114">
            <w:pPr>
              <w:spacing w:line="360" w:lineRule="auto"/>
              <w:rPr>
                <w:rFonts w:ascii="宋体" w:hAnsi="宋体" w:cs="宋体"/>
                <w:color w:val="000000"/>
                <w:sz w:val="24"/>
                <w:szCs w:val="24"/>
              </w:rPr>
            </w:pPr>
          </w:p>
        </w:tc>
        <w:tc>
          <w:tcPr>
            <w:tcW w:w="921" w:type="dxa"/>
          </w:tcPr>
          <w:p w14:paraId="71B4791C">
            <w:pPr>
              <w:spacing w:line="360" w:lineRule="auto"/>
              <w:rPr>
                <w:rFonts w:ascii="宋体" w:hAnsi="宋体" w:cs="宋体"/>
                <w:color w:val="000000"/>
                <w:sz w:val="24"/>
                <w:szCs w:val="24"/>
              </w:rPr>
            </w:pPr>
          </w:p>
        </w:tc>
      </w:tr>
      <w:tr w14:paraId="69C98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F756D90">
            <w:pPr>
              <w:spacing w:line="360" w:lineRule="auto"/>
              <w:rPr>
                <w:rFonts w:ascii="宋体" w:hAnsi="宋体" w:cs="宋体"/>
                <w:color w:val="000000"/>
                <w:sz w:val="24"/>
                <w:szCs w:val="24"/>
              </w:rPr>
            </w:pPr>
          </w:p>
        </w:tc>
        <w:tc>
          <w:tcPr>
            <w:tcW w:w="1418" w:type="dxa"/>
          </w:tcPr>
          <w:p w14:paraId="3D8F31D5">
            <w:pPr>
              <w:spacing w:line="360" w:lineRule="auto"/>
              <w:rPr>
                <w:rFonts w:ascii="宋体" w:hAnsi="宋体" w:cs="宋体"/>
                <w:color w:val="000000"/>
                <w:sz w:val="24"/>
                <w:szCs w:val="24"/>
              </w:rPr>
            </w:pPr>
          </w:p>
        </w:tc>
        <w:tc>
          <w:tcPr>
            <w:tcW w:w="850" w:type="dxa"/>
          </w:tcPr>
          <w:p w14:paraId="74E5C0C8">
            <w:pPr>
              <w:spacing w:line="360" w:lineRule="auto"/>
              <w:rPr>
                <w:rFonts w:ascii="宋体" w:hAnsi="宋体" w:cs="宋体"/>
                <w:color w:val="000000"/>
                <w:sz w:val="24"/>
                <w:szCs w:val="24"/>
              </w:rPr>
            </w:pPr>
          </w:p>
        </w:tc>
        <w:tc>
          <w:tcPr>
            <w:tcW w:w="1058" w:type="dxa"/>
          </w:tcPr>
          <w:p w14:paraId="76FF5066">
            <w:pPr>
              <w:spacing w:line="360" w:lineRule="auto"/>
              <w:rPr>
                <w:rFonts w:ascii="宋体" w:hAnsi="宋体" w:cs="宋体"/>
                <w:color w:val="000000"/>
                <w:sz w:val="24"/>
                <w:szCs w:val="24"/>
              </w:rPr>
            </w:pPr>
          </w:p>
        </w:tc>
        <w:tc>
          <w:tcPr>
            <w:tcW w:w="880" w:type="dxa"/>
          </w:tcPr>
          <w:p w14:paraId="3A91243A">
            <w:pPr>
              <w:spacing w:line="360" w:lineRule="auto"/>
              <w:rPr>
                <w:rFonts w:ascii="宋体" w:hAnsi="宋体" w:cs="宋体"/>
                <w:color w:val="000000"/>
                <w:sz w:val="24"/>
                <w:szCs w:val="24"/>
              </w:rPr>
            </w:pPr>
          </w:p>
        </w:tc>
        <w:tc>
          <w:tcPr>
            <w:tcW w:w="1020" w:type="dxa"/>
          </w:tcPr>
          <w:p w14:paraId="6C64F241">
            <w:pPr>
              <w:spacing w:line="360" w:lineRule="auto"/>
              <w:rPr>
                <w:rFonts w:ascii="宋体" w:hAnsi="宋体" w:cs="宋体"/>
                <w:color w:val="000000"/>
                <w:sz w:val="24"/>
                <w:szCs w:val="24"/>
              </w:rPr>
            </w:pPr>
          </w:p>
        </w:tc>
        <w:tc>
          <w:tcPr>
            <w:tcW w:w="1480" w:type="dxa"/>
          </w:tcPr>
          <w:p w14:paraId="694FD26E">
            <w:pPr>
              <w:spacing w:line="360" w:lineRule="auto"/>
              <w:rPr>
                <w:rFonts w:ascii="宋体" w:hAnsi="宋体" w:cs="宋体"/>
                <w:color w:val="000000"/>
                <w:sz w:val="24"/>
                <w:szCs w:val="24"/>
              </w:rPr>
            </w:pPr>
          </w:p>
        </w:tc>
        <w:tc>
          <w:tcPr>
            <w:tcW w:w="1020" w:type="dxa"/>
          </w:tcPr>
          <w:p w14:paraId="2FB2ED3C">
            <w:pPr>
              <w:spacing w:line="360" w:lineRule="auto"/>
              <w:rPr>
                <w:rFonts w:ascii="宋体" w:hAnsi="宋体" w:cs="宋体"/>
                <w:color w:val="000000"/>
                <w:sz w:val="24"/>
                <w:szCs w:val="24"/>
              </w:rPr>
            </w:pPr>
          </w:p>
        </w:tc>
        <w:tc>
          <w:tcPr>
            <w:tcW w:w="921" w:type="dxa"/>
          </w:tcPr>
          <w:p w14:paraId="437842AB">
            <w:pPr>
              <w:spacing w:line="360" w:lineRule="auto"/>
              <w:rPr>
                <w:rFonts w:ascii="宋体" w:hAnsi="宋体" w:cs="宋体"/>
                <w:color w:val="000000"/>
                <w:sz w:val="24"/>
                <w:szCs w:val="24"/>
              </w:rPr>
            </w:pPr>
          </w:p>
        </w:tc>
      </w:tr>
      <w:tr w14:paraId="18FBB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2A48944">
            <w:pPr>
              <w:spacing w:line="360" w:lineRule="auto"/>
              <w:rPr>
                <w:rFonts w:ascii="宋体" w:hAnsi="宋体" w:cs="宋体"/>
                <w:color w:val="000000"/>
                <w:sz w:val="24"/>
                <w:szCs w:val="24"/>
              </w:rPr>
            </w:pPr>
          </w:p>
        </w:tc>
        <w:tc>
          <w:tcPr>
            <w:tcW w:w="1418" w:type="dxa"/>
          </w:tcPr>
          <w:p w14:paraId="1FE1DFA5">
            <w:pPr>
              <w:spacing w:line="360" w:lineRule="auto"/>
              <w:rPr>
                <w:rFonts w:ascii="宋体" w:hAnsi="宋体" w:cs="宋体"/>
                <w:color w:val="000000"/>
                <w:sz w:val="24"/>
                <w:szCs w:val="24"/>
              </w:rPr>
            </w:pPr>
          </w:p>
        </w:tc>
        <w:tc>
          <w:tcPr>
            <w:tcW w:w="850" w:type="dxa"/>
          </w:tcPr>
          <w:p w14:paraId="6C73C87D">
            <w:pPr>
              <w:spacing w:line="360" w:lineRule="auto"/>
              <w:rPr>
                <w:rFonts w:ascii="宋体" w:hAnsi="宋体" w:cs="宋体"/>
                <w:color w:val="000000"/>
                <w:sz w:val="24"/>
                <w:szCs w:val="24"/>
              </w:rPr>
            </w:pPr>
          </w:p>
        </w:tc>
        <w:tc>
          <w:tcPr>
            <w:tcW w:w="1058" w:type="dxa"/>
          </w:tcPr>
          <w:p w14:paraId="0488D76B">
            <w:pPr>
              <w:spacing w:line="360" w:lineRule="auto"/>
              <w:rPr>
                <w:rFonts w:ascii="宋体" w:hAnsi="宋体" w:cs="宋体"/>
                <w:color w:val="000000"/>
                <w:sz w:val="24"/>
                <w:szCs w:val="24"/>
              </w:rPr>
            </w:pPr>
          </w:p>
        </w:tc>
        <w:tc>
          <w:tcPr>
            <w:tcW w:w="880" w:type="dxa"/>
          </w:tcPr>
          <w:p w14:paraId="20C448E3">
            <w:pPr>
              <w:spacing w:line="360" w:lineRule="auto"/>
              <w:rPr>
                <w:rFonts w:ascii="宋体" w:hAnsi="宋体" w:cs="宋体"/>
                <w:color w:val="000000"/>
                <w:sz w:val="24"/>
                <w:szCs w:val="24"/>
              </w:rPr>
            </w:pPr>
          </w:p>
        </w:tc>
        <w:tc>
          <w:tcPr>
            <w:tcW w:w="1020" w:type="dxa"/>
          </w:tcPr>
          <w:p w14:paraId="139D4F6D">
            <w:pPr>
              <w:spacing w:line="360" w:lineRule="auto"/>
              <w:rPr>
                <w:rFonts w:ascii="宋体" w:hAnsi="宋体" w:cs="宋体"/>
                <w:color w:val="000000"/>
                <w:sz w:val="24"/>
                <w:szCs w:val="24"/>
              </w:rPr>
            </w:pPr>
          </w:p>
        </w:tc>
        <w:tc>
          <w:tcPr>
            <w:tcW w:w="1480" w:type="dxa"/>
          </w:tcPr>
          <w:p w14:paraId="53A46A2F">
            <w:pPr>
              <w:spacing w:line="360" w:lineRule="auto"/>
              <w:rPr>
                <w:rFonts w:ascii="宋体" w:hAnsi="宋体" w:cs="宋体"/>
                <w:color w:val="000000"/>
                <w:sz w:val="24"/>
                <w:szCs w:val="24"/>
              </w:rPr>
            </w:pPr>
          </w:p>
        </w:tc>
        <w:tc>
          <w:tcPr>
            <w:tcW w:w="1020" w:type="dxa"/>
          </w:tcPr>
          <w:p w14:paraId="743F41F5">
            <w:pPr>
              <w:spacing w:line="360" w:lineRule="auto"/>
              <w:rPr>
                <w:rFonts w:ascii="宋体" w:hAnsi="宋体" w:cs="宋体"/>
                <w:color w:val="000000"/>
                <w:sz w:val="24"/>
                <w:szCs w:val="24"/>
              </w:rPr>
            </w:pPr>
          </w:p>
        </w:tc>
        <w:tc>
          <w:tcPr>
            <w:tcW w:w="921" w:type="dxa"/>
          </w:tcPr>
          <w:p w14:paraId="09F41EA6">
            <w:pPr>
              <w:spacing w:line="360" w:lineRule="auto"/>
              <w:rPr>
                <w:rFonts w:ascii="宋体" w:hAnsi="宋体" w:cs="宋体"/>
                <w:color w:val="000000"/>
                <w:sz w:val="24"/>
                <w:szCs w:val="24"/>
              </w:rPr>
            </w:pPr>
          </w:p>
        </w:tc>
      </w:tr>
      <w:tr w14:paraId="693B7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B07E8A1">
            <w:pPr>
              <w:spacing w:line="360" w:lineRule="auto"/>
              <w:rPr>
                <w:rFonts w:ascii="宋体" w:hAnsi="宋体" w:cs="宋体"/>
                <w:color w:val="000000"/>
                <w:sz w:val="24"/>
                <w:szCs w:val="24"/>
              </w:rPr>
            </w:pPr>
          </w:p>
        </w:tc>
        <w:tc>
          <w:tcPr>
            <w:tcW w:w="1418" w:type="dxa"/>
          </w:tcPr>
          <w:p w14:paraId="498062B7">
            <w:pPr>
              <w:spacing w:line="360" w:lineRule="auto"/>
              <w:rPr>
                <w:rFonts w:ascii="宋体" w:hAnsi="宋体" w:cs="宋体"/>
                <w:color w:val="000000"/>
                <w:sz w:val="24"/>
                <w:szCs w:val="24"/>
              </w:rPr>
            </w:pPr>
          </w:p>
        </w:tc>
        <w:tc>
          <w:tcPr>
            <w:tcW w:w="850" w:type="dxa"/>
          </w:tcPr>
          <w:p w14:paraId="197DAE5C">
            <w:pPr>
              <w:spacing w:line="360" w:lineRule="auto"/>
              <w:rPr>
                <w:rFonts w:ascii="宋体" w:hAnsi="宋体" w:cs="宋体"/>
                <w:color w:val="000000"/>
                <w:sz w:val="24"/>
                <w:szCs w:val="24"/>
              </w:rPr>
            </w:pPr>
          </w:p>
        </w:tc>
        <w:tc>
          <w:tcPr>
            <w:tcW w:w="1058" w:type="dxa"/>
          </w:tcPr>
          <w:p w14:paraId="50C39DDC">
            <w:pPr>
              <w:spacing w:line="360" w:lineRule="auto"/>
              <w:rPr>
                <w:rFonts w:ascii="宋体" w:hAnsi="宋体" w:cs="宋体"/>
                <w:color w:val="000000"/>
                <w:sz w:val="24"/>
                <w:szCs w:val="24"/>
              </w:rPr>
            </w:pPr>
          </w:p>
        </w:tc>
        <w:tc>
          <w:tcPr>
            <w:tcW w:w="880" w:type="dxa"/>
          </w:tcPr>
          <w:p w14:paraId="6FF3847B">
            <w:pPr>
              <w:spacing w:line="360" w:lineRule="auto"/>
              <w:rPr>
                <w:rFonts w:ascii="宋体" w:hAnsi="宋体" w:cs="宋体"/>
                <w:color w:val="000000"/>
                <w:sz w:val="24"/>
                <w:szCs w:val="24"/>
              </w:rPr>
            </w:pPr>
          </w:p>
        </w:tc>
        <w:tc>
          <w:tcPr>
            <w:tcW w:w="1020" w:type="dxa"/>
          </w:tcPr>
          <w:p w14:paraId="1FAB0D75">
            <w:pPr>
              <w:spacing w:line="360" w:lineRule="auto"/>
              <w:rPr>
                <w:rFonts w:ascii="宋体" w:hAnsi="宋体" w:cs="宋体"/>
                <w:color w:val="000000"/>
                <w:sz w:val="24"/>
                <w:szCs w:val="24"/>
              </w:rPr>
            </w:pPr>
          </w:p>
        </w:tc>
        <w:tc>
          <w:tcPr>
            <w:tcW w:w="1480" w:type="dxa"/>
          </w:tcPr>
          <w:p w14:paraId="7DE31A1B">
            <w:pPr>
              <w:spacing w:line="360" w:lineRule="auto"/>
              <w:rPr>
                <w:rFonts w:ascii="宋体" w:hAnsi="宋体" w:cs="宋体"/>
                <w:color w:val="000000"/>
                <w:sz w:val="24"/>
                <w:szCs w:val="24"/>
              </w:rPr>
            </w:pPr>
          </w:p>
        </w:tc>
        <w:tc>
          <w:tcPr>
            <w:tcW w:w="1020" w:type="dxa"/>
          </w:tcPr>
          <w:p w14:paraId="2086EF8A">
            <w:pPr>
              <w:spacing w:line="360" w:lineRule="auto"/>
              <w:rPr>
                <w:rFonts w:ascii="宋体" w:hAnsi="宋体" w:cs="宋体"/>
                <w:color w:val="000000"/>
                <w:sz w:val="24"/>
                <w:szCs w:val="24"/>
              </w:rPr>
            </w:pPr>
          </w:p>
        </w:tc>
        <w:tc>
          <w:tcPr>
            <w:tcW w:w="921" w:type="dxa"/>
          </w:tcPr>
          <w:p w14:paraId="35E6BA04">
            <w:pPr>
              <w:spacing w:line="360" w:lineRule="auto"/>
              <w:rPr>
                <w:rFonts w:ascii="宋体" w:hAnsi="宋体" w:cs="宋体"/>
                <w:color w:val="000000"/>
                <w:sz w:val="24"/>
                <w:szCs w:val="24"/>
              </w:rPr>
            </w:pPr>
          </w:p>
        </w:tc>
      </w:tr>
      <w:tr w14:paraId="140B73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71AF318">
            <w:pPr>
              <w:spacing w:line="360" w:lineRule="auto"/>
              <w:rPr>
                <w:rFonts w:ascii="宋体" w:hAnsi="宋体" w:cs="宋体"/>
                <w:color w:val="000000"/>
                <w:sz w:val="24"/>
                <w:szCs w:val="24"/>
              </w:rPr>
            </w:pPr>
          </w:p>
        </w:tc>
        <w:tc>
          <w:tcPr>
            <w:tcW w:w="1418" w:type="dxa"/>
          </w:tcPr>
          <w:p w14:paraId="1E0A092A">
            <w:pPr>
              <w:spacing w:line="360" w:lineRule="auto"/>
              <w:rPr>
                <w:rFonts w:ascii="宋体" w:hAnsi="宋体" w:cs="宋体"/>
                <w:color w:val="000000"/>
                <w:sz w:val="24"/>
                <w:szCs w:val="24"/>
              </w:rPr>
            </w:pPr>
          </w:p>
        </w:tc>
        <w:tc>
          <w:tcPr>
            <w:tcW w:w="850" w:type="dxa"/>
          </w:tcPr>
          <w:p w14:paraId="0212F4C8">
            <w:pPr>
              <w:spacing w:line="360" w:lineRule="auto"/>
              <w:rPr>
                <w:rFonts w:ascii="宋体" w:hAnsi="宋体" w:cs="宋体"/>
                <w:color w:val="000000"/>
                <w:sz w:val="24"/>
                <w:szCs w:val="24"/>
              </w:rPr>
            </w:pPr>
          </w:p>
        </w:tc>
        <w:tc>
          <w:tcPr>
            <w:tcW w:w="1058" w:type="dxa"/>
          </w:tcPr>
          <w:p w14:paraId="7B6DE43B">
            <w:pPr>
              <w:spacing w:line="360" w:lineRule="auto"/>
              <w:rPr>
                <w:rFonts w:ascii="宋体" w:hAnsi="宋体" w:cs="宋体"/>
                <w:color w:val="000000"/>
                <w:sz w:val="24"/>
                <w:szCs w:val="24"/>
              </w:rPr>
            </w:pPr>
          </w:p>
        </w:tc>
        <w:tc>
          <w:tcPr>
            <w:tcW w:w="880" w:type="dxa"/>
          </w:tcPr>
          <w:p w14:paraId="285DEA2A">
            <w:pPr>
              <w:spacing w:line="360" w:lineRule="auto"/>
              <w:rPr>
                <w:rFonts w:ascii="宋体" w:hAnsi="宋体" w:cs="宋体"/>
                <w:color w:val="000000"/>
                <w:sz w:val="24"/>
                <w:szCs w:val="24"/>
              </w:rPr>
            </w:pPr>
          </w:p>
        </w:tc>
        <w:tc>
          <w:tcPr>
            <w:tcW w:w="1020" w:type="dxa"/>
          </w:tcPr>
          <w:p w14:paraId="091C9855">
            <w:pPr>
              <w:spacing w:line="360" w:lineRule="auto"/>
              <w:rPr>
                <w:rFonts w:ascii="宋体" w:hAnsi="宋体" w:cs="宋体"/>
                <w:color w:val="000000"/>
                <w:sz w:val="24"/>
                <w:szCs w:val="24"/>
              </w:rPr>
            </w:pPr>
          </w:p>
        </w:tc>
        <w:tc>
          <w:tcPr>
            <w:tcW w:w="1480" w:type="dxa"/>
          </w:tcPr>
          <w:p w14:paraId="7E327579">
            <w:pPr>
              <w:spacing w:line="360" w:lineRule="auto"/>
              <w:rPr>
                <w:rFonts w:ascii="宋体" w:hAnsi="宋体" w:cs="宋体"/>
                <w:color w:val="000000"/>
                <w:sz w:val="24"/>
                <w:szCs w:val="24"/>
              </w:rPr>
            </w:pPr>
          </w:p>
        </w:tc>
        <w:tc>
          <w:tcPr>
            <w:tcW w:w="1020" w:type="dxa"/>
          </w:tcPr>
          <w:p w14:paraId="7112826A">
            <w:pPr>
              <w:spacing w:line="360" w:lineRule="auto"/>
              <w:rPr>
                <w:rFonts w:ascii="宋体" w:hAnsi="宋体" w:cs="宋体"/>
                <w:color w:val="000000"/>
                <w:sz w:val="24"/>
                <w:szCs w:val="24"/>
              </w:rPr>
            </w:pPr>
          </w:p>
        </w:tc>
        <w:tc>
          <w:tcPr>
            <w:tcW w:w="921" w:type="dxa"/>
          </w:tcPr>
          <w:p w14:paraId="4CA060E9">
            <w:pPr>
              <w:spacing w:line="360" w:lineRule="auto"/>
              <w:rPr>
                <w:rFonts w:ascii="宋体" w:hAnsi="宋体" w:cs="宋体"/>
                <w:color w:val="000000"/>
                <w:sz w:val="24"/>
                <w:szCs w:val="24"/>
              </w:rPr>
            </w:pPr>
          </w:p>
        </w:tc>
      </w:tr>
      <w:tr w14:paraId="3499D6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A06E83E">
            <w:pPr>
              <w:spacing w:line="360" w:lineRule="auto"/>
              <w:rPr>
                <w:rFonts w:ascii="宋体" w:hAnsi="宋体" w:cs="宋体"/>
                <w:color w:val="000000"/>
                <w:sz w:val="24"/>
                <w:szCs w:val="24"/>
              </w:rPr>
            </w:pPr>
          </w:p>
        </w:tc>
        <w:tc>
          <w:tcPr>
            <w:tcW w:w="1418" w:type="dxa"/>
          </w:tcPr>
          <w:p w14:paraId="2B526109">
            <w:pPr>
              <w:spacing w:line="360" w:lineRule="auto"/>
              <w:rPr>
                <w:rFonts w:ascii="宋体" w:hAnsi="宋体" w:cs="宋体"/>
                <w:color w:val="000000"/>
                <w:sz w:val="24"/>
                <w:szCs w:val="24"/>
              </w:rPr>
            </w:pPr>
          </w:p>
        </w:tc>
        <w:tc>
          <w:tcPr>
            <w:tcW w:w="850" w:type="dxa"/>
          </w:tcPr>
          <w:p w14:paraId="5E7A76E7">
            <w:pPr>
              <w:spacing w:line="360" w:lineRule="auto"/>
              <w:rPr>
                <w:rFonts w:ascii="宋体" w:hAnsi="宋体" w:cs="宋体"/>
                <w:color w:val="000000"/>
                <w:sz w:val="24"/>
                <w:szCs w:val="24"/>
              </w:rPr>
            </w:pPr>
          </w:p>
        </w:tc>
        <w:tc>
          <w:tcPr>
            <w:tcW w:w="1058" w:type="dxa"/>
          </w:tcPr>
          <w:p w14:paraId="7D4772D9">
            <w:pPr>
              <w:spacing w:line="360" w:lineRule="auto"/>
              <w:rPr>
                <w:rFonts w:ascii="宋体" w:hAnsi="宋体" w:cs="宋体"/>
                <w:color w:val="000000"/>
                <w:sz w:val="24"/>
                <w:szCs w:val="24"/>
              </w:rPr>
            </w:pPr>
          </w:p>
        </w:tc>
        <w:tc>
          <w:tcPr>
            <w:tcW w:w="880" w:type="dxa"/>
          </w:tcPr>
          <w:p w14:paraId="3E0AEE7A">
            <w:pPr>
              <w:spacing w:line="360" w:lineRule="auto"/>
              <w:rPr>
                <w:rFonts w:ascii="宋体" w:hAnsi="宋体" w:cs="宋体"/>
                <w:color w:val="000000"/>
                <w:sz w:val="24"/>
                <w:szCs w:val="24"/>
              </w:rPr>
            </w:pPr>
          </w:p>
        </w:tc>
        <w:tc>
          <w:tcPr>
            <w:tcW w:w="1020" w:type="dxa"/>
          </w:tcPr>
          <w:p w14:paraId="6C80AA3C">
            <w:pPr>
              <w:spacing w:line="360" w:lineRule="auto"/>
              <w:rPr>
                <w:rFonts w:ascii="宋体" w:hAnsi="宋体" w:cs="宋体"/>
                <w:color w:val="000000"/>
                <w:sz w:val="24"/>
                <w:szCs w:val="24"/>
              </w:rPr>
            </w:pPr>
          </w:p>
        </w:tc>
        <w:tc>
          <w:tcPr>
            <w:tcW w:w="1480" w:type="dxa"/>
          </w:tcPr>
          <w:p w14:paraId="2485CF2C">
            <w:pPr>
              <w:spacing w:line="360" w:lineRule="auto"/>
              <w:rPr>
                <w:rFonts w:ascii="宋体" w:hAnsi="宋体" w:cs="宋体"/>
                <w:color w:val="000000"/>
                <w:sz w:val="24"/>
                <w:szCs w:val="24"/>
              </w:rPr>
            </w:pPr>
          </w:p>
        </w:tc>
        <w:tc>
          <w:tcPr>
            <w:tcW w:w="1020" w:type="dxa"/>
          </w:tcPr>
          <w:p w14:paraId="6328D030">
            <w:pPr>
              <w:spacing w:line="360" w:lineRule="auto"/>
              <w:rPr>
                <w:rFonts w:ascii="宋体" w:hAnsi="宋体" w:cs="宋体"/>
                <w:color w:val="000000"/>
                <w:sz w:val="24"/>
                <w:szCs w:val="24"/>
              </w:rPr>
            </w:pPr>
          </w:p>
        </w:tc>
        <w:tc>
          <w:tcPr>
            <w:tcW w:w="921" w:type="dxa"/>
          </w:tcPr>
          <w:p w14:paraId="6805BFF3">
            <w:pPr>
              <w:spacing w:line="360" w:lineRule="auto"/>
              <w:rPr>
                <w:rFonts w:ascii="宋体" w:hAnsi="宋体" w:cs="宋体"/>
                <w:color w:val="000000"/>
                <w:sz w:val="24"/>
                <w:szCs w:val="24"/>
              </w:rPr>
            </w:pPr>
          </w:p>
        </w:tc>
      </w:tr>
      <w:tr w14:paraId="6ED7D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21CD123">
            <w:pPr>
              <w:spacing w:line="360" w:lineRule="auto"/>
              <w:rPr>
                <w:rFonts w:ascii="宋体" w:hAnsi="宋体" w:cs="宋体"/>
                <w:color w:val="000000"/>
                <w:sz w:val="24"/>
                <w:szCs w:val="24"/>
              </w:rPr>
            </w:pPr>
          </w:p>
        </w:tc>
        <w:tc>
          <w:tcPr>
            <w:tcW w:w="1418" w:type="dxa"/>
          </w:tcPr>
          <w:p w14:paraId="4E0EC4D1">
            <w:pPr>
              <w:spacing w:line="360" w:lineRule="auto"/>
              <w:rPr>
                <w:rFonts w:ascii="宋体" w:hAnsi="宋体" w:cs="宋体"/>
                <w:color w:val="000000"/>
                <w:sz w:val="24"/>
                <w:szCs w:val="24"/>
              </w:rPr>
            </w:pPr>
          </w:p>
        </w:tc>
        <w:tc>
          <w:tcPr>
            <w:tcW w:w="850" w:type="dxa"/>
          </w:tcPr>
          <w:p w14:paraId="3F081FE1">
            <w:pPr>
              <w:spacing w:line="360" w:lineRule="auto"/>
              <w:rPr>
                <w:rFonts w:ascii="宋体" w:hAnsi="宋体" w:cs="宋体"/>
                <w:color w:val="000000"/>
                <w:sz w:val="24"/>
                <w:szCs w:val="24"/>
              </w:rPr>
            </w:pPr>
          </w:p>
        </w:tc>
        <w:tc>
          <w:tcPr>
            <w:tcW w:w="1058" w:type="dxa"/>
          </w:tcPr>
          <w:p w14:paraId="51D00893">
            <w:pPr>
              <w:spacing w:line="360" w:lineRule="auto"/>
              <w:rPr>
                <w:rFonts w:ascii="宋体" w:hAnsi="宋体" w:cs="宋体"/>
                <w:color w:val="000000"/>
                <w:sz w:val="24"/>
                <w:szCs w:val="24"/>
              </w:rPr>
            </w:pPr>
          </w:p>
        </w:tc>
        <w:tc>
          <w:tcPr>
            <w:tcW w:w="880" w:type="dxa"/>
          </w:tcPr>
          <w:p w14:paraId="5D8C79C4">
            <w:pPr>
              <w:spacing w:line="360" w:lineRule="auto"/>
              <w:rPr>
                <w:rFonts w:ascii="宋体" w:hAnsi="宋体" w:cs="宋体"/>
                <w:color w:val="000000"/>
                <w:sz w:val="24"/>
                <w:szCs w:val="24"/>
              </w:rPr>
            </w:pPr>
          </w:p>
        </w:tc>
        <w:tc>
          <w:tcPr>
            <w:tcW w:w="1020" w:type="dxa"/>
          </w:tcPr>
          <w:p w14:paraId="44B08FFF">
            <w:pPr>
              <w:spacing w:line="360" w:lineRule="auto"/>
              <w:rPr>
                <w:rFonts w:ascii="宋体" w:hAnsi="宋体" w:cs="宋体"/>
                <w:color w:val="000000"/>
                <w:sz w:val="24"/>
                <w:szCs w:val="24"/>
              </w:rPr>
            </w:pPr>
          </w:p>
        </w:tc>
        <w:tc>
          <w:tcPr>
            <w:tcW w:w="1480" w:type="dxa"/>
          </w:tcPr>
          <w:p w14:paraId="64FD186A">
            <w:pPr>
              <w:spacing w:line="360" w:lineRule="auto"/>
              <w:rPr>
                <w:rFonts w:ascii="宋体" w:hAnsi="宋体" w:cs="宋体"/>
                <w:color w:val="000000"/>
                <w:sz w:val="24"/>
                <w:szCs w:val="24"/>
              </w:rPr>
            </w:pPr>
          </w:p>
        </w:tc>
        <w:tc>
          <w:tcPr>
            <w:tcW w:w="1020" w:type="dxa"/>
          </w:tcPr>
          <w:p w14:paraId="63D75E26">
            <w:pPr>
              <w:spacing w:line="360" w:lineRule="auto"/>
              <w:rPr>
                <w:rFonts w:ascii="宋体" w:hAnsi="宋体" w:cs="宋体"/>
                <w:color w:val="000000"/>
                <w:sz w:val="24"/>
                <w:szCs w:val="24"/>
              </w:rPr>
            </w:pPr>
          </w:p>
        </w:tc>
        <w:tc>
          <w:tcPr>
            <w:tcW w:w="921" w:type="dxa"/>
          </w:tcPr>
          <w:p w14:paraId="13880054">
            <w:pPr>
              <w:spacing w:line="360" w:lineRule="auto"/>
              <w:rPr>
                <w:rFonts w:ascii="宋体" w:hAnsi="宋体" w:cs="宋体"/>
                <w:color w:val="000000"/>
                <w:sz w:val="24"/>
                <w:szCs w:val="24"/>
              </w:rPr>
            </w:pPr>
          </w:p>
        </w:tc>
      </w:tr>
      <w:tr w14:paraId="0D0B0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B595E4F">
            <w:pPr>
              <w:spacing w:line="360" w:lineRule="auto"/>
              <w:rPr>
                <w:rFonts w:ascii="宋体" w:hAnsi="宋体" w:cs="宋体"/>
                <w:color w:val="000000"/>
                <w:sz w:val="24"/>
                <w:szCs w:val="24"/>
              </w:rPr>
            </w:pPr>
          </w:p>
        </w:tc>
        <w:tc>
          <w:tcPr>
            <w:tcW w:w="1418" w:type="dxa"/>
          </w:tcPr>
          <w:p w14:paraId="6B766224">
            <w:pPr>
              <w:spacing w:line="360" w:lineRule="auto"/>
              <w:rPr>
                <w:rFonts w:ascii="宋体" w:hAnsi="宋体" w:cs="宋体"/>
                <w:color w:val="000000"/>
                <w:sz w:val="24"/>
                <w:szCs w:val="24"/>
              </w:rPr>
            </w:pPr>
          </w:p>
        </w:tc>
        <w:tc>
          <w:tcPr>
            <w:tcW w:w="850" w:type="dxa"/>
          </w:tcPr>
          <w:p w14:paraId="6EFB66C3">
            <w:pPr>
              <w:spacing w:line="360" w:lineRule="auto"/>
              <w:rPr>
                <w:rFonts w:ascii="宋体" w:hAnsi="宋体" w:cs="宋体"/>
                <w:color w:val="000000"/>
                <w:sz w:val="24"/>
                <w:szCs w:val="24"/>
              </w:rPr>
            </w:pPr>
          </w:p>
        </w:tc>
        <w:tc>
          <w:tcPr>
            <w:tcW w:w="1058" w:type="dxa"/>
          </w:tcPr>
          <w:p w14:paraId="39119B25">
            <w:pPr>
              <w:spacing w:line="360" w:lineRule="auto"/>
              <w:rPr>
                <w:rFonts w:ascii="宋体" w:hAnsi="宋体" w:cs="宋体"/>
                <w:color w:val="000000"/>
                <w:sz w:val="24"/>
                <w:szCs w:val="24"/>
              </w:rPr>
            </w:pPr>
          </w:p>
        </w:tc>
        <w:tc>
          <w:tcPr>
            <w:tcW w:w="880" w:type="dxa"/>
          </w:tcPr>
          <w:p w14:paraId="6B8090BF">
            <w:pPr>
              <w:spacing w:line="360" w:lineRule="auto"/>
              <w:rPr>
                <w:rFonts w:ascii="宋体" w:hAnsi="宋体" w:cs="宋体"/>
                <w:color w:val="000000"/>
                <w:sz w:val="24"/>
                <w:szCs w:val="24"/>
              </w:rPr>
            </w:pPr>
          </w:p>
        </w:tc>
        <w:tc>
          <w:tcPr>
            <w:tcW w:w="1020" w:type="dxa"/>
          </w:tcPr>
          <w:p w14:paraId="10D5A24C">
            <w:pPr>
              <w:spacing w:line="360" w:lineRule="auto"/>
              <w:rPr>
                <w:rFonts w:ascii="宋体" w:hAnsi="宋体" w:cs="宋体"/>
                <w:color w:val="000000"/>
                <w:sz w:val="24"/>
                <w:szCs w:val="24"/>
              </w:rPr>
            </w:pPr>
          </w:p>
        </w:tc>
        <w:tc>
          <w:tcPr>
            <w:tcW w:w="1480" w:type="dxa"/>
          </w:tcPr>
          <w:p w14:paraId="54B8F981">
            <w:pPr>
              <w:spacing w:line="360" w:lineRule="auto"/>
              <w:rPr>
                <w:rFonts w:ascii="宋体" w:hAnsi="宋体" w:cs="宋体"/>
                <w:color w:val="000000"/>
                <w:sz w:val="24"/>
                <w:szCs w:val="24"/>
              </w:rPr>
            </w:pPr>
          </w:p>
        </w:tc>
        <w:tc>
          <w:tcPr>
            <w:tcW w:w="1020" w:type="dxa"/>
          </w:tcPr>
          <w:p w14:paraId="7626818E">
            <w:pPr>
              <w:spacing w:line="360" w:lineRule="auto"/>
              <w:rPr>
                <w:rFonts w:ascii="宋体" w:hAnsi="宋体" w:cs="宋体"/>
                <w:color w:val="000000"/>
                <w:sz w:val="24"/>
                <w:szCs w:val="24"/>
              </w:rPr>
            </w:pPr>
          </w:p>
        </w:tc>
        <w:tc>
          <w:tcPr>
            <w:tcW w:w="921" w:type="dxa"/>
          </w:tcPr>
          <w:p w14:paraId="379757C5">
            <w:pPr>
              <w:spacing w:line="360" w:lineRule="auto"/>
              <w:rPr>
                <w:rFonts w:ascii="宋体" w:hAnsi="宋体" w:cs="宋体"/>
                <w:color w:val="000000"/>
                <w:sz w:val="24"/>
                <w:szCs w:val="24"/>
              </w:rPr>
            </w:pPr>
          </w:p>
        </w:tc>
      </w:tr>
    </w:tbl>
    <w:p w14:paraId="4EF533A4">
      <w:pPr>
        <w:spacing w:line="360" w:lineRule="auto"/>
        <w:rPr>
          <w:rFonts w:ascii="宋体" w:hAnsi="宋体" w:cs="宋体"/>
          <w:color w:val="000000"/>
          <w:sz w:val="24"/>
          <w:szCs w:val="24"/>
        </w:rPr>
      </w:pPr>
    </w:p>
    <w:p w14:paraId="1CC70FAF">
      <w:pPr>
        <w:spacing w:line="360" w:lineRule="auto"/>
        <w:rPr>
          <w:rFonts w:ascii="宋体" w:hAnsi="宋体" w:cs="宋体"/>
          <w:color w:val="000000"/>
          <w:sz w:val="24"/>
          <w:szCs w:val="24"/>
        </w:rPr>
      </w:pPr>
    </w:p>
    <w:p w14:paraId="26FD48EB">
      <w:pPr>
        <w:spacing w:line="360" w:lineRule="auto"/>
        <w:rPr>
          <w:rFonts w:ascii="宋体" w:hAnsi="宋体" w:cs="宋体"/>
          <w:color w:val="000000"/>
          <w:sz w:val="24"/>
          <w:szCs w:val="24"/>
        </w:rPr>
      </w:pPr>
      <w:r>
        <w:rPr>
          <w:rFonts w:hint="eastAsia" w:ascii="宋体" w:hAnsi="宋体" w:cs="宋体"/>
          <w:color w:val="000000"/>
          <w:sz w:val="24"/>
          <w:szCs w:val="24"/>
        </w:rPr>
        <w:t>附</w:t>
      </w:r>
      <w:bookmarkStart w:id="1467" w:name="_Toc296503228"/>
      <w:bookmarkStart w:id="1468" w:name="_Toc296891268"/>
      <w:bookmarkStart w:id="1469" w:name="_Toc296347227"/>
      <w:bookmarkStart w:id="1470" w:name="_Toc296891056"/>
      <w:bookmarkStart w:id="1471" w:name="_Toc267261699"/>
      <w:bookmarkStart w:id="1472" w:name="_Toc296944567"/>
      <w:bookmarkStart w:id="1473" w:name="_Toc296346729"/>
      <w:r>
        <w:rPr>
          <w:rFonts w:hint="eastAsia" w:ascii="宋体" w:hAnsi="宋体" w:cs="宋体"/>
          <w:color w:val="000000"/>
          <w:sz w:val="24"/>
          <w:szCs w:val="24"/>
        </w:rPr>
        <w:t>件6：</w:t>
      </w:r>
    </w:p>
    <w:bookmarkEnd w:id="1467"/>
    <w:bookmarkEnd w:id="1468"/>
    <w:bookmarkEnd w:id="1469"/>
    <w:bookmarkEnd w:id="1470"/>
    <w:bookmarkEnd w:id="1471"/>
    <w:bookmarkEnd w:id="1472"/>
    <w:bookmarkEnd w:id="1473"/>
    <w:p w14:paraId="112C7C20">
      <w:pPr>
        <w:spacing w:line="360" w:lineRule="auto"/>
        <w:jc w:val="center"/>
        <w:rPr>
          <w:rFonts w:ascii="宋体" w:hAnsi="宋体" w:cs="宋体"/>
          <w:color w:val="000000"/>
          <w:sz w:val="24"/>
          <w:szCs w:val="24"/>
        </w:rPr>
      </w:pPr>
      <w:r>
        <w:rPr>
          <w:rFonts w:hint="eastAsia" w:ascii="宋体" w:hAnsi="宋体" w:cs="宋体"/>
          <w:color w:val="000000"/>
          <w:sz w:val="24"/>
          <w:szCs w:val="24"/>
        </w:rPr>
        <w:t>承包人主要施工管理人员表</w:t>
      </w:r>
    </w:p>
    <w:tbl>
      <w:tblPr>
        <w:tblStyle w:val="3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7E58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1871" w:type="dxa"/>
            <w:tcBorders>
              <w:top w:val="single" w:color="auto" w:sz="12" w:space="0"/>
              <w:bottom w:val="double" w:color="auto" w:sz="6" w:space="0"/>
            </w:tcBorders>
            <w:vAlign w:val="center"/>
          </w:tcPr>
          <w:p w14:paraId="769BAB3C">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名    称</w:t>
            </w:r>
          </w:p>
        </w:tc>
        <w:tc>
          <w:tcPr>
            <w:tcW w:w="1418" w:type="dxa"/>
            <w:tcBorders>
              <w:top w:val="single" w:color="auto" w:sz="12" w:space="0"/>
              <w:bottom w:val="double" w:color="auto" w:sz="6" w:space="0"/>
            </w:tcBorders>
            <w:vAlign w:val="center"/>
          </w:tcPr>
          <w:p w14:paraId="5E464143">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姓名</w:t>
            </w:r>
          </w:p>
        </w:tc>
        <w:tc>
          <w:tcPr>
            <w:tcW w:w="1134" w:type="dxa"/>
            <w:tcBorders>
              <w:top w:val="single" w:color="auto" w:sz="12" w:space="0"/>
              <w:bottom w:val="double" w:color="auto" w:sz="6" w:space="0"/>
            </w:tcBorders>
            <w:vAlign w:val="center"/>
          </w:tcPr>
          <w:p w14:paraId="3E993F5B">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职务</w:t>
            </w:r>
          </w:p>
        </w:tc>
        <w:tc>
          <w:tcPr>
            <w:tcW w:w="1134" w:type="dxa"/>
            <w:tcBorders>
              <w:top w:val="single" w:color="auto" w:sz="12" w:space="0"/>
              <w:bottom w:val="double" w:color="auto" w:sz="6" w:space="0"/>
            </w:tcBorders>
            <w:vAlign w:val="center"/>
          </w:tcPr>
          <w:p w14:paraId="3DD417C8">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职称</w:t>
            </w:r>
          </w:p>
        </w:tc>
        <w:tc>
          <w:tcPr>
            <w:tcW w:w="4252" w:type="dxa"/>
            <w:tcBorders>
              <w:top w:val="single" w:color="auto" w:sz="12" w:space="0"/>
              <w:bottom w:val="double" w:color="auto" w:sz="6" w:space="0"/>
            </w:tcBorders>
            <w:vAlign w:val="center"/>
          </w:tcPr>
          <w:p w14:paraId="2DF98AE6">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主要资历、经验及承担过的项目</w:t>
            </w:r>
          </w:p>
        </w:tc>
      </w:tr>
      <w:tr w14:paraId="3AFAC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9809" w:type="dxa"/>
            <w:gridSpan w:val="5"/>
            <w:tcBorders>
              <w:top w:val="double" w:color="auto" w:sz="6" w:space="0"/>
              <w:bottom w:val="single" w:color="auto" w:sz="6" w:space="0"/>
            </w:tcBorders>
            <w:vAlign w:val="center"/>
          </w:tcPr>
          <w:p w14:paraId="100CE2FE">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一、总部人员</w:t>
            </w:r>
          </w:p>
        </w:tc>
      </w:tr>
      <w:tr w14:paraId="0E2A8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7" w:hRule="atLeast"/>
          <w:jc w:val="center"/>
        </w:trPr>
        <w:tc>
          <w:tcPr>
            <w:tcW w:w="1871" w:type="dxa"/>
            <w:tcBorders>
              <w:top w:val="nil"/>
              <w:bottom w:val="nil"/>
            </w:tcBorders>
            <w:vAlign w:val="center"/>
          </w:tcPr>
          <w:p w14:paraId="311543F5">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项目主管</w:t>
            </w:r>
          </w:p>
        </w:tc>
        <w:tc>
          <w:tcPr>
            <w:tcW w:w="1418" w:type="dxa"/>
            <w:tcBorders>
              <w:top w:val="nil"/>
            </w:tcBorders>
            <w:vAlign w:val="center"/>
          </w:tcPr>
          <w:p w14:paraId="615596F7">
            <w:pPr>
              <w:pStyle w:val="11"/>
              <w:keepNext/>
              <w:spacing w:after="0" w:line="360" w:lineRule="auto"/>
              <w:ind w:left="66" w:right="66"/>
              <w:rPr>
                <w:rFonts w:ascii="宋体" w:hAnsi="宋体" w:cs="宋体"/>
                <w:color w:val="000000"/>
                <w:sz w:val="24"/>
                <w:szCs w:val="24"/>
              </w:rPr>
            </w:pPr>
          </w:p>
        </w:tc>
        <w:tc>
          <w:tcPr>
            <w:tcW w:w="1134" w:type="dxa"/>
            <w:tcBorders>
              <w:top w:val="nil"/>
            </w:tcBorders>
            <w:vAlign w:val="center"/>
          </w:tcPr>
          <w:p w14:paraId="4B228C3D">
            <w:pPr>
              <w:pStyle w:val="11"/>
              <w:keepNext/>
              <w:spacing w:after="0" w:line="360" w:lineRule="auto"/>
              <w:ind w:left="66" w:right="66"/>
              <w:rPr>
                <w:rFonts w:ascii="宋体" w:hAnsi="宋体" w:cs="宋体"/>
                <w:color w:val="000000"/>
                <w:sz w:val="24"/>
                <w:szCs w:val="24"/>
              </w:rPr>
            </w:pPr>
          </w:p>
        </w:tc>
        <w:tc>
          <w:tcPr>
            <w:tcW w:w="1134" w:type="dxa"/>
            <w:tcBorders>
              <w:top w:val="nil"/>
            </w:tcBorders>
            <w:vAlign w:val="center"/>
          </w:tcPr>
          <w:p w14:paraId="18332077">
            <w:pPr>
              <w:pStyle w:val="11"/>
              <w:keepNext/>
              <w:spacing w:after="0" w:line="360" w:lineRule="auto"/>
              <w:ind w:left="66" w:right="66"/>
              <w:rPr>
                <w:rFonts w:ascii="宋体" w:hAnsi="宋体" w:cs="宋体"/>
                <w:color w:val="000000"/>
                <w:sz w:val="24"/>
                <w:szCs w:val="24"/>
              </w:rPr>
            </w:pPr>
          </w:p>
        </w:tc>
        <w:tc>
          <w:tcPr>
            <w:tcW w:w="4252" w:type="dxa"/>
            <w:tcBorders>
              <w:top w:val="nil"/>
            </w:tcBorders>
            <w:vAlign w:val="center"/>
          </w:tcPr>
          <w:p w14:paraId="228E7AD1">
            <w:pPr>
              <w:pStyle w:val="11"/>
              <w:keepNext/>
              <w:spacing w:after="0" w:line="360" w:lineRule="auto"/>
              <w:ind w:left="66" w:right="66"/>
              <w:rPr>
                <w:rFonts w:ascii="宋体" w:hAnsi="宋体" w:cs="宋体"/>
                <w:color w:val="000000"/>
                <w:sz w:val="24"/>
                <w:szCs w:val="24"/>
              </w:rPr>
            </w:pPr>
          </w:p>
        </w:tc>
      </w:tr>
      <w:tr w14:paraId="6B1C7B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1871" w:type="dxa"/>
            <w:tcBorders>
              <w:top w:val="single" w:color="auto" w:sz="6" w:space="0"/>
              <w:bottom w:val="nil"/>
            </w:tcBorders>
            <w:vAlign w:val="center"/>
          </w:tcPr>
          <w:p w14:paraId="20C45B6B">
            <w:pPr>
              <w:pStyle w:val="11"/>
              <w:keepNext/>
              <w:spacing w:after="0" w:line="360" w:lineRule="auto"/>
              <w:ind w:left="66" w:right="66"/>
              <w:rPr>
                <w:rFonts w:ascii="宋体" w:hAnsi="宋体" w:cs="宋体"/>
                <w:color w:val="000000"/>
                <w:sz w:val="24"/>
                <w:szCs w:val="24"/>
              </w:rPr>
            </w:pPr>
          </w:p>
        </w:tc>
        <w:tc>
          <w:tcPr>
            <w:tcW w:w="1418" w:type="dxa"/>
            <w:vAlign w:val="center"/>
          </w:tcPr>
          <w:p w14:paraId="37998129">
            <w:pPr>
              <w:pStyle w:val="11"/>
              <w:keepNext/>
              <w:spacing w:after="0" w:line="360" w:lineRule="auto"/>
              <w:ind w:left="66" w:right="66"/>
              <w:rPr>
                <w:rFonts w:ascii="宋体" w:hAnsi="宋体" w:cs="宋体"/>
                <w:color w:val="000000"/>
                <w:sz w:val="24"/>
                <w:szCs w:val="24"/>
              </w:rPr>
            </w:pPr>
          </w:p>
        </w:tc>
        <w:tc>
          <w:tcPr>
            <w:tcW w:w="1134" w:type="dxa"/>
            <w:vAlign w:val="center"/>
          </w:tcPr>
          <w:p w14:paraId="6F6C70FA">
            <w:pPr>
              <w:pStyle w:val="11"/>
              <w:keepNext/>
              <w:spacing w:after="0" w:line="360" w:lineRule="auto"/>
              <w:ind w:left="66" w:right="66"/>
              <w:rPr>
                <w:rFonts w:ascii="宋体" w:hAnsi="宋体" w:cs="宋体"/>
                <w:color w:val="000000"/>
                <w:sz w:val="24"/>
                <w:szCs w:val="24"/>
              </w:rPr>
            </w:pPr>
          </w:p>
        </w:tc>
        <w:tc>
          <w:tcPr>
            <w:tcW w:w="1134" w:type="dxa"/>
            <w:vAlign w:val="center"/>
          </w:tcPr>
          <w:p w14:paraId="4E11F428">
            <w:pPr>
              <w:pStyle w:val="11"/>
              <w:keepNext/>
              <w:spacing w:after="0" w:line="360" w:lineRule="auto"/>
              <w:ind w:left="66" w:right="66"/>
              <w:rPr>
                <w:rFonts w:ascii="宋体" w:hAnsi="宋体" w:cs="宋体"/>
                <w:color w:val="000000"/>
                <w:sz w:val="24"/>
                <w:szCs w:val="24"/>
              </w:rPr>
            </w:pPr>
          </w:p>
        </w:tc>
        <w:tc>
          <w:tcPr>
            <w:tcW w:w="4252" w:type="dxa"/>
            <w:vAlign w:val="center"/>
          </w:tcPr>
          <w:p w14:paraId="071B42AB">
            <w:pPr>
              <w:pStyle w:val="11"/>
              <w:keepNext/>
              <w:spacing w:after="0" w:line="360" w:lineRule="auto"/>
              <w:ind w:left="66" w:right="66"/>
              <w:rPr>
                <w:rFonts w:ascii="宋体" w:hAnsi="宋体" w:cs="宋体"/>
                <w:color w:val="000000"/>
                <w:sz w:val="24"/>
                <w:szCs w:val="24"/>
              </w:rPr>
            </w:pPr>
          </w:p>
        </w:tc>
      </w:tr>
      <w:tr w14:paraId="402468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1871" w:type="dxa"/>
            <w:tcBorders>
              <w:top w:val="nil"/>
              <w:bottom w:val="nil"/>
            </w:tcBorders>
            <w:vAlign w:val="center"/>
          </w:tcPr>
          <w:p w14:paraId="4E6A3039">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其他人员</w:t>
            </w:r>
          </w:p>
        </w:tc>
        <w:tc>
          <w:tcPr>
            <w:tcW w:w="1418" w:type="dxa"/>
            <w:vAlign w:val="center"/>
          </w:tcPr>
          <w:p w14:paraId="08B99512">
            <w:pPr>
              <w:pStyle w:val="11"/>
              <w:keepNext/>
              <w:spacing w:after="0" w:line="360" w:lineRule="auto"/>
              <w:ind w:left="66" w:right="66"/>
              <w:rPr>
                <w:rFonts w:ascii="宋体" w:hAnsi="宋体" w:cs="宋体"/>
                <w:color w:val="000000"/>
                <w:sz w:val="24"/>
                <w:szCs w:val="24"/>
              </w:rPr>
            </w:pPr>
          </w:p>
        </w:tc>
        <w:tc>
          <w:tcPr>
            <w:tcW w:w="1134" w:type="dxa"/>
            <w:vAlign w:val="center"/>
          </w:tcPr>
          <w:p w14:paraId="0AC4CF3D">
            <w:pPr>
              <w:pStyle w:val="11"/>
              <w:keepNext/>
              <w:spacing w:after="0" w:line="360" w:lineRule="auto"/>
              <w:ind w:left="66" w:right="66"/>
              <w:rPr>
                <w:rFonts w:ascii="宋体" w:hAnsi="宋体" w:cs="宋体"/>
                <w:color w:val="000000"/>
                <w:sz w:val="24"/>
                <w:szCs w:val="24"/>
              </w:rPr>
            </w:pPr>
          </w:p>
        </w:tc>
        <w:tc>
          <w:tcPr>
            <w:tcW w:w="1134" w:type="dxa"/>
            <w:vAlign w:val="center"/>
          </w:tcPr>
          <w:p w14:paraId="70C52CED">
            <w:pPr>
              <w:pStyle w:val="11"/>
              <w:keepNext/>
              <w:spacing w:after="0" w:line="360" w:lineRule="auto"/>
              <w:ind w:left="66" w:right="66"/>
              <w:rPr>
                <w:rFonts w:ascii="宋体" w:hAnsi="宋体" w:cs="宋体"/>
                <w:color w:val="000000"/>
                <w:sz w:val="24"/>
                <w:szCs w:val="24"/>
              </w:rPr>
            </w:pPr>
          </w:p>
        </w:tc>
        <w:tc>
          <w:tcPr>
            <w:tcW w:w="4252" w:type="dxa"/>
            <w:vAlign w:val="center"/>
          </w:tcPr>
          <w:p w14:paraId="6F7502F3">
            <w:pPr>
              <w:pStyle w:val="11"/>
              <w:keepNext/>
              <w:spacing w:after="0" w:line="360" w:lineRule="auto"/>
              <w:ind w:left="66" w:right="66"/>
              <w:rPr>
                <w:rFonts w:ascii="宋体" w:hAnsi="宋体" w:cs="宋体"/>
                <w:color w:val="000000"/>
                <w:sz w:val="24"/>
                <w:szCs w:val="24"/>
              </w:rPr>
            </w:pPr>
          </w:p>
        </w:tc>
      </w:tr>
      <w:tr w14:paraId="24450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1871" w:type="dxa"/>
            <w:tcBorders>
              <w:top w:val="nil"/>
              <w:bottom w:val="nil"/>
            </w:tcBorders>
            <w:vAlign w:val="center"/>
          </w:tcPr>
          <w:p w14:paraId="5445564B">
            <w:pPr>
              <w:pStyle w:val="11"/>
              <w:keepNext/>
              <w:spacing w:after="0" w:line="360" w:lineRule="auto"/>
              <w:ind w:left="66" w:right="66"/>
              <w:rPr>
                <w:rFonts w:ascii="宋体" w:hAnsi="宋体" w:cs="宋体"/>
                <w:color w:val="000000"/>
                <w:sz w:val="24"/>
                <w:szCs w:val="24"/>
              </w:rPr>
            </w:pPr>
          </w:p>
        </w:tc>
        <w:tc>
          <w:tcPr>
            <w:tcW w:w="1418" w:type="dxa"/>
            <w:vAlign w:val="center"/>
          </w:tcPr>
          <w:p w14:paraId="579BBCB8">
            <w:pPr>
              <w:pStyle w:val="11"/>
              <w:keepNext/>
              <w:spacing w:after="0" w:line="360" w:lineRule="auto"/>
              <w:ind w:left="66" w:right="66"/>
              <w:rPr>
                <w:rFonts w:ascii="宋体" w:hAnsi="宋体" w:cs="宋体"/>
                <w:color w:val="000000"/>
                <w:sz w:val="24"/>
                <w:szCs w:val="24"/>
              </w:rPr>
            </w:pPr>
          </w:p>
        </w:tc>
        <w:tc>
          <w:tcPr>
            <w:tcW w:w="1134" w:type="dxa"/>
            <w:vAlign w:val="center"/>
          </w:tcPr>
          <w:p w14:paraId="21D20CCE">
            <w:pPr>
              <w:pStyle w:val="11"/>
              <w:keepNext/>
              <w:spacing w:after="0" w:line="360" w:lineRule="auto"/>
              <w:ind w:left="66" w:right="66"/>
              <w:rPr>
                <w:rFonts w:ascii="宋体" w:hAnsi="宋体" w:cs="宋体"/>
                <w:color w:val="000000"/>
                <w:sz w:val="24"/>
                <w:szCs w:val="24"/>
              </w:rPr>
            </w:pPr>
          </w:p>
        </w:tc>
        <w:tc>
          <w:tcPr>
            <w:tcW w:w="1134" w:type="dxa"/>
            <w:vAlign w:val="center"/>
          </w:tcPr>
          <w:p w14:paraId="4312B221">
            <w:pPr>
              <w:pStyle w:val="11"/>
              <w:keepNext/>
              <w:spacing w:after="0" w:line="360" w:lineRule="auto"/>
              <w:ind w:left="66" w:right="66"/>
              <w:rPr>
                <w:rFonts w:ascii="宋体" w:hAnsi="宋体" w:cs="宋体"/>
                <w:color w:val="000000"/>
                <w:sz w:val="24"/>
                <w:szCs w:val="24"/>
              </w:rPr>
            </w:pPr>
          </w:p>
        </w:tc>
        <w:tc>
          <w:tcPr>
            <w:tcW w:w="4252" w:type="dxa"/>
            <w:vAlign w:val="center"/>
          </w:tcPr>
          <w:p w14:paraId="09D709AE">
            <w:pPr>
              <w:pStyle w:val="11"/>
              <w:keepNext/>
              <w:spacing w:after="0" w:line="360" w:lineRule="auto"/>
              <w:ind w:left="66" w:right="66"/>
              <w:rPr>
                <w:rFonts w:ascii="宋体" w:hAnsi="宋体" w:cs="宋体"/>
                <w:color w:val="000000"/>
                <w:sz w:val="24"/>
                <w:szCs w:val="24"/>
              </w:rPr>
            </w:pPr>
          </w:p>
        </w:tc>
      </w:tr>
      <w:tr w14:paraId="1D52DC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9809" w:type="dxa"/>
            <w:gridSpan w:val="5"/>
            <w:tcBorders>
              <w:top w:val="single" w:color="auto" w:sz="6" w:space="0"/>
              <w:bottom w:val="single" w:color="auto" w:sz="6" w:space="0"/>
            </w:tcBorders>
            <w:vAlign w:val="center"/>
          </w:tcPr>
          <w:p w14:paraId="381914D6">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二、现场人员</w:t>
            </w:r>
          </w:p>
        </w:tc>
      </w:tr>
      <w:tr w14:paraId="2DF5E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2" w:hRule="atLeast"/>
          <w:jc w:val="center"/>
        </w:trPr>
        <w:tc>
          <w:tcPr>
            <w:tcW w:w="1871" w:type="dxa"/>
            <w:tcBorders>
              <w:top w:val="single" w:color="auto" w:sz="6" w:space="0"/>
              <w:bottom w:val="single" w:color="auto" w:sz="6" w:space="0"/>
            </w:tcBorders>
            <w:vAlign w:val="center"/>
          </w:tcPr>
          <w:p w14:paraId="0943278D">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项目经理</w:t>
            </w:r>
          </w:p>
        </w:tc>
        <w:tc>
          <w:tcPr>
            <w:tcW w:w="1418" w:type="dxa"/>
            <w:vAlign w:val="center"/>
          </w:tcPr>
          <w:p w14:paraId="06179212">
            <w:pPr>
              <w:pStyle w:val="11"/>
              <w:keepNext/>
              <w:spacing w:after="0" w:line="360" w:lineRule="auto"/>
              <w:ind w:left="66" w:right="66"/>
              <w:rPr>
                <w:rFonts w:ascii="宋体" w:hAnsi="宋体" w:cs="宋体"/>
                <w:color w:val="000000"/>
                <w:sz w:val="24"/>
                <w:szCs w:val="24"/>
              </w:rPr>
            </w:pPr>
          </w:p>
        </w:tc>
        <w:tc>
          <w:tcPr>
            <w:tcW w:w="1134" w:type="dxa"/>
            <w:vAlign w:val="center"/>
          </w:tcPr>
          <w:p w14:paraId="272D6FD5">
            <w:pPr>
              <w:pStyle w:val="11"/>
              <w:keepNext/>
              <w:spacing w:after="0" w:line="360" w:lineRule="auto"/>
              <w:ind w:left="66" w:right="66"/>
              <w:rPr>
                <w:rFonts w:ascii="宋体" w:hAnsi="宋体" w:cs="宋体"/>
                <w:color w:val="000000"/>
                <w:sz w:val="24"/>
                <w:szCs w:val="24"/>
              </w:rPr>
            </w:pPr>
          </w:p>
        </w:tc>
        <w:tc>
          <w:tcPr>
            <w:tcW w:w="1134" w:type="dxa"/>
            <w:vAlign w:val="center"/>
          </w:tcPr>
          <w:p w14:paraId="47BF9945">
            <w:pPr>
              <w:pStyle w:val="11"/>
              <w:keepNext/>
              <w:spacing w:after="0" w:line="360" w:lineRule="auto"/>
              <w:ind w:left="66" w:right="66"/>
              <w:rPr>
                <w:rFonts w:ascii="宋体" w:hAnsi="宋体" w:cs="宋体"/>
                <w:color w:val="000000"/>
                <w:sz w:val="24"/>
                <w:szCs w:val="24"/>
              </w:rPr>
            </w:pPr>
          </w:p>
        </w:tc>
        <w:tc>
          <w:tcPr>
            <w:tcW w:w="4252" w:type="dxa"/>
            <w:vAlign w:val="center"/>
          </w:tcPr>
          <w:p w14:paraId="0CDD6FCD">
            <w:pPr>
              <w:pStyle w:val="11"/>
              <w:keepNext/>
              <w:spacing w:after="0" w:line="360" w:lineRule="auto"/>
              <w:ind w:left="66" w:right="66"/>
              <w:rPr>
                <w:rFonts w:ascii="宋体" w:hAnsi="宋体" w:cs="宋体"/>
                <w:color w:val="000000"/>
                <w:sz w:val="24"/>
                <w:szCs w:val="24"/>
              </w:rPr>
            </w:pPr>
          </w:p>
        </w:tc>
      </w:tr>
      <w:tr w14:paraId="3A575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871" w:type="dxa"/>
            <w:tcBorders>
              <w:top w:val="single" w:color="auto" w:sz="6" w:space="0"/>
              <w:bottom w:val="single" w:color="auto" w:sz="6" w:space="0"/>
            </w:tcBorders>
            <w:vAlign w:val="center"/>
          </w:tcPr>
          <w:p w14:paraId="671CA81F">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项目副经理</w:t>
            </w:r>
          </w:p>
        </w:tc>
        <w:tc>
          <w:tcPr>
            <w:tcW w:w="1418" w:type="dxa"/>
            <w:vAlign w:val="center"/>
          </w:tcPr>
          <w:p w14:paraId="0FC7442F">
            <w:pPr>
              <w:pStyle w:val="11"/>
              <w:keepNext/>
              <w:spacing w:after="0" w:line="360" w:lineRule="auto"/>
              <w:ind w:left="66" w:right="66"/>
              <w:rPr>
                <w:rFonts w:ascii="宋体" w:hAnsi="宋体" w:cs="宋体"/>
                <w:color w:val="000000"/>
                <w:sz w:val="24"/>
                <w:szCs w:val="24"/>
              </w:rPr>
            </w:pPr>
          </w:p>
        </w:tc>
        <w:tc>
          <w:tcPr>
            <w:tcW w:w="1134" w:type="dxa"/>
            <w:vAlign w:val="center"/>
          </w:tcPr>
          <w:p w14:paraId="76ACF68D">
            <w:pPr>
              <w:pStyle w:val="11"/>
              <w:keepNext/>
              <w:spacing w:after="0" w:line="360" w:lineRule="auto"/>
              <w:ind w:left="66" w:right="66"/>
              <w:rPr>
                <w:rFonts w:ascii="宋体" w:hAnsi="宋体" w:cs="宋体"/>
                <w:color w:val="000000"/>
                <w:sz w:val="24"/>
                <w:szCs w:val="24"/>
              </w:rPr>
            </w:pPr>
          </w:p>
        </w:tc>
        <w:tc>
          <w:tcPr>
            <w:tcW w:w="1134" w:type="dxa"/>
            <w:vAlign w:val="center"/>
          </w:tcPr>
          <w:p w14:paraId="70D3DF4D">
            <w:pPr>
              <w:pStyle w:val="11"/>
              <w:keepNext/>
              <w:spacing w:after="0" w:line="360" w:lineRule="auto"/>
              <w:ind w:left="66" w:right="66"/>
              <w:rPr>
                <w:rFonts w:ascii="宋体" w:hAnsi="宋体" w:cs="宋体"/>
                <w:color w:val="000000"/>
                <w:sz w:val="24"/>
                <w:szCs w:val="24"/>
              </w:rPr>
            </w:pPr>
          </w:p>
        </w:tc>
        <w:tc>
          <w:tcPr>
            <w:tcW w:w="4252" w:type="dxa"/>
            <w:vAlign w:val="center"/>
          </w:tcPr>
          <w:p w14:paraId="65CEBB2A">
            <w:pPr>
              <w:pStyle w:val="11"/>
              <w:keepNext/>
              <w:spacing w:after="0" w:line="360" w:lineRule="auto"/>
              <w:ind w:left="66" w:right="66"/>
              <w:rPr>
                <w:rFonts w:ascii="宋体" w:hAnsi="宋体" w:cs="宋体"/>
                <w:color w:val="000000"/>
                <w:sz w:val="24"/>
                <w:szCs w:val="24"/>
              </w:rPr>
            </w:pPr>
          </w:p>
        </w:tc>
      </w:tr>
      <w:tr w14:paraId="79AF5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1871" w:type="dxa"/>
            <w:tcBorders>
              <w:top w:val="single" w:color="auto" w:sz="6" w:space="0"/>
              <w:bottom w:val="single" w:color="auto" w:sz="6" w:space="0"/>
            </w:tcBorders>
            <w:vAlign w:val="center"/>
          </w:tcPr>
          <w:p w14:paraId="4624C305">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技术负责人</w:t>
            </w:r>
          </w:p>
        </w:tc>
        <w:tc>
          <w:tcPr>
            <w:tcW w:w="1418" w:type="dxa"/>
            <w:vAlign w:val="center"/>
          </w:tcPr>
          <w:p w14:paraId="4739C52F">
            <w:pPr>
              <w:pStyle w:val="11"/>
              <w:keepNext/>
              <w:spacing w:after="0" w:line="360" w:lineRule="auto"/>
              <w:ind w:left="66" w:right="66"/>
              <w:rPr>
                <w:rFonts w:ascii="宋体" w:hAnsi="宋体" w:cs="宋体"/>
                <w:color w:val="000000"/>
                <w:sz w:val="24"/>
                <w:szCs w:val="24"/>
              </w:rPr>
            </w:pPr>
          </w:p>
        </w:tc>
        <w:tc>
          <w:tcPr>
            <w:tcW w:w="1134" w:type="dxa"/>
            <w:vAlign w:val="center"/>
          </w:tcPr>
          <w:p w14:paraId="06FD3422">
            <w:pPr>
              <w:pStyle w:val="11"/>
              <w:keepNext/>
              <w:spacing w:after="0" w:line="360" w:lineRule="auto"/>
              <w:ind w:left="66" w:right="66"/>
              <w:rPr>
                <w:rFonts w:ascii="宋体" w:hAnsi="宋体" w:cs="宋体"/>
                <w:color w:val="000000"/>
                <w:sz w:val="24"/>
                <w:szCs w:val="24"/>
              </w:rPr>
            </w:pPr>
          </w:p>
        </w:tc>
        <w:tc>
          <w:tcPr>
            <w:tcW w:w="1134" w:type="dxa"/>
            <w:vAlign w:val="center"/>
          </w:tcPr>
          <w:p w14:paraId="341B3C70">
            <w:pPr>
              <w:pStyle w:val="11"/>
              <w:keepNext/>
              <w:spacing w:after="0" w:line="360" w:lineRule="auto"/>
              <w:ind w:left="66" w:right="66"/>
              <w:rPr>
                <w:rFonts w:ascii="宋体" w:hAnsi="宋体" w:cs="宋体"/>
                <w:color w:val="000000"/>
                <w:sz w:val="24"/>
                <w:szCs w:val="24"/>
              </w:rPr>
            </w:pPr>
          </w:p>
        </w:tc>
        <w:tc>
          <w:tcPr>
            <w:tcW w:w="4252" w:type="dxa"/>
            <w:vAlign w:val="center"/>
          </w:tcPr>
          <w:p w14:paraId="1EEBD46D">
            <w:pPr>
              <w:pStyle w:val="11"/>
              <w:keepNext/>
              <w:spacing w:after="0" w:line="360" w:lineRule="auto"/>
              <w:ind w:left="66" w:right="66"/>
              <w:rPr>
                <w:rFonts w:ascii="宋体" w:hAnsi="宋体" w:cs="宋体"/>
                <w:color w:val="000000"/>
                <w:sz w:val="24"/>
                <w:szCs w:val="24"/>
              </w:rPr>
            </w:pPr>
          </w:p>
        </w:tc>
      </w:tr>
      <w:tr w14:paraId="5A5C0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1871" w:type="dxa"/>
            <w:tcBorders>
              <w:top w:val="single" w:color="auto" w:sz="6" w:space="0"/>
              <w:bottom w:val="single" w:color="auto" w:sz="6" w:space="0"/>
            </w:tcBorders>
            <w:vAlign w:val="center"/>
          </w:tcPr>
          <w:p w14:paraId="67702E68">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造价管理</w:t>
            </w:r>
          </w:p>
        </w:tc>
        <w:tc>
          <w:tcPr>
            <w:tcW w:w="1418" w:type="dxa"/>
            <w:vAlign w:val="center"/>
          </w:tcPr>
          <w:p w14:paraId="44A8B889">
            <w:pPr>
              <w:pStyle w:val="11"/>
              <w:keepNext/>
              <w:spacing w:after="0" w:line="360" w:lineRule="auto"/>
              <w:ind w:left="66" w:right="66"/>
              <w:rPr>
                <w:rFonts w:ascii="宋体" w:hAnsi="宋体" w:cs="宋体"/>
                <w:color w:val="000000"/>
                <w:sz w:val="24"/>
                <w:szCs w:val="24"/>
              </w:rPr>
            </w:pPr>
          </w:p>
        </w:tc>
        <w:tc>
          <w:tcPr>
            <w:tcW w:w="1134" w:type="dxa"/>
            <w:vAlign w:val="center"/>
          </w:tcPr>
          <w:p w14:paraId="48162648">
            <w:pPr>
              <w:pStyle w:val="11"/>
              <w:keepNext/>
              <w:spacing w:after="0" w:line="360" w:lineRule="auto"/>
              <w:ind w:left="66" w:right="66"/>
              <w:rPr>
                <w:rFonts w:ascii="宋体" w:hAnsi="宋体" w:cs="宋体"/>
                <w:color w:val="000000"/>
                <w:sz w:val="24"/>
                <w:szCs w:val="24"/>
              </w:rPr>
            </w:pPr>
          </w:p>
        </w:tc>
        <w:tc>
          <w:tcPr>
            <w:tcW w:w="1134" w:type="dxa"/>
            <w:vAlign w:val="center"/>
          </w:tcPr>
          <w:p w14:paraId="0274446E">
            <w:pPr>
              <w:pStyle w:val="11"/>
              <w:keepNext/>
              <w:spacing w:after="0" w:line="360" w:lineRule="auto"/>
              <w:ind w:left="66" w:right="66"/>
              <w:rPr>
                <w:rFonts w:ascii="宋体" w:hAnsi="宋体" w:cs="宋体"/>
                <w:color w:val="000000"/>
                <w:sz w:val="24"/>
                <w:szCs w:val="24"/>
              </w:rPr>
            </w:pPr>
          </w:p>
        </w:tc>
        <w:tc>
          <w:tcPr>
            <w:tcW w:w="4252" w:type="dxa"/>
            <w:vAlign w:val="center"/>
          </w:tcPr>
          <w:p w14:paraId="702DB4ED">
            <w:pPr>
              <w:pStyle w:val="11"/>
              <w:keepNext/>
              <w:spacing w:after="0" w:line="360" w:lineRule="auto"/>
              <w:ind w:left="66" w:right="66"/>
              <w:rPr>
                <w:rFonts w:ascii="宋体" w:hAnsi="宋体" w:cs="宋体"/>
                <w:color w:val="000000"/>
                <w:sz w:val="24"/>
                <w:szCs w:val="24"/>
              </w:rPr>
            </w:pPr>
          </w:p>
        </w:tc>
      </w:tr>
      <w:tr w14:paraId="16B09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2" w:hRule="atLeast"/>
          <w:jc w:val="center"/>
        </w:trPr>
        <w:tc>
          <w:tcPr>
            <w:tcW w:w="1871" w:type="dxa"/>
            <w:tcBorders>
              <w:top w:val="single" w:color="auto" w:sz="6" w:space="0"/>
              <w:bottom w:val="single" w:color="auto" w:sz="6" w:space="0"/>
            </w:tcBorders>
            <w:vAlign w:val="center"/>
          </w:tcPr>
          <w:p w14:paraId="43F04ACC">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质量管理</w:t>
            </w:r>
          </w:p>
        </w:tc>
        <w:tc>
          <w:tcPr>
            <w:tcW w:w="1418" w:type="dxa"/>
            <w:vAlign w:val="center"/>
          </w:tcPr>
          <w:p w14:paraId="76E1C150">
            <w:pPr>
              <w:pStyle w:val="11"/>
              <w:keepNext/>
              <w:spacing w:after="0" w:line="360" w:lineRule="auto"/>
              <w:ind w:left="66" w:right="66"/>
              <w:rPr>
                <w:rFonts w:ascii="宋体" w:hAnsi="宋体" w:cs="宋体"/>
                <w:color w:val="000000"/>
                <w:sz w:val="24"/>
                <w:szCs w:val="24"/>
              </w:rPr>
            </w:pPr>
          </w:p>
        </w:tc>
        <w:tc>
          <w:tcPr>
            <w:tcW w:w="1134" w:type="dxa"/>
            <w:vAlign w:val="center"/>
          </w:tcPr>
          <w:p w14:paraId="1D74845B">
            <w:pPr>
              <w:pStyle w:val="11"/>
              <w:keepNext/>
              <w:spacing w:after="0" w:line="360" w:lineRule="auto"/>
              <w:ind w:left="66" w:right="66"/>
              <w:rPr>
                <w:rFonts w:ascii="宋体" w:hAnsi="宋体" w:cs="宋体"/>
                <w:color w:val="000000"/>
                <w:sz w:val="24"/>
                <w:szCs w:val="24"/>
              </w:rPr>
            </w:pPr>
          </w:p>
        </w:tc>
        <w:tc>
          <w:tcPr>
            <w:tcW w:w="1134" w:type="dxa"/>
            <w:vAlign w:val="center"/>
          </w:tcPr>
          <w:p w14:paraId="720993AD">
            <w:pPr>
              <w:pStyle w:val="11"/>
              <w:keepNext/>
              <w:spacing w:after="0" w:line="360" w:lineRule="auto"/>
              <w:ind w:left="66" w:right="66"/>
              <w:rPr>
                <w:rFonts w:ascii="宋体" w:hAnsi="宋体" w:cs="宋体"/>
                <w:color w:val="000000"/>
                <w:sz w:val="24"/>
                <w:szCs w:val="24"/>
              </w:rPr>
            </w:pPr>
          </w:p>
        </w:tc>
        <w:tc>
          <w:tcPr>
            <w:tcW w:w="4252" w:type="dxa"/>
            <w:vAlign w:val="center"/>
          </w:tcPr>
          <w:p w14:paraId="21EC4243">
            <w:pPr>
              <w:pStyle w:val="11"/>
              <w:keepNext/>
              <w:spacing w:after="0" w:line="360" w:lineRule="auto"/>
              <w:ind w:left="66" w:right="66"/>
              <w:rPr>
                <w:rFonts w:ascii="宋体" w:hAnsi="宋体" w:cs="宋体"/>
                <w:color w:val="000000"/>
                <w:sz w:val="24"/>
                <w:szCs w:val="24"/>
              </w:rPr>
            </w:pPr>
          </w:p>
        </w:tc>
      </w:tr>
      <w:tr w14:paraId="005E8E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2" w:hRule="atLeast"/>
          <w:jc w:val="center"/>
        </w:trPr>
        <w:tc>
          <w:tcPr>
            <w:tcW w:w="1871" w:type="dxa"/>
            <w:tcBorders>
              <w:top w:val="single" w:color="auto" w:sz="6" w:space="0"/>
              <w:bottom w:val="single" w:color="auto" w:sz="6" w:space="0"/>
            </w:tcBorders>
            <w:vAlign w:val="center"/>
          </w:tcPr>
          <w:p w14:paraId="07587701">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材料管理</w:t>
            </w:r>
          </w:p>
        </w:tc>
        <w:tc>
          <w:tcPr>
            <w:tcW w:w="1418" w:type="dxa"/>
            <w:vAlign w:val="center"/>
          </w:tcPr>
          <w:p w14:paraId="7533F978">
            <w:pPr>
              <w:pStyle w:val="11"/>
              <w:keepNext/>
              <w:spacing w:after="0" w:line="360" w:lineRule="auto"/>
              <w:ind w:left="66" w:right="66"/>
              <w:rPr>
                <w:rFonts w:ascii="宋体" w:hAnsi="宋体" w:cs="宋体"/>
                <w:color w:val="000000"/>
                <w:sz w:val="24"/>
                <w:szCs w:val="24"/>
              </w:rPr>
            </w:pPr>
          </w:p>
        </w:tc>
        <w:tc>
          <w:tcPr>
            <w:tcW w:w="1134" w:type="dxa"/>
            <w:vAlign w:val="center"/>
          </w:tcPr>
          <w:p w14:paraId="1FB7169B">
            <w:pPr>
              <w:pStyle w:val="11"/>
              <w:keepNext/>
              <w:spacing w:after="0" w:line="360" w:lineRule="auto"/>
              <w:ind w:left="66" w:right="66"/>
              <w:rPr>
                <w:rFonts w:ascii="宋体" w:hAnsi="宋体" w:cs="宋体"/>
                <w:color w:val="000000"/>
                <w:sz w:val="24"/>
                <w:szCs w:val="24"/>
              </w:rPr>
            </w:pPr>
          </w:p>
        </w:tc>
        <w:tc>
          <w:tcPr>
            <w:tcW w:w="1134" w:type="dxa"/>
            <w:vAlign w:val="center"/>
          </w:tcPr>
          <w:p w14:paraId="0DB661EF">
            <w:pPr>
              <w:pStyle w:val="11"/>
              <w:keepNext/>
              <w:spacing w:after="0" w:line="360" w:lineRule="auto"/>
              <w:ind w:left="66" w:right="66"/>
              <w:rPr>
                <w:rFonts w:ascii="宋体" w:hAnsi="宋体" w:cs="宋体"/>
                <w:color w:val="000000"/>
                <w:sz w:val="24"/>
                <w:szCs w:val="24"/>
              </w:rPr>
            </w:pPr>
          </w:p>
        </w:tc>
        <w:tc>
          <w:tcPr>
            <w:tcW w:w="4252" w:type="dxa"/>
            <w:vAlign w:val="center"/>
          </w:tcPr>
          <w:p w14:paraId="14A29F12">
            <w:pPr>
              <w:pStyle w:val="11"/>
              <w:keepNext/>
              <w:spacing w:after="0" w:line="360" w:lineRule="auto"/>
              <w:ind w:left="66" w:right="66"/>
              <w:rPr>
                <w:rFonts w:ascii="宋体" w:hAnsi="宋体" w:cs="宋体"/>
                <w:color w:val="000000"/>
                <w:sz w:val="24"/>
                <w:szCs w:val="24"/>
              </w:rPr>
            </w:pPr>
          </w:p>
        </w:tc>
      </w:tr>
      <w:tr w14:paraId="6EB9C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871" w:type="dxa"/>
            <w:tcBorders>
              <w:top w:val="single" w:color="auto" w:sz="6" w:space="0"/>
              <w:bottom w:val="single" w:color="auto" w:sz="6" w:space="0"/>
            </w:tcBorders>
            <w:vAlign w:val="center"/>
          </w:tcPr>
          <w:p w14:paraId="6A57C239">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计划管理</w:t>
            </w:r>
          </w:p>
        </w:tc>
        <w:tc>
          <w:tcPr>
            <w:tcW w:w="1418" w:type="dxa"/>
            <w:vAlign w:val="center"/>
          </w:tcPr>
          <w:p w14:paraId="3143B7C8">
            <w:pPr>
              <w:pStyle w:val="11"/>
              <w:keepNext/>
              <w:spacing w:after="0" w:line="360" w:lineRule="auto"/>
              <w:ind w:left="66" w:right="66"/>
              <w:rPr>
                <w:rFonts w:ascii="宋体" w:hAnsi="宋体" w:cs="宋体"/>
                <w:color w:val="000000"/>
                <w:sz w:val="24"/>
                <w:szCs w:val="24"/>
              </w:rPr>
            </w:pPr>
          </w:p>
        </w:tc>
        <w:tc>
          <w:tcPr>
            <w:tcW w:w="1134" w:type="dxa"/>
            <w:vAlign w:val="center"/>
          </w:tcPr>
          <w:p w14:paraId="3E037323">
            <w:pPr>
              <w:pStyle w:val="11"/>
              <w:keepNext/>
              <w:spacing w:after="0" w:line="360" w:lineRule="auto"/>
              <w:ind w:left="66" w:right="66"/>
              <w:rPr>
                <w:rFonts w:ascii="宋体" w:hAnsi="宋体" w:cs="宋体"/>
                <w:color w:val="000000"/>
                <w:sz w:val="24"/>
                <w:szCs w:val="24"/>
              </w:rPr>
            </w:pPr>
          </w:p>
        </w:tc>
        <w:tc>
          <w:tcPr>
            <w:tcW w:w="1134" w:type="dxa"/>
            <w:vAlign w:val="center"/>
          </w:tcPr>
          <w:p w14:paraId="18F82C96">
            <w:pPr>
              <w:pStyle w:val="11"/>
              <w:keepNext/>
              <w:spacing w:after="0" w:line="360" w:lineRule="auto"/>
              <w:ind w:left="66" w:right="66"/>
              <w:rPr>
                <w:rFonts w:ascii="宋体" w:hAnsi="宋体" w:cs="宋体"/>
                <w:color w:val="000000"/>
                <w:sz w:val="24"/>
                <w:szCs w:val="24"/>
              </w:rPr>
            </w:pPr>
          </w:p>
        </w:tc>
        <w:tc>
          <w:tcPr>
            <w:tcW w:w="4252" w:type="dxa"/>
            <w:vAlign w:val="center"/>
          </w:tcPr>
          <w:p w14:paraId="5AE2E825">
            <w:pPr>
              <w:pStyle w:val="11"/>
              <w:keepNext/>
              <w:spacing w:after="0" w:line="360" w:lineRule="auto"/>
              <w:ind w:left="66" w:right="66"/>
              <w:rPr>
                <w:rFonts w:ascii="宋体" w:hAnsi="宋体" w:cs="宋体"/>
                <w:color w:val="000000"/>
                <w:sz w:val="24"/>
                <w:szCs w:val="24"/>
              </w:rPr>
            </w:pPr>
          </w:p>
        </w:tc>
      </w:tr>
      <w:tr w14:paraId="47B709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2" w:hRule="atLeast"/>
          <w:jc w:val="center"/>
        </w:trPr>
        <w:tc>
          <w:tcPr>
            <w:tcW w:w="1871" w:type="dxa"/>
            <w:tcBorders>
              <w:top w:val="single" w:color="auto" w:sz="6" w:space="0"/>
              <w:bottom w:val="single" w:color="auto" w:sz="6" w:space="0"/>
            </w:tcBorders>
            <w:vAlign w:val="center"/>
          </w:tcPr>
          <w:p w14:paraId="06805FDE">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安全管理</w:t>
            </w:r>
          </w:p>
        </w:tc>
        <w:tc>
          <w:tcPr>
            <w:tcW w:w="1418" w:type="dxa"/>
            <w:vAlign w:val="center"/>
          </w:tcPr>
          <w:p w14:paraId="14A003C1">
            <w:pPr>
              <w:pStyle w:val="11"/>
              <w:keepNext/>
              <w:spacing w:after="0" w:line="360" w:lineRule="auto"/>
              <w:ind w:left="66" w:right="66"/>
              <w:rPr>
                <w:rFonts w:ascii="宋体" w:hAnsi="宋体" w:cs="宋体"/>
                <w:color w:val="000000"/>
                <w:sz w:val="24"/>
                <w:szCs w:val="24"/>
              </w:rPr>
            </w:pPr>
          </w:p>
        </w:tc>
        <w:tc>
          <w:tcPr>
            <w:tcW w:w="1134" w:type="dxa"/>
            <w:vAlign w:val="center"/>
          </w:tcPr>
          <w:p w14:paraId="18E252B1">
            <w:pPr>
              <w:pStyle w:val="11"/>
              <w:keepNext/>
              <w:spacing w:after="0" w:line="360" w:lineRule="auto"/>
              <w:ind w:left="66" w:right="66"/>
              <w:rPr>
                <w:rFonts w:ascii="宋体" w:hAnsi="宋体" w:cs="宋体"/>
                <w:color w:val="000000"/>
                <w:sz w:val="24"/>
                <w:szCs w:val="24"/>
              </w:rPr>
            </w:pPr>
          </w:p>
        </w:tc>
        <w:tc>
          <w:tcPr>
            <w:tcW w:w="1134" w:type="dxa"/>
            <w:vAlign w:val="center"/>
          </w:tcPr>
          <w:p w14:paraId="15CB3056">
            <w:pPr>
              <w:pStyle w:val="11"/>
              <w:keepNext/>
              <w:spacing w:after="0" w:line="360" w:lineRule="auto"/>
              <w:ind w:left="66" w:right="66"/>
              <w:rPr>
                <w:rFonts w:ascii="宋体" w:hAnsi="宋体" w:cs="宋体"/>
                <w:color w:val="000000"/>
                <w:sz w:val="24"/>
                <w:szCs w:val="24"/>
              </w:rPr>
            </w:pPr>
          </w:p>
        </w:tc>
        <w:tc>
          <w:tcPr>
            <w:tcW w:w="4252" w:type="dxa"/>
            <w:vAlign w:val="center"/>
          </w:tcPr>
          <w:p w14:paraId="31128F1D">
            <w:pPr>
              <w:pStyle w:val="11"/>
              <w:keepNext/>
              <w:spacing w:after="0" w:line="360" w:lineRule="auto"/>
              <w:ind w:left="66" w:right="66"/>
              <w:rPr>
                <w:rFonts w:ascii="宋体" w:hAnsi="宋体" w:cs="宋体"/>
                <w:color w:val="000000"/>
                <w:sz w:val="24"/>
                <w:szCs w:val="24"/>
              </w:rPr>
            </w:pPr>
          </w:p>
        </w:tc>
      </w:tr>
      <w:tr w14:paraId="7A461F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1871" w:type="dxa"/>
            <w:vMerge w:val="restart"/>
            <w:tcBorders>
              <w:top w:val="single" w:color="auto" w:sz="6" w:space="0"/>
            </w:tcBorders>
            <w:vAlign w:val="center"/>
          </w:tcPr>
          <w:p w14:paraId="0150EF9F">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其他人员</w:t>
            </w:r>
          </w:p>
        </w:tc>
        <w:tc>
          <w:tcPr>
            <w:tcW w:w="1418" w:type="dxa"/>
            <w:vAlign w:val="center"/>
          </w:tcPr>
          <w:p w14:paraId="189A4A7C">
            <w:pPr>
              <w:pStyle w:val="11"/>
              <w:keepNext/>
              <w:spacing w:after="0" w:line="360" w:lineRule="auto"/>
              <w:ind w:left="66" w:right="66"/>
              <w:rPr>
                <w:rFonts w:ascii="宋体" w:hAnsi="宋体" w:cs="宋体"/>
                <w:color w:val="000000"/>
                <w:sz w:val="24"/>
                <w:szCs w:val="24"/>
              </w:rPr>
            </w:pPr>
          </w:p>
        </w:tc>
        <w:tc>
          <w:tcPr>
            <w:tcW w:w="1134" w:type="dxa"/>
            <w:vAlign w:val="center"/>
          </w:tcPr>
          <w:p w14:paraId="13FEEAE8">
            <w:pPr>
              <w:pStyle w:val="11"/>
              <w:keepNext/>
              <w:spacing w:after="0" w:line="360" w:lineRule="auto"/>
              <w:ind w:left="66" w:right="66"/>
              <w:rPr>
                <w:rFonts w:ascii="宋体" w:hAnsi="宋体" w:cs="宋体"/>
                <w:color w:val="000000"/>
                <w:sz w:val="24"/>
                <w:szCs w:val="24"/>
              </w:rPr>
            </w:pPr>
          </w:p>
        </w:tc>
        <w:tc>
          <w:tcPr>
            <w:tcW w:w="1134" w:type="dxa"/>
            <w:vAlign w:val="center"/>
          </w:tcPr>
          <w:p w14:paraId="79449993">
            <w:pPr>
              <w:pStyle w:val="11"/>
              <w:keepNext/>
              <w:spacing w:after="0" w:line="360" w:lineRule="auto"/>
              <w:ind w:left="66" w:right="66"/>
              <w:rPr>
                <w:rFonts w:ascii="宋体" w:hAnsi="宋体" w:cs="宋体"/>
                <w:color w:val="000000"/>
                <w:sz w:val="24"/>
                <w:szCs w:val="24"/>
              </w:rPr>
            </w:pPr>
          </w:p>
        </w:tc>
        <w:tc>
          <w:tcPr>
            <w:tcW w:w="4252" w:type="dxa"/>
            <w:vAlign w:val="center"/>
          </w:tcPr>
          <w:p w14:paraId="5748CB12">
            <w:pPr>
              <w:pStyle w:val="11"/>
              <w:keepNext/>
              <w:spacing w:after="0" w:line="360" w:lineRule="auto"/>
              <w:ind w:left="66" w:right="66"/>
              <w:rPr>
                <w:rFonts w:ascii="宋体" w:hAnsi="宋体" w:cs="宋体"/>
                <w:color w:val="000000"/>
                <w:sz w:val="24"/>
                <w:szCs w:val="24"/>
              </w:rPr>
            </w:pPr>
          </w:p>
        </w:tc>
      </w:tr>
      <w:tr w14:paraId="77E94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871" w:type="dxa"/>
            <w:vMerge w:val="continue"/>
            <w:vAlign w:val="center"/>
          </w:tcPr>
          <w:p w14:paraId="2384EFAC">
            <w:pPr>
              <w:pStyle w:val="11"/>
              <w:keepNext/>
              <w:spacing w:after="0" w:line="360" w:lineRule="auto"/>
              <w:ind w:left="66" w:right="66"/>
              <w:rPr>
                <w:rFonts w:ascii="宋体" w:hAnsi="宋体" w:cs="宋体"/>
                <w:color w:val="000000"/>
                <w:sz w:val="24"/>
                <w:szCs w:val="24"/>
              </w:rPr>
            </w:pPr>
          </w:p>
        </w:tc>
        <w:tc>
          <w:tcPr>
            <w:tcW w:w="1418" w:type="dxa"/>
            <w:tcBorders>
              <w:bottom w:val="nil"/>
            </w:tcBorders>
            <w:vAlign w:val="center"/>
          </w:tcPr>
          <w:p w14:paraId="04AE1E0A">
            <w:pPr>
              <w:pStyle w:val="11"/>
              <w:keepNext/>
              <w:spacing w:after="0" w:line="360" w:lineRule="auto"/>
              <w:ind w:left="66" w:right="66"/>
              <w:rPr>
                <w:rFonts w:ascii="宋体" w:hAnsi="宋体" w:cs="宋体"/>
                <w:color w:val="000000"/>
                <w:sz w:val="24"/>
                <w:szCs w:val="24"/>
              </w:rPr>
            </w:pPr>
          </w:p>
        </w:tc>
        <w:tc>
          <w:tcPr>
            <w:tcW w:w="1134" w:type="dxa"/>
            <w:tcBorders>
              <w:bottom w:val="nil"/>
            </w:tcBorders>
            <w:vAlign w:val="center"/>
          </w:tcPr>
          <w:p w14:paraId="3C8D0B38">
            <w:pPr>
              <w:pStyle w:val="11"/>
              <w:keepNext/>
              <w:spacing w:after="0" w:line="360" w:lineRule="auto"/>
              <w:ind w:left="66" w:right="66"/>
              <w:rPr>
                <w:rFonts w:ascii="宋体" w:hAnsi="宋体" w:cs="宋体"/>
                <w:color w:val="000000"/>
                <w:sz w:val="24"/>
                <w:szCs w:val="24"/>
              </w:rPr>
            </w:pPr>
          </w:p>
        </w:tc>
        <w:tc>
          <w:tcPr>
            <w:tcW w:w="1134" w:type="dxa"/>
            <w:tcBorders>
              <w:bottom w:val="nil"/>
            </w:tcBorders>
            <w:vAlign w:val="center"/>
          </w:tcPr>
          <w:p w14:paraId="7A5F6643">
            <w:pPr>
              <w:pStyle w:val="11"/>
              <w:keepNext/>
              <w:spacing w:after="0" w:line="360" w:lineRule="auto"/>
              <w:ind w:left="66" w:right="66"/>
              <w:rPr>
                <w:rFonts w:ascii="宋体" w:hAnsi="宋体" w:cs="宋体"/>
                <w:color w:val="000000"/>
                <w:sz w:val="24"/>
                <w:szCs w:val="24"/>
              </w:rPr>
            </w:pPr>
          </w:p>
        </w:tc>
        <w:tc>
          <w:tcPr>
            <w:tcW w:w="4252" w:type="dxa"/>
            <w:tcBorders>
              <w:bottom w:val="nil"/>
            </w:tcBorders>
            <w:vAlign w:val="center"/>
          </w:tcPr>
          <w:p w14:paraId="56CB1A54">
            <w:pPr>
              <w:pStyle w:val="11"/>
              <w:keepNext/>
              <w:spacing w:after="0" w:line="360" w:lineRule="auto"/>
              <w:ind w:left="66" w:right="66"/>
              <w:rPr>
                <w:rFonts w:ascii="宋体" w:hAnsi="宋体" w:cs="宋体"/>
                <w:color w:val="000000"/>
                <w:sz w:val="24"/>
                <w:szCs w:val="24"/>
              </w:rPr>
            </w:pPr>
          </w:p>
        </w:tc>
      </w:tr>
      <w:tr w14:paraId="220BF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1871" w:type="dxa"/>
            <w:vMerge w:val="continue"/>
            <w:vAlign w:val="center"/>
          </w:tcPr>
          <w:p w14:paraId="55DAA6DE">
            <w:pPr>
              <w:pStyle w:val="11"/>
              <w:keepNext/>
              <w:spacing w:after="0" w:line="360" w:lineRule="auto"/>
              <w:ind w:left="66" w:right="66"/>
              <w:rPr>
                <w:rFonts w:ascii="宋体" w:hAnsi="宋体" w:cs="宋体"/>
                <w:color w:val="000000"/>
                <w:sz w:val="24"/>
                <w:szCs w:val="24"/>
              </w:rPr>
            </w:pPr>
          </w:p>
        </w:tc>
        <w:tc>
          <w:tcPr>
            <w:tcW w:w="1418" w:type="dxa"/>
            <w:vAlign w:val="center"/>
          </w:tcPr>
          <w:p w14:paraId="6BE8464B">
            <w:pPr>
              <w:pStyle w:val="11"/>
              <w:keepNext/>
              <w:spacing w:after="0" w:line="360" w:lineRule="auto"/>
              <w:ind w:left="66" w:right="66"/>
              <w:rPr>
                <w:rFonts w:ascii="宋体" w:hAnsi="宋体" w:cs="宋体"/>
                <w:color w:val="000000"/>
                <w:sz w:val="24"/>
                <w:szCs w:val="24"/>
              </w:rPr>
            </w:pPr>
          </w:p>
        </w:tc>
        <w:tc>
          <w:tcPr>
            <w:tcW w:w="1134" w:type="dxa"/>
            <w:vAlign w:val="center"/>
          </w:tcPr>
          <w:p w14:paraId="49BB33F7">
            <w:pPr>
              <w:pStyle w:val="11"/>
              <w:keepNext/>
              <w:spacing w:after="0" w:line="360" w:lineRule="auto"/>
              <w:ind w:left="66" w:right="66"/>
              <w:rPr>
                <w:rFonts w:ascii="宋体" w:hAnsi="宋体" w:cs="宋体"/>
                <w:color w:val="000000"/>
                <w:sz w:val="24"/>
                <w:szCs w:val="24"/>
              </w:rPr>
            </w:pPr>
          </w:p>
        </w:tc>
        <w:tc>
          <w:tcPr>
            <w:tcW w:w="1134" w:type="dxa"/>
            <w:vAlign w:val="center"/>
          </w:tcPr>
          <w:p w14:paraId="75F1934E">
            <w:pPr>
              <w:pStyle w:val="11"/>
              <w:keepNext/>
              <w:spacing w:after="0" w:line="360" w:lineRule="auto"/>
              <w:ind w:left="66" w:right="66"/>
              <w:rPr>
                <w:rFonts w:ascii="宋体" w:hAnsi="宋体" w:cs="宋体"/>
                <w:color w:val="000000"/>
                <w:sz w:val="24"/>
                <w:szCs w:val="24"/>
              </w:rPr>
            </w:pPr>
          </w:p>
        </w:tc>
        <w:tc>
          <w:tcPr>
            <w:tcW w:w="4252" w:type="dxa"/>
            <w:vAlign w:val="center"/>
          </w:tcPr>
          <w:p w14:paraId="74F27AAE">
            <w:pPr>
              <w:pStyle w:val="11"/>
              <w:keepNext/>
              <w:spacing w:after="0" w:line="360" w:lineRule="auto"/>
              <w:ind w:left="66" w:right="66"/>
              <w:rPr>
                <w:rFonts w:ascii="宋体" w:hAnsi="宋体" w:cs="宋体"/>
                <w:color w:val="000000"/>
                <w:sz w:val="24"/>
                <w:szCs w:val="24"/>
              </w:rPr>
            </w:pPr>
          </w:p>
        </w:tc>
      </w:tr>
      <w:tr w14:paraId="03EB63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1871" w:type="dxa"/>
            <w:vMerge w:val="continue"/>
            <w:vAlign w:val="center"/>
          </w:tcPr>
          <w:p w14:paraId="6B8894A3">
            <w:pPr>
              <w:pStyle w:val="11"/>
              <w:keepNext/>
              <w:spacing w:after="0" w:line="360" w:lineRule="auto"/>
              <w:ind w:left="66" w:right="66"/>
              <w:rPr>
                <w:rFonts w:ascii="宋体" w:hAnsi="宋体" w:cs="宋体"/>
                <w:color w:val="000000"/>
                <w:sz w:val="24"/>
                <w:szCs w:val="24"/>
              </w:rPr>
            </w:pPr>
          </w:p>
        </w:tc>
        <w:tc>
          <w:tcPr>
            <w:tcW w:w="1418" w:type="dxa"/>
            <w:vAlign w:val="center"/>
          </w:tcPr>
          <w:p w14:paraId="429B1FA2">
            <w:pPr>
              <w:pStyle w:val="11"/>
              <w:keepNext/>
              <w:spacing w:after="0" w:line="360" w:lineRule="auto"/>
              <w:ind w:left="66" w:right="66"/>
              <w:rPr>
                <w:rFonts w:ascii="宋体" w:hAnsi="宋体" w:cs="宋体"/>
                <w:color w:val="000000"/>
                <w:sz w:val="24"/>
                <w:szCs w:val="24"/>
              </w:rPr>
            </w:pPr>
          </w:p>
        </w:tc>
        <w:tc>
          <w:tcPr>
            <w:tcW w:w="1134" w:type="dxa"/>
            <w:vAlign w:val="center"/>
          </w:tcPr>
          <w:p w14:paraId="2C333FEB">
            <w:pPr>
              <w:pStyle w:val="11"/>
              <w:keepNext/>
              <w:spacing w:after="0" w:line="360" w:lineRule="auto"/>
              <w:ind w:left="66" w:right="66"/>
              <w:rPr>
                <w:rFonts w:ascii="宋体" w:hAnsi="宋体" w:cs="宋体"/>
                <w:color w:val="000000"/>
                <w:sz w:val="24"/>
                <w:szCs w:val="24"/>
              </w:rPr>
            </w:pPr>
          </w:p>
        </w:tc>
        <w:tc>
          <w:tcPr>
            <w:tcW w:w="1134" w:type="dxa"/>
            <w:vAlign w:val="center"/>
          </w:tcPr>
          <w:p w14:paraId="4D901928">
            <w:pPr>
              <w:pStyle w:val="11"/>
              <w:keepNext/>
              <w:spacing w:after="0" w:line="360" w:lineRule="auto"/>
              <w:ind w:left="66" w:right="66"/>
              <w:rPr>
                <w:rFonts w:ascii="宋体" w:hAnsi="宋体" w:cs="宋体"/>
                <w:color w:val="000000"/>
                <w:sz w:val="24"/>
                <w:szCs w:val="24"/>
              </w:rPr>
            </w:pPr>
          </w:p>
        </w:tc>
        <w:tc>
          <w:tcPr>
            <w:tcW w:w="4252" w:type="dxa"/>
            <w:vAlign w:val="center"/>
          </w:tcPr>
          <w:p w14:paraId="62EF4503">
            <w:pPr>
              <w:pStyle w:val="11"/>
              <w:keepNext/>
              <w:spacing w:after="0" w:line="360" w:lineRule="auto"/>
              <w:ind w:left="66" w:right="66"/>
              <w:rPr>
                <w:rFonts w:ascii="宋体" w:hAnsi="宋体" w:cs="宋体"/>
                <w:color w:val="000000"/>
                <w:sz w:val="24"/>
                <w:szCs w:val="24"/>
              </w:rPr>
            </w:pPr>
          </w:p>
        </w:tc>
      </w:tr>
      <w:tr w14:paraId="0F02C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1871" w:type="dxa"/>
            <w:vMerge w:val="continue"/>
            <w:vAlign w:val="center"/>
          </w:tcPr>
          <w:p w14:paraId="3FB721D5">
            <w:pPr>
              <w:pStyle w:val="11"/>
              <w:keepNext/>
              <w:spacing w:after="0" w:line="360" w:lineRule="auto"/>
              <w:ind w:left="66" w:right="66"/>
              <w:rPr>
                <w:rFonts w:ascii="宋体" w:hAnsi="宋体" w:cs="宋体"/>
                <w:color w:val="000000"/>
                <w:sz w:val="24"/>
                <w:szCs w:val="24"/>
              </w:rPr>
            </w:pPr>
          </w:p>
        </w:tc>
        <w:tc>
          <w:tcPr>
            <w:tcW w:w="1418" w:type="dxa"/>
            <w:vAlign w:val="center"/>
          </w:tcPr>
          <w:p w14:paraId="2CB4432F">
            <w:pPr>
              <w:pStyle w:val="11"/>
              <w:keepNext/>
              <w:spacing w:after="0" w:line="360" w:lineRule="auto"/>
              <w:ind w:left="66" w:right="66"/>
              <w:rPr>
                <w:rFonts w:ascii="宋体" w:hAnsi="宋体" w:cs="宋体"/>
                <w:color w:val="000000"/>
                <w:sz w:val="24"/>
                <w:szCs w:val="24"/>
              </w:rPr>
            </w:pPr>
          </w:p>
        </w:tc>
        <w:tc>
          <w:tcPr>
            <w:tcW w:w="1134" w:type="dxa"/>
            <w:vAlign w:val="center"/>
          </w:tcPr>
          <w:p w14:paraId="48B154ED">
            <w:pPr>
              <w:pStyle w:val="11"/>
              <w:keepNext/>
              <w:spacing w:after="0" w:line="360" w:lineRule="auto"/>
              <w:ind w:left="66" w:right="66"/>
              <w:rPr>
                <w:rFonts w:ascii="宋体" w:hAnsi="宋体" w:cs="宋体"/>
                <w:color w:val="000000"/>
                <w:sz w:val="24"/>
                <w:szCs w:val="24"/>
              </w:rPr>
            </w:pPr>
          </w:p>
        </w:tc>
        <w:tc>
          <w:tcPr>
            <w:tcW w:w="1134" w:type="dxa"/>
            <w:vAlign w:val="center"/>
          </w:tcPr>
          <w:p w14:paraId="68A668CE">
            <w:pPr>
              <w:pStyle w:val="11"/>
              <w:keepNext/>
              <w:spacing w:after="0" w:line="360" w:lineRule="auto"/>
              <w:ind w:left="66" w:right="66"/>
              <w:rPr>
                <w:rFonts w:ascii="宋体" w:hAnsi="宋体" w:cs="宋体"/>
                <w:color w:val="000000"/>
                <w:sz w:val="24"/>
                <w:szCs w:val="24"/>
              </w:rPr>
            </w:pPr>
          </w:p>
        </w:tc>
        <w:tc>
          <w:tcPr>
            <w:tcW w:w="4252" w:type="dxa"/>
            <w:vAlign w:val="center"/>
          </w:tcPr>
          <w:p w14:paraId="57054290">
            <w:pPr>
              <w:pStyle w:val="11"/>
              <w:keepNext/>
              <w:spacing w:after="0" w:line="360" w:lineRule="auto"/>
              <w:ind w:left="66" w:right="66"/>
              <w:rPr>
                <w:rFonts w:ascii="宋体" w:hAnsi="宋体" w:cs="宋体"/>
                <w:color w:val="000000"/>
                <w:sz w:val="24"/>
                <w:szCs w:val="24"/>
              </w:rPr>
            </w:pPr>
          </w:p>
        </w:tc>
      </w:tr>
      <w:tr w14:paraId="4BA216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1871" w:type="dxa"/>
            <w:vMerge w:val="continue"/>
            <w:tcBorders>
              <w:bottom w:val="single" w:color="auto" w:sz="12" w:space="0"/>
            </w:tcBorders>
            <w:vAlign w:val="center"/>
          </w:tcPr>
          <w:p w14:paraId="10102737">
            <w:pPr>
              <w:pStyle w:val="11"/>
              <w:keepNext/>
              <w:spacing w:after="0" w:line="360" w:lineRule="auto"/>
              <w:ind w:left="66" w:right="66"/>
              <w:rPr>
                <w:rFonts w:ascii="宋体" w:hAnsi="宋体" w:cs="宋体"/>
                <w:color w:val="000000"/>
                <w:sz w:val="24"/>
                <w:szCs w:val="24"/>
              </w:rPr>
            </w:pPr>
          </w:p>
        </w:tc>
        <w:tc>
          <w:tcPr>
            <w:tcW w:w="1418" w:type="dxa"/>
            <w:tcBorders>
              <w:bottom w:val="single" w:color="auto" w:sz="12" w:space="0"/>
            </w:tcBorders>
            <w:vAlign w:val="center"/>
          </w:tcPr>
          <w:p w14:paraId="507D3271">
            <w:pPr>
              <w:pStyle w:val="11"/>
              <w:keepNext/>
              <w:spacing w:after="0" w:line="360" w:lineRule="auto"/>
              <w:ind w:left="66" w:right="66"/>
              <w:rPr>
                <w:rFonts w:ascii="宋体" w:hAnsi="宋体" w:cs="宋体"/>
                <w:color w:val="000000"/>
                <w:sz w:val="24"/>
                <w:szCs w:val="24"/>
              </w:rPr>
            </w:pPr>
          </w:p>
        </w:tc>
        <w:tc>
          <w:tcPr>
            <w:tcW w:w="1134" w:type="dxa"/>
            <w:tcBorders>
              <w:bottom w:val="single" w:color="auto" w:sz="12" w:space="0"/>
            </w:tcBorders>
            <w:vAlign w:val="center"/>
          </w:tcPr>
          <w:p w14:paraId="64550D18">
            <w:pPr>
              <w:pStyle w:val="11"/>
              <w:keepNext/>
              <w:spacing w:after="0" w:line="360" w:lineRule="auto"/>
              <w:ind w:left="66" w:right="66"/>
              <w:rPr>
                <w:rFonts w:ascii="宋体" w:hAnsi="宋体" w:cs="宋体"/>
                <w:color w:val="000000"/>
                <w:sz w:val="24"/>
                <w:szCs w:val="24"/>
              </w:rPr>
            </w:pPr>
          </w:p>
        </w:tc>
        <w:tc>
          <w:tcPr>
            <w:tcW w:w="1134" w:type="dxa"/>
            <w:tcBorders>
              <w:bottom w:val="single" w:color="auto" w:sz="12" w:space="0"/>
            </w:tcBorders>
            <w:vAlign w:val="center"/>
          </w:tcPr>
          <w:p w14:paraId="2B131829">
            <w:pPr>
              <w:pStyle w:val="11"/>
              <w:keepNext/>
              <w:spacing w:after="0" w:line="360" w:lineRule="auto"/>
              <w:ind w:left="66" w:right="66"/>
              <w:rPr>
                <w:rFonts w:ascii="宋体" w:hAnsi="宋体" w:cs="宋体"/>
                <w:color w:val="000000"/>
                <w:sz w:val="24"/>
                <w:szCs w:val="24"/>
              </w:rPr>
            </w:pPr>
          </w:p>
        </w:tc>
        <w:tc>
          <w:tcPr>
            <w:tcW w:w="4252" w:type="dxa"/>
            <w:tcBorders>
              <w:bottom w:val="single" w:color="auto" w:sz="12" w:space="0"/>
            </w:tcBorders>
            <w:vAlign w:val="center"/>
          </w:tcPr>
          <w:p w14:paraId="55411EDA">
            <w:pPr>
              <w:pStyle w:val="11"/>
              <w:keepNext/>
              <w:spacing w:after="0" w:line="360" w:lineRule="auto"/>
              <w:ind w:left="66" w:right="66"/>
              <w:rPr>
                <w:rFonts w:ascii="宋体" w:hAnsi="宋体" w:cs="宋体"/>
                <w:color w:val="000000"/>
                <w:sz w:val="24"/>
                <w:szCs w:val="24"/>
              </w:rPr>
            </w:pPr>
          </w:p>
        </w:tc>
      </w:tr>
    </w:tbl>
    <w:p w14:paraId="11332944">
      <w:pPr>
        <w:spacing w:line="360" w:lineRule="auto"/>
        <w:rPr>
          <w:rFonts w:ascii="宋体" w:hAnsi="宋体" w:cs="宋体"/>
          <w:color w:val="000000"/>
          <w:sz w:val="24"/>
          <w:szCs w:val="24"/>
        </w:rPr>
      </w:pPr>
      <w:r>
        <w:rPr>
          <w:rFonts w:hint="eastAsia" w:ascii="宋体" w:hAnsi="宋体" w:cs="宋体"/>
          <w:color w:val="000000"/>
          <w:sz w:val="24"/>
          <w:szCs w:val="24"/>
        </w:rPr>
        <w:br w:type="page"/>
      </w:r>
      <w:r>
        <w:rPr>
          <w:rFonts w:hint="eastAsia" w:ascii="宋体" w:hAnsi="宋体" w:cs="宋体"/>
          <w:color w:val="000000"/>
          <w:sz w:val="24"/>
          <w:szCs w:val="24"/>
        </w:rPr>
        <w:t>附</w:t>
      </w:r>
      <w:bookmarkStart w:id="1474" w:name="_Toc296891269"/>
      <w:bookmarkStart w:id="1475" w:name="_Toc296891057"/>
      <w:bookmarkStart w:id="1476" w:name="_Toc296346730"/>
      <w:bookmarkStart w:id="1477" w:name="_Toc296347228"/>
      <w:bookmarkStart w:id="1478" w:name="_Toc296944568"/>
      <w:bookmarkStart w:id="1479" w:name="_Toc296503229"/>
      <w:r>
        <w:rPr>
          <w:rFonts w:hint="eastAsia" w:ascii="宋体" w:hAnsi="宋体" w:cs="宋体"/>
          <w:color w:val="000000"/>
          <w:sz w:val="24"/>
          <w:szCs w:val="24"/>
        </w:rPr>
        <w:t>件7：</w:t>
      </w:r>
    </w:p>
    <w:bookmarkEnd w:id="1474"/>
    <w:bookmarkEnd w:id="1475"/>
    <w:bookmarkEnd w:id="1476"/>
    <w:bookmarkEnd w:id="1477"/>
    <w:bookmarkEnd w:id="1478"/>
    <w:bookmarkEnd w:id="1479"/>
    <w:p w14:paraId="622EFC09">
      <w:pPr>
        <w:spacing w:line="360" w:lineRule="auto"/>
        <w:jc w:val="center"/>
        <w:rPr>
          <w:rFonts w:ascii="宋体" w:hAnsi="宋体" w:cs="宋体"/>
          <w:color w:val="000000"/>
          <w:sz w:val="24"/>
          <w:szCs w:val="24"/>
        </w:rPr>
      </w:pPr>
      <w:r>
        <w:rPr>
          <w:rFonts w:hint="eastAsia" w:ascii="宋体" w:hAnsi="宋体" w:cs="宋体"/>
          <w:color w:val="000000"/>
          <w:sz w:val="24"/>
          <w:szCs w:val="24"/>
        </w:rPr>
        <w:t>分包人主要施工管理人员表</w:t>
      </w:r>
    </w:p>
    <w:tbl>
      <w:tblPr>
        <w:tblStyle w:val="3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F7DC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1871" w:type="dxa"/>
            <w:tcBorders>
              <w:top w:val="single" w:color="auto" w:sz="12" w:space="0"/>
              <w:bottom w:val="double" w:color="auto" w:sz="6" w:space="0"/>
            </w:tcBorders>
            <w:vAlign w:val="center"/>
          </w:tcPr>
          <w:p w14:paraId="1A878D35">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名    称</w:t>
            </w:r>
          </w:p>
        </w:tc>
        <w:tc>
          <w:tcPr>
            <w:tcW w:w="1418" w:type="dxa"/>
            <w:tcBorders>
              <w:top w:val="single" w:color="auto" w:sz="12" w:space="0"/>
              <w:bottom w:val="double" w:color="auto" w:sz="6" w:space="0"/>
            </w:tcBorders>
            <w:vAlign w:val="center"/>
          </w:tcPr>
          <w:p w14:paraId="2F9839BF">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姓名</w:t>
            </w:r>
          </w:p>
        </w:tc>
        <w:tc>
          <w:tcPr>
            <w:tcW w:w="1134" w:type="dxa"/>
            <w:tcBorders>
              <w:top w:val="single" w:color="auto" w:sz="12" w:space="0"/>
              <w:bottom w:val="double" w:color="auto" w:sz="6" w:space="0"/>
            </w:tcBorders>
            <w:vAlign w:val="center"/>
          </w:tcPr>
          <w:p w14:paraId="227B6A18">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职务</w:t>
            </w:r>
          </w:p>
        </w:tc>
        <w:tc>
          <w:tcPr>
            <w:tcW w:w="1134" w:type="dxa"/>
            <w:tcBorders>
              <w:top w:val="single" w:color="auto" w:sz="12" w:space="0"/>
              <w:bottom w:val="double" w:color="auto" w:sz="6" w:space="0"/>
            </w:tcBorders>
            <w:vAlign w:val="center"/>
          </w:tcPr>
          <w:p w14:paraId="29A7724C">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职称</w:t>
            </w:r>
          </w:p>
        </w:tc>
        <w:tc>
          <w:tcPr>
            <w:tcW w:w="4252" w:type="dxa"/>
            <w:tcBorders>
              <w:top w:val="single" w:color="auto" w:sz="12" w:space="0"/>
              <w:bottom w:val="double" w:color="auto" w:sz="6" w:space="0"/>
            </w:tcBorders>
            <w:vAlign w:val="center"/>
          </w:tcPr>
          <w:p w14:paraId="31F1CCD5">
            <w:pPr>
              <w:pStyle w:val="11"/>
              <w:keepNext/>
              <w:spacing w:after="0" w:line="360" w:lineRule="auto"/>
              <w:ind w:left="66" w:right="66"/>
              <w:jc w:val="center"/>
              <w:rPr>
                <w:rFonts w:ascii="宋体" w:hAnsi="宋体" w:cs="宋体"/>
                <w:color w:val="000000"/>
                <w:sz w:val="24"/>
                <w:szCs w:val="24"/>
              </w:rPr>
            </w:pPr>
            <w:r>
              <w:rPr>
                <w:rFonts w:hint="eastAsia" w:ascii="宋体" w:hAnsi="宋体" w:cs="宋体"/>
                <w:color w:val="000000"/>
                <w:sz w:val="24"/>
                <w:szCs w:val="24"/>
              </w:rPr>
              <w:t>主要资历、经验及承担过的项目</w:t>
            </w:r>
          </w:p>
        </w:tc>
      </w:tr>
      <w:tr w14:paraId="2090F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09" w:type="dxa"/>
            <w:gridSpan w:val="5"/>
            <w:tcBorders>
              <w:top w:val="double" w:color="auto" w:sz="6" w:space="0"/>
              <w:bottom w:val="single" w:color="auto" w:sz="6" w:space="0"/>
            </w:tcBorders>
            <w:vAlign w:val="center"/>
          </w:tcPr>
          <w:p w14:paraId="69809809">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一、总部人员</w:t>
            </w:r>
          </w:p>
        </w:tc>
      </w:tr>
      <w:tr w14:paraId="443C66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1871" w:type="dxa"/>
            <w:tcBorders>
              <w:top w:val="nil"/>
              <w:bottom w:val="nil"/>
            </w:tcBorders>
            <w:vAlign w:val="center"/>
          </w:tcPr>
          <w:p w14:paraId="47293180">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项目主管</w:t>
            </w:r>
          </w:p>
        </w:tc>
        <w:tc>
          <w:tcPr>
            <w:tcW w:w="1418" w:type="dxa"/>
            <w:tcBorders>
              <w:top w:val="nil"/>
            </w:tcBorders>
            <w:vAlign w:val="center"/>
          </w:tcPr>
          <w:p w14:paraId="3813D5D7">
            <w:pPr>
              <w:pStyle w:val="11"/>
              <w:keepNext/>
              <w:spacing w:after="0" w:line="360" w:lineRule="auto"/>
              <w:ind w:left="66" w:right="66"/>
              <w:rPr>
                <w:rFonts w:ascii="宋体" w:hAnsi="宋体" w:cs="宋体"/>
                <w:color w:val="000000"/>
                <w:sz w:val="24"/>
                <w:szCs w:val="24"/>
              </w:rPr>
            </w:pPr>
          </w:p>
        </w:tc>
        <w:tc>
          <w:tcPr>
            <w:tcW w:w="1134" w:type="dxa"/>
            <w:tcBorders>
              <w:top w:val="nil"/>
            </w:tcBorders>
            <w:vAlign w:val="center"/>
          </w:tcPr>
          <w:p w14:paraId="155BBB60">
            <w:pPr>
              <w:pStyle w:val="11"/>
              <w:keepNext/>
              <w:spacing w:after="0" w:line="360" w:lineRule="auto"/>
              <w:ind w:left="66" w:right="66"/>
              <w:rPr>
                <w:rFonts w:ascii="宋体" w:hAnsi="宋体" w:cs="宋体"/>
                <w:color w:val="000000"/>
                <w:sz w:val="24"/>
                <w:szCs w:val="24"/>
              </w:rPr>
            </w:pPr>
          </w:p>
        </w:tc>
        <w:tc>
          <w:tcPr>
            <w:tcW w:w="1134" w:type="dxa"/>
            <w:tcBorders>
              <w:top w:val="nil"/>
            </w:tcBorders>
            <w:vAlign w:val="center"/>
          </w:tcPr>
          <w:p w14:paraId="0F7B2A5E">
            <w:pPr>
              <w:pStyle w:val="11"/>
              <w:keepNext/>
              <w:spacing w:after="0" w:line="360" w:lineRule="auto"/>
              <w:ind w:left="66" w:right="66"/>
              <w:rPr>
                <w:rFonts w:ascii="宋体" w:hAnsi="宋体" w:cs="宋体"/>
                <w:color w:val="000000"/>
                <w:sz w:val="24"/>
                <w:szCs w:val="24"/>
              </w:rPr>
            </w:pPr>
          </w:p>
        </w:tc>
        <w:tc>
          <w:tcPr>
            <w:tcW w:w="4252" w:type="dxa"/>
            <w:tcBorders>
              <w:top w:val="nil"/>
            </w:tcBorders>
            <w:vAlign w:val="center"/>
          </w:tcPr>
          <w:p w14:paraId="03101DAB">
            <w:pPr>
              <w:pStyle w:val="11"/>
              <w:keepNext/>
              <w:spacing w:after="0" w:line="360" w:lineRule="auto"/>
              <w:ind w:left="66" w:right="66"/>
              <w:rPr>
                <w:rFonts w:ascii="宋体" w:hAnsi="宋体" w:cs="宋体"/>
                <w:color w:val="000000"/>
                <w:sz w:val="24"/>
                <w:szCs w:val="24"/>
              </w:rPr>
            </w:pPr>
          </w:p>
        </w:tc>
      </w:tr>
      <w:tr w14:paraId="6B626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1871" w:type="dxa"/>
            <w:tcBorders>
              <w:top w:val="single" w:color="auto" w:sz="6" w:space="0"/>
              <w:bottom w:val="nil"/>
            </w:tcBorders>
            <w:vAlign w:val="center"/>
          </w:tcPr>
          <w:p w14:paraId="7EC2677F">
            <w:pPr>
              <w:pStyle w:val="11"/>
              <w:keepNext/>
              <w:spacing w:after="0" w:line="360" w:lineRule="auto"/>
              <w:ind w:left="66" w:right="66"/>
              <w:rPr>
                <w:rFonts w:ascii="宋体" w:hAnsi="宋体" w:cs="宋体"/>
                <w:color w:val="000000"/>
                <w:sz w:val="24"/>
                <w:szCs w:val="24"/>
              </w:rPr>
            </w:pPr>
          </w:p>
        </w:tc>
        <w:tc>
          <w:tcPr>
            <w:tcW w:w="1418" w:type="dxa"/>
            <w:vAlign w:val="center"/>
          </w:tcPr>
          <w:p w14:paraId="752557D9">
            <w:pPr>
              <w:pStyle w:val="11"/>
              <w:keepNext/>
              <w:spacing w:after="0" w:line="360" w:lineRule="auto"/>
              <w:ind w:left="66" w:right="66"/>
              <w:rPr>
                <w:rFonts w:ascii="宋体" w:hAnsi="宋体" w:cs="宋体"/>
                <w:color w:val="000000"/>
                <w:sz w:val="24"/>
                <w:szCs w:val="24"/>
              </w:rPr>
            </w:pPr>
          </w:p>
        </w:tc>
        <w:tc>
          <w:tcPr>
            <w:tcW w:w="1134" w:type="dxa"/>
            <w:vAlign w:val="center"/>
          </w:tcPr>
          <w:p w14:paraId="1E69E9E0">
            <w:pPr>
              <w:pStyle w:val="11"/>
              <w:keepNext/>
              <w:spacing w:after="0" w:line="360" w:lineRule="auto"/>
              <w:ind w:left="66" w:right="66"/>
              <w:rPr>
                <w:rFonts w:ascii="宋体" w:hAnsi="宋体" w:cs="宋体"/>
                <w:color w:val="000000"/>
                <w:sz w:val="24"/>
                <w:szCs w:val="24"/>
              </w:rPr>
            </w:pPr>
          </w:p>
        </w:tc>
        <w:tc>
          <w:tcPr>
            <w:tcW w:w="1134" w:type="dxa"/>
            <w:vAlign w:val="center"/>
          </w:tcPr>
          <w:p w14:paraId="75DF1C96">
            <w:pPr>
              <w:pStyle w:val="11"/>
              <w:keepNext/>
              <w:spacing w:after="0" w:line="360" w:lineRule="auto"/>
              <w:ind w:left="66" w:right="66"/>
              <w:rPr>
                <w:rFonts w:ascii="宋体" w:hAnsi="宋体" w:cs="宋体"/>
                <w:color w:val="000000"/>
                <w:sz w:val="24"/>
                <w:szCs w:val="24"/>
              </w:rPr>
            </w:pPr>
          </w:p>
        </w:tc>
        <w:tc>
          <w:tcPr>
            <w:tcW w:w="4252" w:type="dxa"/>
            <w:vAlign w:val="center"/>
          </w:tcPr>
          <w:p w14:paraId="774C63F3">
            <w:pPr>
              <w:pStyle w:val="11"/>
              <w:keepNext/>
              <w:spacing w:after="0" w:line="360" w:lineRule="auto"/>
              <w:ind w:left="66" w:right="66"/>
              <w:rPr>
                <w:rFonts w:ascii="宋体" w:hAnsi="宋体" w:cs="宋体"/>
                <w:color w:val="000000"/>
                <w:sz w:val="24"/>
                <w:szCs w:val="24"/>
              </w:rPr>
            </w:pPr>
          </w:p>
        </w:tc>
      </w:tr>
      <w:tr w14:paraId="247D6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1871" w:type="dxa"/>
            <w:tcBorders>
              <w:top w:val="nil"/>
              <w:bottom w:val="nil"/>
            </w:tcBorders>
            <w:vAlign w:val="center"/>
          </w:tcPr>
          <w:p w14:paraId="3AE5F8B2">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其他人员</w:t>
            </w:r>
          </w:p>
        </w:tc>
        <w:tc>
          <w:tcPr>
            <w:tcW w:w="1418" w:type="dxa"/>
            <w:vAlign w:val="center"/>
          </w:tcPr>
          <w:p w14:paraId="4A319444">
            <w:pPr>
              <w:pStyle w:val="11"/>
              <w:keepNext/>
              <w:spacing w:after="0" w:line="360" w:lineRule="auto"/>
              <w:ind w:left="66" w:right="66"/>
              <w:rPr>
                <w:rFonts w:ascii="宋体" w:hAnsi="宋体" w:cs="宋体"/>
                <w:color w:val="000000"/>
                <w:sz w:val="24"/>
                <w:szCs w:val="24"/>
              </w:rPr>
            </w:pPr>
          </w:p>
        </w:tc>
        <w:tc>
          <w:tcPr>
            <w:tcW w:w="1134" w:type="dxa"/>
            <w:vAlign w:val="center"/>
          </w:tcPr>
          <w:p w14:paraId="335CFDB3">
            <w:pPr>
              <w:pStyle w:val="11"/>
              <w:keepNext/>
              <w:spacing w:after="0" w:line="360" w:lineRule="auto"/>
              <w:ind w:left="66" w:right="66"/>
              <w:rPr>
                <w:rFonts w:ascii="宋体" w:hAnsi="宋体" w:cs="宋体"/>
                <w:color w:val="000000"/>
                <w:sz w:val="24"/>
                <w:szCs w:val="24"/>
              </w:rPr>
            </w:pPr>
          </w:p>
        </w:tc>
        <w:tc>
          <w:tcPr>
            <w:tcW w:w="1134" w:type="dxa"/>
            <w:vAlign w:val="center"/>
          </w:tcPr>
          <w:p w14:paraId="77161BFC">
            <w:pPr>
              <w:pStyle w:val="11"/>
              <w:keepNext/>
              <w:spacing w:after="0" w:line="360" w:lineRule="auto"/>
              <w:ind w:left="66" w:right="66"/>
              <w:rPr>
                <w:rFonts w:ascii="宋体" w:hAnsi="宋体" w:cs="宋体"/>
                <w:color w:val="000000"/>
                <w:sz w:val="24"/>
                <w:szCs w:val="24"/>
              </w:rPr>
            </w:pPr>
          </w:p>
        </w:tc>
        <w:tc>
          <w:tcPr>
            <w:tcW w:w="4252" w:type="dxa"/>
            <w:vAlign w:val="center"/>
          </w:tcPr>
          <w:p w14:paraId="2075D615">
            <w:pPr>
              <w:pStyle w:val="11"/>
              <w:keepNext/>
              <w:spacing w:after="0" w:line="360" w:lineRule="auto"/>
              <w:ind w:left="66" w:right="66"/>
              <w:rPr>
                <w:rFonts w:ascii="宋体" w:hAnsi="宋体" w:cs="宋体"/>
                <w:color w:val="000000"/>
                <w:sz w:val="24"/>
                <w:szCs w:val="24"/>
              </w:rPr>
            </w:pPr>
          </w:p>
        </w:tc>
      </w:tr>
      <w:tr w14:paraId="4A8646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1871" w:type="dxa"/>
            <w:tcBorders>
              <w:top w:val="nil"/>
              <w:bottom w:val="nil"/>
            </w:tcBorders>
            <w:vAlign w:val="center"/>
          </w:tcPr>
          <w:p w14:paraId="4B0E5374">
            <w:pPr>
              <w:pStyle w:val="11"/>
              <w:keepNext/>
              <w:spacing w:after="0" w:line="360" w:lineRule="auto"/>
              <w:ind w:left="66" w:right="66"/>
              <w:rPr>
                <w:rFonts w:ascii="宋体" w:hAnsi="宋体" w:cs="宋体"/>
                <w:color w:val="000000"/>
                <w:sz w:val="24"/>
                <w:szCs w:val="24"/>
              </w:rPr>
            </w:pPr>
          </w:p>
        </w:tc>
        <w:tc>
          <w:tcPr>
            <w:tcW w:w="1418" w:type="dxa"/>
            <w:vAlign w:val="center"/>
          </w:tcPr>
          <w:p w14:paraId="29E43C5E">
            <w:pPr>
              <w:pStyle w:val="11"/>
              <w:keepNext/>
              <w:spacing w:after="0" w:line="360" w:lineRule="auto"/>
              <w:ind w:left="66" w:right="66"/>
              <w:rPr>
                <w:rFonts w:ascii="宋体" w:hAnsi="宋体" w:cs="宋体"/>
                <w:color w:val="000000"/>
                <w:sz w:val="24"/>
                <w:szCs w:val="24"/>
              </w:rPr>
            </w:pPr>
          </w:p>
        </w:tc>
        <w:tc>
          <w:tcPr>
            <w:tcW w:w="1134" w:type="dxa"/>
            <w:vAlign w:val="center"/>
          </w:tcPr>
          <w:p w14:paraId="4EFD0E78">
            <w:pPr>
              <w:pStyle w:val="11"/>
              <w:keepNext/>
              <w:spacing w:after="0" w:line="360" w:lineRule="auto"/>
              <w:ind w:left="66" w:right="66"/>
              <w:rPr>
                <w:rFonts w:ascii="宋体" w:hAnsi="宋体" w:cs="宋体"/>
                <w:color w:val="000000"/>
                <w:sz w:val="24"/>
                <w:szCs w:val="24"/>
              </w:rPr>
            </w:pPr>
          </w:p>
        </w:tc>
        <w:tc>
          <w:tcPr>
            <w:tcW w:w="1134" w:type="dxa"/>
            <w:vAlign w:val="center"/>
          </w:tcPr>
          <w:p w14:paraId="7D60E0CC">
            <w:pPr>
              <w:pStyle w:val="11"/>
              <w:keepNext/>
              <w:spacing w:after="0" w:line="360" w:lineRule="auto"/>
              <w:ind w:left="66" w:right="66"/>
              <w:rPr>
                <w:rFonts w:ascii="宋体" w:hAnsi="宋体" w:cs="宋体"/>
                <w:color w:val="000000"/>
                <w:sz w:val="24"/>
                <w:szCs w:val="24"/>
              </w:rPr>
            </w:pPr>
          </w:p>
        </w:tc>
        <w:tc>
          <w:tcPr>
            <w:tcW w:w="4252" w:type="dxa"/>
            <w:vAlign w:val="center"/>
          </w:tcPr>
          <w:p w14:paraId="4B4835D6">
            <w:pPr>
              <w:pStyle w:val="11"/>
              <w:keepNext/>
              <w:spacing w:after="0" w:line="360" w:lineRule="auto"/>
              <w:ind w:left="66" w:right="66"/>
              <w:rPr>
                <w:rFonts w:ascii="宋体" w:hAnsi="宋体" w:cs="宋体"/>
                <w:color w:val="000000"/>
                <w:sz w:val="24"/>
                <w:szCs w:val="24"/>
              </w:rPr>
            </w:pPr>
          </w:p>
        </w:tc>
      </w:tr>
      <w:tr w14:paraId="1998C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2" w:hRule="atLeast"/>
          <w:jc w:val="center"/>
        </w:trPr>
        <w:tc>
          <w:tcPr>
            <w:tcW w:w="9809" w:type="dxa"/>
            <w:gridSpan w:val="5"/>
            <w:tcBorders>
              <w:top w:val="single" w:color="auto" w:sz="6" w:space="0"/>
              <w:bottom w:val="single" w:color="auto" w:sz="6" w:space="0"/>
            </w:tcBorders>
            <w:vAlign w:val="center"/>
          </w:tcPr>
          <w:p w14:paraId="0AC7E275">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二、现场人员</w:t>
            </w:r>
          </w:p>
        </w:tc>
      </w:tr>
      <w:tr w14:paraId="108E09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871" w:type="dxa"/>
            <w:tcBorders>
              <w:top w:val="single" w:color="auto" w:sz="6" w:space="0"/>
              <w:bottom w:val="single" w:color="auto" w:sz="6" w:space="0"/>
            </w:tcBorders>
            <w:vAlign w:val="center"/>
          </w:tcPr>
          <w:p w14:paraId="6E8D41B0">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项目经理</w:t>
            </w:r>
          </w:p>
        </w:tc>
        <w:tc>
          <w:tcPr>
            <w:tcW w:w="1418" w:type="dxa"/>
            <w:vAlign w:val="center"/>
          </w:tcPr>
          <w:p w14:paraId="6A1CB711">
            <w:pPr>
              <w:pStyle w:val="11"/>
              <w:keepNext/>
              <w:spacing w:after="0" w:line="360" w:lineRule="auto"/>
              <w:ind w:left="66" w:right="66"/>
              <w:rPr>
                <w:rFonts w:ascii="宋体" w:hAnsi="宋体" w:cs="宋体"/>
                <w:color w:val="000000"/>
                <w:sz w:val="24"/>
                <w:szCs w:val="24"/>
              </w:rPr>
            </w:pPr>
          </w:p>
        </w:tc>
        <w:tc>
          <w:tcPr>
            <w:tcW w:w="1134" w:type="dxa"/>
            <w:vAlign w:val="center"/>
          </w:tcPr>
          <w:p w14:paraId="755D14FC">
            <w:pPr>
              <w:pStyle w:val="11"/>
              <w:keepNext/>
              <w:spacing w:after="0" w:line="360" w:lineRule="auto"/>
              <w:ind w:left="66" w:right="66"/>
              <w:rPr>
                <w:rFonts w:ascii="宋体" w:hAnsi="宋体" w:cs="宋体"/>
                <w:color w:val="000000"/>
                <w:sz w:val="24"/>
                <w:szCs w:val="24"/>
              </w:rPr>
            </w:pPr>
          </w:p>
        </w:tc>
        <w:tc>
          <w:tcPr>
            <w:tcW w:w="1134" w:type="dxa"/>
            <w:vAlign w:val="center"/>
          </w:tcPr>
          <w:p w14:paraId="079B21EA">
            <w:pPr>
              <w:pStyle w:val="11"/>
              <w:keepNext/>
              <w:spacing w:after="0" w:line="360" w:lineRule="auto"/>
              <w:ind w:left="66" w:right="66"/>
              <w:rPr>
                <w:rFonts w:ascii="宋体" w:hAnsi="宋体" w:cs="宋体"/>
                <w:color w:val="000000"/>
                <w:sz w:val="24"/>
                <w:szCs w:val="24"/>
              </w:rPr>
            </w:pPr>
          </w:p>
        </w:tc>
        <w:tc>
          <w:tcPr>
            <w:tcW w:w="4252" w:type="dxa"/>
            <w:vAlign w:val="center"/>
          </w:tcPr>
          <w:p w14:paraId="4C8878EF">
            <w:pPr>
              <w:pStyle w:val="11"/>
              <w:keepNext/>
              <w:spacing w:after="0" w:line="360" w:lineRule="auto"/>
              <w:ind w:left="66" w:right="66"/>
              <w:rPr>
                <w:rFonts w:ascii="宋体" w:hAnsi="宋体" w:cs="宋体"/>
                <w:color w:val="000000"/>
                <w:sz w:val="24"/>
                <w:szCs w:val="24"/>
              </w:rPr>
            </w:pPr>
          </w:p>
        </w:tc>
      </w:tr>
      <w:tr w14:paraId="585C7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871" w:type="dxa"/>
            <w:tcBorders>
              <w:top w:val="single" w:color="auto" w:sz="6" w:space="0"/>
              <w:bottom w:val="single" w:color="auto" w:sz="6" w:space="0"/>
            </w:tcBorders>
            <w:vAlign w:val="center"/>
          </w:tcPr>
          <w:p w14:paraId="19F2AF98">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项目副经理</w:t>
            </w:r>
          </w:p>
        </w:tc>
        <w:tc>
          <w:tcPr>
            <w:tcW w:w="1418" w:type="dxa"/>
            <w:vAlign w:val="center"/>
          </w:tcPr>
          <w:p w14:paraId="2FAAD1B1">
            <w:pPr>
              <w:pStyle w:val="11"/>
              <w:keepNext/>
              <w:spacing w:after="0" w:line="360" w:lineRule="auto"/>
              <w:ind w:left="66" w:right="66"/>
              <w:rPr>
                <w:rFonts w:ascii="宋体" w:hAnsi="宋体" w:cs="宋体"/>
                <w:color w:val="000000"/>
                <w:sz w:val="24"/>
                <w:szCs w:val="24"/>
              </w:rPr>
            </w:pPr>
          </w:p>
        </w:tc>
        <w:tc>
          <w:tcPr>
            <w:tcW w:w="1134" w:type="dxa"/>
            <w:vAlign w:val="center"/>
          </w:tcPr>
          <w:p w14:paraId="676BA972">
            <w:pPr>
              <w:pStyle w:val="11"/>
              <w:keepNext/>
              <w:spacing w:after="0" w:line="360" w:lineRule="auto"/>
              <w:ind w:left="66" w:right="66"/>
              <w:rPr>
                <w:rFonts w:ascii="宋体" w:hAnsi="宋体" w:cs="宋体"/>
                <w:color w:val="000000"/>
                <w:sz w:val="24"/>
                <w:szCs w:val="24"/>
              </w:rPr>
            </w:pPr>
          </w:p>
        </w:tc>
        <w:tc>
          <w:tcPr>
            <w:tcW w:w="1134" w:type="dxa"/>
            <w:vAlign w:val="center"/>
          </w:tcPr>
          <w:p w14:paraId="24DC1FC8">
            <w:pPr>
              <w:pStyle w:val="11"/>
              <w:keepNext/>
              <w:spacing w:after="0" w:line="360" w:lineRule="auto"/>
              <w:ind w:left="66" w:right="66"/>
              <w:rPr>
                <w:rFonts w:ascii="宋体" w:hAnsi="宋体" w:cs="宋体"/>
                <w:color w:val="000000"/>
                <w:sz w:val="24"/>
                <w:szCs w:val="24"/>
              </w:rPr>
            </w:pPr>
          </w:p>
        </w:tc>
        <w:tc>
          <w:tcPr>
            <w:tcW w:w="4252" w:type="dxa"/>
            <w:vAlign w:val="center"/>
          </w:tcPr>
          <w:p w14:paraId="5B996B53">
            <w:pPr>
              <w:pStyle w:val="11"/>
              <w:keepNext/>
              <w:spacing w:after="0" w:line="360" w:lineRule="auto"/>
              <w:ind w:left="66" w:right="66"/>
              <w:rPr>
                <w:rFonts w:ascii="宋体" w:hAnsi="宋体" w:cs="宋体"/>
                <w:color w:val="000000"/>
                <w:sz w:val="24"/>
                <w:szCs w:val="24"/>
              </w:rPr>
            </w:pPr>
          </w:p>
        </w:tc>
      </w:tr>
      <w:tr w14:paraId="5098AD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1871" w:type="dxa"/>
            <w:tcBorders>
              <w:top w:val="single" w:color="auto" w:sz="6" w:space="0"/>
              <w:bottom w:val="single" w:color="auto" w:sz="6" w:space="0"/>
            </w:tcBorders>
            <w:vAlign w:val="center"/>
          </w:tcPr>
          <w:p w14:paraId="12535B50">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技术负责人</w:t>
            </w:r>
          </w:p>
        </w:tc>
        <w:tc>
          <w:tcPr>
            <w:tcW w:w="1418" w:type="dxa"/>
            <w:vAlign w:val="center"/>
          </w:tcPr>
          <w:p w14:paraId="6FE6B2F3">
            <w:pPr>
              <w:pStyle w:val="11"/>
              <w:keepNext/>
              <w:spacing w:after="0" w:line="360" w:lineRule="auto"/>
              <w:ind w:left="66" w:right="66"/>
              <w:rPr>
                <w:rFonts w:ascii="宋体" w:hAnsi="宋体" w:cs="宋体"/>
                <w:color w:val="000000"/>
                <w:sz w:val="24"/>
                <w:szCs w:val="24"/>
              </w:rPr>
            </w:pPr>
          </w:p>
        </w:tc>
        <w:tc>
          <w:tcPr>
            <w:tcW w:w="1134" w:type="dxa"/>
            <w:vAlign w:val="center"/>
          </w:tcPr>
          <w:p w14:paraId="6F3981B6">
            <w:pPr>
              <w:pStyle w:val="11"/>
              <w:keepNext/>
              <w:spacing w:after="0" w:line="360" w:lineRule="auto"/>
              <w:ind w:left="66" w:right="66"/>
              <w:rPr>
                <w:rFonts w:ascii="宋体" w:hAnsi="宋体" w:cs="宋体"/>
                <w:color w:val="000000"/>
                <w:sz w:val="24"/>
                <w:szCs w:val="24"/>
              </w:rPr>
            </w:pPr>
          </w:p>
        </w:tc>
        <w:tc>
          <w:tcPr>
            <w:tcW w:w="1134" w:type="dxa"/>
            <w:vAlign w:val="center"/>
          </w:tcPr>
          <w:p w14:paraId="76DDEAF4">
            <w:pPr>
              <w:pStyle w:val="11"/>
              <w:keepNext/>
              <w:spacing w:after="0" w:line="360" w:lineRule="auto"/>
              <w:ind w:left="66" w:right="66"/>
              <w:rPr>
                <w:rFonts w:ascii="宋体" w:hAnsi="宋体" w:cs="宋体"/>
                <w:color w:val="000000"/>
                <w:sz w:val="24"/>
                <w:szCs w:val="24"/>
              </w:rPr>
            </w:pPr>
          </w:p>
        </w:tc>
        <w:tc>
          <w:tcPr>
            <w:tcW w:w="4252" w:type="dxa"/>
            <w:vAlign w:val="center"/>
          </w:tcPr>
          <w:p w14:paraId="22F4F13E">
            <w:pPr>
              <w:pStyle w:val="11"/>
              <w:keepNext/>
              <w:spacing w:after="0" w:line="360" w:lineRule="auto"/>
              <w:ind w:left="66" w:right="66"/>
              <w:rPr>
                <w:rFonts w:ascii="宋体" w:hAnsi="宋体" w:cs="宋体"/>
                <w:color w:val="000000"/>
                <w:sz w:val="24"/>
                <w:szCs w:val="24"/>
              </w:rPr>
            </w:pPr>
          </w:p>
        </w:tc>
      </w:tr>
      <w:tr w14:paraId="7762D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1871" w:type="dxa"/>
            <w:tcBorders>
              <w:top w:val="single" w:color="auto" w:sz="6" w:space="0"/>
              <w:bottom w:val="single" w:color="auto" w:sz="6" w:space="0"/>
            </w:tcBorders>
            <w:vAlign w:val="center"/>
          </w:tcPr>
          <w:p w14:paraId="1BF9D1FC">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造价管理</w:t>
            </w:r>
          </w:p>
        </w:tc>
        <w:tc>
          <w:tcPr>
            <w:tcW w:w="1418" w:type="dxa"/>
            <w:vAlign w:val="center"/>
          </w:tcPr>
          <w:p w14:paraId="70026B11">
            <w:pPr>
              <w:pStyle w:val="11"/>
              <w:keepNext/>
              <w:spacing w:after="0" w:line="360" w:lineRule="auto"/>
              <w:ind w:left="66" w:right="66"/>
              <w:rPr>
                <w:rFonts w:ascii="宋体" w:hAnsi="宋体" w:cs="宋体"/>
                <w:color w:val="000000"/>
                <w:sz w:val="24"/>
                <w:szCs w:val="24"/>
              </w:rPr>
            </w:pPr>
          </w:p>
        </w:tc>
        <w:tc>
          <w:tcPr>
            <w:tcW w:w="1134" w:type="dxa"/>
            <w:vAlign w:val="center"/>
          </w:tcPr>
          <w:p w14:paraId="372A8925">
            <w:pPr>
              <w:pStyle w:val="11"/>
              <w:keepNext/>
              <w:spacing w:after="0" w:line="360" w:lineRule="auto"/>
              <w:ind w:left="66" w:right="66"/>
              <w:rPr>
                <w:rFonts w:ascii="宋体" w:hAnsi="宋体" w:cs="宋体"/>
                <w:color w:val="000000"/>
                <w:sz w:val="24"/>
                <w:szCs w:val="24"/>
              </w:rPr>
            </w:pPr>
          </w:p>
        </w:tc>
        <w:tc>
          <w:tcPr>
            <w:tcW w:w="1134" w:type="dxa"/>
            <w:vAlign w:val="center"/>
          </w:tcPr>
          <w:p w14:paraId="7187FD43">
            <w:pPr>
              <w:pStyle w:val="11"/>
              <w:keepNext/>
              <w:spacing w:after="0" w:line="360" w:lineRule="auto"/>
              <w:ind w:left="66" w:right="66"/>
              <w:rPr>
                <w:rFonts w:ascii="宋体" w:hAnsi="宋体" w:cs="宋体"/>
                <w:color w:val="000000"/>
                <w:sz w:val="24"/>
                <w:szCs w:val="24"/>
              </w:rPr>
            </w:pPr>
          </w:p>
        </w:tc>
        <w:tc>
          <w:tcPr>
            <w:tcW w:w="4252" w:type="dxa"/>
            <w:vAlign w:val="center"/>
          </w:tcPr>
          <w:p w14:paraId="588DA9ED">
            <w:pPr>
              <w:pStyle w:val="11"/>
              <w:keepNext/>
              <w:spacing w:after="0" w:line="360" w:lineRule="auto"/>
              <w:ind w:left="66" w:right="66"/>
              <w:rPr>
                <w:rFonts w:ascii="宋体" w:hAnsi="宋体" w:cs="宋体"/>
                <w:color w:val="000000"/>
                <w:sz w:val="24"/>
                <w:szCs w:val="24"/>
              </w:rPr>
            </w:pPr>
          </w:p>
        </w:tc>
      </w:tr>
      <w:tr w14:paraId="1D1DC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7" w:hRule="atLeast"/>
          <w:jc w:val="center"/>
        </w:trPr>
        <w:tc>
          <w:tcPr>
            <w:tcW w:w="1871" w:type="dxa"/>
            <w:tcBorders>
              <w:top w:val="single" w:color="auto" w:sz="6" w:space="0"/>
              <w:bottom w:val="single" w:color="auto" w:sz="6" w:space="0"/>
            </w:tcBorders>
            <w:vAlign w:val="center"/>
          </w:tcPr>
          <w:p w14:paraId="6895EA6C">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质量管理</w:t>
            </w:r>
          </w:p>
        </w:tc>
        <w:tc>
          <w:tcPr>
            <w:tcW w:w="1418" w:type="dxa"/>
            <w:vAlign w:val="center"/>
          </w:tcPr>
          <w:p w14:paraId="5DB01A2A">
            <w:pPr>
              <w:pStyle w:val="11"/>
              <w:keepNext/>
              <w:spacing w:after="0" w:line="360" w:lineRule="auto"/>
              <w:ind w:left="66" w:right="66"/>
              <w:rPr>
                <w:rFonts w:ascii="宋体" w:hAnsi="宋体" w:cs="宋体"/>
                <w:color w:val="000000"/>
                <w:sz w:val="24"/>
                <w:szCs w:val="24"/>
              </w:rPr>
            </w:pPr>
          </w:p>
        </w:tc>
        <w:tc>
          <w:tcPr>
            <w:tcW w:w="1134" w:type="dxa"/>
            <w:vAlign w:val="center"/>
          </w:tcPr>
          <w:p w14:paraId="3653241E">
            <w:pPr>
              <w:pStyle w:val="11"/>
              <w:keepNext/>
              <w:spacing w:after="0" w:line="360" w:lineRule="auto"/>
              <w:ind w:left="66" w:right="66"/>
              <w:rPr>
                <w:rFonts w:ascii="宋体" w:hAnsi="宋体" w:cs="宋体"/>
                <w:color w:val="000000"/>
                <w:sz w:val="24"/>
                <w:szCs w:val="24"/>
              </w:rPr>
            </w:pPr>
          </w:p>
        </w:tc>
        <w:tc>
          <w:tcPr>
            <w:tcW w:w="1134" w:type="dxa"/>
            <w:vAlign w:val="center"/>
          </w:tcPr>
          <w:p w14:paraId="13AEE6BC">
            <w:pPr>
              <w:pStyle w:val="11"/>
              <w:keepNext/>
              <w:spacing w:after="0" w:line="360" w:lineRule="auto"/>
              <w:ind w:left="66" w:right="66"/>
              <w:rPr>
                <w:rFonts w:ascii="宋体" w:hAnsi="宋体" w:cs="宋体"/>
                <w:color w:val="000000"/>
                <w:sz w:val="24"/>
                <w:szCs w:val="24"/>
              </w:rPr>
            </w:pPr>
          </w:p>
        </w:tc>
        <w:tc>
          <w:tcPr>
            <w:tcW w:w="4252" w:type="dxa"/>
            <w:vAlign w:val="center"/>
          </w:tcPr>
          <w:p w14:paraId="2719F61F">
            <w:pPr>
              <w:pStyle w:val="11"/>
              <w:keepNext/>
              <w:spacing w:after="0" w:line="360" w:lineRule="auto"/>
              <w:ind w:left="66" w:right="66"/>
              <w:rPr>
                <w:rFonts w:ascii="宋体" w:hAnsi="宋体" w:cs="宋体"/>
                <w:color w:val="000000"/>
                <w:sz w:val="24"/>
                <w:szCs w:val="24"/>
              </w:rPr>
            </w:pPr>
          </w:p>
        </w:tc>
      </w:tr>
      <w:tr w14:paraId="1600B9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2" w:hRule="atLeast"/>
          <w:jc w:val="center"/>
        </w:trPr>
        <w:tc>
          <w:tcPr>
            <w:tcW w:w="1871" w:type="dxa"/>
            <w:tcBorders>
              <w:top w:val="single" w:color="auto" w:sz="6" w:space="0"/>
              <w:bottom w:val="single" w:color="auto" w:sz="6" w:space="0"/>
            </w:tcBorders>
            <w:vAlign w:val="center"/>
          </w:tcPr>
          <w:p w14:paraId="2B3DB7B8">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材料管理</w:t>
            </w:r>
          </w:p>
        </w:tc>
        <w:tc>
          <w:tcPr>
            <w:tcW w:w="1418" w:type="dxa"/>
            <w:vAlign w:val="center"/>
          </w:tcPr>
          <w:p w14:paraId="2D2DA615">
            <w:pPr>
              <w:pStyle w:val="11"/>
              <w:keepNext/>
              <w:spacing w:after="0" w:line="360" w:lineRule="auto"/>
              <w:ind w:left="66" w:right="66"/>
              <w:rPr>
                <w:rFonts w:ascii="宋体" w:hAnsi="宋体" w:cs="宋体"/>
                <w:color w:val="000000"/>
                <w:sz w:val="24"/>
                <w:szCs w:val="24"/>
              </w:rPr>
            </w:pPr>
          </w:p>
        </w:tc>
        <w:tc>
          <w:tcPr>
            <w:tcW w:w="1134" w:type="dxa"/>
            <w:vAlign w:val="center"/>
          </w:tcPr>
          <w:p w14:paraId="4652A6F5">
            <w:pPr>
              <w:pStyle w:val="11"/>
              <w:keepNext/>
              <w:spacing w:after="0" w:line="360" w:lineRule="auto"/>
              <w:ind w:left="66" w:right="66"/>
              <w:rPr>
                <w:rFonts w:ascii="宋体" w:hAnsi="宋体" w:cs="宋体"/>
                <w:color w:val="000000"/>
                <w:sz w:val="24"/>
                <w:szCs w:val="24"/>
              </w:rPr>
            </w:pPr>
          </w:p>
        </w:tc>
        <w:tc>
          <w:tcPr>
            <w:tcW w:w="1134" w:type="dxa"/>
            <w:vAlign w:val="center"/>
          </w:tcPr>
          <w:p w14:paraId="1BD44D40">
            <w:pPr>
              <w:pStyle w:val="11"/>
              <w:keepNext/>
              <w:spacing w:after="0" w:line="360" w:lineRule="auto"/>
              <w:ind w:left="66" w:right="66"/>
              <w:rPr>
                <w:rFonts w:ascii="宋体" w:hAnsi="宋体" w:cs="宋体"/>
                <w:color w:val="000000"/>
                <w:sz w:val="24"/>
                <w:szCs w:val="24"/>
              </w:rPr>
            </w:pPr>
          </w:p>
        </w:tc>
        <w:tc>
          <w:tcPr>
            <w:tcW w:w="4252" w:type="dxa"/>
            <w:vAlign w:val="center"/>
          </w:tcPr>
          <w:p w14:paraId="37370EC8">
            <w:pPr>
              <w:pStyle w:val="11"/>
              <w:keepNext/>
              <w:spacing w:after="0" w:line="360" w:lineRule="auto"/>
              <w:ind w:left="66" w:right="66"/>
              <w:rPr>
                <w:rFonts w:ascii="宋体" w:hAnsi="宋体" w:cs="宋体"/>
                <w:color w:val="000000"/>
                <w:sz w:val="24"/>
                <w:szCs w:val="24"/>
              </w:rPr>
            </w:pPr>
          </w:p>
        </w:tc>
      </w:tr>
      <w:tr w14:paraId="04B9D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871" w:type="dxa"/>
            <w:tcBorders>
              <w:top w:val="single" w:color="auto" w:sz="6" w:space="0"/>
              <w:bottom w:val="single" w:color="auto" w:sz="6" w:space="0"/>
            </w:tcBorders>
            <w:vAlign w:val="center"/>
          </w:tcPr>
          <w:p w14:paraId="2BFDA739">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计划管理</w:t>
            </w:r>
          </w:p>
        </w:tc>
        <w:tc>
          <w:tcPr>
            <w:tcW w:w="1418" w:type="dxa"/>
            <w:vAlign w:val="center"/>
          </w:tcPr>
          <w:p w14:paraId="13A1E1B8">
            <w:pPr>
              <w:pStyle w:val="11"/>
              <w:keepNext/>
              <w:spacing w:after="0" w:line="360" w:lineRule="auto"/>
              <w:ind w:left="66" w:right="66"/>
              <w:rPr>
                <w:rFonts w:ascii="宋体" w:hAnsi="宋体" w:cs="宋体"/>
                <w:color w:val="000000"/>
                <w:sz w:val="24"/>
                <w:szCs w:val="24"/>
              </w:rPr>
            </w:pPr>
          </w:p>
        </w:tc>
        <w:tc>
          <w:tcPr>
            <w:tcW w:w="1134" w:type="dxa"/>
            <w:vAlign w:val="center"/>
          </w:tcPr>
          <w:p w14:paraId="180EEFE6">
            <w:pPr>
              <w:pStyle w:val="11"/>
              <w:keepNext/>
              <w:spacing w:after="0" w:line="360" w:lineRule="auto"/>
              <w:ind w:left="66" w:right="66"/>
              <w:rPr>
                <w:rFonts w:ascii="宋体" w:hAnsi="宋体" w:cs="宋体"/>
                <w:color w:val="000000"/>
                <w:sz w:val="24"/>
                <w:szCs w:val="24"/>
              </w:rPr>
            </w:pPr>
          </w:p>
        </w:tc>
        <w:tc>
          <w:tcPr>
            <w:tcW w:w="1134" w:type="dxa"/>
            <w:vAlign w:val="center"/>
          </w:tcPr>
          <w:p w14:paraId="74E83232">
            <w:pPr>
              <w:pStyle w:val="11"/>
              <w:keepNext/>
              <w:spacing w:after="0" w:line="360" w:lineRule="auto"/>
              <w:ind w:left="66" w:right="66"/>
              <w:rPr>
                <w:rFonts w:ascii="宋体" w:hAnsi="宋体" w:cs="宋体"/>
                <w:color w:val="000000"/>
                <w:sz w:val="24"/>
                <w:szCs w:val="24"/>
              </w:rPr>
            </w:pPr>
          </w:p>
        </w:tc>
        <w:tc>
          <w:tcPr>
            <w:tcW w:w="4252" w:type="dxa"/>
            <w:vAlign w:val="center"/>
          </w:tcPr>
          <w:p w14:paraId="65097D9B">
            <w:pPr>
              <w:pStyle w:val="11"/>
              <w:keepNext/>
              <w:spacing w:after="0" w:line="360" w:lineRule="auto"/>
              <w:ind w:left="66" w:right="66"/>
              <w:rPr>
                <w:rFonts w:ascii="宋体" w:hAnsi="宋体" w:cs="宋体"/>
                <w:color w:val="000000"/>
                <w:sz w:val="24"/>
                <w:szCs w:val="24"/>
              </w:rPr>
            </w:pPr>
          </w:p>
        </w:tc>
      </w:tr>
      <w:tr w14:paraId="4B058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7" w:hRule="atLeast"/>
          <w:jc w:val="center"/>
        </w:trPr>
        <w:tc>
          <w:tcPr>
            <w:tcW w:w="1871" w:type="dxa"/>
            <w:tcBorders>
              <w:top w:val="single" w:color="auto" w:sz="6" w:space="0"/>
              <w:bottom w:val="single" w:color="auto" w:sz="6" w:space="0"/>
            </w:tcBorders>
            <w:vAlign w:val="center"/>
          </w:tcPr>
          <w:p w14:paraId="681EAEA0">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安全管理</w:t>
            </w:r>
          </w:p>
        </w:tc>
        <w:tc>
          <w:tcPr>
            <w:tcW w:w="1418" w:type="dxa"/>
            <w:vAlign w:val="center"/>
          </w:tcPr>
          <w:p w14:paraId="0D93ED7A">
            <w:pPr>
              <w:pStyle w:val="11"/>
              <w:keepNext/>
              <w:spacing w:after="0" w:line="360" w:lineRule="auto"/>
              <w:ind w:left="66" w:right="66"/>
              <w:rPr>
                <w:rFonts w:ascii="宋体" w:hAnsi="宋体" w:cs="宋体"/>
                <w:color w:val="000000"/>
                <w:sz w:val="24"/>
                <w:szCs w:val="24"/>
              </w:rPr>
            </w:pPr>
          </w:p>
        </w:tc>
        <w:tc>
          <w:tcPr>
            <w:tcW w:w="1134" w:type="dxa"/>
            <w:vAlign w:val="center"/>
          </w:tcPr>
          <w:p w14:paraId="0C996A36">
            <w:pPr>
              <w:pStyle w:val="11"/>
              <w:keepNext/>
              <w:spacing w:after="0" w:line="360" w:lineRule="auto"/>
              <w:ind w:left="66" w:right="66"/>
              <w:rPr>
                <w:rFonts w:ascii="宋体" w:hAnsi="宋体" w:cs="宋体"/>
                <w:color w:val="000000"/>
                <w:sz w:val="24"/>
                <w:szCs w:val="24"/>
              </w:rPr>
            </w:pPr>
          </w:p>
        </w:tc>
        <w:tc>
          <w:tcPr>
            <w:tcW w:w="1134" w:type="dxa"/>
            <w:vAlign w:val="center"/>
          </w:tcPr>
          <w:p w14:paraId="5D5F71D8">
            <w:pPr>
              <w:pStyle w:val="11"/>
              <w:keepNext/>
              <w:spacing w:after="0" w:line="360" w:lineRule="auto"/>
              <w:ind w:left="66" w:right="66"/>
              <w:rPr>
                <w:rFonts w:ascii="宋体" w:hAnsi="宋体" w:cs="宋体"/>
                <w:color w:val="000000"/>
                <w:sz w:val="24"/>
                <w:szCs w:val="24"/>
              </w:rPr>
            </w:pPr>
          </w:p>
        </w:tc>
        <w:tc>
          <w:tcPr>
            <w:tcW w:w="4252" w:type="dxa"/>
            <w:vAlign w:val="center"/>
          </w:tcPr>
          <w:p w14:paraId="18F1E16C">
            <w:pPr>
              <w:pStyle w:val="11"/>
              <w:keepNext/>
              <w:spacing w:after="0" w:line="360" w:lineRule="auto"/>
              <w:ind w:left="66" w:right="66"/>
              <w:rPr>
                <w:rFonts w:ascii="宋体" w:hAnsi="宋体" w:cs="宋体"/>
                <w:color w:val="000000"/>
                <w:sz w:val="24"/>
                <w:szCs w:val="24"/>
              </w:rPr>
            </w:pPr>
          </w:p>
        </w:tc>
      </w:tr>
      <w:tr w14:paraId="3C094D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1871" w:type="dxa"/>
            <w:vMerge w:val="restart"/>
            <w:tcBorders>
              <w:top w:val="single" w:color="auto" w:sz="6" w:space="0"/>
            </w:tcBorders>
            <w:vAlign w:val="center"/>
          </w:tcPr>
          <w:p w14:paraId="314AECCF">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其他人员</w:t>
            </w:r>
          </w:p>
        </w:tc>
        <w:tc>
          <w:tcPr>
            <w:tcW w:w="1418" w:type="dxa"/>
            <w:vAlign w:val="center"/>
          </w:tcPr>
          <w:p w14:paraId="5E99E3BF">
            <w:pPr>
              <w:pStyle w:val="11"/>
              <w:keepNext/>
              <w:spacing w:after="0" w:line="360" w:lineRule="auto"/>
              <w:ind w:left="66" w:right="66"/>
              <w:rPr>
                <w:rFonts w:ascii="宋体" w:hAnsi="宋体" w:cs="宋体"/>
                <w:color w:val="000000"/>
                <w:sz w:val="24"/>
                <w:szCs w:val="24"/>
              </w:rPr>
            </w:pPr>
          </w:p>
        </w:tc>
        <w:tc>
          <w:tcPr>
            <w:tcW w:w="1134" w:type="dxa"/>
            <w:vAlign w:val="center"/>
          </w:tcPr>
          <w:p w14:paraId="5A83266D">
            <w:pPr>
              <w:pStyle w:val="11"/>
              <w:keepNext/>
              <w:spacing w:after="0" w:line="360" w:lineRule="auto"/>
              <w:ind w:left="66" w:right="66"/>
              <w:rPr>
                <w:rFonts w:ascii="宋体" w:hAnsi="宋体" w:cs="宋体"/>
                <w:color w:val="000000"/>
                <w:sz w:val="24"/>
                <w:szCs w:val="24"/>
              </w:rPr>
            </w:pPr>
          </w:p>
        </w:tc>
        <w:tc>
          <w:tcPr>
            <w:tcW w:w="1134" w:type="dxa"/>
            <w:vAlign w:val="center"/>
          </w:tcPr>
          <w:p w14:paraId="6CC8E39E">
            <w:pPr>
              <w:pStyle w:val="11"/>
              <w:keepNext/>
              <w:spacing w:after="0" w:line="360" w:lineRule="auto"/>
              <w:ind w:left="66" w:right="66"/>
              <w:rPr>
                <w:rFonts w:ascii="宋体" w:hAnsi="宋体" w:cs="宋体"/>
                <w:color w:val="000000"/>
                <w:sz w:val="24"/>
                <w:szCs w:val="24"/>
              </w:rPr>
            </w:pPr>
          </w:p>
        </w:tc>
        <w:tc>
          <w:tcPr>
            <w:tcW w:w="4252" w:type="dxa"/>
            <w:vAlign w:val="center"/>
          </w:tcPr>
          <w:p w14:paraId="6D86C201">
            <w:pPr>
              <w:pStyle w:val="11"/>
              <w:keepNext/>
              <w:spacing w:after="0" w:line="360" w:lineRule="auto"/>
              <w:ind w:left="66" w:right="66"/>
              <w:rPr>
                <w:rFonts w:ascii="宋体" w:hAnsi="宋体" w:cs="宋体"/>
                <w:color w:val="000000"/>
                <w:sz w:val="24"/>
                <w:szCs w:val="24"/>
              </w:rPr>
            </w:pPr>
          </w:p>
        </w:tc>
      </w:tr>
      <w:tr w14:paraId="5E3A8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1871" w:type="dxa"/>
            <w:vMerge w:val="continue"/>
            <w:vAlign w:val="center"/>
          </w:tcPr>
          <w:p w14:paraId="52E7537A">
            <w:pPr>
              <w:pStyle w:val="11"/>
              <w:keepNext/>
              <w:spacing w:after="0" w:line="360" w:lineRule="auto"/>
              <w:ind w:left="66" w:right="66"/>
              <w:rPr>
                <w:rFonts w:ascii="宋体" w:hAnsi="宋体" w:cs="宋体"/>
                <w:color w:val="000000"/>
                <w:sz w:val="24"/>
                <w:szCs w:val="24"/>
              </w:rPr>
            </w:pPr>
          </w:p>
        </w:tc>
        <w:tc>
          <w:tcPr>
            <w:tcW w:w="1418" w:type="dxa"/>
            <w:tcBorders>
              <w:bottom w:val="nil"/>
            </w:tcBorders>
            <w:vAlign w:val="center"/>
          </w:tcPr>
          <w:p w14:paraId="1DF278C2">
            <w:pPr>
              <w:pStyle w:val="11"/>
              <w:keepNext/>
              <w:spacing w:after="0" w:line="360" w:lineRule="auto"/>
              <w:ind w:left="66" w:right="66"/>
              <w:rPr>
                <w:rFonts w:ascii="宋体" w:hAnsi="宋体" w:cs="宋体"/>
                <w:color w:val="000000"/>
                <w:sz w:val="24"/>
                <w:szCs w:val="24"/>
              </w:rPr>
            </w:pPr>
          </w:p>
        </w:tc>
        <w:tc>
          <w:tcPr>
            <w:tcW w:w="1134" w:type="dxa"/>
            <w:tcBorders>
              <w:bottom w:val="nil"/>
            </w:tcBorders>
            <w:vAlign w:val="center"/>
          </w:tcPr>
          <w:p w14:paraId="3EF8EFBE">
            <w:pPr>
              <w:pStyle w:val="11"/>
              <w:keepNext/>
              <w:spacing w:after="0" w:line="360" w:lineRule="auto"/>
              <w:ind w:left="66" w:right="66"/>
              <w:rPr>
                <w:rFonts w:ascii="宋体" w:hAnsi="宋体" w:cs="宋体"/>
                <w:color w:val="000000"/>
                <w:sz w:val="24"/>
                <w:szCs w:val="24"/>
              </w:rPr>
            </w:pPr>
          </w:p>
        </w:tc>
        <w:tc>
          <w:tcPr>
            <w:tcW w:w="1134" w:type="dxa"/>
            <w:tcBorders>
              <w:bottom w:val="nil"/>
            </w:tcBorders>
            <w:vAlign w:val="center"/>
          </w:tcPr>
          <w:p w14:paraId="21E637E2">
            <w:pPr>
              <w:pStyle w:val="11"/>
              <w:keepNext/>
              <w:spacing w:after="0" w:line="360" w:lineRule="auto"/>
              <w:ind w:left="66" w:right="66"/>
              <w:rPr>
                <w:rFonts w:ascii="宋体" w:hAnsi="宋体" w:cs="宋体"/>
                <w:color w:val="000000"/>
                <w:sz w:val="24"/>
                <w:szCs w:val="24"/>
              </w:rPr>
            </w:pPr>
          </w:p>
        </w:tc>
        <w:tc>
          <w:tcPr>
            <w:tcW w:w="4252" w:type="dxa"/>
            <w:tcBorders>
              <w:bottom w:val="nil"/>
            </w:tcBorders>
            <w:vAlign w:val="center"/>
          </w:tcPr>
          <w:p w14:paraId="37BB5E29">
            <w:pPr>
              <w:pStyle w:val="11"/>
              <w:keepNext/>
              <w:spacing w:after="0" w:line="360" w:lineRule="auto"/>
              <w:ind w:left="66" w:right="66"/>
              <w:rPr>
                <w:rFonts w:ascii="宋体" w:hAnsi="宋体" w:cs="宋体"/>
                <w:color w:val="000000"/>
                <w:sz w:val="24"/>
                <w:szCs w:val="24"/>
              </w:rPr>
            </w:pPr>
          </w:p>
        </w:tc>
      </w:tr>
      <w:tr w14:paraId="6903F0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1871" w:type="dxa"/>
            <w:vMerge w:val="continue"/>
            <w:vAlign w:val="center"/>
          </w:tcPr>
          <w:p w14:paraId="18B2BDF3">
            <w:pPr>
              <w:pStyle w:val="11"/>
              <w:keepNext/>
              <w:spacing w:after="0" w:line="360" w:lineRule="auto"/>
              <w:ind w:left="66" w:right="66"/>
              <w:rPr>
                <w:rFonts w:ascii="宋体" w:hAnsi="宋体" w:cs="宋体"/>
                <w:color w:val="000000"/>
                <w:sz w:val="24"/>
                <w:szCs w:val="24"/>
              </w:rPr>
            </w:pPr>
          </w:p>
        </w:tc>
        <w:tc>
          <w:tcPr>
            <w:tcW w:w="1418" w:type="dxa"/>
            <w:vAlign w:val="center"/>
          </w:tcPr>
          <w:p w14:paraId="75A5BEBE">
            <w:pPr>
              <w:pStyle w:val="11"/>
              <w:keepNext/>
              <w:spacing w:after="0" w:line="360" w:lineRule="auto"/>
              <w:ind w:left="66" w:right="66"/>
              <w:rPr>
                <w:rFonts w:ascii="宋体" w:hAnsi="宋体" w:cs="宋体"/>
                <w:color w:val="000000"/>
                <w:sz w:val="24"/>
                <w:szCs w:val="24"/>
              </w:rPr>
            </w:pPr>
          </w:p>
        </w:tc>
        <w:tc>
          <w:tcPr>
            <w:tcW w:w="1134" w:type="dxa"/>
            <w:vAlign w:val="center"/>
          </w:tcPr>
          <w:p w14:paraId="4B5578A0">
            <w:pPr>
              <w:pStyle w:val="11"/>
              <w:keepNext/>
              <w:spacing w:after="0" w:line="360" w:lineRule="auto"/>
              <w:ind w:left="66" w:right="66"/>
              <w:rPr>
                <w:rFonts w:ascii="宋体" w:hAnsi="宋体" w:cs="宋体"/>
                <w:color w:val="000000"/>
                <w:sz w:val="24"/>
                <w:szCs w:val="24"/>
              </w:rPr>
            </w:pPr>
          </w:p>
        </w:tc>
        <w:tc>
          <w:tcPr>
            <w:tcW w:w="1134" w:type="dxa"/>
            <w:vAlign w:val="center"/>
          </w:tcPr>
          <w:p w14:paraId="3CBB6FDE">
            <w:pPr>
              <w:pStyle w:val="11"/>
              <w:keepNext/>
              <w:spacing w:after="0" w:line="360" w:lineRule="auto"/>
              <w:ind w:left="66" w:right="66"/>
              <w:rPr>
                <w:rFonts w:ascii="宋体" w:hAnsi="宋体" w:cs="宋体"/>
                <w:color w:val="000000"/>
                <w:sz w:val="24"/>
                <w:szCs w:val="24"/>
              </w:rPr>
            </w:pPr>
          </w:p>
        </w:tc>
        <w:tc>
          <w:tcPr>
            <w:tcW w:w="4252" w:type="dxa"/>
            <w:vAlign w:val="center"/>
          </w:tcPr>
          <w:p w14:paraId="7B4CA200">
            <w:pPr>
              <w:pStyle w:val="11"/>
              <w:keepNext/>
              <w:spacing w:after="0" w:line="360" w:lineRule="auto"/>
              <w:ind w:left="66" w:right="66"/>
              <w:rPr>
                <w:rFonts w:ascii="宋体" w:hAnsi="宋体" w:cs="宋体"/>
                <w:color w:val="000000"/>
                <w:sz w:val="24"/>
                <w:szCs w:val="24"/>
              </w:rPr>
            </w:pPr>
          </w:p>
        </w:tc>
      </w:tr>
      <w:tr w14:paraId="03DF8D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1871" w:type="dxa"/>
            <w:vMerge w:val="continue"/>
            <w:vAlign w:val="center"/>
          </w:tcPr>
          <w:p w14:paraId="0B36B92B">
            <w:pPr>
              <w:pStyle w:val="11"/>
              <w:keepNext/>
              <w:spacing w:after="0" w:line="360" w:lineRule="auto"/>
              <w:ind w:left="66" w:right="66"/>
              <w:rPr>
                <w:rFonts w:ascii="宋体" w:hAnsi="宋体" w:cs="宋体"/>
                <w:color w:val="000000"/>
                <w:sz w:val="24"/>
                <w:szCs w:val="24"/>
              </w:rPr>
            </w:pPr>
          </w:p>
        </w:tc>
        <w:tc>
          <w:tcPr>
            <w:tcW w:w="1418" w:type="dxa"/>
            <w:vAlign w:val="center"/>
          </w:tcPr>
          <w:p w14:paraId="7F0374AF">
            <w:pPr>
              <w:pStyle w:val="11"/>
              <w:keepNext/>
              <w:spacing w:after="0" w:line="360" w:lineRule="auto"/>
              <w:ind w:left="66" w:right="66"/>
              <w:rPr>
                <w:rFonts w:ascii="宋体" w:hAnsi="宋体" w:cs="宋体"/>
                <w:color w:val="000000"/>
                <w:sz w:val="24"/>
                <w:szCs w:val="24"/>
              </w:rPr>
            </w:pPr>
          </w:p>
        </w:tc>
        <w:tc>
          <w:tcPr>
            <w:tcW w:w="1134" w:type="dxa"/>
            <w:vAlign w:val="center"/>
          </w:tcPr>
          <w:p w14:paraId="527924E7">
            <w:pPr>
              <w:pStyle w:val="11"/>
              <w:keepNext/>
              <w:spacing w:after="0" w:line="360" w:lineRule="auto"/>
              <w:ind w:left="66" w:right="66"/>
              <w:rPr>
                <w:rFonts w:ascii="宋体" w:hAnsi="宋体" w:cs="宋体"/>
                <w:color w:val="000000"/>
                <w:sz w:val="24"/>
                <w:szCs w:val="24"/>
              </w:rPr>
            </w:pPr>
          </w:p>
        </w:tc>
        <w:tc>
          <w:tcPr>
            <w:tcW w:w="1134" w:type="dxa"/>
            <w:vAlign w:val="center"/>
          </w:tcPr>
          <w:p w14:paraId="6E95B127">
            <w:pPr>
              <w:pStyle w:val="11"/>
              <w:keepNext/>
              <w:spacing w:after="0" w:line="360" w:lineRule="auto"/>
              <w:ind w:left="66" w:right="66"/>
              <w:rPr>
                <w:rFonts w:ascii="宋体" w:hAnsi="宋体" w:cs="宋体"/>
                <w:color w:val="000000"/>
                <w:sz w:val="24"/>
                <w:szCs w:val="24"/>
              </w:rPr>
            </w:pPr>
          </w:p>
        </w:tc>
        <w:tc>
          <w:tcPr>
            <w:tcW w:w="4252" w:type="dxa"/>
            <w:vAlign w:val="center"/>
          </w:tcPr>
          <w:p w14:paraId="521A5302">
            <w:pPr>
              <w:pStyle w:val="11"/>
              <w:keepNext/>
              <w:spacing w:after="0" w:line="360" w:lineRule="auto"/>
              <w:ind w:left="66" w:right="66"/>
              <w:rPr>
                <w:rFonts w:ascii="宋体" w:hAnsi="宋体" w:cs="宋体"/>
                <w:color w:val="000000"/>
                <w:sz w:val="24"/>
                <w:szCs w:val="24"/>
              </w:rPr>
            </w:pPr>
          </w:p>
        </w:tc>
      </w:tr>
      <w:tr w14:paraId="5D0D5C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1871" w:type="dxa"/>
            <w:vMerge w:val="continue"/>
            <w:vAlign w:val="center"/>
          </w:tcPr>
          <w:p w14:paraId="48262F69">
            <w:pPr>
              <w:pStyle w:val="11"/>
              <w:keepNext/>
              <w:spacing w:after="0" w:line="360" w:lineRule="auto"/>
              <w:ind w:left="66" w:right="66"/>
              <w:rPr>
                <w:rFonts w:ascii="宋体" w:hAnsi="宋体" w:cs="宋体"/>
                <w:color w:val="000000"/>
                <w:sz w:val="24"/>
                <w:szCs w:val="24"/>
              </w:rPr>
            </w:pPr>
          </w:p>
        </w:tc>
        <w:tc>
          <w:tcPr>
            <w:tcW w:w="1418" w:type="dxa"/>
            <w:vAlign w:val="center"/>
          </w:tcPr>
          <w:p w14:paraId="4DB0AF92">
            <w:pPr>
              <w:pStyle w:val="11"/>
              <w:keepNext/>
              <w:spacing w:after="0" w:line="360" w:lineRule="auto"/>
              <w:ind w:left="66" w:right="66"/>
              <w:rPr>
                <w:rFonts w:ascii="宋体" w:hAnsi="宋体" w:cs="宋体"/>
                <w:color w:val="000000"/>
                <w:sz w:val="24"/>
                <w:szCs w:val="24"/>
              </w:rPr>
            </w:pPr>
          </w:p>
        </w:tc>
        <w:tc>
          <w:tcPr>
            <w:tcW w:w="1134" w:type="dxa"/>
            <w:vAlign w:val="center"/>
          </w:tcPr>
          <w:p w14:paraId="690D547B">
            <w:pPr>
              <w:pStyle w:val="11"/>
              <w:keepNext/>
              <w:spacing w:after="0" w:line="360" w:lineRule="auto"/>
              <w:ind w:left="66" w:right="66"/>
              <w:rPr>
                <w:rFonts w:ascii="宋体" w:hAnsi="宋体" w:cs="宋体"/>
                <w:color w:val="000000"/>
                <w:sz w:val="24"/>
                <w:szCs w:val="24"/>
              </w:rPr>
            </w:pPr>
          </w:p>
        </w:tc>
        <w:tc>
          <w:tcPr>
            <w:tcW w:w="1134" w:type="dxa"/>
            <w:vAlign w:val="center"/>
          </w:tcPr>
          <w:p w14:paraId="3D3767C4">
            <w:pPr>
              <w:pStyle w:val="11"/>
              <w:keepNext/>
              <w:spacing w:after="0" w:line="360" w:lineRule="auto"/>
              <w:ind w:left="66" w:right="66"/>
              <w:rPr>
                <w:rFonts w:ascii="宋体" w:hAnsi="宋体" w:cs="宋体"/>
                <w:color w:val="000000"/>
                <w:sz w:val="24"/>
                <w:szCs w:val="24"/>
              </w:rPr>
            </w:pPr>
          </w:p>
        </w:tc>
        <w:tc>
          <w:tcPr>
            <w:tcW w:w="4252" w:type="dxa"/>
            <w:vAlign w:val="center"/>
          </w:tcPr>
          <w:p w14:paraId="26E384CB">
            <w:pPr>
              <w:pStyle w:val="11"/>
              <w:keepNext/>
              <w:spacing w:after="0" w:line="360" w:lineRule="auto"/>
              <w:ind w:left="66" w:right="66"/>
              <w:rPr>
                <w:rFonts w:ascii="宋体" w:hAnsi="宋体" w:cs="宋体"/>
                <w:color w:val="000000"/>
                <w:sz w:val="24"/>
                <w:szCs w:val="24"/>
              </w:rPr>
            </w:pPr>
          </w:p>
        </w:tc>
      </w:tr>
      <w:tr w14:paraId="6C0B2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1871" w:type="dxa"/>
            <w:vMerge w:val="continue"/>
            <w:tcBorders>
              <w:bottom w:val="single" w:color="auto" w:sz="12" w:space="0"/>
            </w:tcBorders>
            <w:vAlign w:val="center"/>
          </w:tcPr>
          <w:p w14:paraId="3219B558">
            <w:pPr>
              <w:pStyle w:val="11"/>
              <w:keepNext/>
              <w:spacing w:after="0" w:line="360" w:lineRule="auto"/>
              <w:ind w:left="66" w:right="66"/>
              <w:rPr>
                <w:rFonts w:ascii="宋体" w:hAnsi="宋体" w:cs="宋体"/>
                <w:color w:val="000000"/>
                <w:sz w:val="24"/>
                <w:szCs w:val="24"/>
              </w:rPr>
            </w:pPr>
          </w:p>
        </w:tc>
        <w:tc>
          <w:tcPr>
            <w:tcW w:w="1418" w:type="dxa"/>
            <w:tcBorders>
              <w:bottom w:val="single" w:color="auto" w:sz="12" w:space="0"/>
            </w:tcBorders>
            <w:vAlign w:val="center"/>
          </w:tcPr>
          <w:p w14:paraId="00BB48EA">
            <w:pPr>
              <w:pStyle w:val="11"/>
              <w:keepNext/>
              <w:spacing w:after="0" w:line="360" w:lineRule="auto"/>
              <w:ind w:left="66" w:right="66"/>
              <w:rPr>
                <w:rFonts w:ascii="宋体" w:hAnsi="宋体" w:cs="宋体"/>
                <w:color w:val="000000"/>
                <w:sz w:val="24"/>
                <w:szCs w:val="24"/>
              </w:rPr>
            </w:pPr>
          </w:p>
        </w:tc>
        <w:tc>
          <w:tcPr>
            <w:tcW w:w="1134" w:type="dxa"/>
            <w:tcBorders>
              <w:bottom w:val="single" w:color="auto" w:sz="12" w:space="0"/>
            </w:tcBorders>
            <w:vAlign w:val="center"/>
          </w:tcPr>
          <w:p w14:paraId="4CFFD237">
            <w:pPr>
              <w:pStyle w:val="11"/>
              <w:keepNext/>
              <w:spacing w:after="0" w:line="360" w:lineRule="auto"/>
              <w:ind w:left="66" w:right="66"/>
              <w:rPr>
                <w:rFonts w:ascii="宋体" w:hAnsi="宋体" w:cs="宋体"/>
                <w:color w:val="000000"/>
                <w:sz w:val="24"/>
                <w:szCs w:val="24"/>
              </w:rPr>
            </w:pPr>
          </w:p>
        </w:tc>
        <w:tc>
          <w:tcPr>
            <w:tcW w:w="1134" w:type="dxa"/>
            <w:tcBorders>
              <w:bottom w:val="single" w:color="auto" w:sz="12" w:space="0"/>
            </w:tcBorders>
            <w:vAlign w:val="center"/>
          </w:tcPr>
          <w:p w14:paraId="15425CBF">
            <w:pPr>
              <w:pStyle w:val="11"/>
              <w:keepNext/>
              <w:spacing w:after="0" w:line="360" w:lineRule="auto"/>
              <w:ind w:left="66" w:right="66"/>
              <w:rPr>
                <w:rFonts w:ascii="宋体" w:hAnsi="宋体" w:cs="宋体"/>
                <w:color w:val="000000"/>
                <w:sz w:val="24"/>
                <w:szCs w:val="24"/>
              </w:rPr>
            </w:pPr>
          </w:p>
        </w:tc>
        <w:tc>
          <w:tcPr>
            <w:tcW w:w="4252" w:type="dxa"/>
            <w:tcBorders>
              <w:bottom w:val="single" w:color="auto" w:sz="12" w:space="0"/>
            </w:tcBorders>
            <w:vAlign w:val="center"/>
          </w:tcPr>
          <w:p w14:paraId="2773DF80">
            <w:pPr>
              <w:pStyle w:val="11"/>
              <w:keepNext/>
              <w:spacing w:after="0" w:line="360" w:lineRule="auto"/>
              <w:ind w:left="66" w:right="66"/>
              <w:rPr>
                <w:rFonts w:ascii="宋体" w:hAnsi="宋体" w:cs="宋体"/>
                <w:color w:val="000000"/>
                <w:sz w:val="24"/>
                <w:szCs w:val="24"/>
              </w:rPr>
            </w:pPr>
          </w:p>
        </w:tc>
      </w:tr>
    </w:tbl>
    <w:p w14:paraId="3E1A5D6C">
      <w:pPr>
        <w:spacing w:line="360" w:lineRule="auto"/>
        <w:rPr>
          <w:rFonts w:ascii="宋体" w:hAnsi="宋体" w:cs="宋体"/>
          <w:color w:val="000000"/>
          <w:sz w:val="24"/>
          <w:szCs w:val="24"/>
        </w:rPr>
      </w:pPr>
      <w:r>
        <w:rPr>
          <w:rFonts w:hint="eastAsia" w:ascii="宋体" w:hAnsi="宋体" w:cs="宋体"/>
          <w:color w:val="000000"/>
          <w:sz w:val="24"/>
          <w:szCs w:val="24"/>
        </w:rPr>
        <w:br w:type="page"/>
      </w:r>
      <w:bookmarkStart w:id="1480" w:name="_Toc267261701"/>
      <w:r>
        <w:rPr>
          <w:rFonts w:hint="eastAsia" w:ascii="宋体" w:hAnsi="宋体" w:cs="宋体"/>
          <w:color w:val="000000"/>
          <w:sz w:val="24"/>
          <w:szCs w:val="24"/>
        </w:rPr>
        <w:t>附</w:t>
      </w:r>
      <w:bookmarkStart w:id="1481" w:name="_Toc296891059"/>
      <w:bookmarkStart w:id="1482" w:name="_Toc296891271"/>
      <w:bookmarkStart w:id="1483" w:name="_Toc296346732"/>
      <w:bookmarkStart w:id="1484" w:name="_Toc296944570"/>
      <w:bookmarkStart w:id="1485" w:name="_Toc296347230"/>
      <w:bookmarkStart w:id="1486" w:name="_Toc296503231"/>
      <w:r>
        <w:rPr>
          <w:rFonts w:hint="eastAsia" w:ascii="宋体" w:hAnsi="宋体" w:cs="宋体"/>
          <w:color w:val="000000"/>
          <w:sz w:val="24"/>
          <w:szCs w:val="24"/>
        </w:rPr>
        <w:t>件8：</w:t>
      </w:r>
    </w:p>
    <w:bookmarkEnd w:id="1480"/>
    <w:bookmarkEnd w:id="1481"/>
    <w:bookmarkEnd w:id="1482"/>
    <w:bookmarkEnd w:id="1483"/>
    <w:bookmarkEnd w:id="1484"/>
    <w:bookmarkEnd w:id="1485"/>
    <w:bookmarkEnd w:id="1486"/>
    <w:p w14:paraId="330B7C65">
      <w:pPr>
        <w:spacing w:line="360" w:lineRule="auto"/>
        <w:jc w:val="center"/>
        <w:rPr>
          <w:rFonts w:ascii="宋体" w:hAnsi="宋体" w:cs="宋体"/>
          <w:color w:val="000000"/>
          <w:sz w:val="24"/>
          <w:szCs w:val="24"/>
        </w:rPr>
      </w:pPr>
      <w:r>
        <w:rPr>
          <w:rFonts w:hint="eastAsia" w:ascii="宋体" w:hAnsi="宋体" w:cs="宋体"/>
          <w:color w:val="000000"/>
          <w:sz w:val="24"/>
          <w:szCs w:val="24"/>
        </w:rPr>
        <w:t>履约担保</w:t>
      </w:r>
    </w:p>
    <w:p w14:paraId="4664CEB9">
      <w:pPr>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rPr>
        <w:t>（发包人名称）：</w:t>
      </w:r>
    </w:p>
    <w:p w14:paraId="4E27389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鉴于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（发包人名称，以下简称“发包人”）与 </w:t>
      </w:r>
      <w:r>
        <w:rPr>
          <w:rFonts w:hint="eastAsia" w:ascii="宋体" w:hAnsi="宋体" w:cs="宋体"/>
          <w:color w:val="000000"/>
          <w:sz w:val="24"/>
          <w:szCs w:val="24"/>
          <w:u w:val="single"/>
        </w:rPr>
        <w:t xml:space="preserve">            </w:t>
      </w:r>
      <w:r>
        <w:rPr>
          <w:rFonts w:hint="eastAsia" w:ascii="宋体" w:hAnsi="宋体" w:cs="宋体"/>
          <w:color w:val="000000"/>
          <w:sz w:val="24"/>
          <w:szCs w:val="24"/>
        </w:rPr>
        <w:t>（承包人名称）（以下称“承包人”）于</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（工程名称）施工及有关事项协商一致共同签订《建设工程施工合同》。我方愿意无条件地、不可撤销地就承包人履行与你方签订的合同，向你方提供连带责任担保。 </w:t>
      </w:r>
    </w:p>
    <w:p w14:paraId="5F7CB72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 担保金额人民币（大写）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元（¥</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27339E1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 担保有效期自你方与承包人签订的合同生效之日起至你方签发或应签发工程接收证书之日止。</w:t>
      </w:r>
    </w:p>
    <w:p w14:paraId="4965E4B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 在本担保有效期内，因承包人违反合同约定的义务给你方造成经济损失时，我方在收到你方以书面形式提出的在担保金额内的赔偿要求后，在7天内无条件支付。</w:t>
      </w:r>
    </w:p>
    <w:p w14:paraId="0310DB4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 你方和承包人按合同约定变更合同时，我方承担本担保规定的义务不变。</w:t>
      </w:r>
    </w:p>
    <w:p w14:paraId="3A4EA43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5. 因本保函发生的纠纷，可由双方协商解决，协商不成的，任何一方均可提请</w:t>
      </w:r>
      <w:r>
        <w:rPr>
          <w:rFonts w:hint="eastAsia" w:ascii="宋体" w:hAnsi="宋体" w:cs="宋体"/>
          <w:color w:val="000000"/>
          <w:sz w:val="24"/>
          <w:szCs w:val="24"/>
          <w:u w:val="single"/>
        </w:rPr>
        <w:t xml:space="preserve">        </w:t>
      </w:r>
      <w:r>
        <w:rPr>
          <w:rFonts w:hint="eastAsia" w:ascii="宋体" w:hAnsi="宋体" w:cs="宋体"/>
          <w:color w:val="000000"/>
          <w:sz w:val="24"/>
          <w:szCs w:val="24"/>
        </w:rPr>
        <w:t>仲裁委员会仲裁。</w:t>
      </w:r>
    </w:p>
    <w:p w14:paraId="40DE58E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 本保函自我方法定代表人（或其授权代理人）签字并加盖公章之日起生效。</w:t>
      </w:r>
    </w:p>
    <w:p w14:paraId="6770885A">
      <w:pPr>
        <w:spacing w:line="360" w:lineRule="auto"/>
        <w:rPr>
          <w:rFonts w:ascii="宋体" w:hAnsi="宋体" w:cs="宋体"/>
          <w:color w:val="000000"/>
          <w:sz w:val="24"/>
          <w:szCs w:val="24"/>
        </w:rPr>
      </w:pPr>
    </w:p>
    <w:p w14:paraId="039FB3CD">
      <w:pPr>
        <w:spacing w:line="360" w:lineRule="auto"/>
        <w:rPr>
          <w:rFonts w:ascii="宋体" w:hAnsi="宋体" w:cs="宋体"/>
          <w:color w:val="000000"/>
          <w:sz w:val="24"/>
          <w:szCs w:val="24"/>
        </w:rPr>
      </w:pPr>
      <w:r>
        <w:rPr>
          <w:rFonts w:hint="eastAsia" w:ascii="宋体" w:hAnsi="宋体" w:cs="宋体"/>
          <w:color w:val="000000"/>
          <w:sz w:val="24"/>
          <w:szCs w:val="24"/>
        </w:rPr>
        <w:t>担 保 人：</w:t>
      </w:r>
      <w:r>
        <w:rPr>
          <w:rFonts w:hint="eastAsia" w:ascii="宋体" w:hAnsi="宋体" w:cs="宋体"/>
          <w:color w:val="000000"/>
          <w:sz w:val="24"/>
          <w:szCs w:val="24"/>
          <w:u w:val="single"/>
        </w:rPr>
        <w:t xml:space="preserve">                           </w:t>
      </w:r>
      <w:r>
        <w:rPr>
          <w:rFonts w:hint="eastAsia" w:ascii="宋体" w:hAnsi="宋体" w:cs="宋体"/>
          <w:color w:val="000000"/>
          <w:sz w:val="24"/>
          <w:szCs w:val="24"/>
        </w:rPr>
        <w:t>（盖单位章）</w:t>
      </w:r>
    </w:p>
    <w:p w14:paraId="166A9467">
      <w:pPr>
        <w:spacing w:line="360" w:lineRule="auto"/>
        <w:rPr>
          <w:rFonts w:ascii="宋体" w:hAnsi="宋体" w:cs="宋体"/>
          <w:color w:val="000000"/>
          <w:sz w:val="24"/>
          <w:szCs w:val="24"/>
        </w:rPr>
      </w:pPr>
      <w:r>
        <w:rPr>
          <w:rFonts w:hint="eastAsia" w:ascii="宋体" w:hAnsi="宋体" w:cs="宋体"/>
          <w:color w:val="000000"/>
          <w:sz w:val="24"/>
          <w:szCs w:val="24"/>
        </w:rPr>
        <w:t>法定代表人或其委托代理人：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（签字）</w:t>
      </w:r>
    </w:p>
    <w:p w14:paraId="310934E7">
      <w:pPr>
        <w:spacing w:line="360" w:lineRule="auto"/>
        <w:rPr>
          <w:rFonts w:ascii="宋体" w:hAnsi="宋体" w:cs="宋体"/>
          <w:color w:val="000000"/>
          <w:sz w:val="24"/>
          <w:szCs w:val="24"/>
        </w:rPr>
      </w:pPr>
      <w:r>
        <w:rPr>
          <w:rFonts w:hint="eastAsia" w:ascii="宋体" w:hAnsi="宋体" w:cs="宋体"/>
          <w:color w:val="000000"/>
          <w:sz w:val="24"/>
          <w:szCs w:val="24"/>
        </w:rPr>
        <w:t>地    址：</w:t>
      </w:r>
      <w:r>
        <w:rPr>
          <w:rFonts w:hint="eastAsia" w:ascii="宋体" w:hAnsi="宋体" w:cs="宋体"/>
          <w:color w:val="000000"/>
          <w:sz w:val="24"/>
          <w:szCs w:val="24"/>
          <w:u w:val="single"/>
        </w:rPr>
        <w:t xml:space="preserve">                                      </w:t>
      </w:r>
    </w:p>
    <w:p w14:paraId="581E8F33">
      <w:pPr>
        <w:spacing w:line="360" w:lineRule="auto"/>
        <w:rPr>
          <w:rFonts w:ascii="宋体" w:hAnsi="宋体" w:cs="宋体"/>
          <w:color w:val="000000"/>
          <w:sz w:val="24"/>
          <w:szCs w:val="24"/>
        </w:rPr>
      </w:pPr>
      <w:r>
        <w:rPr>
          <w:rFonts w:hint="eastAsia" w:ascii="宋体" w:hAnsi="宋体" w:cs="宋体"/>
          <w:color w:val="000000"/>
          <w:sz w:val="24"/>
          <w:szCs w:val="24"/>
        </w:rPr>
        <w:t>邮政编码：</w:t>
      </w:r>
      <w:r>
        <w:rPr>
          <w:rFonts w:hint="eastAsia" w:ascii="宋体" w:hAnsi="宋体" w:cs="宋体"/>
          <w:color w:val="000000"/>
          <w:sz w:val="24"/>
          <w:szCs w:val="24"/>
          <w:u w:val="single"/>
        </w:rPr>
        <w:t xml:space="preserve">                                      </w:t>
      </w:r>
    </w:p>
    <w:p w14:paraId="248A2F25">
      <w:pPr>
        <w:spacing w:line="360" w:lineRule="auto"/>
        <w:rPr>
          <w:rFonts w:ascii="宋体" w:hAnsi="宋体" w:cs="宋体"/>
          <w:color w:val="000000"/>
          <w:sz w:val="24"/>
          <w:szCs w:val="24"/>
          <w:u w:val="single"/>
        </w:rPr>
      </w:pPr>
      <w:r>
        <w:rPr>
          <w:rFonts w:hint="eastAsia" w:ascii="宋体" w:hAnsi="宋体" w:cs="宋体"/>
          <w:color w:val="000000"/>
          <w:sz w:val="24"/>
          <w:szCs w:val="24"/>
        </w:rPr>
        <w:t>电    话：</w:t>
      </w:r>
      <w:r>
        <w:rPr>
          <w:rFonts w:hint="eastAsia" w:ascii="宋体" w:hAnsi="宋体" w:cs="宋体"/>
          <w:color w:val="000000"/>
          <w:sz w:val="24"/>
          <w:szCs w:val="24"/>
          <w:u w:val="single"/>
        </w:rPr>
        <w:t xml:space="preserve">                                      </w:t>
      </w:r>
    </w:p>
    <w:p w14:paraId="459CFA74">
      <w:pPr>
        <w:spacing w:line="360" w:lineRule="auto"/>
        <w:rPr>
          <w:rFonts w:ascii="宋体" w:hAnsi="宋体" w:cs="宋体"/>
          <w:color w:val="000000"/>
          <w:sz w:val="24"/>
          <w:szCs w:val="24"/>
        </w:rPr>
      </w:pPr>
      <w:r>
        <w:rPr>
          <w:rFonts w:hint="eastAsia" w:ascii="宋体" w:hAnsi="宋体" w:cs="宋体"/>
          <w:color w:val="000000"/>
          <w:sz w:val="24"/>
          <w:szCs w:val="24"/>
        </w:rPr>
        <w:t>传    真：</w:t>
      </w:r>
      <w:r>
        <w:rPr>
          <w:rFonts w:hint="eastAsia" w:ascii="宋体" w:hAnsi="宋体" w:cs="宋体"/>
          <w:color w:val="000000"/>
          <w:sz w:val="24"/>
          <w:szCs w:val="24"/>
          <w:u w:val="single"/>
        </w:rPr>
        <w:t xml:space="preserve">                                      </w:t>
      </w:r>
    </w:p>
    <w:p w14:paraId="4FCFC044">
      <w:pPr>
        <w:spacing w:line="360" w:lineRule="auto"/>
        <w:rPr>
          <w:rFonts w:ascii="宋体" w:hAnsi="宋体" w:cs="宋体"/>
          <w:color w:val="000000"/>
          <w:sz w:val="24"/>
          <w:szCs w:val="24"/>
          <w:u w:val="single"/>
        </w:rPr>
      </w:pPr>
    </w:p>
    <w:p w14:paraId="2787E7BB">
      <w:pPr>
        <w:spacing w:line="360" w:lineRule="auto"/>
        <w:ind w:left="1519" w:hanging="1519" w:hangingChars="633"/>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60A7B1D7">
      <w:pPr>
        <w:spacing w:line="360" w:lineRule="auto"/>
        <w:rPr>
          <w:rFonts w:ascii="宋体" w:hAnsi="宋体" w:cs="宋体"/>
          <w:color w:val="000000"/>
          <w:sz w:val="24"/>
          <w:szCs w:val="24"/>
        </w:rPr>
      </w:pPr>
      <w:r>
        <w:rPr>
          <w:rFonts w:hint="eastAsia" w:ascii="宋体" w:hAnsi="宋体" w:cs="宋体"/>
          <w:color w:val="000000"/>
          <w:sz w:val="24"/>
          <w:szCs w:val="24"/>
        </w:rPr>
        <w:t>附</w:t>
      </w:r>
      <w:bookmarkStart w:id="1487" w:name="_Toc267261702"/>
      <w:bookmarkStart w:id="1488" w:name="_Toc296503232"/>
      <w:bookmarkStart w:id="1489" w:name="_Toc296346733"/>
      <w:bookmarkStart w:id="1490" w:name="_Toc296891060"/>
      <w:bookmarkStart w:id="1491" w:name="_Toc296891272"/>
      <w:bookmarkStart w:id="1492" w:name="_Toc296944571"/>
      <w:bookmarkStart w:id="1493" w:name="_Toc296347231"/>
      <w:r>
        <w:rPr>
          <w:rFonts w:hint="eastAsia" w:ascii="宋体" w:hAnsi="宋体" w:cs="宋体"/>
          <w:color w:val="000000"/>
          <w:sz w:val="24"/>
          <w:szCs w:val="24"/>
        </w:rPr>
        <w:t>件9 ：</w:t>
      </w:r>
    </w:p>
    <w:bookmarkEnd w:id="1487"/>
    <w:bookmarkEnd w:id="1488"/>
    <w:bookmarkEnd w:id="1489"/>
    <w:bookmarkEnd w:id="1490"/>
    <w:bookmarkEnd w:id="1491"/>
    <w:bookmarkEnd w:id="1492"/>
    <w:bookmarkEnd w:id="1493"/>
    <w:p w14:paraId="60B1CB1F">
      <w:pPr>
        <w:spacing w:line="360" w:lineRule="auto"/>
        <w:jc w:val="center"/>
        <w:rPr>
          <w:rFonts w:ascii="宋体" w:hAnsi="宋体" w:cs="宋体"/>
          <w:color w:val="000000"/>
          <w:sz w:val="24"/>
          <w:szCs w:val="24"/>
        </w:rPr>
      </w:pPr>
      <w:r>
        <w:rPr>
          <w:rFonts w:hint="eastAsia" w:ascii="宋体" w:hAnsi="宋体" w:cs="宋体"/>
          <w:color w:val="000000"/>
          <w:sz w:val="24"/>
          <w:szCs w:val="24"/>
        </w:rPr>
        <w:t>预付款担保</w:t>
      </w:r>
    </w:p>
    <w:p w14:paraId="6DF60D24">
      <w:pPr>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（发包人名称）：</w:t>
      </w:r>
    </w:p>
    <w:p w14:paraId="7DF8151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根据</w:t>
      </w:r>
      <w:r>
        <w:rPr>
          <w:rFonts w:hint="eastAsia" w:ascii="宋体" w:hAnsi="宋体" w:cs="宋体"/>
          <w:color w:val="000000"/>
          <w:sz w:val="24"/>
          <w:szCs w:val="24"/>
          <w:u w:val="single"/>
        </w:rPr>
        <w:t xml:space="preserve">         </w:t>
      </w:r>
      <w:r>
        <w:rPr>
          <w:rFonts w:hint="eastAsia" w:ascii="宋体" w:hAnsi="宋体" w:cs="宋体"/>
          <w:color w:val="000000"/>
          <w:sz w:val="24"/>
          <w:szCs w:val="24"/>
        </w:rPr>
        <w:t>（承包人名称）（以下称“承包人”）与</w:t>
      </w:r>
      <w:r>
        <w:rPr>
          <w:rFonts w:hint="eastAsia" w:ascii="宋体" w:hAnsi="宋体" w:cs="宋体"/>
          <w:color w:val="000000"/>
          <w:sz w:val="24"/>
          <w:szCs w:val="24"/>
          <w:u w:val="single"/>
        </w:rPr>
        <w:t xml:space="preserve">       </w:t>
      </w:r>
      <w:bookmarkStart w:id="1494" w:name="_Toc518240128"/>
      <w:bookmarkStart w:id="1495" w:name="_Toc518573564"/>
      <w:bookmarkStart w:id="1496" w:name="_Toc2195"/>
      <w:bookmarkStart w:id="1497" w:name="_Toc26365"/>
      <w:bookmarkStart w:id="1498" w:name="_Toc31513"/>
      <w:bookmarkStart w:id="1499" w:name="_Toc518573680"/>
      <w:bookmarkStart w:id="1500" w:name="_Toc10455"/>
      <w:bookmarkStart w:id="1501" w:name="_Toc24982"/>
      <w:bookmarkStart w:id="1502" w:name="_Toc29962"/>
      <w:bookmarkStart w:id="1503" w:name="_Toc5211"/>
      <w:bookmarkStart w:id="1504" w:name="_Toc5247"/>
      <w:bookmarkStart w:id="1505" w:name="_Toc12724"/>
      <w:bookmarkStart w:id="1506" w:name="_Toc31290"/>
      <w:bookmarkStart w:id="1507" w:name="_Toc4840"/>
      <w:bookmarkStart w:id="1508" w:name="_Toc6296"/>
      <w:r>
        <w:rPr>
          <w:rFonts w:hint="eastAsia" w:ascii="宋体" w:hAnsi="宋体" w:cs="宋体"/>
          <w:color w:val="000000"/>
          <w:sz w:val="24"/>
          <w:szCs w:val="24"/>
        </w:rPr>
        <w:t>（发包人名称）（以下简称“发包人”）</w:t>
      </w:r>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rFonts w:hint="eastAsia" w:ascii="宋体" w:hAnsi="宋体" w:cs="宋体"/>
          <w:color w:val="000000"/>
          <w:sz w:val="24"/>
          <w:szCs w:val="24"/>
        </w:rPr>
        <w:t>于</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日签订的</w:t>
      </w:r>
      <w:r>
        <w:rPr>
          <w:rFonts w:hint="eastAsia" w:ascii="宋体" w:hAnsi="宋体" w:cs="宋体"/>
          <w:color w:val="000000"/>
          <w:sz w:val="24"/>
          <w:szCs w:val="24"/>
          <w:u w:val="single"/>
        </w:rPr>
        <w:t xml:space="preserve">             </w:t>
      </w:r>
      <w:r>
        <w:rPr>
          <w:rFonts w:hint="eastAsia" w:ascii="宋体" w:hAnsi="宋体" w:cs="宋体"/>
          <w:color w:val="000000"/>
          <w:sz w:val="24"/>
          <w:szCs w:val="24"/>
        </w:rPr>
        <w:t>（工程名称）《建设工程施工合同》，承包人按约定的金额向你方提交一份预付款担保，即有权得到你方支付相等金额的预付款。我方愿意就你方提供给承包人的预付款为承包人提供连带责任担保。</w:t>
      </w:r>
    </w:p>
    <w:p w14:paraId="30067D9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 担保金额人民币（大写）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元（¥</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35608D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 担保有效期自预付款支付给承包人起生效，至你方签发的进度款支付证书说明已完全扣清止。</w:t>
      </w:r>
    </w:p>
    <w:p w14:paraId="4EFFB31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11AD13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 你方和承包人按合同约定变更合同时，我方承担本保函规定的义务不变。</w:t>
      </w:r>
    </w:p>
    <w:p w14:paraId="6103B3F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5. 因本保函发生的纠纷，可由双方协商解决，协商不成的，任何一方均可提请</w:t>
      </w:r>
      <w:r>
        <w:rPr>
          <w:rFonts w:hint="eastAsia" w:ascii="宋体" w:hAnsi="宋体" w:cs="宋体"/>
          <w:color w:val="000000"/>
          <w:sz w:val="24"/>
          <w:szCs w:val="24"/>
          <w:u w:val="single"/>
        </w:rPr>
        <w:t xml:space="preserve">        </w:t>
      </w:r>
      <w:r>
        <w:rPr>
          <w:rFonts w:hint="eastAsia" w:ascii="宋体" w:hAnsi="宋体" w:cs="宋体"/>
          <w:color w:val="000000"/>
          <w:sz w:val="24"/>
          <w:szCs w:val="24"/>
        </w:rPr>
        <w:t>仲裁委员会仲裁。</w:t>
      </w:r>
    </w:p>
    <w:p w14:paraId="6D90EEC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 本保函自我方法定代表人（或其授权代理人）签字并加盖公章之日起生效。</w:t>
      </w:r>
    </w:p>
    <w:p w14:paraId="2CC0937B">
      <w:pPr>
        <w:spacing w:line="360" w:lineRule="auto"/>
        <w:rPr>
          <w:rFonts w:ascii="宋体" w:hAnsi="宋体" w:cs="宋体"/>
          <w:color w:val="000000"/>
          <w:sz w:val="24"/>
          <w:szCs w:val="24"/>
        </w:rPr>
      </w:pPr>
      <w:r>
        <w:rPr>
          <w:rFonts w:hint="eastAsia" w:ascii="宋体" w:hAnsi="宋体" w:cs="宋体"/>
          <w:color w:val="000000"/>
          <w:sz w:val="24"/>
          <w:szCs w:val="24"/>
        </w:rPr>
        <w:t>担保人：</w:t>
      </w:r>
      <w:r>
        <w:rPr>
          <w:rFonts w:hint="eastAsia" w:ascii="宋体" w:hAnsi="宋体" w:cs="宋体"/>
          <w:color w:val="000000"/>
          <w:sz w:val="24"/>
          <w:szCs w:val="24"/>
          <w:u w:val="single"/>
        </w:rPr>
        <w:t xml:space="preserve">                          </w:t>
      </w:r>
      <w:r>
        <w:rPr>
          <w:rFonts w:hint="eastAsia" w:ascii="宋体" w:hAnsi="宋体" w:cs="宋体"/>
          <w:color w:val="000000"/>
          <w:sz w:val="24"/>
          <w:szCs w:val="24"/>
        </w:rPr>
        <w:t>（盖单位章）</w:t>
      </w:r>
    </w:p>
    <w:p w14:paraId="07D165FD">
      <w:pPr>
        <w:spacing w:line="360" w:lineRule="auto"/>
        <w:rPr>
          <w:rFonts w:ascii="宋体" w:hAnsi="宋体" w:cs="宋体"/>
          <w:color w:val="000000"/>
          <w:sz w:val="24"/>
          <w:szCs w:val="24"/>
        </w:rPr>
      </w:pPr>
      <w:r>
        <w:rPr>
          <w:rFonts w:hint="eastAsia" w:ascii="宋体" w:hAnsi="宋体" w:cs="宋体"/>
          <w:color w:val="000000"/>
          <w:sz w:val="24"/>
          <w:szCs w:val="24"/>
        </w:rPr>
        <w:t>法定代表人或其委托代理人：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（签字）</w:t>
      </w:r>
    </w:p>
    <w:p w14:paraId="17A3C308">
      <w:pPr>
        <w:spacing w:line="360" w:lineRule="auto"/>
        <w:rPr>
          <w:rFonts w:ascii="宋体" w:hAnsi="宋体" w:cs="宋体"/>
          <w:color w:val="000000"/>
          <w:sz w:val="24"/>
          <w:szCs w:val="24"/>
        </w:rPr>
      </w:pPr>
      <w:r>
        <w:rPr>
          <w:rFonts w:hint="eastAsia" w:ascii="宋体" w:hAnsi="宋体" w:cs="宋体"/>
          <w:color w:val="000000"/>
          <w:sz w:val="24"/>
          <w:szCs w:val="24"/>
        </w:rPr>
        <w:t>地    址：</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p>
    <w:p w14:paraId="7164B0EE">
      <w:pPr>
        <w:spacing w:line="360" w:lineRule="auto"/>
        <w:rPr>
          <w:rFonts w:ascii="宋体" w:hAnsi="宋体" w:cs="宋体"/>
          <w:color w:val="000000"/>
          <w:sz w:val="24"/>
          <w:szCs w:val="24"/>
          <w:u w:val="single"/>
        </w:rPr>
      </w:pPr>
      <w:r>
        <w:rPr>
          <w:rFonts w:hint="eastAsia" w:ascii="宋体" w:hAnsi="宋体" w:cs="宋体"/>
          <w:color w:val="000000"/>
          <w:sz w:val="24"/>
          <w:szCs w:val="24"/>
        </w:rPr>
        <w:t>邮政编码：</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p>
    <w:p w14:paraId="55883019">
      <w:pPr>
        <w:spacing w:line="360" w:lineRule="auto"/>
        <w:rPr>
          <w:rFonts w:ascii="宋体" w:hAnsi="宋体" w:cs="宋体"/>
          <w:color w:val="000000"/>
          <w:sz w:val="24"/>
          <w:szCs w:val="24"/>
          <w:u w:val="single"/>
        </w:rPr>
      </w:pPr>
      <w:r>
        <w:rPr>
          <w:rFonts w:hint="eastAsia" w:ascii="宋体" w:hAnsi="宋体" w:cs="宋体"/>
          <w:color w:val="000000"/>
          <w:sz w:val="24"/>
          <w:szCs w:val="24"/>
        </w:rPr>
        <w:t>电    话：</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p>
    <w:p w14:paraId="68991DFB">
      <w:pPr>
        <w:spacing w:line="360" w:lineRule="auto"/>
        <w:rPr>
          <w:rFonts w:ascii="宋体" w:hAnsi="宋体" w:cs="宋体"/>
          <w:color w:val="000000"/>
          <w:sz w:val="24"/>
          <w:szCs w:val="24"/>
          <w:u w:val="single"/>
        </w:rPr>
      </w:pPr>
      <w:r>
        <w:rPr>
          <w:rFonts w:hint="eastAsia" w:ascii="宋体" w:hAnsi="宋体" w:cs="宋体"/>
          <w:color w:val="000000"/>
          <w:sz w:val="24"/>
          <w:szCs w:val="24"/>
        </w:rPr>
        <w:t>传    真：</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p>
    <w:p w14:paraId="631D7C0E">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w:t>
      </w:r>
    </w:p>
    <w:p w14:paraId="1E8AA9FA">
      <w:pPr>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37BA1E81">
      <w:pPr>
        <w:spacing w:line="360" w:lineRule="auto"/>
        <w:rPr>
          <w:rFonts w:ascii="宋体" w:hAnsi="宋体" w:cs="宋体"/>
          <w:color w:val="000000"/>
          <w:sz w:val="24"/>
          <w:szCs w:val="24"/>
        </w:rPr>
      </w:pPr>
      <w:r>
        <w:rPr>
          <w:rFonts w:hint="eastAsia" w:ascii="宋体" w:hAnsi="宋体" w:cs="宋体"/>
          <w:b/>
          <w:color w:val="000000"/>
          <w:sz w:val="24"/>
          <w:szCs w:val="24"/>
        </w:rPr>
        <w:br w:type="page"/>
      </w:r>
      <w:r>
        <w:rPr>
          <w:rFonts w:hint="eastAsia" w:ascii="宋体" w:hAnsi="宋体" w:cs="宋体"/>
          <w:color w:val="000000"/>
          <w:sz w:val="24"/>
          <w:szCs w:val="24"/>
        </w:rPr>
        <w:t>附</w:t>
      </w:r>
      <w:bookmarkStart w:id="1509" w:name="_Toc296346734"/>
      <w:bookmarkStart w:id="1510" w:name="_Toc296891273"/>
      <w:bookmarkStart w:id="1511" w:name="_Toc296347232"/>
      <w:bookmarkStart w:id="1512" w:name="_Toc296891061"/>
      <w:bookmarkStart w:id="1513" w:name="_Toc296503233"/>
      <w:bookmarkStart w:id="1514" w:name="_Toc296944572"/>
      <w:r>
        <w:rPr>
          <w:rFonts w:hint="eastAsia" w:ascii="宋体" w:hAnsi="宋体" w:cs="宋体"/>
          <w:color w:val="000000"/>
          <w:sz w:val="24"/>
          <w:szCs w:val="24"/>
        </w:rPr>
        <w:t xml:space="preserve">件10:  </w:t>
      </w:r>
    </w:p>
    <w:bookmarkEnd w:id="1509"/>
    <w:bookmarkEnd w:id="1510"/>
    <w:bookmarkEnd w:id="1511"/>
    <w:bookmarkEnd w:id="1512"/>
    <w:bookmarkEnd w:id="1513"/>
    <w:bookmarkEnd w:id="1514"/>
    <w:p w14:paraId="5BAA15AC">
      <w:pPr>
        <w:spacing w:line="360" w:lineRule="auto"/>
        <w:jc w:val="center"/>
        <w:rPr>
          <w:rFonts w:ascii="宋体" w:hAnsi="宋体" w:cs="宋体"/>
          <w:color w:val="000000"/>
          <w:sz w:val="24"/>
          <w:szCs w:val="24"/>
        </w:rPr>
      </w:pPr>
      <w:r>
        <w:rPr>
          <w:rFonts w:hint="eastAsia" w:ascii="宋体" w:hAnsi="宋体" w:cs="宋体"/>
          <w:color w:val="000000"/>
          <w:sz w:val="24"/>
          <w:szCs w:val="24"/>
        </w:rPr>
        <w:t>支付担保</w:t>
      </w:r>
    </w:p>
    <w:p w14:paraId="5C618372">
      <w:pPr>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（承包人）：</w:t>
      </w:r>
    </w:p>
    <w:p w14:paraId="0F6E1C25">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鉴于你方作为承包人已经与</w:t>
      </w:r>
      <w:r>
        <w:rPr>
          <w:rFonts w:hint="eastAsia" w:ascii="宋体" w:hAnsi="宋体" w:cs="宋体"/>
          <w:color w:val="000000"/>
          <w:sz w:val="24"/>
          <w:szCs w:val="24"/>
          <w:u w:val="single"/>
        </w:rPr>
        <w:t xml:space="preserve">             </w:t>
      </w:r>
      <w:r>
        <w:rPr>
          <w:rFonts w:hint="eastAsia" w:ascii="宋体" w:hAnsi="宋体" w:cs="宋体"/>
          <w:color w:val="000000"/>
          <w:sz w:val="24"/>
          <w:szCs w:val="24"/>
        </w:rPr>
        <w:t>（发包人名称）（以下称“发包人”）于</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日签订了</w:t>
      </w:r>
      <w:r>
        <w:rPr>
          <w:rFonts w:hint="eastAsia" w:ascii="宋体" w:hAnsi="宋体" w:cs="宋体"/>
          <w:color w:val="000000"/>
          <w:sz w:val="24"/>
          <w:szCs w:val="24"/>
          <w:u w:val="single"/>
        </w:rPr>
        <w:t xml:space="preserve">             </w:t>
      </w:r>
      <w:r>
        <w:rPr>
          <w:rFonts w:hint="eastAsia" w:ascii="宋体" w:hAnsi="宋体" w:cs="宋体"/>
          <w:color w:val="000000"/>
          <w:sz w:val="24"/>
          <w:szCs w:val="24"/>
        </w:rPr>
        <w:t>（工程名称）《建设工程施工合同》（以下称“主合同”），应发包人的申请，我方愿就发包人履行主合同约定的工程款支付义务以保证的方式向你方提供如下担保：</w:t>
      </w:r>
    </w:p>
    <w:p w14:paraId="7FF73D13">
      <w:pPr>
        <w:spacing w:line="360" w:lineRule="auto"/>
        <w:ind w:firstLine="480" w:firstLineChars="200"/>
        <w:rPr>
          <w:rFonts w:ascii="宋体" w:hAnsi="宋体" w:cs="宋体"/>
          <w:color w:val="000000"/>
          <w:sz w:val="24"/>
          <w:szCs w:val="24"/>
        </w:rPr>
      </w:pPr>
      <w:bookmarkStart w:id="1515" w:name="_Toc8236"/>
      <w:bookmarkStart w:id="1516" w:name="_Toc518573565"/>
      <w:bookmarkStart w:id="1517" w:name="_Toc12285"/>
      <w:bookmarkStart w:id="1518" w:name="_Toc19194"/>
      <w:bookmarkStart w:id="1519" w:name="_Toc518573681"/>
      <w:bookmarkStart w:id="1520" w:name="_Toc18051"/>
      <w:bookmarkStart w:id="1521" w:name="_Toc25443"/>
      <w:bookmarkStart w:id="1522" w:name="_Toc16753"/>
      <w:bookmarkStart w:id="1523" w:name="_Toc28627"/>
      <w:bookmarkStart w:id="1524" w:name="_Toc24267"/>
      <w:bookmarkStart w:id="1525" w:name="_Toc27755"/>
      <w:bookmarkStart w:id="1526" w:name="_Toc23754"/>
      <w:bookmarkStart w:id="1527" w:name="_Toc518240129"/>
      <w:bookmarkStart w:id="1528" w:name="_Toc4391"/>
      <w:bookmarkStart w:id="1529" w:name="_Toc15299"/>
      <w:bookmarkStart w:id="1530" w:name="_Toc9436"/>
      <w:r>
        <w:rPr>
          <w:rFonts w:hint="eastAsia" w:ascii="宋体" w:hAnsi="宋体" w:cs="宋体"/>
          <w:color w:val="000000"/>
          <w:sz w:val="24"/>
          <w:szCs w:val="24"/>
        </w:rPr>
        <w:t>一、保证的范围及保证金额</w:t>
      </w:r>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p>
    <w:p w14:paraId="7A85F188">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 我方的保证范围是主合同约定的工程款。</w:t>
      </w:r>
    </w:p>
    <w:p w14:paraId="2C7D12F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 本保函所称主合同约定的工程款是指主合同约定的除工程质量保证金以外的合同价款。</w:t>
      </w:r>
    </w:p>
    <w:p w14:paraId="37E5BE4E">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 我方保证的金额是主合同约定的工程款的</w:t>
      </w:r>
      <w:r>
        <w:rPr>
          <w:rFonts w:hint="eastAsia" w:ascii="宋体" w:hAnsi="宋体" w:cs="宋体"/>
          <w:color w:val="000000"/>
          <w:sz w:val="24"/>
          <w:szCs w:val="24"/>
          <w:u w:val="single"/>
        </w:rPr>
        <w:t xml:space="preserve">      </w:t>
      </w:r>
      <w:r>
        <w:rPr>
          <w:rFonts w:hint="eastAsia" w:ascii="宋体" w:hAnsi="宋体" w:cs="宋体"/>
          <w:color w:val="000000"/>
          <w:sz w:val="24"/>
          <w:szCs w:val="24"/>
        </w:rPr>
        <w:t>%，数额最高不超过人民币元（大写：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1803BEA1">
      <w:pPr>
        <w:spacing w:line="360" w:lineRule="auto"/>
        <w:ind w:firstLine="480" w:firstLineChars="200"/>
        <w:rPr>
          <w:rFonts w:ascii="宋体" w:hAnsi="宋体" w:cs="宋体"/>
          <w:color w:val="000000"/>
          <w:sz w:val="24"/>
          <w:szCs w:val="24"/>
        </w:rPr>
      </w:pPr>
      <w:bookmarkStart w:id="1531" w:name="_Toc24356"/>
      <w:bookmarkStart w:id="1532" w:name="_Toc11034"/>
      <w:bookmarkStart w:id="1533" w:name="_Toc518240130"/>
      <w:bookmarkStart w:id="1534" w:name="_Toc518573566"/>
      <w:bookmarkStart w:id="1535" w:name="_Toc20618"/>
      <w:bookmarkStart w:id="1536" w:name="_Toc22164"/>
      <w:bookmarkStart w:id="1537" w:name="_Toc31722"/>
      <w:bookmarkStart w:id="1538" w:name="_Toc30753"/>
      <w:bookmarkStart w:id="1539" w:name="_Toc9612"/>
      <w:bookmarkStart w:id="1540" w:name="_Toc20026"/>
      <w:bookmarkStart w:id="1541" w:name="_Toc13064"/>
      <w:bookmarkStart w:id="1542" w:name="_Toc518573682"/>
      <w:bookmarkStart w:id="1543" w:name="_Toc10868"/>
      <w:bookmarkStart w:id="1544" w:name="_Toc25725"/>
      <w:bookmarkStart w:id="1545" w:name="_Toc14076"/>
      <w:bookmarkStart w:id="1546" w:name="_Toc23330"/>
      <w:r>
        <w:rPr>
          <w:rFonts w:hint="eastAsia" w:ascii="宋体" w:hAnsi="宋体" w:cs="宋体"/>
          <w:color w:val="000000"/>
          <w:sz w:val="24"/>
          <w:szCs w:val="24"/>
        </w:rPr>
        <w:t>二、保证的方式及保证期间</w:t>
      </w:r>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p>
    <w:p w14:paraId="74762C2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 我方保证的方式为：连带责任保证。</w:t>
      </w:r>
    </w:p>
    <w:p w14:paraId="21F87006">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 我方保证的期间为：自本合同生效之日起至主合同约定的工程款支付完毕之日后</w:t>
      </w:r>
      <w:r>
        <w:rPr>
          <w:rFonts w:hint="eastAsia" w:ascii="宋体" w:hAnsi="宋体" w:cs="宋体"/>
          <w:color w:val="000000"/>
          <w:sz w:val="24"/>
          <w:szCs w:val="24"/>
          <w:u w:val="single"/>
        </w:rPr>
        <w:t xml:space="preserve">    </w:t>
      </w:r>
      <w:r>
        <w:rPr>
          <w:rFonts w:hint="eastAsia" w:ascii="宋体" w:hAnsi="宋体" w:cs="宋体"/>
          <w:color w:val="000000"/>
          <w:sz w:val="24"/>
          <w:szCs w:val="24"/>
        </w:rPr>
        <w:t>日内。</w:t>
      </w:r>
    </w:p>
    <w:p w14:paraId="3DFA426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 你方与发包人协议变更工程款支付日期的，经我方书面同意后，保证期间按照变更后的支付日期做相应调整。</w:t>
      </w:r>
    </w:p>
    <w:p w14:paraId="309D0DD6">
      <w:pPr>
        <w:spacing w:line="360" w:lineRule="auto"/>
        <w:ind w:firstLine="480" w:firstLineChars="200"/>
        <w:rPr>
          <w:rFonts w:ascii="宋体" w:hAnsi="宋体" w:cs="宋体"/>
          <w:color w:val="000000"/>
          <w:sz w:val="24"/>
          <w:szCs w:val="24"/>
        </w:rPr>
      </w:pPr>
      <w:bookmarkStart w:id="1547" w:name="_Toc518573567"/>
      <w:bookmarkStart w:id="1548" w:name="_Toc17852"/>
      <w:bookmarkStart w:id="1549" w:name="_Toc518573683"/>
      <w:bookmarkStart w:id="1550" w:name="_Toc20324"/>
      <w:bookmarkStart w:id="1551" w:name="_Toc4690"/>
      <w:bookmarkStart w:id="1552" w:name="_Toc3511"/>
      <w:bookmarkStart w:id="1553" w:name="_Toc8375"/>
      <w:bookmarkStart w:id="1554" w:name="_Toc13805"/>
      <w:bookmarkStart w:id="1555" w:name="_Toc31663"/>
      <w:bookmarkStart w:id="1556" w:name="_Toc27825"/>
      <w:bookmarkStart w:id="1557" w:name="_Toc518240131"/>
      <w:bookmarkStart w:id="1558" w:name="_Toc13325"/>
      <w:bookmarkStart w:id="1559" w:name="_Toc24574"/>
      <w:bookmarkStart w:id="1560" w:name="_Toc5231"/>
      <w:bookmarkStart w:id="1561" w:name="_Toc15447"/>
      <w:bookmarkStart w:id="1562" w:name="_Toc32753"/>
      <w:r>
        <w:rPr>
          <w:rFonts w:hint="eastAsia" w:ascii="宋体" w:hAnsi="宋体" w:cs="宋体"/>
          <w:color w:val="000000"/>
          <w:sz w:val="24"/>
          <w:szCs w:val="24"/>
        </w:rPr>
        <w:t>三、承担保证责任的形式</w:t>
      </w:r>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p>
    <w:p w14:paraId="46BB86A4">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我方承担保证责任的形式是代为支付。发包人未按主合同约定向你方支付工程款的，由我方在保证金额内代为支付。</w:t>
      </w:r>
    </w:p>
    <w:p w14:paraId="5A8854E3">
      <w:pPr>
        <w:spacing w:line="360" w:lineRule="auto"/>
        <w:ind w:firstLine="480" w:firstLineChars="200"/>
        <w:rPr>
          <w:rFonts w:ascii="宋体" w:hAnsi="宋体" w:cs="宋体"/>
          <w:color w:val="000000"/>
          <w:sz w:val="24"/>
          <w:szCs w:val="24"/>
        </w:rPr>
      </w:pPr>
      <w:bookmarkStart w:id="1563" w:name="_Toc13864"/>
      <w:bookmarkStart w:id="1564" w:name="_Toc5695"/>
      <w:bookmarkStart w:id="1565" w:name="_Toc518573568"/>
      <w:bookmarkStart w:id="1566" w:name="_Toc8502"/>
      <w:bookmarkStart w:id="1567" w:name="_Toc31498"/>
      <w:bookmarkStart w:id="1568" w:name="_Toc15717"/>
      <w:bookmarkStart w:id="1569" w:name="_Toc17016"/>
      <w:bookmarkStart w:id="1570" w:name="_Toc24068"/>
      <w:bookmarkStart w:id="1571" w:name="_Toc518573684"/>
      <w:bookmarkStart w:id="1572" w:name="_Toc16874"/>
      <w:bookmarkStart w:id="1573" w:name="_Toc8421"/>
      <w:bookmarkStart w:id="1574" w:name="_Toc518240132"/>
      <w:bookmarkStart w:id="1575" w:name="_Toc20258"/>
      <w:bookmarkStart w:id="1576" w:name="_Toc32339"/>
      <w:bookmarkStart w:id="1577" w:name="_Toc26660"/>
      <w:bookmarkStart w:id="1578" w:name="_Toc14953"/>
      <w:r>
        <w:rPr>
          <w:rFonts w:hint="eastAsia" w:ascii="宋体" w:hAnsi="宋体" w:cs="宋体"/>
          <w:color w:val="000000"/>
          <w:sz w:val="24"/>
          <w:szCs w:val="24"/>
        </w:rPr>
        <w:t>四、代偿的安排</w:t>
      </w:r>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p>
    <w:p w14:paraId="604ACA3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 你方要求我方承担保证责任的，应向我方发出书面索赔通知及发包人未支付主合同约定工程款的证明材料。索赔通知应写明要求索赔的金额，支付款项应到达的账号。</w:t>
      </w:r>
    </w:p>
    <w:p w14:paraId="3612C769">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 在出现你方与发包人因工程质量发生争议，发包人拒绝向你方支付工程款的情形时，你方要求我方履行保证责任代为支付的，需提供符合相应条件要求的工程质量检测机构出具的质量说明材料。</w:t>
      </w:r>
    </w:p>
    <w:p w14:paraId="78D84E4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 我方收到你方的书面索赔通知及相应的证明材料后７天内无条件支付。</w:t>
      </w:r>
    </w:p>
    <w:p w14:paraId="49E6EA8E">
      <w:pPr>
        <w:spacing w:line="360" w:lineRule="auto"/>
        <w:ind w:firstLine="480" w:firstLineChars="200"/>
        <w:rPr>
          <w:rFonts w:ascii="宋体" w:hAnsi="宋体" w:cs="宋体"/>
          <w:color w:val="000000"/>
          <w:sz w:val="24"/>
          <w:szCs w:val="24"/>
        </w:rPr>
      </w:pPr>
      <w:bookmarkStart w:id="1579" w:name="_Toc25618"/>
      <w:bookmarkStart w:id="1580" w:name="_Toc518240133"/>
      <w:bookmarkStart w:id="1581" w:name="_Toc20903"/>
      <w:bookmarkStart w:id="1582" w:name="_Toc518573569"/>
      <w:bookmarkStart w:id="1583" w:name="_Toc9396"/>
      <w:bookmarkStart w:id="1584" w:name="_Toc28963"/>
      <w:bookmarkStart w:id="1585" w:name="_Toc21750"/>
      <w:bookmarkStart w:id="1586" w:name="_Toc518573685"/>
      <w:bookmarkStart w:id="1587" w:name="_Toc21908"/>
      <w:bookmarkStart w:id="1588" w:name="_Toc15324"/>
      <w:bookmarkStart w:id="1589" w:name="_Toc3355"/>
      <w:bookmarkStart w:id="1590" w:name="_Toc11330"/>
      <w:bookmarkStart w:id="1591" w:name="_Toc14028"/>
      <w:bookmarkStart w:id="1592" w:name="_Toc28766"/>
      <w:bookmarkStart w:id="1593" w:name="_Toc653"/>
      <w:bookmarkStart w:id="1594" w:name="_Toc20803"/>
      <w:r>
        <w:rPr>
          <w:rFonts w:hint="eastAsia" w:ascii="宋体" w:hAnsi="宋体" w:cs="宋体"/>
          <w:color w:val="000000"/>
          <w:sz w:val="24"/>
          <w:szCs w:val="24"/>
        </w:rPr>
        <w:t>五、保证责任的解除</w:t>
      </w:r>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p>
    <w:p w14:paraId="1E52168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 在本保函承诺的保证期间内，你方未书面向我方主张保证责任的，自保证期间届满次日起，我方保证责任解除。</w:t>
      </w:r>
    </w:p>
    <w:p w14:paraId="2017137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 发包人按主合同约定履行了工程款的全部支付义务的，自本保函承诺的保证期间届满次日起，我方保证责任解除。</w:t>
      </w:r>
    </w:p>
    <w:p w14:paraId="00E7D0BA">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 我方按照本保函向你方履行保证责任所支付金额达到本保函保证金额时，自我方向你方支付（支付款项从我方账户划出）之日起，保证责任即解除。</w:t>
      </w:r>
    </w:p>
    <w:p w14:paraId="364A754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 按照法律法规的规定或出现应解除我方保证责任的其他情形的，我方在本保函项下的保证责任亦解除。</w:t>
      </w:r>
    </w:p>
    <w:p w14:paraId="18957FC7">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5. 我方解除保证责任后，你方应自我方保证责任解除之日起</w:t>
      </w:r>
      <w:r>
        <w:rPr>
          <w:rFonts w:hint="eastAsia" w:ascii="宋体" w:hAnsi="宋体" w:cs="宋体"/>
          <w:color w:val="000000"/>
          <w:sz w:val="24"/>
          <w:szCs w:val="24"/>
          <w:u w:val="single"/>
        </w:rPr>
        <w:t xml:space="preserve">     </w:t>
      </w:r>
      <w:r>
        <w:rPr>
          <w:rFonts w:hint="eastAsia" w:ascii="宋体" w:hAnsi="宋体" w:cs="宋体"/>
          <w:color w:val="000000"/>
          <w:sz w:val="24"/>
          <w:szCs w:val="24"/>
        </w:rPr>
        <w:t>个工作日内，将本保函原件返还我方。</w:t>
      </w:r>
    </w:p>
    <w:p w14:paraId="16588E0C">
      <w:pPr>
        <w:spacing w:line="360" w:lineRule="auto"/>
        <w:ind w:firstLine="480" w:firstLineChars="200"/>
        <w:rPr>
          <w:rFonts w:ascii="宋体" w:hAnsi="宋体" w:cs="宋体"/>
          <w:color w:val="000000"/>
          <w:sz w:val="24"/>
          <w:szCs w:val="24"/>
        </w:rPr>
      </w:pPr>
      <w:bookmarkStart w:id="1595" w:name="_Toc1119"/>
      <w:bookmarkStart w:id="1596" w:name="_Toc7086"/>
      <w:bookmarkStart w:id="1597" w:name="_Toc26287"/>
      <w:bookmarkStart w:id="1598" w:name="_Toc518573686"/>
      <w:bookmarkStart w:id="1599" w:name="_Toc518240134"/>
      <w:bookmarkStart w:id="1600" w:name="_Toc7276"/>
      <w:bookmarkStart w:id="1601" w:name="_Toc11015"/>
      <w:bookmarkStart w:id="1602" w:name="_Toc4803"/>
      <w:bookmarkStart w:id="1603" w:name="_Toc615"/>
      <w:bookmarkStart w:id="1604" w:name="_Toc3861"/>
      <w:bookmarkStart w:id="1605" w:name="_Toc518573570"/>
      <w:bookmarkStart w:id="1606" w:name="_Toc5023"/>
      <w:bookmarkStart w:id="1607" w:name="_Toc26612"/>
      <w:bookmarkStart w:id="1608" w:name="_Toc31176"/>
      <w:bookmarkStart w:id="1609" w:name="_Toc23788"/>
      <w:bookmarkStart w:id="1610" w:name="_Toc1758"/>
      <w:r>
        <w:rPr>
          <w:rFonts w:hint="eastAsia" w:ascii="宋体" w:hAnsi="宋体" w:cs="宋体"/>
          <w:color w:val="000000"/>
          <w:sz w:val="24"/>
          <w:szCs w:val="24"/>
        </w:rPr>
        <w:t>六、免责条款</w:t>
      </w:r>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p>
    <w:p w14:paraId="1B9BAAB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 因你方违约致使发包人不能履行义务的，我方不承担保证责任。</w:t>
      </w:r>
    </w:p>
    <w:p w14:paraId="072798FD">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 依照法律法规的规定或你方与发包人的另行约定，免除发包人部分或全部义务的，我方亦免除其相应的保证责任。</w:t>
      </w:r>
    </w:p>
    <w:p w14:paraId="471771C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 你方与发包人协议变更主合同的，如加重发包人责任致使我方保证责任加重的，需征得我方书面同意，否则我方不再承担因此而加重部分的保证责任，但主合同第10条〔变更〕约定的变更不受本款限制。</w:t>
      </w:r>
    </w:p>
    <w:p w14:paraId="4403996B">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 因不可抗力造成发包人不能履行义务的，我方不承担保证责任。</w:t>
      </w:r>
    </w:p>
    <w:p w14:paraId="797546F8">
      <w:pPr>
        <w:spacing w:line="360" w:lineRule="auto"/>
        <w:ind w:firstLine="480" w:firstLineChars="200"/>
        <w:rPr>
          <w:rFonts w:ascii="宋体" w:hAnsi="宋体" w:cs="宋体"/>
          <w:color w:val="000000"/>
          <w:sz w:val="24"/>
          <w:szCs w:val="24"/>
        </w:rPr>
      </w:pPr>
      <w:bookmarkStart w:id="1611" w:name="_Toc518240135"/>
      <w:bookmarkStart w:id="1612" w:name="_Toc4206"/>
      <w:bookmarkStart w:id="1613" w:name="_Toc30111"/>
      <w:bookmarkStart w:id="1614" w:name="_Toc8941"/>
      <w:bookmarkStart w:id="1615" w:name="_Toc3649"/>
      <w:bookmarkStart w:id="1616" w:name="_Toc25604"/>
      <w:bookmarkStart w:id="1617" w:name="_Toc19256"/>
      <w:bookmarkStart w:id="1618" w:name="_Toc19057"/>
      <w:bookmarkStart w:id="1619" w:name="_Toc29444"/>
      <w:bookmarkStart w:id="1620" w:name="_Toc518573571"/>
      <w:bookmarkStart w:id="1621" w:name="_Toc9328"/>
      <w:bookmarkStart w:id="1622" w:name="_Toc11840"/>
      <w:bookmarkStart w:id="1623" w:name="_Toc3374"/>
      <w:bookmarkStart w:id="1624" w:name="_Toc10023"/>
      <w:bookmarkStart w:id="1625" w:name="_Toc26705"/>
      <w:bookmarkStart w:id="1626" w:name="_Toc518573687"/>
      <w:r>
        <w:rPr>
          <w:rFonts w:hint="eastAsia" w:ascii="宋体" w:hAnsi="宋体" w:cs="宋体"/>
          <w:color w:val="000000"/>
          <w:sz w:val="24"/>
          <w:szCs w:val="24"/>
        </w:rPr>
        <w:t>七、争议解决</w:t>
      </w:r>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p>
    <w:p w14:paraId="0F9DFD3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因本保函或本保函相关事项发生的纠纷，可由双方协商解决，协商不成的，按下列第</w:t>
      </w:r>
      <w:r>
        <w:rPr>
          <w:rFonts w:hint="eastAsia" w:ascii="宋体" w:hAnsi="宋体" w:cs="宋体"/>
          <w:color w:val="000000"/>
          <w:sz w:val="24"/>
          <w:szCs w:val="24"/>
          <w:u w:val="single"/>
        </w:rPr>
        <w:t xml:space="preserve">     </w:t>
      </w:r>
      <w:r>
        <w:rPr>
          <w:rFonts w:hint="eastAsia" w:ascii="宋体" w:hAnsi="宋体" w:cs="宋体"/>
          <w:color w:val="000000"/>
          <w:sz w:val="24"/>
          <w:szCs w:val="24"/>
        </w:rPr>
        <w:t>种方式解决：</w:t>
      </w:r>
    </w:p>
    <w:p w14:paraId="44D67AC0">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（1）向</w:t>
      </w:r>
      <w:r>
        <w:rPr>
          <w:rFonts w:hint="eastAsia" w:ascii="宋体" w:hAnsi="宋体" w:cs="宋体"/>
          <w:color w:val="000000"/>
          <w:sz w:val="24"/>
          <w:szCs w:val="24"/>
          <w:u w:val="single"/>
        </w:rPr>
        <w:t xml:space="preserve">                     </w:t>
      </w:r>
      <w:r>
        <w:rPr>
          <w:rFonts w:hint="eastAsia" w:ascii="宋体" w:hAnsi="宋体" w:cs="宋体"/>
          <w:color w:val="000000"/>
          <w:sz w:val="24"/>
          <w:szCs w:val="24"/>
        </w:rPr>
        <w:t>仲裁委员会申请仲裁；</w:t>
      </w:r>
    </w:p>
    <w:p w14:paraId="1F5FA943">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（2）向</w:t>
      </w:r>
      <w:r>
        <w:rPr>
          <w:rFonts w:hint="eastAsia" w:ascii="宋体" w:hAnsi="宋体" w:cs="宋体"/>
          <w:color w:val="000000"/>
          <w:sz w:val="24"/>
          <w:szCs w:val="24"/>
          <w:u w:val="single"/>
        </w:rPr>
        <w:t xml:space="preserve">                     </w:t>
      </w:r>
      <w:r>
        <w:rPr>
          <w:rFonts w:hint="eastAsia" w:ascii="宋体" w:hAnsi="宋体" w:cs="宋体"/>
          <w:color w:val="000000"/>
          <w:sz w:val="24"/>
          <w:szCs w:val="24"/>
        </w:rPr>
        <w:t>人民法院起诉。</w:t>
      </w:r>
    </w:p>
    <w:p w14:paraId="2FF3EF9A">
      <w:pPr>
        <w:spacing w:line="360" w:lineRule="auto"/>
        <w:ind w:firstLine="480" w:firstLineChars="200"/>
        <w:rPr>
          <w:rFonts w:ascii="宋体" w:hAnsi="宋体" w:cs="宋体"/>
          <w:color w:val="000000"/>
          <w:sz w:val="24"/>
          <w:szCs w:val="24"/>
        </w:rPr>
      </w:pPr>
      <w:bookmarkStart w:id="1627" w:name="_Toc17962"/>
      <w:bookmarkStart w:id="1628" w:name="_Toc32310"/>
      <w:bookmarkStart w:id="1629" w:name="_Toc30498"/>
      <w:bookmarkStart w:id="1630" w:name="_Toc1552"/>
      <w:bookmarkStart w:id="1631" w:name="_Toc22420"/>
      <w:bookmarkStart w:id="1632" w:name="_Toc19425"/>
      <w:bookmarkStart w:id="1633" w:name="_Toc31075"/>
      <w:bookmarkStart w:id="1634" w:name="_Toc884"/>
      <w:bookmarkStart w:id="1635" w:name="_Toc518573572"/>
      <w:bookmarkStart w:id="1636" w:name="_Toc18999"/>
      <w:bookmarkStart w:id="1637" w:name="_Toc21751"/>
      <w:bookmarkStart w:id="1638" w:name="_Toc14534"/>
      <w:bookmarkStart w:id="1639" w:name="_Toc8211"/>
      <w:bookmarkStart w:id="1640" w:name="_Toc518573688"/>
      <w:bookmarkStart w:id="1641" w:name="_Toc518240136"/>
      <w:bookmarkStart w:id="1642" w:name="_Toc10243"/>
      <w:r>
        <w:rPr>
          <w:rFonts w:hint="eastAsia" w:ascii="宋体" w:hAnsi="宋体" w:cs="宋体"/>
          <w:color w:val="000000"/>
          <w:sz w:val="24"/>
          <w:szCs w:val="24"/>
        </w:rPr>
        <w:t>八、保函的生效</w:t>
      </w:r>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p>
    <w:p w14:paraId="40B25C6C">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本保函自我方法定代表人（或其授权代理人）签字并加盖公章之日起生效。</w:t>
      </w:r>
    </w:p>
    <w:p w14:paraId="76A99030">
      <w:pPr>
        <w:spacing w:line="360" w:lineRule="auto"/>
        <w:ind w:right="600"/>
        <w:rPr>
          <w:rFonts w:ascii="宋体" w:hAnsi="宋体" w:cs="宋体"/>
          <w:color w:val="000000"/>
          <w:sz w:val="24"/>
          <w:szCs w:val="24"/>
        </w:rPr>
      </w:pPr>
    </w:p>
    <w:p w14:paraId="655B60C5">
      <w:pPr>
        <w:spacing w:line="360" w:lineRule="auto"/>
        <w:ind w:right="600"/>
        <w:rPr>
          <w:rFonts w:ascii="宋体" w:hAnsi="宋体" w:cs="宋体"/>
          <w:color w:val="000000"/>
          <w:sz w:val="24"/>
          <w:szCs w:val="24"/>
        </w:rPr>
      </w:pPr>
    </w:p>
    <w:p w14:paraId="2CBFDD00">
      <w:pPr>
        <w:spacing w:line="360" w:lineRule="auto"/>
        <w:ind w:right="600"/>
        <w:rPr>
          <w:rFonts w:ascii="宋体" w:hAnsi="宋体" w:cs="宋体"/>
          <w:color w:val="000000"/>
          <w:sz w:val="24"/>
          <w:szCs w:val="24"/>
        </w:rPr>
      </w:pPr>
      <w:r>
        <w:rPr>
          <w:rFonts w:hint="eastAsia" w:ascii="宋体" w:hAnsi="宋体" w:cs="宋体"/>
          <w:color w:val="000000"/>
          <w:sz w:val="24"/>
          <w:szCs w:val="24"/>
        </w:rPr>
        <w:t>担保人：</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0CB35C99">
      <w:pPr>
        <w:spacing w:line="360" w:lineRule="auto"/>
        <w:ind w:right="1200"/>
        <w:rPr>
          <w:rFonts w:ascii="宋体" w:hAnsi="宋体" w:cs="宋体"/>
          <w:color w:val="000000"/>
          <w:sz w:val="24"/>
          <w:szCs w:val="24"/>
        </w:rPr>
      </w:pPr>
      <w:r>
        <w:rPr>
          <w:rFonts w:hint="eastAsia" w:ascii="宋体" w:hAnsi="宋体" w:cs="宋体"/>
          <w:color w:val="000000"/>
          <w:sz w:val="24"/>
          <w:szCs w:val="24"/>
        </w:rPr>
        <w:t>法定代表人或委托代理人：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（签字）</w:t>
      </w:r>
    </w:p>
    <w:p w14:paraId="2441B2EB">
      <w:pPr>
        <w:spacing w:line="360" w:lineRule="auto"/>
        <w:rPr>
          <w:rFonts w:ascii="宋体" w:hAnsi="宋体" w:cs="宋体"/>
          <w:color w:val="000000"/>
          <w:sz w:val="24"/>
          <w:szCs w:val="24"/>
        </w:rPr>
      </w:pPr>
      <w:r>
        <w:rPr>
          <w:rFonts w:hint="eastAsia" w:ascii="宋体" w:hAnsi="宋体" w:cs="宋体"/>
          <w:color w:val="000000"/>
          <w:sz w:val="24"/>
          <w:szCs w:val="24"/>
        </w:rPr>
        <w:t>地    址：</w:t>
      </w:r>
      <w:r>
        <w:rPr>
          <w:rFonts w:hint="eastAsia" w:ascii="宋体" w:hAnsi="宋体" w:cs="宋体"/>
          <w:color w:val="000000"/>
          <w:sz w:val="24"/>
          <w:szCs w:val="24"/>
          <w:u w:val="single"/>
        </w:rPr>
        <w:t xml:space="preserve">                                        </w:t>
      </w:r>
    </w:p>
    <w:p w14:paraId="7B5779C7">
      <w:pPr>
        <w:spacing w:line="360" w:lineRule="auto"/>
        <w:rPr>
          <w:rFonts w:ascii="宋体" w:hAnsi="宋体" w:cs="宋体"/>
          <w:color w:val="000000"/>
          <w:sz w:val="24"/>
          <w:szCs w:val="24"/>
        </w:rPr>
      </w:pPr>
      <w:r>
        <w:rPr>
          <w:rFonts w:hint="eastAsia" w:ascii="宋体" w:hAnsi="宋体" w:cs="宋体"/>
          <w:color w:val="000000"/>
          <w:sz w:val="24"/>
          <w:szCs w:val="24"/>
        </w:rPr>
        <w:t>邮政编码：</w:t>
      </w:r>
      <w:r>
        <w:rPr>
          <w:rFonts w:hint="eastAsia" w:ascii="宋体" w:hAnsi="宋体" w:cs="宋体"/>
          <w:color w:val="000000"/>
          <w:sz w:val="24"/>
          <w:szCs w:val="24"/>
          <w:u w:val="single"/>
        </w:rPr>
        <w:t xml:space="preserve">                                        </w:t>
      </w:r>
    </w:p>
    <w:p w14:paraId="45FB2093">
      <w:pPr>
        <w:spacing w:line="360" w:lineRule="auto"/>
        <w:rPr>
          <w:rFonts w:ascii="宋体" w:hAnsi="宋体" w:cs="宋体"/>
          <w:color w:val="000000"/>
          <w:sz w:val="24"/>
          <w:szCs w:val="24"/>
        </w:rPr>
      </w:pPr>
      <w:r>
        <w:rPr>
          <w:rFonts w:hint="eastAsia" w:ascii="宋体" w:hAnsi="宋体" w:cs="宋体"/>
          <w:color w:val="000000"/>
          <w:sz w:val="24"/>
          <w:szCs w:val="24"/>
        </w:rPr>
        <w:t>传    真：</w:t>
      </w:r>
      <w:r>
        <w:rPr>
          <w:rFonts w:hint="eastAsia" w:ascii="宋体" w:hAnsi="宋体" w:cs="宋体"/>
          <w:color w:val="000000"/>
          <w:sz w:val="24"/>
          <w:szCs w:val="24"/>
          <w:u w:val="single"/>
        </w:rPr>
        <w:t xml:space="preserve">                                        </w:t>
      </w:r>
    </w:p>
    <w:p w14:paraId="74A7E089">
      <w:pPr>
        <w:spacing w:line="360" w:lineRule="auto"/>
        <w:ind w:right="150" w:firstLine="480" w:firstLineChars="200"/>
        <w:rPr>
          <w:rFonts w:ascii="宋体" w:hAnsi="宋体" w:cs="宋体"/>
          <w:color w:val="000000"/>
          <w:sz w:val="24"/>
          <w:szCs w:val="24"/>
          <w:u w:val="single"/>
        </w:rPr>
      </w:pPr>
    </w:p>
    <w:p w14:paraId="23F679DF">
      <w:pPr>
        <w:spacing w:line="360" w:lineRule="auto"/>
        <w:ind w:right="150" w:firstLine="480" w:firstLineChars="200"/>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CE3B262">
      <w:pPr>
        <w:spacing w:line="360" w:lineRule="auto"/>
        <w:rPr>
          <w:rFonts w:ascii="宋体" w:hAnsi="宋体" w:cs="宋体"/>
          <w:color w:val="000000"/>
          <w:sz w:val="24"/>
          <w:szCs w:val="24"/>
        </w:rPr>
      </w:pPr>
      <w:r>
        <w:rPr>
          <w:rFonts w:hint="eastAsia" w:ascii="宋体" w:hAnsi="宋体" w:cs="宋体"/>
          <w:color w:val="000000"/>
          <w:sz w:val="24"/>
          <w:szCs w:val="24"/>
        </w:rPr>
        <w:br w:type="page"/>
      </w:r>
      <w:r>
        <w:rPr>
          <w:rFonts w:hint="eastAsia" w:ascii="宋体" w:hAnsi="宋体" w:cs="宋体"/>
          <w:color w:val="000000"/>
          <w:sz w:val="24"/>
          <w:szCs w:val="24"/>
        </w:rPr>
        <w:t>附件11：</w:t>
      </w:r>
    </w:p>
    <w:p w14:paraId="49C832AB">
      <w:pPr>
        <w:spacing w:line="360" w:lineRule="auto"/>
        <w:jc w:val="center"/>
        <w:rPr>
          <w:rFonts w:ascii="宋体" w:hAnsi="宋体" w:cs="宋体"/>
          <w:color w:val="000000"/>
          <w:sz w:val="24"/>
          <w:szCs w:val="24"/>
        </w:rPr>
      </w:pPr>
      <w:bookmarkStart w:id="1643" w:name="_Toc518240137"/>
      <w:bookmarkStart w:id="1644" w:name="_Toc32395"/>
      <w:bookmarkStart w:id="1645" w:name="_Toc18205"/>
      <w:bookmarkStart w:id="1646" w:name="_Toc8869"/>
      <w:bookmarkStart w:id="1647" w:name="_Toc15903"/>
      <w:bookmarkStart w:id="1648" w:name="_Toc21028"/>
      <w:bookmarkStart w:id="1649" w:name="_Toc16649"/>
      <w:bookmarkStart w:id="1650" w:name="_Toc31451"/>
      <w:bookmarkStart w:id="1651" w:name="_Toc518573573"/>
      <w:bookmarkStart w:id="1652" w:name="_Toc894"/>
      <w:bookmarkStart w:id="1653" w:name="_Toc31223"/>
      <w:bookmarkStart w:id="1654" w:name="_Toc32729"/>
      <w:bookmarkStart w:id="1655" w:name="_Toc3779"/>
      <w:bookmarkStart w:id="1656" w:name="_Toc518573689"/>
      <w:bookmarkStart w:id="1657" w:name="_Toc30488"/>
      <w:bookmarkStart w:id="1658" w:name="_Toc26784"/>
      <w:r>
        <w:rPr>
          <w:rFonts w:hint="eastAsia" w:ascii="宋体" w:hAnsi="宋体" w:cs="宋体"/>
          <w:color w:val="000000"/>
          <w:sz w:val="24"/>
          <w:szCs w:val="24"/>
        </w:rPr>
        <w:t>11-1：材料暂估价表</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p>
    <w:tbl>
      <w:tblPr>
        <w:tblStyle w:val="34"/>
        <w:tblW w:w="907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03A3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vAlign w:val="center"/>
          </w:tcPr>
          <w:p w14:paraId="701655EB">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序号</w:t>
            </w:r>
          </w:p>
        </w:tc>
        <w:tc>
          <w:tcPr>
            <w:tcW w:w="1984" w:type="dxa"/>
            <w:tcBorders>
              <w:top w:val="single" w:color="auto" w:sz="12" w:space="0"/>
              <w:bottom w:val="double" w:color="auto" w:sz="6" w:space="0"/>
            </w:tcBorders>
            <w:vAlign w:val="center"/>
          </w:tcPr>
          <w:p w14:paraId="36D84E0C">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名称</w:t>
            </w:r>
          </w:p>
        </w:tc>
        <w:tc>
          <w:tcPr>
            <w:tcW w:w="851" w:type="dxa"/>
            <w:tcBorders>
              <w:top w:val="single" w:color="auto" w:sz="12" w:space="0"/>
              <w:bottom w:val="double" w:color="auto" w:sz="6" w:space="0"/>
            </w:tcBorders>
            <w:vAlign w:val="center"/>
          </w:tcPr>
          <w:p w14:paraId="517D8ECF">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单位</w:t>
            </w:r>
          </w:p>
        </w:tc>
        <w:tc>
          <w:tcPr>
            <w:tcW w:w="774" w:type="dxa"/>
            <w:tcBorders>
              <w:top w:val="single" w:color="auto" w:sz="12" w:space="0"/>
              <w:bottom w:val="double" w:color="auto" w:sz="6" w:space="0"/>
            </w:tcBorders>
            <w:vAlign w:val="center"/>
          </w:tcPr>
          <w:p w14:paraId="260642EA">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数量</w:t>
            </w:r>
          </w:p>
        </w:tc>
        <w:tc>
          <w:tcPr>
            <w:tcW w:w="1352" w:type="dxa"/>
            <w:tcBorders>
              <w:top w:val="single" w:color="auto" w:sz="12" w:space="0"/>
              <w:bottom w:val="double" w:color="auto" w:sz="6" w:space="0"/>
            </w:tcBorders>
            <w:vAlign w:val="center"/>
          </w:tcPr>
          <w:p w14:paraId="6463A17D">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单价（元）</w:t>
            </w:r>
          </w:p>
        </w:tc>
        <w:tc>
          <w:tcPr>
            <w:tcW w:w="1418" w:type="dxa"/>
            <w:tcBorders>
              <w:top w:val="single" w:color="auto" w:sz="12" w:space="0"/>
              <w:bottom w:val="double" w:color="auto" w:sz="6" w:space="0"/>
            </w:tcBorders>
            <w:vAlign w:val="center"/>
          </w:tcPr>
          <w:p w14:paraId="37FF0F5C">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合价（元）</w:t>
            </w:r>
          </w:p>
        </w:tc>
        <w:tc>
          <w:tcPr>
            <w:tcW w:w="1701" w:type="dxa"/>
            <w:tcBorders>
              <w:top w:val="single" w:color="auto" w:sz="12" w:space="0"/>
              <w:bottom w:val="double" w:color="auto" w:sz="6" w:space="0"/>
            </w:tcBorders>
            <w:vAlign w:val="center"/>
          </w:tcPr>
          <w:p w14:paraId="4BEDF0E2">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备注</w:t>
            </w:r>
          </w:p>
        </w:tc>
      </w:tr>
      <w:tr w14:paraId="03D1F1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2" w:hRule="atLeast"/>
          <w:jc w:val="center"/>
        </w:trPr>
        <w:tc>
          <w:tcPr>
            <w:tcW w:w="993" w:type="dxa"/>
            <w:tcBorders>
              <w:top w:val="double" w:color="auto" w:sz="6" w:space="0"/>
              <w:bottom w:val="single" w:color="auto" w:sz="6" w:space="0"/>
            </w:tcBorders>
          </w:tcPr>
          <w:p w14:paraId="7AE88284">
            <w:pPr>
              <w:pStyle w:val="11"/>
              <w:keepNext/>
              <w:spacing w:after="0" w:line="360" w:lineRule="auto"/>
              <w:ind w:left="66" w:right="66"/>
              <w:rPr>
                <w:rFonts w:ascii="宋体" w:hAnsi="宋体" w:cs="宋体"/>
                <w:color w:val="000000"/>
                <w:sz w:val="24"/>
                <w:szCs w:val="24"/>
              </w:rPr>
            </w:pPr>
          </w:p>
        </w:tc>
        <w:tc>
          <w:tcPr>
            <w:tcW w:w="1984" w:type="dxa"/>
            <w:tcBorders>
              <w:top w:val="double" w:color="auto" w:sz="6" w:space="0"/>
              <w:bottom w:val="single" w:color="auto" w:sz="6" w:space="0"/>
            </w:tcBorders>
          </w:tcPr>
          <w:p w14:paraId="1C860948">
            <w:pPr>
              <w:pStyle w:val="11"/>
              <w:keepNext/>
              <w:spacing w:after="0" w:line="360" w:lineRule="auto"/>
              <w:ind w:left="66" w:right="66"/>
              <w:rPr>
                <w:rFonts w:ascii="宋体" w:hAnsi="宋体" w:cs="宋体"/>
                <w:color w:val="000000"/>
                <w:sz w:val="24"/>
                <w:szCs w:val="24"/>
              </w:rPr>
            </w:pPr>
          </w:p>
        </w:tc>
        <w:tc>
          <w:tcPr>
            <w:tcW w:w="851" w:type="dxa"/>
            <w:tcBorders>
              <w:top w:val="double" w:color="auto" w:sz="6" w:space="0"/>
              <w:bottom w:val="single" w:color="auto" w:sz="6" w:space="0"/>
            </w:tcBorders>
          </w:tcPr>
          <w:p w14:paraId="3BA79F0C">
            <w:pPr>
              <w:pStyle w:val="11"/>
              <w:keepNext/>
              <w:spacing w:after="0" w:line="360" w:lineRule="auto"/>
              <w:ind w:left="66" w:right="66"/>
              <w:rPr>
                <w:rFonts w:ascii="宋体" w:hAnsi="宋体" w:cs="宋体"/>
                <w:color w:val="000000"/>
                <w:sz w:val="24"/>
                <w:szCs w:val="24"/>
              </w:rPr>
            </w:pPr>
          </w:p>
        </w:tc>
        <w:tc>
          <w:tcPr>
            <w:tcW w:w="774" w:type="dxa"/>
            <w:tcBorders>
              <w:top w:val="double" w:color="auto" w:sz="6" w:space="0"/>
              <w:bottom w:val="single" w:color="auto" w:sz="6" w:space="0"/>
            </w:tcBorders>
          </w:tcPr>
          <w:p w14:paraId="35488ED4">
            <w:pPr>
              <w:pStyle w:val="11"/>
              <w:keepNext/>
              <w:spacing w:after="0" w:line="360" w:lineRule="auto"/>
              <w:ind w:left="66" w:right="66"/>
              <w:rPr>
                <w:rFonts w:ascii="宋体" w:hAnsi="宋体" w:cs="宋体"/>
                <w:color w:val="000000"/>
                <w:sz w:val="24"/>
                <w:szCs w:val="24"/>
              </w:rPr>
            </w:pPr>
          </w:p>
        </w:tc>
        <w:tc>
          <w:tcPr>
            <w:tcW w:w="1352" w:type="dxa"/>
            <w:tcBorders>
              <w:top w:val="double" w:color="auto" w:sz="6" w:space="0"/>
              <w:bottom w:val="single" w:color="auto" w:sz="6" w:space="0"/>
            </w:tcBorders>
          </w:tcPr>
          <w:p w14:paraId="10F3C7D0">
            <w:pPr>
              <w:pStyle w:val="11"/>
              <w:keepNext/>
              <w:spacing w:after="0" w:line="360" w:lineRule="auto"/>
              <w:ind w:left="66" w:right="66"/>
              <w:rPr>
                <w:rFonts w:ascii="宋体" w:hAnsi="宋体" w:cs="宋体"/>
                <w:color w:val="000000"/>
                <w:sz w:val="24"/>
                <w:szCs w:val="24"/>
              </w:rPr>
            </w:pPr>
          </w:p>
        </w:tc>
        <w:tc>
          <w:tcPr>
            <w:tcW w:w="1418" w:type="dxa"/>
            <w:tcBorders>
              <w:top w:val="double" w:color="auto" w:sz="6" w:space="0"/>
              <w:bottom w:val="single" w:color="auto" w:sz="6" w:space="0"/>
            </w:tcBorders>
          </w:tcPr>
          <w:p w14:paraId="7C1AA7EF">
            <w:pPr>
              <w:pStyle w:val="11"/>
              <w:keepNext/>
              <w:spacing w:after="0" w:line="360" w:lineRule="auto"/>
              <w:ind w:left="66" w:right="66"/>
              <w:rPr>
                <w:rFonts w:ascii="宋体" w:hAnsi="宋体" w:cs="宋体"/>
                <w:color w:val="000000"/>
                <w:sz w:val="24"/>
                <w:szCs w:val="24"/>
              </w:rPr>
            </w:pPr>
          </w:p>
        </w:tc>
        <w:tc>
          <w:tcPr>
            <w:tcW w:w="1701" w:type="dxa"/>
            <w:tcBorders>
              <w:top w:val="double" w:color="auto" w:sz="6" w:space="0"/>
              <w:bottom w:val="single" w:color="auto" w:sz="6" w:space="0"/>
            </w:tcBorders>
          </w:tcPr>
          <w:p w14:paraId="7EA81480">
            <w:pPr>
              <w:pStyle w:val="11"/>
              <w:keepNext/>
              <w:spacing w:after="0" w:line="360" w:lineRule="auto"/>
              <w:ind w:left="66" w:right="66"/>
              <w:rPr>
                <w:rFonts w:ascii="宋体" w:hAnsi="宋体" w:cs="宋体"/>
                <w:color w:val="000000"/>
                <w:sz w:val="24"/>
                <w:szCs w:val="24"/>
              </w:rPr>
            </w:pPr>
          </w:p>
        </w:tc>
      </w:tr>
      <w:tr w14:paraId="56B25C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993" w:type="dxa"/>
            <w:tcBorders>
              <w:top w:val="nil"/>
            </w:tcBorders>
          </w:tcPr>
          <w:p w14:paraId="41CA998F">
            <w:pPr>
              <w:pStyle w:val="11"/>
              <w:keepNext/>
              <w:spacing w:after="0" w:line="360" w:lineRule="auto"/>
              <w:ind w:left="66" w:right="66"/>
              <w:rPr>
                <w:rFonts w:ascii="宋体" w:hAnsi="宋体" w:cs="宋体"/>
                <w:color w:val="000000"/>
                <w:sz w:val="24"/>
                <w:szCs w:val="24"/>
              </w:rPr>
            </w:pPr>
          </w:p>
        </w:tc>
        <w:tc>
          <w:tcPr>
            <w:tcW w:w="1984" w:type="dxa"/>
            <w:tcBorders>
              <w:top w:val="nil"/>
            </w:tcBorders>
          </w:tcPr>
          <w:p w14:paraId="24715D76">
            <w:pPr>
              <w:pStyle w:val="11"/>
              <w:keepNext/>
              <w:spacing w:after="0" w:line="360" w:lineRule="auto"/>
              <w:ind w:left="66" w:right="66"/>
              <w:rPr>
                <w:rFonts w:ascii="宋体" w:hAnsi="宋体" w:cs="宋体"/>
                <w:color w:val="000000"/>
                <w:sz w:val="24"/>
                <w:szCs w:val="24"/>
              </w:rPr>
            </w:pPr>
          </w:p>
        </w:tc>
        <w:tc>
          <w:tcPr>
            <w:tcW w:w="851" w:type="dxa"/>
            <w:tcBorders>
              <w:top w:val="nil"/>
            </w:tcBorders>
          </w:tcPr>
          <w:p w14:paraId="5117B597">
            <w:pPr>
              <w:pStyle w:val="11"/>
              <w:keepNext/>
              <w:spacing w:after="0" w:line="360" w:lineRule="auto"/>
              <w:ind w:left="66" w:right="66"/>
              <w:rPr>
                <w:rFonts w:ascii="宋体" w:hAnsi="宋体" w:cs="宋体"/>
                <w:color w:val="000000"/>
                <w:sz w:val="24"/>
                <w:szCs w:val="24"/>
              </w:rPr>
            </w:pPr>
          </w:p>
        </w:tc>
        <w:tc>
          <w:tcPr>
            <w:tcW w:w="774" w:type="dxa"/>
            <w:tcBorders>
              <w:top w:val="nil"/>
            </w:tcBorders>
          </w:tcPr>
          <w:p w14:paraId="6370432A">
            <w:pPr>
              <w:pStyle w:val="11"/>
              <w:keepNext/>
              <w:spacing w:after="0" w:line="360" w:lineRule="auto"/>
              <w:ind w:left="66" w:right="66"/>
              <w:rPr>
                <w:rFonts w:ascii="宋体" w:hAnsi="宋体" w:cs="宋体"/>
                <w:color w:val="000000"/>
                <w:sz w:val="24"/>
                <w:szCs w:val="24"/>
              </w:rPr>
            </w:pPr>
          </w:p>
        </w:tc>
        <w:tc>
          <w:tcPr>
            <w:tcW w:w="1352" w:type="dxa"/>
            <w:tcBorders>
              <w:top w:val="nil"/>
            </w:tcBorders>
          </w:tcPr>
          <w:p w14:paraId="429F76DA">
            <w:pPr>
              <w:pStyle w:val="11"/>
              <w:keepNext/>
              <w:spacing w:after="0" w:line="360" w:lineRule="auto"/>
              <w:ind w:left="66" w:right="66"/>
              <w:rPr>
                <w:rFonts w:ascii="宋体" w:hAnsi="宋体" w:cs="宋体"/>
                <w:color w:val="000000"/>
                <w:sz w:val="24"/>
                <w:szCs w:val="24"/>
              </w:rPr>
            </w:pPr>
          </w:p>
        </w:tc>
        <w:tc>
          <w:tcPr>
            <w:tcW w:w="1418" w:type="dxa"/>
            <w:tcBorders>
              <w:top w:val="nil"/>
            </w:tcBorders>
          </w:tcPr>
          <w:p w14:paraId="08E80CE3">
            <w:pPr>
              <w:pStyle w:val="11"/>
              <w:keepNext/>
              <w:spacing w:after="0" w:line="360" w:lineRule="auto"/>
              <w:ind w:left="66" w:right="66"/>
              <w:rPr>
                <w:rFonts w:ascii="宋体" w:hAnsi="宋体" w:cs="宋体"/>
                <w:color w:val="000000"/>
                <w:sz w:val="24"/>
                <w:szCs w:val="24"/>
              </w:rPr>
            </w:pPr>
          </w:p>
        </w:tc>
        <w:tc>
          <w:tcPr>
            <w:tcW w:w="1701" w:type="dxa"/>
            <w:tcBorders>
              <w:top w:val="nil"/>
            </w:tcBorders>
          </w:tcPr>
          <w:p w14:paraId="1352109C">
            <w:pPr>
              <w:pStyle w:val="11"/>
              <w:keepNext/>
              <w:spacing w:after="0" w:line="360" w:lineRule="auto"/>
              <w:ind w:left="66" w:right="66"/>
              <w:rPr>
                <w:rFonts w:ascii="宋体" w:hAnsi="宋体" w:cs="宋体"/>
                <w:color w:val="000000"/>
                <w:sz w:val="24"/>
                <w:szCs w:val="24"/>
              </w:rPr>
            </w:pPr>
          </w:p>
        </w:tc>
      </w:tr>
      <w:tr w14:paraId="43E24B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2" w:hRule="atLeast"/>
          <w:jc w:val="center"/>
        </w:trPr>
        <w:tc>
          <w:tcPr>
            <w:tcW w:w="993" w:type="dxa"/>
          </w:tcPr>
          <w:p w14:paraId="6D3B85CA">
            <w:pPr>
              <w:pStyle w:val="11"/>
              <w:keepNext/>
              <w:spacing w:after="0" w:line="360" w:lineRule="auto"/>
              <w:ind w:left="66" w:right="66"/>
              <w:rPr>
                <w:rFonts w:ascii="宋体" w:hAnsi="宋体" w:cs="宋体"/>
                <w:color w:val="000000"/>
                <w:sz w:val="24"/>
                <w:szCs w:val="24"/>
              </w:rPr>
            </w:pPr>
          </w:p>
        </w:tc>
        <w:tc>
          <w:tcPr>
            <w:tcW w:w="1984" w:type="dxa"/>
          </w:tcPr>
          <w:p w14:paraId="7AF94583">
            <w:pPr>
              <w:pStyle w:val="11"/>
              <w:keepNext/>
              <w:spacing w:after="0" w:line="360" w:lineRule="auto"/>
              <w:ind w:left="66" w:right="66"/>
              <w:rPr>
                <w:rFonts w:ascii="宋体" w:hAnsi="宋体" w:cs="宋体"/>
                <w:color w:val="000000"/>
                <w:sz w:val="24"/>
                <w:szCs w:val="24"/>
              </w:rPr>
            </w:pPr>
          </w:p>
        </w:tc>
        <w:tc>
          <w:tcPr>
            <w:tcW w:w="851" w:type="dxa"/>
          </w:tcPr>
          <w:p w14:paraId="1CADE16B">
            <w:pPr>
              <w:pStyle w:val="11"/>
              <w:keepNext/>
              <w:spacing w:after="0" w:line="360" w:lineRule="auto"/>
              <w:ind w:left="66" w:right="66"/>
              <w:rPr>
                <w:rFonts w:ascii="宋体" w:hAnsi="宋体" w:cs="宋体"/>
                <w:color w:val="000000"/>
                <w:sz w:val="24"/>
                <w:szCs w:val="24"/>
              </w:rPr>
            </w:pPr>
          </w:p>
        </w:tc>
        <w:tc>
          <w:tcPr>
            <w:tcW w:w="774" w:type="dxa"/>
          </w:tcPr>
          <w:p w14:paraId="000BB53F">
            <w:pPr>
              <w:pStyle w:val="11"/>
              <w:keepNext/>
              <w:spacing w:after="0" w:line="360" w:lineRule="auto"/>
              <w:ind w:left="66" w:right="66"/>
              <w:rPr>
                <w:rFonts w:ascii="宋体" w:hAnsi="宋体" w:cs="宋体"/>
                <w:color w:val="000000"/>
                <w:sz w:val="24"/>
                <w:szCs w:val="24"/>
              </w:rPr>
            </w:pPr>
          </w:p>
        </w:tc>
        <w:tc>
          <w:tcPr>
            <w:tcW w:w="1352" w:type="dxa"/>
          </w:tcPr>
          <w:p w14:paraId="3178B4BE">
            <w:pPr>
              <w:pStyle w:val="11"/>
              <w:keepNext/>
              <w:spacing w:after="0" w:line="360" w:lineRule="auto"/>
              <w:ind w:left="66" w:right="66"/>
              <w:rPr>
                <w:rFonts w:ascii="宋体" w:hAnsi="宋体" w:cs="宋体"/>
                <w:color w:val="000000"/>
                <w:sz w:val="24"/>
                <w:szCs w:val="24"/>
              </w:rPr>
            </w:pPr>
          </w:p>
        </w:tc>
        <w:tc>
          <w:tcPr>
            <w:tcW w:w="1418" w:type="dxa"/>
          </w:tcPr>
          <w:p w14:paraId="3DD85178">
            <w:pPr>
              <w:pStyle w:val="11"/>
              <w:keepNext/>
              <w:spacing w:after="0" w:line="360" w:lineRule="auto"/>
              <w:ind w:left="66" w:right="66"/>
              <w:rPr>
                <w:rFonts w:ascii="宋体" w:hAnsi="宋体" w:cs="宋体"/>
                <w:color w:val="000000"/>
                <w:sz w:val="24"/>
                <w:szCs w:val="24"/>
              </w:rPr>
            </w:pPr>
          </w:p>
        </w:tc>
        <w:tc>
          <w:tcPr>
            <w:tcW w:w="1701" w:type="dxa"/>
          </w:tcPr>
          <w:p w14:paraId="0A417F80">
            <w:pPr>
              <w:pStyle w:val="11"/>
              <w:keepNext/>
              <w:spacing w:after="0" w:line="360" w:lineRule="auto"/>
              <w:ind w:left="66" w:right="66"/>
              <w:rPr>
                <w:rFonts w:ascii="宋体" w:hAnsi="宋体" w:cs="宋体"/>
                <w:color w:val="000000"/>
                <w:sz w:val="24"/>
                <w:szCs w:val="24"/>
              </w:rPr>
            </w:pPr>
          </w:p>
        </w:tc>
      </w:tr>
      <w:tr w14:paraId="29CCC0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993" w:type="dxa"/>
          </w:tcPr>
          <w:p w14:paraId="586A6E95">
            <w:pPr>
              <w:pStyle w:val="11"/>
              <w:keepNext/>
              <w:spacing w:after="0" w:line="360" w:lineRule="auto"/>
              <w:ind w:left="66" w:right="66"/>
              <w:rPr>
                <w:rFonts w:ascii="宋体" w:hAnsi="宋体" w:cs="宋体"/>
                <w:color w:val="000000"/>
                <w:sz w:val="24"/>
                <w:szCs w:val="24"/>
              </w:rPr>
            </w:pPr>
          </w:p>
        </w:tc>
        <w:tc>
          <w:tcPr>
            <w:tcW w:w="1984" w:type="dxa"/>
          </w:tcPr>
          <w:p w14:paraId="639856D9">
            <w:pPr>
              <w:pStyle w:val="11"/>
              <w:keepNext/>
              <w:spacing w:after="0" w:line="360" w:lineRule="auto"/>
              <w:ind w:left="66" w:right="66"/>
              <w:rPr>
                <w:rFonts w:ascii="宋体" w:hAnsi="宋体" w:cs="宋体"/>
                <w:color w:val="000000"/>
                <w:sz w:val="24"/>
                <w:szCs w:val="24"/>
              </w:rPr>
            </w:pPr>
          </w:p>
        </w:tc>
        <w:tc>
          <w:tcPr>
            <w:tcW w:w="851" w:type="dxa"/>
          </w:tcPr>
          <w:p w14:paraId="7E110CC0">
            <w:pPr>
              <w:pStyle w:val="11"/>
              <w:keepNext/>
              <w:spacing w:after="0" w:line="360" w:lineRule="auto"/>
              <w:ind w:left="66" w:right="66"/>
              <w:rPr>
                <w:rFonts w:ascii="宋体" w:hAnsi="宋体" w:cs="宋体"/>
                <w:color w:val="000000"/>
                <w:sz w:val="24"/>
                <w:szCs w:val="24"/>
              </w:rPr>
            </w:pPr>
          </w:p>
        </w:tc>
        <w:tc>
          <w:tcPr>
            <w:tcW w:w="774" w:type="dxa"/>
          </w:tcPr>
          <w:p w14:paraId="4E1F02BD">
            <w:pPr>
              <w:pStyle w:val="11"/>
              <w:keepNext/>
              <w:spacing w:after="0" w:line="360" w:lineRule="auto"/>
              <w:ind w:left="66" w:right="66"/>
              <w:rPr>
                <w:rFonts w:ascii="宋体" w:hAnsi="宋体" w:cs="宋体"/>
                <w:color w:val="000000"/>
                <w:sz w:val="24"/>
                <w:szCs w:val="24"/>
              </w:rPr>
            </w:pPr>
          </w:p>
        </w:tc>
        <w:tc>
          <w:tcPr>
            <w:tcW w:w="1352" w:type="dxa"/>
          </w:tcPr>
          <w:p w14:paraId="435EC692">
            <w:pPr>
              <w:pStyle w:val="11"/>
              <w:keepNext/>
              <w:spacing w:after="0" w:line="360" w:lineRule="auto"/>
              <w:ind w:left="66" w:right="66"/>
              <w:rPr>
                <w:rFonts w:ascii="宋体" w:hAnsi="宋体" w:cs="宋体"/>
                <w:color w:val="000000"/>
                <w:sz w:val="24"/>
                <w:szCs w:val="24"/>
              </w:rPr>
            </w:pPr>
          </w:p>
        </w:tc>
        <w:tc>
          <w:tcPr>
            <w:tcW w:w="1418" w:type="dxa"/>
          </w:tcPr>
          <w:p w14:paraId="14831FB6">
            <w:pPr>
              <w:pStyle w:val="11"/>
              <w:keepNext/>
              <w:spacing w:after="0" w:line="360" w:lineRule="auto"/>
              <w:ind w:left="66" w:right="66"/>
              <w:rPr>
                <w:rFonts w:ascii="宋体" w:hAnsi="宋体" w:cs="宋体"/>
                <w:color w:val="000000"/>
                <w:sz w:val="24"/>
                <w:szCs w:val="24"/>
              </w:rPr>
            </w:pPr>
          </w:p>
        </w:tc>
        <w:tc>
          <w:tcPr>
            <w:tcW w:w="1701" w:type="dxa"/>
          </w:tcPr>
          <w:p w14:paraId="0006A52A">
            <w:pPr>
              <w:pStyle w:val="11"/>
              <w:keepNext/>
              <w:spacing w:after="0" w:line="360" w:lineRule="auto"/>
              <w:ind w:left="66" w:right="66"/>
              <w:rPr>
                <w:rFonts w:ascii="宋体" w:hAnsi="宋体" w:cs="宋体"/>
                <w:color w:val="000000"/>
                <w:sz w:val="24"/>
                <w:szCs w:val="24"/>
              </w:rPr>
            </w:pPr>
          </w:p>
        </w:tc>
      </w:tr>
      <w:tr w14:paraId="0654A1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993" w:type="dxa"/>
          </w:tcPr>
          <w:p w14:paraId="50F96918">
            <w:pPr>
              <w:pStyle w:val="11"/>
              <w:keepNext/>
              <w:spacing w:after="0" w:line="360" w:lineRule="auto"/>
              <w:ind w:left="66" w:right="66"/>
              <w:rPr>
                <w:rFonts w:ascii="宋体" w:hAnsi="宋体" w:cs="宋体"/>
                <w:color w:val="000000"/>
                <w:sz w:val="24"/>
                <w:szCs w:val="24"/>
              </w:rPr>
            </w:pPr>
          </w:p>
        </w:tc>
        <w:tc>
          <w:tcPr>
            <w:tcW w:w="1984" w:type="dxa"/>
          </w:tcPr>
          <w:p w14:paraId="6AECFCCF">
            <w:pPr>
              <w:pStyle w:val="11"/>
              <w:keepNext/>
              <w:spacing w:after="0" w:line="360" w:lineRule="auto"/>
              <w:ind w:left="66" w:right="66"/>
              <w:rPr>
                <w:rFonts w:ascii="宋体" w:hAnsi="宋体" w:cs="宋体"/>
                <w:color w:val="000000"/>
                <w:sz w:val="24"/>
                <w:szCs w:val="24"/>
              </w:rPr>
            </w:pPr>
          </w:p>
        </w:tc>
        <w:tc>
          <w:tcPr>
            <w:tcW w:w="851" w:type="dxa"/>
          </w:tcPr>
          <w:p w14:paraId="3D10B949">
            <w:pPr>
              <w:pStyle w:val="11"/>
              <w:keepNext/>
              <w:spacing w:after="0" w:line="360" w:lineRule="auto"/>
              <w:ind w:left="66" w:right="66"/>
              <w:rPr>
                <w:rFonts w:ascii="宋体" w:hAnsi="宋体" w:cs="宋体"/>
                <w:color w:val="000000"/>
                <w:sz w:val="24"/>
                <w:szCs w:val="24"/>
              </w:rPr>
            </w:pPr>
          </w:p>
        </w:tc>
        <w:tc>
          <w:tcPr>
            <w:tcW w:w="774" w:type="dxa"/>
          </w:tcPr>
          <w:p w14:paraId="68645259">
            <w:pPr>
              <w:pStyle w:val="11"/>
              <w:keepNext/>
              <w:spacing w:after="0" w:line="360" w:lineRule="auto"/>
              <w:ind w:left="66" w:right="66"/>
              <w:rPr>
                <w:rFonts w:ascii="宋体" w:hAnsi="宋体" w:cs="宋体"/>
                <w:color w:val="000000"/>
                <w:sz w:val="24"/>
                <w:szCs w:val="24"/>
              </w:rPr>
            </w:pPr>
          </w:p>
        </w:tc>
        <w:tc>
          <w:tcPr>
            <w:tcW w:w="1352" w:type="dxa"/>
          </w:tcPr>
          <w:p w14:paraId="6EAD7214">
            <w:pPr>
              <w:pStyle w:val="11"/>
              <w:keepNext/>
              <w:spacing w:after="0" w:line="360" w:lineRule="auto"/>
              <w:ind w:left="66" w:right="66"/>
              <w:rPr>
                <w:rFonts w:ascii="宋体" w:hAnsi="宋体" w:cs="宋体"/>
                <w:color w:val="000000"/>
                <w:sz w:val="24"/>
                <w:szCs w:val="24"/>
              </w:rPr>
            </w:pPr>
          </w:p>
        </w:tc>
        <w:tc>
          <w:tcPr>
            <w:tcW w:w="1418" w:type="dxa"/>
          </w:tcPr>
          <w:p w14:paraId="74A763BB">
            <w:pPr>
              <w:pStyle w:val="11"/>
              <w:keepNext/>
              <w:spacing w:after="0" w:line="360" w:lineRule="auto"/>
              <w:ind w:left="66" w:right="66"/>
              <w:rPr>
                <w:rFonts w:ascii="宋体" w:hAnsi="宋体" w:cs="宋体"/>
                <w:color w:val="000000"/>
                <w:sz w:val="24"/>
                <w:szCs w:val="24"/>
              </w:rPr>
            </w:pPr>
          </w:p>
        </w:tc>
        <w:tc>
          <w:tcPr>
            <w:tcW w:w="1701" w:type="dxa"/>
          </w:tcPr>
          <w:p w14:paraId="408A85CF">
            <w:pPr>
              <w:pStyle w:val="11"/>
              <w:keepNext/>
              <w:spacing w:after="0" w:line="360" w:lineRule="auto"/>
              <w:ind w:left="66" w:right="66"/>
              <w:rPr>
                <w:rFonts w:ascii="宋体" w:hAnsi="宋体" w:cs="宋体"/>
                <w:color w:val="000000"/>
                <w:sz w:val="24"/>
                <w:szCs w:val="24"/>
              </w:rPr>
            </w:pPr>
          </w:p>
        </w:tc>
      </w:tr>
      <w:tr w14:paraId="014AC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Pr>
          <w:p w14:paraId="37006BED">
            <w:pPr>
              <w:pStyle w:val="11"/>
              <w:keepNext/>
              <w:spacing w:after="0" w:line="360" w:lineRule="auto"/>
              <w:ind w:left="66" w:right="66"/>
              <w:rPr>
                <w:rFonts w:ascii="宋体" w:hAnsi="宋体" w:cs="宋体"/>
                <w:color w:val="000000"/>
                <w:sz w:val="24"/>
                <w:szCs w:val="24"/>
              </w:rPr>
            </w:pPr>
          </w:p>
        </w:tc>
        <w:tc>
          <w:tcPr>
            <w:tcW w:w="1984" w:type="dxa"/>
          </w:tcPr>
          <w:p w14:paraId="079657DE">
            <w:pPr>
              <w:pStyle w:val="11"/>
              <w:keepNext/>
              <w:spacing w:after="0" w:line="360" w:lineRule="auto"/>
              <w:ind w:left="66" w:right="66"/>
              <w:rPr>
                <w:rFonts w:ascii="宋体" w:hAnsi="宋体" w:cs="宋体"/>
                <w:color w:val="000000"/>
                <w:sz w:val="24"/>
                <w:szCs w:val="24"/>
              </w:rPr>
            </w:pPr>
          </w:p>
        </w:tc>
        <w:tc>
          <w:tcPr>
            <w:tcW w:w="851" w:type="dxa"/>
          </w:tcPr>
          <w:p w14:paraId="5352A16F">
            <w:pPr>
              <w:pStyle w:val="11"/>
              <w:keepNext/>
              <w:spacing w:after="0" w:line="360" w:lineRule="auto"/>
              <w:ind w:left="66" w:right="66"/>
              <w:rPr>
                <w:rFonts w:ascii="宋体" w:hAnsi="宋体" w:cs="宋体"/>
                <w:color w:val="000000"/>
                <w:sz w:val="24"/>
                <w:szCs w:val="24"/>
              </w:rPr>
            </w:pPr>
          </w:p>
        </w:tc>
        <w:tc>
          <w:tcPr>
            <w:tcW w:w="774" w:type="dxa"/>
          </w:tcPr>
          <w:p w14:paraId="69D8EDB8">
            <w:pPr>
              <w:pStyle w:val="11"/>
              <w:keepNext/>
              <w:spacing w:after="0" w:line="360" w:lineRule="auto"/>
              <w:ind w:left="66" w:right="66"/>
              <w:rPr>
                <w:rFonts w:ascii="宋体" w:hAnsi="宋体" w:cs="宋体"/>
                <w:color w:val="000000"/>
                <w:sz w:val="24"/>
                <w:szCs w:val="24"/>
              </w:rPr>
            </w:pPr>
          </w:p>
        </w:tc>
        <w:tc>
          <w:tcPr>
            <w:tcW w:w="1352" w:type="dxa"/>
          </w:tcPr>
          <w:p w14:paraId="43350A7E">
            <w:pPr>
              <w:pStyle w:val="11"/>
              <w:keepNext/>
              <w:spacing w:after="0" w:line="360" w:lineRule="auto"/>
              <w:ind w:left="66" w:right="66"/>
              <w:rPr>
                <w:rFonts w:ascii="宋体" w:hAnsi="宋体" w:cs="宋体"/>
                <w:color w:val="000000"/>
                <w:sz w:val="24"/>
                <w:szCs w:val="24"/>
              </w:rPr>
            </w:pPr>
          </w:p>
        </w:tc>
        <w:tc>
          <w:tcPr>
            <w:tcW w:w="1418" w:type="dxa"/>
          </w:tcPr>
          <w:p w14:paraId="643AAED5">
            <w:pPr>
              <w:pStyle w:val="11"/>
              <w:keepNext/>
              <w:spacing w:after="0" w:line="360" w:lineRule="auto"/>
              <w:ind w:left="66" w:right="66"/>
              <w:rPr>
                <w:rFonts w:ascii="宋体" w:hAnsi="宋体" w:cs="宋体"/>
                <w:color w:val="000000"/>
                <w:sz w:val="24"/>
                <w:szCs w:val="24"/>
              </w:rPr>
            </w:pPr>
          </w:p>
        </w:tc>
        <w:tc>
          <w:tcPr>
            <w:tcW w:w="1701" w:type="dxa"/>
          </w:tcPr>
          <w:p w14:paraId="157F0AFB">
            <w:pPr>
              <w:pStyle w:val="11"/>
              <w:keepNext/>
              <w:spacing w:after="0" w:line="360" w:lineRule="auto"/>
              <w:ind w:left="66" w:right="66"/>
              <w:rPr>
                <w:rFonts w:ascii="宋体" w:hAnsi="宋体" w:cs="宋体"/>
                <w:color w:val="000000"/>
                <w:sz w:val="24"/>
                <w:szCs w:val="24"/>
              </w:rPr>
            </w:pPr>
          </w:p>
        </w:tc>
      </w:tr>
      <w:tr w14:paraId="152CE9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7" w:hRule="atLeast"/>
          <w:jc w:val="center"/>
        </w:trPr>
        <w:tc>
          <w:tcPr>
            <w:tcW w:w="993" w:type="dxa"/>
          </w:tcPr>
          <w:p w14:paraId="30ADA472">
            <w:pPr>
              <w:pStyle w:val="11"/>
              <w:keepNext/>
              <w:spacing w:after="0" w:line="360" w:lineRule="auto"/>
              <w:ind w:left="66" w:right="66"/>
              <w:rPr>
                <w:rFonts w:ascii="宋体" w:hAnsi="宋体" w:cs="宋体"/>
                <w:color w:val="000000"/>
                <w:sz w:val="24"/>
                <w:szCs w:val="24"/>
              </w:rPr>
            </w:pPr>
          </w:p>
        </w:tc>
        <w:tc>
          <w:tcPr>
            <w:tcW w:w="1984" w:type="dxa"/>
          </w:tcPr>
          <w:p w14:paraId="69C6938E">
            <w:pPr>
              <w:pStyle w:val="11"/>
              <w:keepNext/>
              <w:spacing w:after="0" w:line="360" w:lineRule="auto"/>
              <w:ind w:left="66" w:right="66"/>
              <w:rPr>
                <w:rFonts w:ascii="宋体" w:hAnsi="宋体" w:cs="宋体"/>
                <w:color w:val="000000"/>
                <w:sz w:val="24"/>
                <w:szCs w:val="24"/>
              </w:rPr>
            </w:pPr>
          </w:p>
        </w:tc>
        <w:tc>
          <w:tcPr>
            <w:tcW w:w="851" w:type="dxa"/>
          </w:tcPr>
          <w:p w14:paraId="4DA561FF">
            <w:pPr>
              <w:pStyle w:val="11"/>
              <w:keepNext/>
              <w:spacing w:after="0" w:line="360" w:lineRule="auto"/>
              <w:ind w:left="66" w:right="66"/>
              <w:rPr>
                <w:rFonts w:ascii="宋体" w:hAnsi="宋体" w:cs="宋体"/>
                <w:color w:val="000000"/>
                <w:sz w:val="24"/>
                <w:szCs w:val="24"/>
              </w:rPr>
            </w:pPr>
          </w:p>
        </w:tc>
        <w:tc>
          <w:tcPr>
            <w:tcW w:w="774" w:type="dxa"/>
          </w:tcPr>
          <w:p w14:paraId="0C858C6D">
            <w:pPr>
              <w:pStyle w:val="11"/>
              <w:keepNext/>
              <w:spacing w:after="0" w:line="360" w:lineRule="auto"/>
              <w:ind w:left="66" w:right="66"/>
              <w:rPr>
                <w:rFonts w:ascii="宋体" w:hAnsi="宋体" w:cs="宋体"/>
                <w:color w:val="000000"/>
                <w:sz w:val="24"/>
                <w:szCs w:val="24"/>
              </w:rPr>
            </w:pPr>
          </w:p>
        </w:tc>
        <w:tc>
          <w:tcPr>
            <w:tcW w:w="1352" w:type="dxa"/>
          </w:tcPr>
          <w:p w14:paraId="016E28A6">
            <w:pPr>
              <w:pStyle w:val="11"/>
              <w:keepNext/>
              <w:spacing w:after="0" w:line="360" w:lineRule="auto"/>
              <w:ind w:left="66" w:right="66"/>
              <w:rPr>
                <w:rFonts w:ascii="宋体" w:hAnsi="宋体" w:cs="宋体"/>
                <w:color w:val="000000"/>
                <w:sz w:val="24"/>
                <w:szCs w:val="24"/>
              </w:rPr>
            </w:pPr>
          </w:p>
        </w:tc>
        <w:tc>
          <w:tcPr>
            <w:tcW w:w="1418" w:type="dxa"/>
          </w:tcPr>
          <w:p w14:paraId="0FACD7B6">
            <w:pPr>
              <w:pStyle w:val="11"/>
              <w:keepNext/>
              <w:spacing w:after="0" w:line="360" w:lineRule="auto"/>
              <w:ind w:left="66" w:right="66"/>
              <w:rPr>
                <w:rFonts w:ascii="宋体" w:hAnsi="宋体" w:cs="宋体"/>
                <w:color w:val="000000"/>
                <w:sz w:val="24"/>
                <w:szCs w:val="24"/>
              </w:rPr>
            </w:pPr>
          </w:p>
        </w:tc>
        <w:tc>
          <w:tcPr>
            <w:tcW w:w="1701" w:type="dxa"/>
          </w:tcPr>
          <w:p w14:paraId="32EE469B">
            <w:pPr>
              <w:pStyle w:val="11"/>
              <w:keepNext/>
              <w:spacing w:after="0" w:line="360" w:lineRule="auto"/>
              <w:ind w:left="66" w:right="66"/>
              <w:rPr>
                <w:rFonts w:ascii="宋体" w:hAnsi="宋体" w:cs="宋体"/>
                <w:color w:val="000000"/>
                <w:sz w:val="24"/>
                <w:szCs w:val="24"/>
              </w:rPr>
            </w:pPr>
          </w:p>
        </w:tc>
      </w:tr>
      <w:tr w14:paraId="6BDC33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Pr>
          <w:p w14:paraId="0CCD015D">
            <w:pPr>
              <w:pStyle w:val="11"/>
              <w:keepNext/>
              <w:spacing w:after="0" w:line="360" w:lineRule="auto"/>
              <w:ind w:left="66" w:right="66"/>
              <w:rPr>
                <w:rFonts w:ascii="宋体" w:hAnsi="宋体" w:cs="宋体"/>
                <w:color w:val="000000"/>
                <w:sz w:val="24"/>
                <w:szCs w:val="24"/>
              </w:rPr>
            </w:pPr>
          </w:p>
        </w:tc>
        <w:tc>
          <w:tcPr>
            <w:tcW w:w="1984" w:type="dxa"/>
          </w:tcPr>
          <w:p w14:paraId="243C432B">
            <w:pPr>
              <w:pStyle w:val="11"/>
              <w:keepNext/>
              <w:spacing w:after="0" w:line="360" w:lineRule="auto"/>
              <w:ind w:left="66" w:right="66"/>
              <w:rPr>
                <w:rFonts w:ascii="宋体" w:hAnsi="宋体" w:cs="宋体"/>
                <w:color w:val="000000"/>
                <w:sz w:val="24"/>
                <w:szCs w:val="24"/>
              </w:rPr>
            </w:pPr>
          </w:p>
        </w:tc>
        <w:tc>
          <w:tcPr>
            <w:tcW w:w="851" w:type="dxa"/>
          </w:tcPr>
          <w:p w14:paraId="01714812">
            <w:pPr>
              <w:pStyle w:val="11"/>
              <w:keepNext/>
              <w:spacing w:after="0" w:line="360" w:lineRule="auto"/>
              <w:ind w:left="66" w:right="66"/>
              <w:rPr>
                <w:rFonts w:ascii="宋体" w:hAnsi="宋体" w:cs="宋体"/>
                <w:color w:val="000000"/>
                <w:sz w:val="24"/>
                <w:szCs w:val="24"/>
              </w:rPr>
            </w:pPr>
          </w:p>
        </w:tc>
        <w:tc>
          <w:tcPr>
            <w:tcW w:w="774" w:type="dxa"/>
          </w:tcPr>
          <w:p w14:paraId="6ECEB7D9">
            <w:pPr>
              <w:pStyle w:val="11"/>
              <w:keepNext/>
              <w:spacing w:after="0" w:line="360" w:lineRule="auto"/>
              <w:ind w:left="66" w:right="66"/>
              <w:rPr>
                <w:rFonts w:ascii="宋体" w:hAnsi="宋体" w:cs="宋体"/>
                <w:color w:val="000000"/>
                <w:sz w:val="24"/>
                <w:szCs w:val="24"/>
              </w:rPr>
            </w:pPr>
          </w:p>
        </w:tc>
        <w:tc>
          <w:tcPr>
            <w:tcW w:w="1352" w:type="dxa"/>
          </w:tcPr>
          <w:p w14:paraId="1CEDBB6E">
            <w:pPr>
              <w:pStyle w:val="11"/>
              <w:keepNext/>
              <w:spacing w:after="0" w:line="360" w:lineRule="auto"/>
              <w:ind w:left="66" w:right="66"/>
              <w:rPr>
                <w:rFonts w:ascii="宋体" w:hAnsi="宋体" w:cs="宋体"/>
                <w:color w:val="000000"/>
                <w:sz w:val="24"/>
                <w:szCs w:val="24"/>
              </w:rPr>
            </w:pPr>
          </w:p>
        </w:tc>
        <w:tc>
          <w:tcPr>
            <w:tcW w:w="1418" w:type="dxa"/>
          </w:tcPr>
          <w:p w14:paraId="28C66E3E">
            <w:pPr>
              <w:pStyle w:val="11"/>
              <w:keepNext/>
              <w:spacing w:after="0" w:line="360" w:lineRule="auto"/>
              <w:ind w:left="66" w:right="66"/>
              <w:rPr>
                <w:rFonts w:ascii="宋体" w:hAnsi="宋体" w:cs="宋体"/>
                <w:color w:val="000000"/>
                <w:sz w:val="24"/>
                <w:szCs w:val="24"/>
              </w:rPr>
            </w:pPr>
          </w:p>
        </w:tc>
        <w:tc>
          <w:tcPr>
            <w:tcW w:w="1701" w:type="dxa"/>
          </w:tcPr>
          <w:p w14:paraId="572BE0BE">
            <w:pPr>
              <w:pStyle w:val="11"/>
              <w:keepNext/>
              <w:spacing w:after="0" w:line="360" w:lineRule="auto"/>
              <w:ind w:left="66" w:right="66"/>
              <w:rPr>
                <w:rFonts w:ascii="宋体" w:hAnsi="宋体" w:cs="宋体"/>
                <w:color w:val="000000"/>
                <w:sz w:val="24"/>
                <w:szCs w:val="24"/>
              </w:rPr>
            </w:pPr>
          </w:p>
        </w:tc>
      </w:tr>
      <w:tr w14:paraId="28FC3B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993" w:type="dxa"/>
          </w:tcPr>
          <w:p w14:paraId="55C9C292">
            <w:pPr>
              <w:pStyle w:val="11"/>
              <w:keepNext/>
              <w:spacing w:after="0" w:line="360" w:lineRule="auto"/>
              <w:ind w:left="66" w:right="66"/>
              <w:rPr>
                <w:rFonts w:ascii="宋体" w:hAnsi="宋体" w:cs="宋体"/>
                <w:color w:val="000000"/>
                <w:sz w:val="24"/>
                <w:szCs w:val="24"/>
              </w:rPr>
            </w:pPr>
          </w:p>
        </w:tc>
        <w:tc>
          <w:tcPr>
            <w:tcW w:w="1984" w:type="dxa"/>
          </w:tcPr>
          <w:p w14:paraId="70F6533E">
            <w:pPr>
              <w:pStyle w:val="11"/>
              <w:keepNext/>
              <w:spacing w:after="0" w:line="360" w:lineRule="auto"/>
              <w:ind w:left="66" w:right="66"/>
              <w:rPr>
                <w:rFonts w:ascii="宋体" w:hAnsi="宋体" w:cs="宋体"/>
                <w:color w:val="000000"/>
                <w:sz w:val="24"/>
                <w:szCs w:val="24"/>
              </w:rPr>
            </w:pPr>
          </w:p>
        </w:tc>
        <w:tc>
          <w:tcPr>
            <w:tcW w:w="851" w:type="dxa"/>
          </w:tcPr>
          <w:p w14:paraId="7DA30076">
            <w:pPr>
              <w:pStyle w:val="11"/>
              <w:keepNext/>
              <w:spacing w:after="0" w:line="360" w:lineRule="auto"/>
              <w:ind w:left="66" w:right="66"/>
              <w:rPr>
                <w:rFonts w:ascii="宋体" w:hAnsi="宋体" w:cs="宋体"/>
                <w:color w:val="000000"/>
                <w:sz w:val="24"/>
                <w:szCs w:val="24"/>
              </w:rPr>
            </w:pPr>
          </w:p>
        </w:tc>
        <w:tc>
          <w:tcPr>
            <w:tcW w:w="774" w:type="dxa"/>
          </w:tcPr>
          <w:p w14:paraId="1EC6057E">
            <w:pPr>
              <w:pStyle w:val="11"/>
              <w:keepNext/>
              <w:spacing w:after="0" w:line="360" w:lineRule="auto"/>
              <w:ind w:left="66" w:right="66"/>
              <w:rPr>
                <w:rFonts w:ascii="宋体" w:hAnsi="宋体" w:cs="宋体"/>
                <w:color w:val="000000"/>
                <w:sz w:val="24"/>
                <w:szCs w:val="24"/>
              </w:rPr>
            </w:pPr>
          </w:p>
        </w:tc>
        <w:tc>
          <w:tcPr>
            <w:tcW w:w="1352" w:type="dxa"/>
          </w:tcPr>
          <w:p w14:paraId="559DAE83">
            <w:pPr>
              <w:pStyle w:val="11"/>
              <w:keepNext/>
              <w:spacing w:after="0" w:line="360" w:lineRule="auto"/>
              <w:ind w:left="66" w:right="66"/>
              <w:rPr>
                <w:rFonts w:ascii="宋体" w:hAnsi="宋体" w:cs="宋体"/>
                <w:color w:val="000000"/>
                <w:sz w:val="24"/>
                <w:szCs w:val="24"/>
              </w:rPr>
            </w:pPr>
          </w:p>
        </w:tc>
        <w:tc>
          <w:tcPr>
            <w:tcW w:w="1418" w:type="dxa"/>
          </w:tcPr>
          <w:p w14:paraId="078E4DB6">
            <w:pPr>
              <w:pStyle w:val="11"/>
              <w:keepNext/>
              <w:spacing w:after="0" w:line="360" w:lineRule="auto"/>
              <w:ind w:left="66" w:right="66"/>
              <w:rPr>
                <w:rFonts w:ascii="宋体" w:hAnsi="宋体" w:cs="宋体"/>
                <w:color w:val="000000"/>
                <w:sz w:val="24"/>
                <w:szCs w:val="24"/>
              </w:rPr>
            </w:pPr>
          </w:p>
        </w:tc>
        <w:tc>
          <w:tcPr>
            <w:tcW w:w="1701" w:type="dxa"/>
          </w:tcPr>
          <w:p w14:paraId="0ABCF133">
            <w:pPr>
              <w:pStyle w:val="11"/>
              <w:keepNext/>
              <w:spacing w:after="0" w:line="360" w:lineRule="auto"/>
              <w:ind w:left="66" w:right="66"/>
              <w:rPr>
                <w:rFonts w:ascii="宋体" w:hAnsi="宋体" w:cs="宋体"/>
                <w:color w:val="000000"/>
                <w:sz w:val="24"/>
                <w:szCs w:val="24"/>
              </w:rPr>
            </w:pPr>
          </w:p>
        </w:tc>
      </w:tr>
      <w:tr w14:paraId="037FD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993" w:type="dxa"/>
          </w:tcPr>
          <w:p w14:paraId="6A2F05D0">
            <w:pPr>
              <w:pStyle w:val="11"/>
              <w:keepNext/>
              <w:spacing w:after="0" w:line="360" w:lineRule="auto"/>
              <w:ind w:left="66" w:right="66"/>
              <w:rPr>
                <w:rFonts w:ascii="宋体" w:hAnsi="宋体" w:cs="宋体"/>
                <w:color w:val="000000"/>
                <w:sz w:val="24"/>
                <w:szCs w:val="24"/>
              </w:rPr>
            </w:pPr>
          </w:p>
        </w:tc>
        <w:tc>
          <w:tcPr>
            <w:tcW w:w="1984" w:type="dxa"/>
          </w:tcPr>
          <w:p w14:paraId="38F33321">
            <w:pPr>
              <w:pStyle w:val="11"/>
              <w:keepNext/>
              <w:spacing w:after="0" w:line="360" w:lineRule="auto"/>
              <w:ind w:left="66" w:right="66"/>
              <w:rPr>
                <w:rFonts w:ascii="宋体" w:hAnsi="宋体" w:cs="宋体"/>
                <w:color w:val="000000"/>
                <w:sz w:val="24"/>
                <w:szCs w:val="24"/>
              </w:rPr>
            </w:pPr>
          </w:p>
        </w:tc>
        <w:tc>
          <w:tcPr>
            <w:tcW w:w="851" w:type="dxa"/>
          </w:tcPr>
          <w:p w14:paraId="3EF4D048">
            <w:pPr>
              <w:pStyle w:val="11"/>
              <w:keepNext/>
              <w:spacing w:after="0" w:line="360" w:lineRule="auto"/>
              <w:ind w:left="66" w:right="66"/>
              <w:rPr>
                <w:rFonts w:ascii="宋体" w:hAnsi="宋体" w:cs="宋体"/>
                <w:color w:val="000000"/>
                <w:sz w:val="24"/>
                <w:szCs w:val="24"/>
              </w:rPr>
            </w:pPr>
          </w:p>
        </w:tc>
        <w:tc>
          <w:tcPr>
            <w:tcW w:w="774" w:type="dxa"/>
          </w:tcPr>
          <w:p w14:paraId="2420328C">
            <w:pPr>
              <w:pStyle w:val="11"/>
              <w:keepNext/>
              <w:spacing w:after="0" w:line="360" w:lineRule="auto"/>
              <w:ind w:left="66" w:right="66"/>
              <w:rPr>
                <w:rFonts w:ascii="宋体" w:hAnsi="宋体" w:cs="宋体"/>
                <w:color w:val="000000"/>
                <w:sz w:val="24"/>
                <w:szCs w:val="24"/>
              </w:rPr>
            </w:pPr>
          </w:p>
        </w:tc>
        <w:tc>
          <w:tcPr>
            <w:tcW w:w="1352" w:type="dxa"/>
          </w:tcPr>
          <w:p w14:paraId="3AC1AEDF">
            <w:pPr>
              <w:pStyle w:val="11"/>
              <w:keepNext/>
              <w:spacing w:after="0" w:line="360" w:lineRule="auto"/>
              <w:ind w:left="66" w:right="66"/>
              <w:rPr>
                <w:rFonts w:ascii="宋体" w:hAnsi="宋体" w:cs="宋体"/>
                <w:color w:val="000000"/>
                <w:sz w:val="24"/>
                <w:szCs w:val="24"/>
              </w:rPr>
            </w:pPr>
          </w:p>
        </w:tc>
        <w:tc>
          <w:tcPr>
            <w:tcW w:w="1418" w:type="dxa"/>
          </w:tcPr>
          <w:p w14:paraId="64A2C45E">
            <w:pPr>
              <w:pStyle w:val="11"/>
              <w:keepNext/>
              <w:spacing w:after="0" w:line="360" w:lineRule="auto"/>
              <w:ind w:left="66" w:right="66"/>
              <w:rPr>
                <w:rFonts w:ascii="宋体" w:hAnsi="宋体" w:cs="宋体"/>
                <w:color w:val="000000"/>
                <w:sz w:val="24"/>
                <w:szCs w:val="24"/>
              </w:rPr>
            </w:pPr>
          </w:p>
        </w:tc>
        <w:tc>
          <w:tcPr>
            <w:tcW w:w="1701" w:type="dxa"/>
          </w:tcPr>
          <w:p w14:paraId="4550C53D">
            <w:pPr>
              <w:pStyle w:val="11"/>
              <w:keepNext/>
              <w:spacing w:after="0" w:line="360" w:lineRule="auto"/>
              <w:ind w:left="66" w:right="66"/>
              <w:rPr>
                <w:rFonts w:ascii="宋体" w:hAnsi="宋体" w:cs="宋体"/>
                <w:color w:val="000000"/>
                <w:sz w:val="24"/>
                <w:szCs w:val="24"/>
              </w:rPr>
            </w:pPr>
          </w:p>
        </w:tc>
      </w:tr>
      <w:tr w14:paraId="16B45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993" w:type="dxa"/>
          </w:tcPr>
          <w:p w14:paraId="3C8D9DA0">
            <w:pPr>
              <w:pStyle w:val="11"/>
              <w:keepNext/>
              <w:spacing w:after="0" w:line="360" w:lineRule="auto"/>
              <w:ind w:left="66" w:right="66"/>
              <w:rPr>
                <w:rFonts w:ascii="宋体" w:hAnsi="宋体" w:cs="宋体"/>
                <w:color w:val="000000"/>
                <w:sz w:val="24"/>
                <w:szCs w:val="24"/>
              </w:rPr>
            </w:pPr>
          </w:p>
        </w:tc>
        <w:tc>
          <w:tcPr>
            <w:tcW w:w="1984" w:type="dxa"/>
          </w:tcPr>
          <w:p w14:paraId="0CBB928A">
            <w:pPr>
              <w:pStyle w:val="11"/>
              <w:keepNext/>
              <w:spacing w:after="0" w:line="360" w:lineRule="auto"/>
              <w:ind w:left="66" w:right="66"/>
              <w:rPr>
                <w:rFonts w:ascii="宋体" w:hAnsi="宋体" w:cs="宋体"/>
                <w:color w:val="000000"/>
                <w:sz w:val="24"/>
                <w:szCs w:val="24"/>
              </w:rPr>
            </w:pPr>
          </w:p>
        </w:tc>
        <w:tc>
          <w:tcPr>
            <w:tcW w:w="851" w:type="dxa"/>
          </w:tcPr>
          <w:p w14:paraId="50998133">
            <w:pPr>
              <w:pStyle w:val="11"/>
              <w:keepNext/>
              <w:spacing w:after="0" w:line="360" w:lineRule="auto"/>
              <w:ind w:left="66" w:right="66"/>
              <w:rPr>
                <w:rFonts w:ascii="宋体" w:hAnsi="宋体" w:cs="宋体"/>
                <w:color w:val="000000"/>
                <w:sz w:val="24"/>
                <w:szCs w:val="24"/>
              </w:rPr>
            </w:pPr>
          </w:p>
        </w:tc>
        <w:tc>
          <w:tcPr>
            <w:tcW w:w="774" w:type="dxa"/>
          </w:tcPr>
          <w:p w14:paraId="6072DA6C">
            <w:pPr>
              <w:pStyle w:val="11"/>
              <w:keepNext/>
              <w:spacing w:after="0" w:line="360" w:lineRule="auto"/>
              <w:ind w:left="66" w:right="66"/>
              <w:rPr>
                <w:rFonts w:ascii="宋体" w:hAnsi="宋体" w:cs="宋体"/>
                <w:color w:val="000000"/>
                <w:sz w:val="24"/>
                <w:szCs w:val="24"/>
              </w:rPr>
            </w:pPr>
          </w:p>
        </w:tc>
        <w:tc>
          <w:tcPr>
            <w:tcW w:w="1352" w:type="dxa"/>
          </w:tcPr>
          <w:p w14:paraId="39D6F134">
            <w:pPr>
              <w:pStyle w:val="11"/>
              <w:keepNext/>
              <w:spacing w:after="0" w:line="360" w:lineRule="auto"/>
              <w:ind w:left="66" w:right="66"/>
              <w:rPr>
                <w:rFonts w:ascii="宋体" w:hAnsi="宋体" w:cs="宋体"/>
                <w:color w:val="000000"/>
                <w:sz w:val="24"/>
                <w:szCs w:val="24"/>
              </w:rPr>
            </w:pPr>
          </w:p>
        </w:tc>
        <w:tc>
          <w:tcPr>
            <w:tcW w:w="1418" w:type="dxa"/>
          </w:tcPr>
          <w:p w14:paraId="6483E8C5">
            <w:pPr>
              <w:pStyle w:val="11"/>
              <w:keepNext/>
              <w:spacing w:after="0" w:line="360" w:lineRule="auto"/>
              <w:ind w:left="66" w:right="66"/>
              <w:rPr>
                <w:rFonts w:ascii="宋体" w:hAnsi="宋体" w:cs="宋体"/>
                <w:color w:val="000000"/>
                <w:sz w:val="24"/>
                <w:szCs w:val="24"/>
              </w:rPr>
            </w:pPr>
          </w:p>
        </w:tc>
        <w:tc>
          <w:tcPr>
            <w:tcW w:w="1701" w:type="dxa"/>
          </w:tcPr>
          <w:p w14:paraId="39C4758B">
            <w:pPr>
              <w:pStyle w:val="11"/>
              <w:keepNext/>
              <w:spacing w:after="0" w:line="360" w:lineRule="auto"/>
              <w:ind w:left="66" w:right="66"/>
              <w:rPr>
                <w:rFonts w:ascii="宋体" w:hAnsi="宋体" w:cs="宋体"/>
                <w:color w:val="000000"/>
                <w:sz w:val="24"/>
                <w:szCs w:val="24"/>
              </w:rPr>
            </w:pPr>
          </w:p>
        </w:tc>
      </w:tr>
      <w:tr w14:paraId="48EA2E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993" w:type="dxa"/>
          </w:tcPr>
          <w:p w14:paraId="5DFED9E4">
            <w:pPr>
              <w:pStyle w:val="11"/>
              <w:keepNext/>
              <w:spacing w:after="0" w:line="360" w:lineRule="auto"/>
              <w:ind w:left="66" w:right="66"/>
              <w:rPr>
                <w:rFonts w:ascii="宋体" w:hAnsi="宋体" w:cs="宋体"/>
                <w:color w:val="000000"/>
                <w:sz w:val="24"/>
                <w:szCs w:val="24"/>
              </w:rPr>
            </w:pPr>
          </w:p>
        </w:tc>
        <w:tc>
          <w:tcPr>
            <w:tcW w:w="1984" w:type="dxa"/>
          </w:tcPr>
          <w:p w14:paraId="4D73BF8A">
            <w:pPr>
              <w:pStyle w:val="11"/>
              <w:keepNext/>
              <w:spacing w:after="0" w:line="360" w:lineRule="auto"/>
              <w:ind w:left="66" w:right="66"/>
              <w:rPr>
                <w:rFonts w:ascii="宋体" w:hAnsi="宋体" w:cs="宋体"/>
                <w:color w:val="000000"/>
                <w:sz w:val="24"/>
                <w:szCs w:val="24"/>
              </w:rPr>
            </w:pPr>
          </w:p>
        </w:tc>
        <w:tc>
          <w:tcPr>
            <w:tcW w:w="851" w:type="dxa"/>
          </w:tcPr>
          <w:p w14:paraId="2C0D7848">
            <w:pPr>
              <w:pStyle w:val="11"/>
              <w:keepNext/>
              <w:spacing w:after="0" w:line="360" w:lineRule="auto"/>
              <w:ind w:left="66" w:right="66"/>
              <w:rPr>
                <w:rFonts w:ascii="宋体" w:hAnsi="宋体" w:cs="宋体"/>
                <w:color w:val="000000"/>
                <w:sz w:val="24"/>
                <w:szCs w:val="24"/>
              </w:rPr>
            </w:pPr>
          </w:p>
        </w:tc>
        <w:tc>
          <w:tcPr>
            <w:tcW w:w="774" w:type="dxa"/>
          </w:tcPr>
          <w:p w14:paraId="5588C96F">
            <w:pPr>
              <w:pStyle w:val="11"/>
              <w:keepNext/>
              <w:spacing w:after="0" w:line="360" w:lineRule="auto"/>
              <w:ind w:left="66" w:right="66"/>
              <w:rPr>
                <w:rFonts w:ascii="宋体" w:hAnsi="宋体" w:cs="宋体"/>
                <w:color w:val="000000"/>
                <w:sz w:val="24"/>
                <w:szCs w:val="24"/>
              </w:rPr>
            </w:pPr>
          </w:p>
        </w:tc>
        <w:tc>
          <w:tcPr>
            <w:tcW w:w="1352" w:type="dxa"/>
          </w:tcPr>
          <w:p w14:paraId="6EBA7747">
            <w:pPr>
              <w:pStyle w:val="11"/>
              <w:keepNext/>
              <w:spacing w:after="0" w:line="360" w:lineRule="auto"/>
              <w:ind w:left="66" w:right="66"/>
              <w:rPr>
                <w:rFonts w:ascii="宋体" w:hAnsi="宋体" w:cs="宋体"/>
                <w:color w:val="000000"/>
                <w:sz w:val="24"/>
                <w:szCs w:val="24"/>
              </w:rPr>
            </w:pPr>
          </w:p>
        </w:tc>
        <w:tc>
          <w:tcPr>
            <w:tcW w:w="1418" w:type="dxa"/>
          </w:tcPr>
          <w:p w14:paraId="61EF3BFE">
            <w:pPr>
              <w:pStyle w:val="11"/>
              <w:keepNext/>
              <w:spacing w:after="0" w:line="360" w:lineRule="auto"/>
              <w:ind w:left="66" w:right="66"/>
              <w:rPr>
                <w:rFonts w:ascii="宋体" w:hAnsi="宋体" w:cs="宋体"/>
                <w:color w:val="000000"/>
                <w:sz w:val="24"/>
                <w:szCs w:val="24"/>
              </w:rPr>
            </w:pPr>
          </w:p>
        </w:tc>
        <w:tc>
          <w:tcPr>
            <w:tcW w:w="1701" w:type="dxa"/>
          </w:tcPr>
          <w:p w14:paraId="496465C6">
            <w:pPr>
              <w:pStyle w:val="11"/>
              <w:keepNext/>
              <w:spacing w:after="0" w:line="360" w:lineRule="auto"/>
              <w:ind w:left="66" w:right="66"/>
              <w:rPr>
                <w:rFonts w:ascii="宋体" w:hAnsi="宋体" w:cs="宋体"/>
                <w:color w:val="000000"/>
                <w:sz w:val="24"/>
                <w:szCs w:val="24"/>
              </w:rPr>
            </w:pPr>
          </w:p>
        </w:tc>
      </w:tr>
      <w:tr w14:paraId="42391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2" w:hRule="atLeast"/>
          <w:jc w:val="center"/>
        </w:trPr>
        <w:tc>
          <w:tcPr>
            <w:tcW w:w="993" w:type="dxa"/>
          </w:tcPr>
          <w:p w14:paraId="51DEDA52">
            <w:pPr>
              <w:pStyle w:val="11"/>
              <w:keepNext/>
              <w:spacing w:after="0" w:line="360" w:lineRule="auto"/>
              <w:ind w:left="66" w:right="66"/>
              <w:rPr>
                <w:rFonts w:ascii="宋体" w:hAnsi="宋体" w:cs="宋体"/>
                <w:color w:val="000000"/>
                <w:sz w:val="24"/>
                <w:szCs w:val="24"/>
              </w:rPr>
            </w:pPr>
          </w:p>
        </w:tc>
        <w:tc>
          <w:tcPr>
            <w:tcW w:w="1984" w:type="dxa"/>
          </w:tcPr>
          <w:p w14:paraId="7A5FDDE8">
            <w:pPr>
              <w:pStyle w:val="11"/>
              <w:keepNext/>
              <w:spacing w:after="0" w:line="360" w:lineRule="auto"/>
              <w:ind w:left="66" w:right="66"/>
              <w:rPr>
                <w:rFonts w:ascii="宋体" w:hAnsi="宋体" w:cs="宋体"/>
                <w:color w:val="000000"/>
                <w:sz w:val="24"/>
                <w:szCs w:val="24"/>
              </w:rPr>
            </w:pPr>
          </w:p>
        </w:tc>
        <w:tc>
          <w:tcPr>
            <w:tcW w:w="851" w:type="dxa"/>
          </w:tcPr>
          <w:p w14:paraId="4441A7B1">
            <w:pPr>
              <w:pStyle w:val="11"/>
              <w:keepNext/>
              <w:spacing w:after="0" w:line="360" w:lineRule="auto"/>
              <w:ind w:left="66" w:right="66"/>
              <w:rPr>
                <w:rFonts w:ascii="宋体" w:hAnsi="宋体" w:cs="宋体"/>
                <w:color w:val="000000"/>
                <w:sz w:val="24"/>
                <w:szCs w:val="24"/>
              </w:rPr>
            </w:pPr>
          </w:p>
        </w:tc>
        <w:tc>
          <w:tcPr>
            <w:tcW w:w="774" w:type="dxa"/>
          </w:tcPr>
          <w:p w14:paraId="57044F59">
            <w:pPr>
              <w:pStyle w:val="11"/>
              <w:keepNext/>
              <w:spacing w:after="0" w:line="360" w:lineRule="auto"/>
              <w:ind w:left="66" w:right="66"/>
              <w:rPr>
                <w:rFonts w:ascii="宋体" w:hAnsi="宋体" w:cs="宋体"/>
                <w:color w:val="000000"/>
                <w:sz w:val="24"/>
                <w:szCs w:val="24"/>
              </w:rPr>
            </w:pPr>
          </w:p>
        </w:tc>
        <w:tc>
          <w:tcPr>
            <w:tcW w:w="1352" w:type="dxa"/>
          </w:tcPr>
          <w:p w14:paraId="6B2DE708">
            <w:pPr>
              <w:pStyle w:val="11"/>
              <w:keepNext/>
              <w:spacing w:after="0" w:line="360" w:lineRule="auto"/>
              <w:ind w:left="66" w:right="66"/>
              <w:rPr>
                <w:rFonts w:ascii="宋体" w:hAnsi="宋体" w:cs="宋体"/>
                <w:color w:val="000000"/>
                <w:sz w:val="24"/>
                <w:szCs w:val="24"/>
              </w:rPr>
            </w:pPr>
          </w:p>
        </w:tc>
        <w:tc>
          <w:tcPr>
            <w:tcW w:w="1418" w:type="dxa"/>
          </w:tcPr>
          <w:p w14:paraId="6D6A78D3">
            <w:pPr>
              <w:pStyle w:val="11"/>
              <w:keepNext/>
              <w:spacing w:after="0" w:line="360" w:lineRule="auto"/>
              <w:ind w:left="66" w:right="66"/>
              <w:rPr>
                <w:rFonts w:ascii="宋体" w:hAnsi="宋体" w:cs="宋体"/>
                <w:color w:val="000000"/>
                <w:sz w:val="24"/>
                <w:szCs w:val="24"/>
              </w:rPr>
            </w:pPr>
          </w:p>
        </w:tc>
        <w:tc>
          <w:tcPr>
            <w:tcW w:w="1701" w:type="dxa"/>
          </w:tcPr>
          <w:p w14:paraId="16160D2C">
            <w:pPr>
              <w:pStyle w:val="11"/>
              <w:keepNext/>
              <w:spacing w:after="0" w:line="360" w:lineRule="auto"/>
              <w:ind w:left="66" w:right="66"/>
              <w:rPr>
                <w:rFonts w:ascii="宋体" w:hAnsi="宋体" w:cs="宋体"/>
                <w:color w:val="000000"/>
                <w:sz w:val="24"/>
                <w:szCs w:val="24"/>
              </w:rPr>
            </w:pPr>
          </w:p>
        </w:tc>
      </w:tr>
      <w:tr w14:paraId="73B62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993" w:type="dxa"/>
          </w:tcPr>
          <w:p w14:paraId="12CB15CD">
            <w:pPr>
              <w:pStyle w:val="11"/>
              <w:keepNext/>
              <w:spacing w:after="0" w:line="360" w:lineRule="auto"/>
              <w:ind w:left="66" w:right="66"/>
              <w:rPr>
                <w:rFonts w:ascii="宋体" w:hAnsi="宋体" w:cs="宋体"/>
                <w:color w:val="000000"/>
                <w:sz w:val="24"/>
                <w:szCs w:val="24"/>
              </w:rPr>
            </w:pPr>
          </w:p>
        </w:tc>
        <w:tc>
          <w:tcPr>
            <w:tcW w:w="1984" w:type="dxa"/>
          </w:tcPr>
          <w:p w14:paraId="43FA0FE0">
            <w:pPr>
              <w:pStyle w:val="11"/>
              <w:keepNext/>
              <w:spacing w:after="0" w:line="360" w:lineRule="auto"/>
              <w:ind w:left="66" w:right="66"/>
              <w:rPr>
                <w:rFonts w:ascii="宋体" w:hAnsi="宋体" w:cs="宋体"/>
                <w:color w:val="000000"/>
                <w:sz w:val="24"/>
                <w:szCs w:val="24"/>
              </w:rPr>
            </w:pPr>
          </w:p>
        </w:tc>
        <w:tc>
          <w:tcPr>
            <w:tcW w:w="851" w:type="dxa"/>
          </w:tcPr>
          <w:p w14:paraId="7C77C299">
            <w:pPr>
              <w:pStyle w:val="11"/>
              <w:keepNext/>
              <w:spacing w:after="0" w:line="360" w:lineRule="auto"/>
              <w:ind w:left="66" w:right="66"/>
              <w:rPr>
                <w:rFonts w:ascii="宋体" w:hAnsi="宋体" w:cs="宋体"/>
                <w:color w:val="000000"/>
                <w:sz w:val="24"/>
                <w:szCs w:val="24"/>
              </w:rPr>
            </w:pPr>
          </w:p>
        </w:tc>
        <w:tc>
          <w:tcPr>
            <w:tcW w:w="774" w:type="dxa"/>
          </w:tcPr>
          <w:p w14:paraId="79A548E0">
            <w:pPr>
              <w:pStyle w:val="11"/>
              <w:keepNext/>
              <w:spacing w:after="0" w:line="360" w:lineRule="auto"/>
              <w:ind w:left="66" w:right="66"/>
              <w:rPr>
                <w:rFonts w:ascii="宋体" w:hAnsi="宋体" w:cs="宋体"/>
                <w:color w:val="000000"/>
                <w:sz w:val="24"/>
                <w:szCs w:val="24"/>
              </w:rPr>
            </w:pPr>
          </w:p>
        </w:tc>
        <w:tc>
          <w:tcPr>
            <w:tcW w:w="1352" w:type="dxa"/>
          </w:tcPr>
          <w:p w14:paraId="265163D1">
            <w:pPr>
              <w:pStyle w:val="11"/>
              <w:keepNext/>
              <w:spacing w:after="0" w:line="360" w:lineRule="auto"/>
              <w:ind w:left="66" w:right="66"/>
              <w:rPr>
                <w:rFonts w:ascii="宋体" w:hAnsi="宋体" w:cs="宋体"/>
                <w:color w:val="000000"/>
                <w:sz w:val="24"/>
                <w:szCs w:val="24"/>
              </w:rPr>
            </w:pPr>
          </w:p>
        </w:tc>
        <w:tc>
          <w:tcPr>
            <w:tcW w:w="1418" w:type="dxa"/>
          </w:tcPr>
          <w:p w14:paraId="05667A68">
            <w:pPr>
              <w:pStyle w:val="11"/>
              <w:keepNext/>
              <w:spacing w:after="0" w:line="360" w:lineRule="auto"/>
              <w:ind w:left="66" w:right="66"/>
              <w:rPr>
                <w:rFonts w:ascii="宋体" w:hAnsi="宋体" w:cs="宋体"/>
                <w:color w:val="000000"/>
                <w:sz w:val="24"/>
                <w:szCs w:val="24"/>
              </w:rPr>
            </w:pPr>
          </w:p>
        </w:tc>
        <w:tc>
          <w:tcPr>
            <w:tcW w:w="1701" w:type="dxa"/>
          </w:tcPr>
          <w:p w14:paraId="1AE1A106">
            <w:pPr>
              <w:pStyle w:val="11"/>
              <w:keepNext/>
              <w:spacing w:after="0" w:line="360" w:lineRule="auto"/>
              <w:ind w:left="66" w:right="66"/>
              <w:rPr>
                <w:rFonts w:ascii="宋体" w:hAnsi="宋体" w:cs="宋体"/>
                <w:color w:val="000000"/>
                <w:sz w:val="24"/>
                <w:szCs w:val="24"/>
              </w:rPr>
            </w:pPr>
          </w:p>
        </w:tc>
      </w:tr>
      <w:tr w14:paraId="796C3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993" w:type="dxa"/>
          </w:tcPr>
          <w:p w14:paraId="47740DDC">
            <w:pPr>
              <w:pStyle w:val="11"/>
              <w:keepNext/>
              <w:spacing w:after="0" w:line="360" w:lineRule="auto"/>
              <w:ind w:left="66" w:right="66"/>
              <w:rPr>
                <w:rFonts w:ascii="宋体" w:hAnsi="宋体" w:cs="宋体"/>
                <w:color w:val="000000"/>
                <w:sz w:val="24"/>
                <w:szCs w:val="24"/>
              </w:rPr>
            </w:pPr>
          </w:p>
        </w:tc>
        <w:tc>
          <w:tcPr>
            <w:tcW w:w="1984" w:type="dxa"/>
          </w:tcPr>
          <w:p w14:paraId="74939237">
            <w:pPr>
              <w:pStyle w:val="11"/>
              <w:keepNext/>
              <w:spacing w:after="0" w:line="360" w:lineRule="auto"/>
              <w:ind w:left="66" w:right="66"/>
              <w:rPr>
                <w:rFonts w:ascii="宋体" w:hAnsi="宋体" w:cs="宋体"/>
                <w:color w:val="000000"/>
                <w:sz w:val="24"/>
                <w:szCs w:val="24"/>
              </w:rPr>
            </w:pPr>
          </w:p>
        </w:tc>
        <w:tc>
          <w:tcPr>
            <w:tcW w:w="851" w:type="dxa"/>
          </w:tcPr>
          <w:p w14:paraId="5BBFE9D2">
            <w:pPr>
              <w:pStyle w:val="11"/>
              <w:keepNext/>
              <w:spacing w:after="0" w:line="360" w:lineRule="auto"/>
              <w:ind w:left="66" w:right="66"/>
              <w:rPr>
                <w:rFonts w:ascii="宋体" w:hAnsi="宋体" w:cs="宋体"/>
                <w:color w:val="000000"/>
                <w:sz w:val="24"/>
                <w:szCs w:val="24"/>
              </w:rPr>
            </w:pPr>
          </w:p>
        </w:tc>
        <w:tc>
          <w:tcPr>
            <w:tcW w:w="774" w:type="dxa"/>
          </w:tcPr>
          <w:p w14:paraId="0BB8A470">
            <w:pPr>
              <w:pStyle w:val="11"/>
              <w:keepNext/>
              <w:spacing w:after="0" w:line="360" w:lineRule="auto"/>
              <w:ind w:left="66" w:right="66"/>
              <w:rPr>
                <w:rFonts w:ascii="宋体" w:hAnsi="宋体" w:cs="宋体"/>
                <w:color w:val="000000"/>
                <w:sz w:val="24"/>
                <w:szCs w:val="24"/>
              </w:rPr>
            </w:pPr>
          </w:p>
        </w:tc>
        <w:tc>
          <w:tcPr>
            <w:tcW w:w="1352" w:type="dxa"/>
          </w:tcPr>
          <w:p w14:paraId="214EA98E">
            <w:pPr>
              <w:pStyle w:val="11"/>
              <w:keepNext/>
              <w:spacing w:after="0" w:line="360" w:lineRule="auto"/>
              <w:ind w:left="66" w:right="66"/>
              <w:rPr>
                <w:rFonts w:ascii="宋体" w:hAnsi="宋体" w:cs="宋体"/>
                <w:color w:val="000000"/>
                <w:sz w:val="24"/>
                <w:szCs w:val="24"/>
              </w:rPr>
            </w:pPr>
          </w:p>
        </w:tc>
        <w:tc>
          <w:tcPr>
            <w:tcW w:w="1418" w:type="dxa"/>
          </w:tcPr>
          <w:p w14:paraId="484BD0E7">
            <w:pPr>
              <w:pStyle w:val="11"/>
              <w:keepNext/>
              <w:spacing w:after="0" w:line="360" w:lineRule="auto"/>
              <w:ind w:left="66" w:right="66"/>
              <w:rPr>
                <w:rFonts w:ascii="宋体" w:hAnsi="宋体" w:cs="宋体"/>
                <w:color w:val="000000"/>
                <w:sz w:val="24"/>
                <w:szCs w:val="24"/>
              </w:rPr>
            </w:pPr>
          </w:p>
        </w:tc>
        <w:tc>
          <w:tcPr>
            <w:tcW w:w="1701" w:type="dxa"/>
          </w:tcPr>
          <w:p w14:paraId="4E068BE4">
            <w:pPr>
              <w:pStyle w:val="11"/>
              <w:keepNext/>
              <w:spacing w:after="0" w:line="360" w:lineRule="auto"/>
              <w:ind w:left="66" w:right="66"/>
              <w:rPr>
                <w:rFonts w:ascii="宋体" w:hAnsi="宋体" w:cs="宋体"/>
                <w:color w:val="000000"/>
                <w:sz w:val="24"/>
                <w:szCs w:val="24"/>
              </w:rPr>
            </w:pPr>
          </w:p>
        </w:tc>
      </w:tr>
      <w:tr w14:paraId="3AE6C6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993" w:type="dxa"/>
          </w:tcPr>
          <w:p w14:paraId="034D7675">
            <w:pPr>
              <w:pStyle w:val="11"/>
              <w:keepNext/>
              <w:spacing w:after="0" w:line="360" w:lineRule="auto"/>
              <w:ind w:left="66" w:right="66"/>
              <w:rPr>
                <w:rFonts w:ascii="宋体" w:hAnsi="宋体" w:cs="宋体"/>
                <w:color w:val="000000"/>
                <w:sz w:val="24"/>
                <w:szCs w:val="24"/>
              </w:rPr>
            </w:pPr>
          </w:p>
        </w:tc>
        <w:tc>
          <w:tcPr>
            <w:tcW w:w="1984" w:type="dxa"/>
          </w:tcPr>
          <w:p w14:paraId="0F4E2746">
            <w:pPr>
              <w:pStyle w:val="11"/>
              <w:keepNext/>
              <w:spacing w:after="0" w:line="360" w:lineRule="auto"/>
              <w:ind w:left="66" w:right="66"/>
              <w:rPr>
                <w:rFonts w:ascii="宋体" w:hAnsi="宋体" w:cs="宋体"/>
                <w:color w:val="000000"/>
                <w:sz w:val="24"/>
                <w:szCs w:val="24"/>
              </w:rPr>
            </w:pPr>
          </w:p>
        </w:tc>
        <w:tc>
          <w:tcPr>
            <w:tcW w:w="851" w:type="dxa"/>
          </w:tcPr>
          <w:p w14:paraId="20647FAB">
            <w:pPr>
              <w:pStyle w:val="11"/>
              <w:keepNext/>
              <w:spacing w:after="0" w:line="360" w:lineRule="auto"/>
              <w:ind w:left="66" w:right="66"/>
              <w:rPr>
                <w:rFonts w:ascii="宋体" w:hAnsi="宋体" w:cs="宋体"/>
                <w:color w:val="000000"/>
                <w:sz w:val="24"/>
                <w:szCs w:val="24"/>
              </w:rPr>
            </w:pPr>
          </w:p>
        </w:tc>
        <w:tc>
          <w:tcPr>
            <w:tcW w:w="774" w:type="dxa"/>
          </w:tcPr>
          <w:p w14:paraId="30A0587E">
            <w:pPr>
              <w:pStyle w:val="11"/>
              <w:keepNext/>
              <w:spacing w:after="0" w:line="360" w:lineRule="auto"/>
              <w:ind w:left="66" w:right="66"/>
              <w:rPr>
                <w:rFonts w:ascii="宋体" w:hAnsi="宋体" w:cs="宋体"/>
                <w:color w:val="000000"/>
                <w:sz w:val="24"/>
                <w:szCs w:val="24"/>
              </w:rPr>
            </w:pPr>
          </w:p>
        </w:tc>
        <w:tc>
          <w:tcPr>
            <w:tcW w:w="1352" w:type="dxa"/>
          </w:tcPr>
          <w:p w14:paraId="5A061616">
            <w:pPr>
              <w:pStyle w:val="11"/>
              <w:keepNext/>
              <w:spacing w:after="0" w:line="360" w:lineRule="auto"/>
              <w:ind w:left="66" w:right="66"/>
              <w:rPr>
                <w:rFonts w:ascii="宋体" w:hAnsi="宋体" w:cs="宋体"/>
                <w:color w:val="000000"/>
                <w:sz w:val="24"/>
                <w:szCs w:val="24"/>
              </w:rPr>
            </w:pPr>
          </w:p>
        </w:tc>
        <w:tc>
          <w:tcPr>
            <w:tcW w:w="1418" w:type="dxa"/>
          </w:tcPr>
          <w:p w14:paraId="2EF1EE40">
            <w:pPr>
              <w:pStyle w:val="11"/>
              <w:keepNext/>
              <w:spacing w:after="0" w:line="360" w:lineRule="auto"/>
              <w:ind w:left="66" w:right="66"/>
              <w:rPr>
                <w:rFonts w:ascii="宋体" w:hAnsi="宋体" w:cs="宋体"/>
                <w:color w:val="000000"/>
                <w:sz w:val="24"/>
                <w:szCs w:val="24"/>
              </w:rPr>
            </w:pPr>
          </w:p>
        </w:tc>
        <w:tc>
          <w:tcPr>
            <w:tcW w:w="1701" w:type="dxa"/>
          </w:tcPr>
          <w:p w14:paraId="20EC3A20">
            <w:pPr>
              <w:pStyle w:val="11"/>
              <w:keepNext/>
              <w:spacing w:after="0" w:line="360" w:lineRule="auto"/>
              <w:ind w:left="66" w:right="66"/>
              <w:rPr>
                <w:rFonts w:ascii="宋体" w:hAnsi="宋体" w:cs="宋体"/>
                <w:color w:val="000000"/>
                <w:sz w:val="24"/>
                <w:szCs w:val="24"/>
              </w:rPr>
            </w:pPr>
          </w:p>
        </w:tc>
      </w:tr>
      <w:tr w14:paraId="4A9743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Pr>
          <w:p w14:paraId="730AF07C">
            <w:pPr>
              <w:pStyle w:val="11"/>
              <w:keepNext/>
              <w:spacing w:after="0" w:line="360" w:lineRule="auto"/>
              <w:ind w:left="66" w:right="66"/>
              <w:rPr>
                <w:rFonts w:ascii="宋体" w:hAnsi="宋体" w:cs="宋体"/>
                <w:color w:val="000000"/>
                <w:sz w:val="24"/>
                <w:szCs w:val="24"/>
              </w:rPr>
            </w:pPr>
          </w:p>
        </w:tc>
        <w:tc>
          <w:tcPr>
            <w:tcW w:w="1984" w:type="dxa"/>
          </w:tcPr>
          <w:p w14:paraId="237206B2">
            <w:pPr>
              <w:pStyle w:val="11"/>
              <w:keepNext/>
              <w:spacing w:after="0" w:line="360" w:lineRule="auto"/>
              <w:ind w:left="66" w:right="66"/>
              <w:rPr>
                <w:rFonts w:ascii="宋体" w:hAnsi="宋体" w:cs="宋体"/>
                <w:color w:val="000000"/>
                <w:sz w:val="24"/>
                <w:szCs w:val="24"/>
              </w:rPr>
            </w:pPr>
          </w:p>
        </w:tc>
        <w:tc>
          <w:tcPr>
            <w:tcW w:w="851" w:type="dxa"/>
          </w:tcPr>
          <w:p w14:paraId="1497AD12">
            <w:pPr>
              <w:pStyle w:val="11"/>
              <w:keepNext/>
              <w:spacing w:after="0" w:line="360" w:lineRule="auto"/>
              <w:ind w:left="66" w:right="66"/>
              <w:rPr>
                <w:rFonts w:ascii="宋体" w:hAnsi="宋体" w:cs="宋体"/>
                <w:color w:val="000000"/>
                <w:sz w:val="24"/>
                <w:szCs w:val="24"/>
              </w:rPr>
            </w:pPr>
          </w:p>
        </w:tc>
        <w:tc>
          <w:tcPr>
            <w:tcW w:w="774" w:type="dxa"/>
          </w:tcPr>
          <w:p w14:paraId="3577197C">
            <w:pPr>
              <w:pStyle w:val="11"/>
              <w:keepNext/>
              <w:spacing w:after="0" w:line="360" w:lineRule="auto"/>
              <w:ind w:left="66" w:right="66"/>
              <w:rPr>
                <w:rFonts w:ascii="宋体" w:hAnsi="宋体" w:cs="宋体"/>
                <w:color w:val="000000"/>
                <w:sz w:val="24"/>
                <w:szCs w:val="24"/>
              </w:rPr>
            </w:pPr>
          </w:p>
        </w:tc>
        <w:tc>
          <w:tcPr>
            <w:tcW w:w="1352" w:type="dxa"/>
          </w:tcPr>
          <w:p w14:paraId="2E6E2105">
            <w:pPr>
              <w:pStyle w:val="11"/>
              <w:keepNext/>
              <w:spacing w:after="0" w:line="360" w:lineRule="auto"/>
              <w:ind w:left="66" w:right="66"/>
              <w:rPr>
                <w:rFonts w:ascii="宋体" w:hAnsi="宋体" w:cs="宋体"/>
                <w:color w:val="000000"/>
                <w:sz w:val="24"/>
                <w:szCs w:val="24"/>
              </w:rPr>
            </w:pPr>
          </w:p>
        </w:tc>
        <w:tc>
          <w:tcPr>
            <w:tcW w:w="1418" w:type="dxa"/>
          </w:tcPr>
          <w:p w14:paraId="4924F606">
            <w:pPr>
              <w:pStyle w:val="11"/>
              <w:keepNext/>
              <w:spacing w:after="0" w:line="360" w:lineRule="auto"/>
              <w:ind w:left="66" w:right="66"/>
              <w:rPr>
                <w:rFonts w:ascii="宋体" w:hAnsi="宋体" w:cs="宋体"/>
                <w:color w:val="000000"/>
                <w:sz w:val="24"/>
                <w:szCs w:val="24"/>
              </w:rPr>
            </w:pPr>
          </w:p>
        </w:tc>
        <w:tc>
          <w:tcPr>
            <w:tcW w:w="1701" w:type="dxa"/>
          </w:tcPr>
          <w:p w14:paraId="4BD7A71A">
            <w:pPr>
              <w:pStyle w:val="11"/>
              <w:keepNext/>
              <w:spacing w:after="0" w:line="360" w:lineRule="auto"/>
              <w:ind w:left="66" w:right="66"/>
              <w:rPr>
                <w:rFonts w:ascii="宋体" w:hAnsi="宋体" w:cs="宋体"/>
                <w:color w:val="000000"/>
                <w:sz w:val="24"/>
                <w:szCs w:val="24"/>
              </w:rPr>
            </w:pPr>
          </w:p>
        </w:tc>
      </w:tr>
      <w:tr w14:paraId="4FAA70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Pr>
          <w:p w14:paraId="782BE34B">
            <w:pPr>
              <w:pStyle w:val="11"/>
              <w:keepNext/>
              <w:spacing w:after="0" w:line="360" w:lineRule="auto"/>
              <w:ind w:left="66" w:right="66"/>
              <w:rPr>
                <w:rFonts w:ascii="宋体" w:hAnsi="宋体" w:cs="宋体"/>
                <w:color w:val="000000"/>
                <w:sz w:val="24"/>
                <w:szCs w:val="24"/>
              </w:rPr>
            </w:pPr>
          </w:p>
        </w:tc>
        <w:tc>
          <w:tcPr>
            <w:tcW w:w="1984" w:type="dxa"/>
          </w:tcPr>
          <w:p w14:paraId="4A29C107">
            <w:pPr>
              <w:pStyle w:val="11"/>
              <w:keepNext/>
              <w:spacing w:after="0" w:line="360" w:lineRule="auto"/>
              <w:ind w:left="66" w:right="66"/>
              <w:rPr>
                <w:rFonts w:ascii="宋体" w:hAnsi="宋体" w:cs="宋体"/>
                <w:color w:val="000000"/>
                <w:sz w:val="24"/>
                <w:szCs w:val="24"/>
              </w:rPr>
            </w:pPr>
          </w:p>
        </w:tc>
        <w:tc>
          <w:tcPr>
            <w:tcW w:w="851" w:type="dxa"/>
          </w:tcPr>
          <w:p w14:paraId="28F264BA">
            <w:pPr>
              <w:pStyle w:val="11"/>
              <w:keepNext/>
              <w:spacing w:after="0" w:line="360" w:lineRule="auto"/>
              <w:ind w:left="66" w:right="66"/>
              <w:rPr>
                <w:rFonts w:ascii="宋体" w:hAnsi="宋体" w:cs="宋体"/>
                <w:color w:val="000000"/>
                <w:sz w:val="24"/>
                <w:szCs w:val="24"/>
              </w:rPr>
            </w:pPr>
          </w:p>
        </w:tc>
        <w:tc>
          <w:tcPr>
            <w:tcW w:w="774" w:type="dxa"/>
          </w:tcPr>
          <w:p w14:paraId="32197947">
            <w:pPr>
              <w:pStyle w:val="11"/>
              <w:keepNext/>
              <w:spacing w:after="0" w:line="360" w:lineRule="auto"/>
              <w:ind w:left="66" w:right="66"/>
              <w:rPr>
                <w:rFonts w:ascii="宋体" w:hAnsi="宋体" w:cs="宋体"/>
                <w:color w:val="000000"/>
                <w:sz w:val="24"/>
                <w:szCs w:val="24"/>
              </w:rPr>
            </w:pPr>
          </w:p>
        </w:tc>
        <w:tc>
          <w:tcPr>
            <w:tcW w:w="1352" w:type="dxa"/>
          </w:tcPr>
          <w:p w14:paraId="57859E7E">
            <w:pPr>
              <w:pStyle w:val="11"/>
              <w:keepNext/>
              <w:spacing w:after="0" w:line="360" w:lineRule="auto"/>
              <w:ind w:left="66" w:right="66"/>
              <w:rPr>
                <w:rFonts w:ascii="宋体" w:hAnsi="宋体" w:cs="宋体"/>
                <w:color w:val="000000"/>
                <w:sz w:val="24"/>
                <w:szCs w:val="24"/>
              </w:rPr>
            </w:pPr>
          </w:p>
        </w:tc>
        <w:tc>
          <w:tcPr>
            <w:tcW w:w="1418" w:type="dxa"/>
          </w:tcPr>
          <w:p w14:paraId="1912F11E">
            <w:pPr>
              <w:pStyle w:val="11"/>
              <w:keepNext/>
              <w:spacing w:after="0" w:line="360" w:lineRule="auto"/>
              <w:ind w:left="66" w:right="66"/>
              <w:rPr>
                <w:rFonts w:ascii="宋体" w:hAnsi="宋体" w:cs="宋体"/>
                <w:color w:val="000000"/>
                <w:sz w:val="24"/>
                <w:szCs w:val="24"/>
              </w:rPr>
            </w:pPr>
          </w:p>
        </w:tc>
        <w:tc>
          <w:tcPr>
            <w:tcW w:w="1701" w:type="dxa"/>
          </w:tcPr>
          <w:p w14:paraId="69E8CE03">
            <w:pPr>
              <w:pStyle w:val="11"/>
              <w:keepNext/>
              <w:spacing w:after="0" w:line="360" w:lineRule="auto"/>
              <w:ind w:left="66" w:right="66"/>
              <w:rPr>
                <w:rFonts w:ascii="宋体" w:hAnsi="宋体" w:cs="宋体"/>
                <w:color w:val="000000"/>
                <w:sz w:val="24"/>
                <w:szCs w:val="24"/>
              </w:rPr>
            </w:pPr>
          </w:p>
        </w:tc>
      </w:tr>
      <w:tr w14:paraId="2ECE56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993" w:type="dxa"/>
          </w:tcPr>
          <w:p w14:paraId="4D2E8EBC">
            <w:pPr>
              <w:pStyle w:val="11"/>
              <w:keepNext/>
              <w:spacing w:after="0" w:line="360" w:lineRule="auto"/>
              <w:ind w:left="66" w:right="66"/>
              <w:rPr>
                <w:rFonts w:ascii="宋体" w:hAnsi="宋体" w:cs="宋体"/>
                <w:color w:val="000000"/>
                <w:sz w:val="24"/>
                <w:szCs w:val="24"/>
              </w:rPr>
            </w:pPr>
          </w:p>
        </w:tc>
        <w:tc>
          <w:tcPr>
            <w:tcW w:w="1984" w:type="dxa"/>
          </w:tcPr>
          <w:p w14:paraId="7A119244">
            <w:pPr>
              <w:pStyle w:val="11"/>
              <w:keepNext/>
              <w:spacing w:after="0" w:line="360" w:lineRule="auto"/>
              <w:ind w:left="66" w:right="66"/>
              <w:rPr>
                <w:rFonts w:ascii="宋体" w:hAnsi="宋体" w:cs="宋体"/>
                <w:color w:val="000000"/>
                <w:sz w:val="24"/>
                <w:szCs w:val="24"/>
              </w:rPr>
            </w:pPr>
          </w:p>
        </w:tc>
        <w:tc>
          <w:tcPr>
            <w:tcW w:w="851" w:type="dxa"/>
          </w:tcPr>
          <w:p w14:paraId="2B8C1C16">
            <w:pPr>
              <w:pStyle w:val="11"/>
              <w:keepNext/>
              <w:spacing w:after="0" w:line="360" w:lineRule="auto"/>
              <w:ind w:left="66" w:right="66"/>
              <w:rPr>
                <w:rFonts w:ascii="宋体" w:hAnsi="宋体" w:cs="宋体"/>
                <w:color w:val="000000"/>
                <w:sz w:val="24"/>
                <w:szCs w:val="24"/>
              </w:rPr>
            </w:pPr>
          </w:p>
        </w:tc>
        <w:tc>
          <w:tcPr>
            <w:tcW w:w="774" w:type="dxa"/>
          </w:tcPr>
          <w:p w14:paraId="55F0A10F">
            <w:pPr>
              <w:pStyle w:val="11"/>
              <w:keepNext/>
              <w:spacing w:after="0" w:line="360" w:lineRule="auto"/>
              <w:ind w:left="66" w:right="66"/>
              <w:rPr>
                <w:rFonts w:ascii="宋体" w:hAnsi="宋体" w:cs="宋体"/>
                <w:color w:val="000000"/>
                <w:sz w:val="24"/>
                <w:szCs w:val="24"/>
              </w:rPr>
            </w:pPr>
          </w:p>
        </w:tc>
        <w:tc>
          <w:tcPr>
            <w:tcW w:w="1352" w:type="dxa"/>
          </w:tcPr>
          <w:p w14:paraId="6CBEEBEA">
            <w:pPr>
              <w:pStyle w:val="11"/>
              <w:keepNext/>
              <w:spacing w:after="0" w:line="360" w:lineRule="auto"/>
              <w:ind w:left="66" w:right="66"/>
              <w:rPr>
                <w:rFonts w:ascii="宋体" w:hAnsi="宋体" w:cs="宋体"/>
                <w:color w:val="000000"/>
                <w:sz w:val="24"/>
                <w:szCs w:val="24"/>
              </w:rPr>
            </w:pPr>
          </w:p>
        </w:tc>
        <w:tc>
          <w:tcPr>
            <w:tcW w:w="1418" w:type="dxa"/>
          </w:tcPr>
          <w:p w14:paraId="7A02A9A4">
            <w:pPr>
              <w:pStyle w:val="11"/>
              <w:keepNext/>
              <w:spacing w:after="0" w:line="360" w:lineRule="auto"/>
              <w:ind w:left="66" w:right="66"/>
              <w:rPr>
                <w:rFonts w:ascii="宋体" w:hAnsi="宋体" w:cs="宋体"/>
                <w:color w:val="000000"/>
                <w:sz w:val="24"/>
                <w:szCs w:val="24"/>
              </w:rPr>
            </w:pPr>
          </w:p>
        </w:tc>
        <w:tc>
          <w:tcPr>
            <w:tcW w:w="1701" w:type="dxa"/>
          </w:tcPr>
          <w:p w14:paraId="48124CED">
            <w:pPr>
              <w:pStyle w:val="11"/>
              <w:keepNext/>
              <w:spacing w:after="0" w:line="360" w:lineRule="auto"/>
              <w:ind w:left="66" w:right="66"/>
              <w:rPr>
                <w:rFonts w:ascii="宋体" w:hAnsi="宋体" w:cs="宋体"/>
                <w:color w:val="000000"/>
                <w:sz w:val="24"/>
                <w:szCs w:val="24"/>
              </w:rPr>
            </w:pPr>
          </w:p>
        </w:tc>
      </w:tr>
      <w:tr w14:paraId="2E1A2E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993" w:type="dxa"/>
          </w:tcPr>
          <w:p w14:paraId="48381CDE">
            <w:pPr>
              <w:pStyle w:val="11"/>
              <w:keepNext/>
              <w:spacing w:after="0" w:line="360" w:lineRule="auto"/>
              <w:ind w:left="66" w:right="66"/>
              <w:rPr>
                <w:rFonts w:ascii="宋体" w:hAnsi="宋体" w:cs="宋体"/>
                <w:color w:val="000000"/>
                <w:sz w:val="24"/>
                <w:szCs w:val="24"/>
              </w:rPr>
            </w:pPr>
          </w:p>
        </w:tc>
        <w:tc>
          <w:tcPr>
            <w:tcW w:w="1984" w:type="dxa"/>
          </w:tcPr>
          <w:p w14:paraId="320542C0">
            <w:pPr>
              <w:pStyle w:val="11"/>
              <w:keepNext/>
              <w:spacing w:after="0" w:line="360" w:lineRule="auto"/>
              <w:ind w:left="66" w:right="66"/>
              <w:rPr>
                <w:rFonts w:ascii="宋体" w:hAnsi="宋体" w:cs="宋体"/>
                <w:color w:val="000000"/>
                <w:sz w:val="24"/>
                <w:szCs w:val="24"/>
              </w:rPr>
            </w:pPr>
          </w:p>
        </w:tc>
        <w:tc>
          <w:tcPr>
            <w:tcW w:w="851" w:type="dxa"/>
          </w:tcPr>
          <w:p w14:paraId="7A8511AD">
            <w:pPr>
              <w:pStyle w:val="11"/>
              <w:keepNext/>
              <w:spacing w:after="0" w:line="360" w:lineRule="auto"/>
              <w:ind w:left="66" w:right="66"/>
              <w:rPr>
                <w:rFonts w:ascii="宋体" w:hAnsi="宋体" w:cs="宋体"/>
                <w:color w:val="000000"/>
                <w:sz w:val="24"/>
                <w:szCs w:val="24"/>
              </w:rPr>
            </w:pPr>
          </w:p>
        </w:tc>
        <w:tc>
          <w:tcPr>
            <w:tcW w:w="774" w:type="dxa"/>
          </w:tcPr>
          <w:p w14:paraId="607DF91C">
            <w:pPr>
              <w:pStyle w:val="11"/>
              <w:keepNext/>
              <w:spacing w:after="0" w:line="360" w:lineRule="auto"/>
              <w:ind w:left="66" w:right="66"/>
              <w:rPr>
                <w:rFonts w:ascii="宋体" w:hAnsi="宋体" w:cs="宋体"/>
                <w:color w:val="000000"/>
                <w:sz w:val="24"/>
                <w:szCs w:val="24"/>
              </w:rPr>
            </w:pPr>
          </w:p>
        </w:tc>
        <w:tc>
          <w:tcPr>
            <w:tcW w:w="1352" w:type="dxa"/>
          </w:tcPr>
          <w:p w14:paraId="66F50070">
            <w:pPr>
              <w:pStyle w:val="11"/>
              <w:keepNext/>
              <w:spacing w:after="0" w:line="360" w:lineRule="auto"/>
              <w:ind w:left="66" w:right="66"/>
              <w:rPr>
                <w:rFonts w:ascii="宋体" w:hAnsi="宋体" w:cs="宋体"/>
                <w:color w:val="000000"/>
                <w:sz w:val="24"/>
                <w:szCs w:val="24"/>
              </w:rPr>
            </w:pPr>
          </w:p>
        </w:tc>
        <w:tc>
          <w:tcPr>
            <w:tcW w:w="1418" w:type="dxa"/>
          </w:tcPr>
          <w:p w14:paraId="2F474613">
            <w:pPr>
              <w:pStyle w:val="11"/>
              <w:keepNext/>
              <w:spacing w:after="0" w:line="360" w:lineRule="auto"/>
              <w:ind w:left="66" w:right="66"/>
              <w:rPr>
                <w:rFonts w:ascii="宋体" w:hAnsi="宋体" w:cs="宋体"/>
                <w:color w:val="000000"/>
                <w:sz w:val="24"/>
                <w:szCs w:val="24"/>
              </w:rPr>
            </w:pPr>
          </w:p>
        </w:tc>
        <w:tc>
          <w:tcPr>
            <w:tcW w:w="1701" w:type="dxa"/>
          </w:tcPr>
          <w:p w14:paraId="772DDEB7">
            <w:pPr>
              <w:pStyle w:val="11"/>
              <w:keepNext/>
              <w:spacing w:after="0" w:line="360" w:lineRule="auto"/>
              <w:ind w:left="66" w:right="66"/>
              <w:rPr>
                <w:rFonts w:ascii="宋体" w:hAnsi="宋体" w:cs="宋体"/>
                <w:color w:val="000000"/>
                <w:sz w:val="24"/>
                <w:szCs w:val="24"/>
              </w:rPr>
            </w:pPr>
          </w:p>
        </w:tc>
      </w:tr>
      <w:tr w14:paraId="4DD07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7" w:hRule="atLeast"/>
          <w:jc w:val="center"/>
        </w:trPr>
        <w:tc>
          <w:tcPr>
            <w:tcW w:w="993" w:type="dxa"/>
          </w:tcPr>
          <w:p w14:paraId="633FC810">
            <w:pPr>
              <w:pStyle w:val="11"/>
              <w:keepNext/>
              <w:spacing w:after="0" w:line="360" w:lineRule="auto"/>
              <w:ind w:left="66" w:right="66"/>
              <w:rPr>
                <w:rFonts w:ascii="宋体" w:hAnsi="宋体" w:cs="宋体"/>
                <w:color w:val="000000"/>
                <w:sz w:val="24"/>
                <w:szCs w:val="24"/>
              </w:rPr>
            </w:pPr>
          </w:p>
        </w:tc>
        <w:tc>
          <w:tcPr>
            <w:tcW w:w="1984" w:type="dxa"/>
          </w:tcPr>
          <w:p w14:paraId="3D663A40">
            <w:pPr>
              <w:pStyle w:val="11"/>
              <w:keepNext/>
              <w:spacing w:after="0" w:line="360" w:lineRule="auto"/>
              <w:ind w:left="66" w:right="66"/>
              <w:rPr>
                <w:rFonts w:ascii="宋体" w:hAnsi="宋体" w:cs="宋体"/>
                <w:color w:val="000000"/>
                <w:sz w:val="24"/>
                <w:szCs w:val="24"/>
              </w:rPr>
            </w:pPr>
          </w:p>
        </w:tc>
        <w:tc>
          <w:tcPr>
            <w:tcW w:w="851" w:type="dxa"/>
          </w:tcPr>
          <w:p w14:paraId="2110ADE9">
            <w:pPr>
              <w:pStyle w:val="11"/>
              <w:keepNext/>
              <w:spacing w:after="0" w:line="360" w:lineRule="auto"/>
              <w:ind w:left="66" w:right="66"/>
              <w:rPr>
                <w:rFonts w:ascii="宋体" w:hAnsi="宋体" w:cs="宋体"/>
                <w:color w:val="000000"/>
                <w:sz w:val="24"/>
                <w:szCs w:val="24"/>
              </w:rPr>
            </w:pPr>
          </w:p>
        </w:tc>
        <w:tc>
          <w:tcPr>
            <w:tcW w:w="774" w:type="dxa"/>
          </w:tcPr>
          <w:p w14:paraId="3249199B">
            <w:pPr>
              <w:pStyle w:val="11"/>
              <w:keepNext/>
              <w:spacing w:after="0" w:line="360" w:lineRule="auto"/>
              <w:ind w:left="66" w:right="66"/>
              <w:rPr>
                <w:rFonts w:ascii="宋体" w:hAnsi="宋体" w:cs="宋体"/>
                <w:color w:val="000000"/>
                <w:sz w:val="24"/>
                <w:szCs w:val="24"/>
              </w:rPr>
            </w:pPr>
          </w:p>
        </w:tc>
        <w:tc>
          <w:tcPr>
            <w:tcW w:w="1352" w:type="dxa"/>
          </w:tcPr>
          <w:p w14:paraId="67D3406A">
            <w:pPr>
              <w:pStyle w:val="11"/>
              <w:keepNext/>
              <w:spacing w:after="0" w:line="360" w:lineRule="auto"/>
              <w:ind w:left="66" w:right="66"/>
              <w:rPr>
                <w:rFonts w:ascii="宋体" w:hAnsi="宋体" w:cs="宋体"/>
                <w:color w:val="000000"/>
                <w:sz w:val="24"/>
                <w:szCs w:val="24"/>
              </w:rPr>
            </w:pPr>
          </w:p>
        </w:tc>
        <w:tc>
          <w:tcPr>
            <w:tcW w:w="1418" w:type="dxa"/>
          </w:tcPr>
          <w:p w14:paraId="3EAEA6C7">
            <w:pPr>
              <w:pStyle w:val="11"/>
              <w:keepNext/>
              <w:spacing w:after="0" w:line="360" w:lineRule="auto"/>
              <w:ind w:left="66" w:right="66"/>
              <w:rPr>
                <w:rFonts w:ascii="宋体" w:hAnsi="宋体" w:cs="宋体"/>
                <w:color w:val="000000"/>
                <w:sz w:val="24"/>
                <w:szCs w:val="24"/>
              </w:rPr>
            </w:pPr>
          </w:p>
        </w:tc>
        <w:tc>
          <w:tcPr>
            <w:tcW w:w="1701" w:type="dxa"/>
          </w:tcPr>
          <w:p w14:paraId="51B243DE">
            <w:pPr>
              <w:pStyle w:val="11"/>
              <w:keepNext/>
              <w:spacing w:after="0" w:line="360" w:lineRule="auto"/>
              <w:ind w:left="66" w:right="66"/>
              <w:rPr>
                <w:rFonts w:ascii="宋体" w:hAnsi="宋体" w:cs="宋体"/>
                <w:color w:val="000000"/>
                <w:sz w:val="24"/>
                <w:szCs w:val="24"/>
              </w:rPr>
            </w:pPr>
          </w:p>
        </w:tc>
      </w:tr>
      <w:tr w14:paraId="0229DB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7" w:hRule="atLeast"/>
          <w:jc w:val="center"/>
        </w:trPr>
        <w:tc>
          <w:tcPr>
            <w:tcW w:w="993" w:type="dxa"/>
          </w:tcPr>
          <w:p w14:paraId="3A6662B0">
            <w:pPr>
              <w:pStyle w:val="11"/>
              <w:keepNext/>
              <w:spacing w:after="0" w:line="360" w:lineRule="auto"/>
              <w:ind w:left="66" w:right="66"/>
              <w:rPr>
                <w:rFonts w:ascii="宋体" w:hAnsi="宋体" w:cs="宋体"/>
                <w:color w:val="000000"/>
                <w:sz w:val="24"/>
                <w:szCs w:val="24"/>
              </w:rPr>
            </w:pPr>
          </w:p>
        </w:tc>
        <w:tc>
          <w:tcPr>
            <w:tcW w:w="1984" w:type="dxa"/>
          </w:tcPr>
          <w:p w14:paraId="690BB02B">
            <w:pPr>
              <w:pStyle w:val="11"/>
              <w:keepNext/>
              <w:spacing w:after="0" w:line="360" w:lineRule="auto"/>
              <w:ind w:left="66" w:right="66"/>
              <w:rPr>
                <w:rFonts w:ascii="宋体" w:hAnsi="宋体" w:cs="宋体"/>
                <w:color w:val="000000"/>
                <w:sz w:val="24"/>
                <w:szCs w:val="24"/>
              </w:rPr>
            </w:pPr>
          </w:p>
        </w:tc>
        <w:tc>
          <w:tcPr>
            <w:tcW w:w="851" w:type="dxa"/>
          </w:tcPr>
          <w:p w14:paraId="4909B4D8">
            <w:pPr>
              <w:pStyle w:val="11"/>
              <w:keepNext/>
              <w:spacing w:after="0" w:line="360" w:lineRule="auto"/>
              <w:ind w:left="66" w:right="66"/>
              <w:rPr>
                <w:rFonts w:ascii="宋体" w:hAnsi="宋体" w:cs="宋体"/>
                <w:color w:val="000000"/>
                <w:sz w:val="24"/>
                <w:szCs w:val="24"/>
              </w:rPr>
            </w:pPr>
          </w:p>
        </w:tc>
        <w:tc>
          <w:tcPr>
            <w:tcW w:w="774" w:type="dxa"/>
          </w:tcPr>
          <w:p w14:paraId="70DB3EFC">
            <w:pPr>
              <w:pStyle w:val="11"/>
              <w:keepNext/>
              <w:spacing w:after="0" w:line="360" w:lineRule="auto"/>
              <w:ind w:left="66" w:right="66"/>
              <w:rPr>
                <w:rFonts w:ascii="宋体" w:hAnsi="宋体" w:cs="宋体"/>
                <w:color w:val="000000"/>
                <w:sz w:val="24"/>
                <w:szCs w:val="24"/>
              </w:rPr>
            </w:pPr>
          </w:p>
        </w:tc>
        <w:tc>
          <w:tcPr>
            <w:tcW w:w="1352" w:type="dxa"/>
          </w:tcPr>
          <w:p w14:paraId="41565676">
            <w:pPr>
              <w:pStyle w:val="11"/>
              <w:keepNext/>
              <w:spacing w:after="0" w:line="360" w:lineRule="auto"/>
              <w:ind w:left="66" w:right="66"/>
              <w:rPr>
                <w:rFonts w:ascii="宋体" w:hAnsi="宋体" w:cs="宋体"/>
                <w:color w:val="000000"/>
                <w:sz w:val="24"/>
                <w:szCs w:val="24"/>
              </w:rPr>
            </w:pPr>
          </w:p>
        </w:tc>
        <w:tc>
          <w:tcPr>
            <w:tcW w:w="1418" w:type="dxa"/>
          </w:tcPr>
          <w:p w14:paraId="26BEFF84">
            <w:pPr>
              <w:pStyle w:val="11"/>
              <w:keepNext/>
              <w:spacing w:after="0" w:line="360" w:lineRule="auto"/>
              <w:ind w:left="66" w:right="66"/>
              <w:rPr>
                <w:rFonts w:ascii="宋体" w:hAnsi="宋体" w:cs="宋体"/>
                <w:color w:val="000000"/>
                <w:sz w:val="24"/>
                <w:szCs w:val="24"/>
              </w:rPr>
            </w:pPr>
          </w:p>
        </w:tc>
        <w:tc>
          <w:tcPr>
            <w:tcW w:w="1701" w:type="dxa"/>
          </w:tcPr>
          <w:p w14:paraId="0FB4FB5D">
            <w:pPr>
              <w:pStyle w:val="11"/>
              <w:keepNext/>
              <w:spacing w:after="0" w:line="360" w:lineRule="auto"/>
              <w:ind w:left="66" w:right="66"/>
              <w:rPr>
                <w:rFonts w:ascii="宋体" w:hAnsi="宋体" w:cs="宋体"/>
                <w:color w:val="000000"/>
                <w:sz w:val="24"/>
                <w:szCs w:val="24"/>
              </w:rPr>
            </w:pPr>
          </w:p>
        </w:tc>
      </w:tr>
      <w:tr w14:paraId="13E637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7" w:hRule="atLeast"/>
          <w:jc w:val="center"/>
        </w:trPr>
        <w:tc>
          <w:tcPr>
            <w:tcW w:w="993" w:type="dxa"/>
          </w:tcPr>
          <w:p w14:paraId="44CE5B83">
            <w:pPr>
              <w:pStyle w:val="11"/>
              <w:keepNext/>
              <w:spacing w:after="0" w:line="360" w:lineRule="auto"/>
              <w:ind w:left="66" w:right="66"/>
              <w:rPr>
                <w:rFonts w:ascii="宋体" w:hAnsi="宋体" w:cs="宋体"/>
                <w:color w:val="000000"/>
                <w:sz w:val="24"/>
                <w:szCs w:val="24"/>
              </w:rPr>
            </w:pPr>
          </w:p>
        </w:tc>
        <w:tc>
          <w:tcPr>
            <w:tcW w:w="1984" w:type="dxa"/>
          </w:tcPr>
          <w:p w14:paraId="6AF6FA46">
            <w:pPr>
              <w:pStyle w:val="11"/>
              <w:keepNext/>
              <w:spacing w:after="0" w:line="360" w:lineRule="auto"/>
              <w:ind w:left="66" w:right="66"/>
              <w:rPr>
                <w:rFonts w:ascii="宋体" w:hAnsi="宋体" w:cs="宋体"/>
                <w:color w:val="000000"/>
                <w:sz w:val="24"/>
                <w:szCs w:val="24"/>
              </w:rPr>
            </w:pPr>
          </w:p>
        </w:tc>
        <w:tc>
          <w:tcPr>
            <w:tcW w:w="851" w:type="dxa"/>
          </w:tcPr>
          <w:p w14:paraId="7B3D9A86">
            <w:pPr>
              <w:pStyle w:val="11"/>
              <w:keepNext/>
              <w:spacing w:after="0" w:line="360" w:lineRule="auto"/>
              <w:ind w:left="66" w:right="66"/>
              <w:rPr>
                <w:rFonts w:ascii="宋体" w:hAnsi="宋体" w:cs="宋体"/>
                <w:color w:val="000000"/>
                <w:sz w:val="24"/>
                <w:szCs w:val="24"/>
              </w:rPr>
            </w:pPr>
          </w:p>
        </w:tc>
        <w:tc>
          <w:tcPr>
            <w:tcW w:w="774" w:type="dxa"/>
          </w:tcPr>
          <w:p w14:paraId="56822CF4">
            <w:pPr>
              <w:pStyle w:val="11"/>
              <w:keepNext/>
              <w:spacing w:after="0" w:line="360" w:lineRule="auto"/>
              <w:ind w:left="66" w:right="66"/>
              <w:rPr>
                <w:rFonts w:ascii="宋体" w:hAnsi="宋体" w:cs="宋体"/>
                <w:color w:val="000000"/>
                <w:sz w:val="24"/>
                <w:szCs w:val="24"/>
              </w:rPr>
            </w:pPr>
          </w:p>
        </w:tc>
        <w:tc>
          <w:tcPr>
            <w:tcW w:w="1352" w:type="dxa"/>
          </w:tcPr>
          <w:p w14:paraId="13A11FF5">
            <w:pPr>
              <w:pStyle w:val="11"/>
              <w:keepNext/>
              <w:spacing w:after="0" w:line="360" w:lineRule="auto"/>
              <w:ind w:left="66" w:right="66"/>
              <w:rPr>
                <w:rFonts w:ascii="宋体" w:hAnsi="宋体" w:cs="宋体"/>
                <w:color w:val="000000"/>
                <w:sz w:val="24"/>
                <w:szCs w:val="24"/>
              </w:rPr>
            </w:pPr>
          </w:p>
        </w:tc>
        <w:tc>
          <w:tcPr>
            <w:tcW w:w="1418" w:type="dxa"/>
          </w:tcPr>
          <w:p w14:paraId="3C40EFE1">
            <w:pPr>
              <w:pStyle w:val="11"/>
              <w:keepNext/>
              <w:spacing w:after="0" w:line="360" w:lineRule="auto"/>
              <w:ind w:left="66" w:right="66"/>
              <w:rPr>
                <w:rFonts w:ascii="宋体" w:hAnsi="宋体" w:cs="宋体"/>
                <w:color w:val="000000"/>
                <w:sz w:val="24"/>
                <w:szCs w:val="24"/>
              </w:rPr>
            </w:pPr>
          </w:p>
        </w:tc>
        <w:tc>
          <w:tcPr>
            <w:tcW w:w="1701" w:type="dxa"/>
          </w:tcPr>
          <w:p w14:paraId="77E09CD7">
            <w:pPr>
              <w:pStyle w:val="11"/>
              <w:keepNext/>
              <w:spacing w:after="0" w:line="360" w:lineRule="auto"/>
              <w:ind w:left="66" w:right="66"/>
              <w:rPr>
                <w:rFonts w:ascii="宋体" w:hAnsi="宋体" w:cs="宋体"/>
                <w:color w:val="000000"/>
                <w:sz w:val="24"/>
                <w:szCs w:val="24"/>
              </w:rPr>
            </w:pPr>
          </w:p>
        </w:tc>
      </w:tr>
    </w:tbl>
    <w:p w14:paraId="3486C17A">
      <w:pPr>
        <w:spacing w:line="360" w:lineRule="auto"/>
        <w:rPr>
          <w:rFonts w:ascii="宋体" w:hAnsi="宋体" w:cs="宋体"/>
          <w:color w:val="000000"/>
          <w:sz w:val="24"/>
          <w:szCs w:val="24"/>
        </w:rPr>
      </w:pPr>
    </w:p>
    <w:p w14:paraId="3D404354">
      <w:pPr>
        <w:spacing w:line="360" w:lineRule="auto"/>
        <w:jc w:val="center"/>
        <w:rPr>
          <w:rFonts w:ascii="宋体" w:hAnsi="宋体" w:cs="宋体"/>
          <w:color w:val="000000"/>
          <w:sz w:val="24"/>
          <w:szCs w:val="24"/>
        </w:rPr>
      </w:pPr>
    </w:p>
    <w:p w14:paraId="45EBB78D">
      <w:pPr>
        <w:spacing w:line="360" w:lineRule="auto"/>
        <w:jc w:val="center"/>
        <w:rPr>
          <w:rFonts w:ascii="宋体" w:hAnsi="宋体" w:cs="宋体"/>
          <w:color w:val="000000"/>
          <w:sz w:val="24"/>
          <w:szCs w:val="24"/>
        </w:rPr>
      </w:pPr>
      <w:r>
        <w:rPr>
          <w:rFonts w:hint="eastAsia" w:ascii="宋体" w:hAnsi="宋体" w:cs="宋体"/>
          <w:color w:val="000000"/>
          <w:sz w:val="24"/>
          <w:szCs w:val="24"/>
        </w:rPr>
        <w:t>11-2：工程设备暂估价表</w:t>
      </w:r>
    </w:p>
    <w:tbl>
      <w:tblPr>
        <w:tblStyle w:val="34"/>
        <w:tblW w:w="907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83BE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vAlign w:val="center"/>
          </w:tcPr>
          <w:p w14:paraId="5FDE41DA">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序号</w:t>
            </w:r>
          </w:p>
        </w:tc>
        <w:tc>
          <w:tcPr>
            <w:tcW w:w="1984" w:type="dxa"/>
            <w:tcBorders>
              <w:top w:val="single" w:color="auto" w:sz="12" w:space="0"/>
              <w:bottom w:val="double" w:color="auto" w:sz="6" w:space="0"/>
            </w:tcBorders>
            <w:vAlign w:val="center"/>
          </w:tcPr>
          <w:p w14:paraId="4C422363">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名称</w:t>
            </w:r>
          </w:p>
        </w:tc>
        <w:tc>
          <w:tcPr>
            <w:tcW w:w="851" w:type="dxa"/>
            <w:tcBorders>
              <w:top w:val="single" w:color="auto" w:sz="12" w:space="0"/>
              <w:bottom w:val="double" w:color="auto" w:sz="6" w:space="0"/>
            </w:tcBorders>
            <w:vAlign w:val="center"/>
          </w:tcPr>
          <w:p w14:paraId="7C4D2E6F">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单位</w:t>
            </w:r>
          </w:p>
        </w:tc>
        <w:tc>
          <w:tcPr>
            <w:tcW w:w="774" w:type="dxa"/>
            <w:tcBorders>
              <w:top w:val="single" w:color="auto" w:sz="12" w:space="0"/>
              <w:bottom w:val="double" w:color="auto" w:sz="6" w:space="0"/>
            </w:tcBorders>
            <w:vAlign w:val="center"/>
          </w:tcPr>
          <w:p w14:paraId="271519A8">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数量</w:t>
            </w:r>
          </w:p>
        </w:tc>
        <w:tc>
          <w:tcPr>
            <w:tcW w:w="1352" w:type="dxa"/>
            <w:tcBorders>
              <w:top w:val="single" w:color="auto" w:sz="12" w:space="0"/>
              <w:bottom w:val="double" w:color="auto" w:sz="6" w:space="0"/>
            </w:tcBorders>
            <w:vAlign w:val="center"/>
          </w:tcPr>
          <w:p w14:paraId="79893205">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单价（元）</w:t>
            </w:r>
          </w:p>
        </w:tc>
        <w:tc>
          <w:tcPr>
            <w:tcW w:w="1418" w:type="dxa"/>
            <w:tcBorders>
              <w:top w:val="single" w:color="auto" w:sz="12" w:space="0"/>
              <w:bottom w:val="double" w:color="auto" w:sz="6" w:space="0"/>
            </w:tcBorders>
            <w:vAlign w:val="center"/>
          </w:tcPr>
          <w:p w14:paraId="3C08E93A">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合价（元）</w:t>
            </w:r>
          </w:p>
        </w:tc>
        <w:tc>
          <w:tcPr>
            <w:tcW w:w="1701" w:type="dxa"/>
            <w:tcBorders>
              <w:top w:val="single" w:color="auto" w:sz="12" w:space="0"/>
              <w:bottom w:val="double" w:color="auto" w:sz="6" w:space="0"/>
            </w:tcBorders>
            <w:vAlign w:val="center"/>
          </w:tcPr>
          <w:p w14:paraId="024C796D">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备注</w:t>
            </w:r>
          </w:p>
        </w:tc>
      </w:tr>
      <w:tr w14:paraId="289B9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Borders>
              <w:top w:val="double" w:color="auto" w:sz="6" w:space="0"/>
              <w:bottom w:val="single" w:color="auto" w:sz="6" w:space="0"/>
            </w:tcBorders>
          </w:tcPr>
          <w:p w14:paraId="704B1196">
            <w:pPr>
              <w:pStyle w:val="11"/>
              <w:keepNext/>
              <w:spacing w:after="0" w:line="360" w:lineRule="auto"/>
              <w:ind w:left="66" w:right="66"/>
              <w:rPr>
                <w:rFonts w:ascii="宋体" w:hAnsi="宋体" w:cs="宋体"/>
                <w:color w:val="000000"/>
                <w:sz w:val="24"/>
                <w:szCs w:val="24"/>
              </w:rPr>
            </w:pPr>
          </w:p>
        </w:tc>
        <w:tc>
          <w:tcPr>
            <w:tcW w:w="1984" w:type="dxa"/>
            <w:tcBorders>
              <w:top w:val="double" w:color="auto" w:sz="6" w:space="0"/>
              <w:bottom w:val="single" w:color="auto" w:sz="6" w:space="0"/>
            </w:tcBorders>
          </w:tcPr>
          <w:p w14:paraId="0CE6C7EE">
            <w:pPr>
              <w:pStyle w:val="11"/>
              <w:keepNext/>
              <w:spacing w:after="0" w:line="360" w:lineRule="auto"/>
              <w:ind w:left="66" w:right="66"/>
              <w:rPr>
                <w:rFonts w:ascii="宋体" w:hAnsi="宋体" w:cs="宋体"/>
                <w:color w:val="000000"/>
                <w:sz w:val="24"/>
                <w:szCs w:val="24"/>
              </w:rPr>
            </w:pPr>
          </w:p>
        </w:tc>
        <w:tc>
          <w:tcPr>
            <w:tcW w:w="851" w:type="dxa"/>
            <w:tcBorders>
              <w:top w:val="double" w:color="auto" w:sz="6" w:space="0"/>
              <w:bottom w:val="single" w:color="auto" w:sz="6" w:space="0"/>
            </w:tcBorders>
          </w:tcPr>
          <w:p w14:paraId="6D0B63D4">
            <w:pPr>
              <w:pStyle w:val="11"/>
              <w:keepNext/>
              <w:spacing w:after="0" w:line="360" w:lineRule="auto"/>
              <w:ind w:left="66" w:right="66"/>
              <w:rPr>
                <w:rFonts w:ascii="宋体" w:hAnsi="宋体" w:cs="宋体"/>
                <w:color w:val="000000"/>
                <w:sz w:val="24"/>
                <w:szCs w:val="24"/>
              </w:rPr>
            </w:pPr>
          </w:p>
        </w:tc>
        <w:tc>
          <w:tcPr>
            <w:tcW w:w="774" w:type="dxa"/>
            <w:tcBorders>
              <w:top w:val="double" w:color="auto" w:sz="6" w:space="0"/>
              <w:bottom w:val="single" w:color="auto" w:sz="6" w:space="0"/>
            </w:tcBorders>
          </w:tcPr>
          <w:p w14:paraId="31AF0575">
            <w:pPr>
              <w:pStyle w:val="11"/>
              <w:keepNext/>
              <w:spacing w:after="0" w:line="360" w:lineRule="auto"/>
              <w:ind w:left="66" w:right="66"/>
              <w:rPr>
                <w:rFonts w:ascii="宋体" w:hAnsi="宋体" w:cs="宋体"/>
                <w:color w:val="000000"/>
                <w:sz w:val="24"/>
                <w:szCs w:val="24"/>
              </w:rPr>
            </w:pPr>
          </w:p>
        </w:tc>
        <w:tc>
          <w:tcPr>
            <w:tcW w:w="1352" w:type="dxa"/>
            <w:tcBorders>
              <w:top w:val="double" w:color="auto" w:sz="6" w:space="0"/>
              <w:bottom w:val="single" w:color="auto" w:sz="6" w:space="0"/>
            </w:tcBorders>
          </w:tcPr>
          <w:p w14:paraId="6DDFB913">
            <w:pPr>
              <w:pStyle w:val="11"/>
              <w:keepNext/>
              <w:spacing w:after="0" w:line="360" w:lineRule="auto"/>
              <w:ind w:left="66" w:right="66"/>
              <w:rPr>
                <w:rFonts w:ascii="宋体" w:hAnsi="宋体" w:cs="宋体"/>
                <w:color w:val="000000"/>
                <w:sz w:val="24"/>
                <w:szCs w:val="24"/>
              </w:rPr>
            </w:pPr>
          </w:p>
        </w:tc>
        <w:tc>
          <w:tcPr>
            <w:tcW w:w="1418" w:type="dxa"/>
            <w:tcBorders>
              <w:top w:val="double" w:color="auto" w:sz="6" w:space="0"/>
              <w:bottom w:val="single" w:color="auto" w:sz="6" w:space="0"/>
            </w:tcBorders>
          </w:tcPr>
          <w:p w14:paraId="10DDC7FD">
            <w:pPr>
              <w:pStyle w:val="11"/>
              <w:keepNext/>
              <w:spacing w:after="0" w:line="360" w:lineRule="auto"/>
              <w:ind w:left="66" w:right="66"/>
              <w:rPr>
                <w:rFonts w:ascii="宋体" w:hAnsi="宋体" w:cs="宋体"/>
                <w:color w:val="000000"/>
                <w:sz w:val="24"/>
                <w:szCs w:val="24"/>
              </w:rPr>
            </w:pPr>
          </w:p>
        </w:tc>
        <w:tc>
          <w:tcPr>
            <w:tcW w:w="1701" w:type="dxa"/>
            <w:tcBorders>
              <w:top w:val="double" w:color="auto" w:sz="6" w:space="0"/>
              <w:bottom w:val="single" w:color="auto" w:sz="6" w:space="0"/>
            </w:tcBorders>
          </w:tcPr>
          <w:p w14:paraId="0402E0CF">
            <w:pPr>
              <w:pStyle w:val="11"/>
              <w:keepNext/>
              <w:spacing w:after="0" w:line="360" w:lineRule="auto"/>
              <w:ind w:left="66" w:right="66"/>
              <w:rPr>
                <w:rFonts w:ascii="宋体" w:hAnsi="宋体" w:cs="宋体"/>
                <w:color w:val="000000"/>
                <w:sz w:val="24"/>
                <w:szCs w:val="24"/>
              </w:rPr>
            </w:pPr>
          </w:p>
        </w:tc>
      </w:tr>
      <w:tr w14:paraId="2B4A5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993" w:type="dxa"/>
            <w:tcBorders>
              <w:top w:val="nil"/>
            </w:tcBorders>
          </w:tcPr>
          <w:p w14:paraId="773140DC">
            <w:pPr>
              <w:pStyle w:val="11"/>
              <w:keepNext/>
              <w:spacing w:after="0" w:line="360" w:lineRule="auto"/>
              <w:ind w:left="66" w:right="66"/>
              <w:rPr>
                <w:rFonts w:ascii="宋体" w:hAnsi="宋体" w:cs="宋体"/>
                <w:color w:val="000000"/>
                <w:sz w:val="24"/>
                <w:szCs w:val="24"/>
              </w:rPr>
            </w:pPr>
          </w:p>
        </w:tc>
        <w:tc>
          <w:tcPr>
            <w:tcW w:w="1984" w:type="dxa"/>
            <w:tcBorders>
              <w:top w:val="nil"/>
            </w:tcBorders>
          </w:tcPr>
          <w:p w14:paraId="013996ED">
            <w:pPr>
              <w:pStyle w:val="11"/>
              <w:keepNext/>
              <w:spacing w:after="0" w:line="360" w:lineRule="auto"/>
              <w:ind w:left="66" w:right="66"/>
              <w:rPr>
                <w:rFonts w:ascii="宋体" w:hAnsi="宋体" w:cs="宋体"/>
                <w:color w:val="000000"/>
                <w:sz w:val="24"/>
                <w:szCs w:val="24"/>
              </w:rPr>
            </w:pPr>
          </w:p>
        </w:tc>
        <w:tc>
          <w:tcPr>
            <w:tcW w:w="851" w:type="dxa"/>
            <w:tcBorders>
              <w:top w:val="nil"/>
            </w:tcBorders>
          </w:tcPr>
          <w:p w14:paraId="4AA5305A">
            <w:pPr>
              <w:pStyle w:val="11"/>
              <w:keepNext/>
              <w:spacing w:after="0" w:line="360" w:lineRule="auto"/>
              <w:ind w:left="66" w:right="66"/>
              <w:rPr>
                <w:rFonts w:ascii="宋体" w:hAnsi="宋体" w:cs="宋体"/>
                <w:color w:val="000000"/>
                <w:sz w:val="24"/>
                <w:szCs w:val="24"/>
              </w:rPr>
            </w:pPr>
          </w:p>
        </w:tc>
        <w:tc>
          <w:tcPr>
            <w:tcW w:w="774" w:type="dxa"/>
            <w:tcBorders>
              <w:top w:val="nil"/>
            </w:tcBorders>
          </w:tcPr>
          <w:p w14:paraId="1529916D">
            <w:pPr>
              <w:pStyle w:val="11"/>
              <w:keepNext/>
              <w:spacing w:after="0" w:line="360" w:lineRule="auto"/>
              <w:ind w:left="66" w:right="66"/>
              <w:rPr>
                <w:rFonts w:ascii="宋体" w:hAnsi="宋体" w:cs="宋体"/>
                <w:color w:val="000000"/>
                <w:sz w:val="24"/>
                <w:szCs w:val="24"/>
              </w:rPr>
            </w:pPr>
          </w:p>
        </w:tc>
        <w:tc>
          <w:tcPr>
            <w:tcW w:w="1352" w:type="dxa"/>
            <w:tcBorders>
              <w:top w:val="nil"/>
            </w:tcBorders>
          </w:tcPr>
          <w:p w14:paraId="4DD2FBB4">
            <w:pPr>
              <w:pStyle w:val="11"/>
              <w:keepNext/>
              <w:spacing w:after="0" w:line="360" w:lineRule="auto"/>
              <w:ind w:left="66" w:right="66"/>
              <w:rPr>
                <w:rFonts w:ascii="宋体" w:hAnsi="宋体" w:cs="宋体"/>
                <w:color w:val="000000"/>
                <w:sz w:val="24"/>
                <w:szCs w:val="24"/>
              </w:rPr>
            </w:pPr>
          </w:p>
        </w:tc>
        <w:tc>
          <w:tcPr>
            <w:tcW w:w="1418" w:type="dxa"/>
            <w:tcBorders>
              <w:top w:val="nil"/>
            </w:tcBorders>
          </w:tcPr>
          <w:p w14:paraId="2C7C409C">
            <w:pPr>
              <w:pStyle w:val="11"/>
              <w:keepNext/>
              <w:spacing w:after="0" w:line="360" w:lineRule="auto"/>
              <w:ind w:left="66" w:right="66"/>
              <w:rPr>
                <w:rFonts w:ascii="宋体" w:hAnsi="宋体" w:cs="宋体"/>
                <w:color w:val="000000"/>
                <w:sz w:val="24"/>
                <w:szCs w:val="24"/>
              </w:rPr>
            </w:pPr>
          </w:p>
        </w:tc>
        <w:tc>
          <w:tcPr>
            <w:tcW w:w="1701" w:type="dxa"/>
            <w:tcBorders>
              <w:top w:val="nil"/>
            </w:tcBorders>
          </w:tcPr>
          <w:p w14:paraId="2A2B45C2">
            <w:pPr>
              <w:pStyle w:val="11"/>
              <w:keepNext/>
              <w:spacing w:after="0" w:line="360" w:lineRule="auto"/>
              <w:ind w:left="66" w:right="66"/>
              <w:rPr>
                <w:rFonts w:ascii="宋体" w:hAnsi="宋体" w:cs="宋体"/>
                <w:color w:val="000000"/>
                <w:sz w:val="24"/>
                <w:szCs w:val="24"/>
              </w:rPr>
            </w:pPr>
          </w:p>
        </w:tc>
      </w:tr>
      <w:tr w14:paraId="07683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993" w:type="dxa"/>
          </w:tcPr>
          <w:p w14:paraId="19FB5321">
            <w:pPr>
              <w:pStyle w:val="11"/>
              <w:keepNext/>
              <w:spacing w:after="0" w:line="360" w:lineRule="auto"/>
              <w:ind w:left="66" w:right="66"/>
              <w:rPr>
                <w:rFonts w:ascii="宋体" w:hAnsi="宋体" w:cs="宋体"/>
                <w:color w:val="000000"/>
                <w:sz w:val="24"/>
                <w:szCs w:val="24"/>
              </w:rPr>
            </w:pPr>
          </w:p>
        </w:tc>
        <w:tc>
          <w:tcPr>
            <w:tcW w:w="1984" w:type="dxa"/>
          </w:tcPr>
          <w:p w14:paraId="321CEEB5">
            <w:pPr>
              <w:pStyle w:val="11"/>
              <w:keepNext/>
              <w:spacing w:after="0" w:line="360" w:lineRule="auto"/>
              <w:ind w:left="66" w:right="66"/>
              <w:rPr>
                <w:rFonts w:ascii="宋体" w:hAnsi="宋体" w:cs="宋体"/>
                <w:color w:val="000000"/>
                <w:sz w:val="24"/>
                <w:szCs w:val="24"/>
              </w:rPr>
            </w:pPr>
          </w:p>
        </w:tc>
        <w:tc>
          <w:tcPr>
            <w:tcW w:w="851" w:type="dxa"/>
          </w:tcPr>
          <w:p w14:paraId="20D7A053">
            <w:pPr>
              <w:pStyle w:val="11"/>
              <w:keepNext/>
              <w:spacing w:after="0" w:line="360" w:lineRule="auto"/>
              <w:ind w:left="66" w:right="66"/>
              <w:rPr>
                <w:rFonts w:ascii="宋体" w:hAnsi="宋体" w:cs="宋体"/>
                <w:color w:val="000000"/>
                <w:sz w:val="24"/>
                <w:szCs w:val="24"/>
              </w:rPr>
            </w:pPr>
          </w:p>
        </w:tc>
        <w:tc>
          <w:tcPr>
            <w:tcW w:w="774" w:type="dxa"/>
          </w:tcPr>
          <w:p w14:paraId="39578BD8">
            <w:pPr>
              <w:pStyle w:val="11"/>
              <w:keepNext/>
              <w:spacing w:after="0" w:line="360" w:lineRule="auto"/>
              <w:ind w:left="66" w:right="66"/>
              <w:rPr>
                <w:rFonts w:ascii="宋体" w:hAnsi="宋体" w:cs="宋体"/>
                <w:color w:val="000000"/>
                <w:sz w:val="24"/>
                <w:szCs w:val="24"/>
              </w:rPr>
            </w:pPr>
          </w:p>
        </w:tc>
        <w:tc>
          <w:tcPr>
            <w:tcW w:w="1352" w:type="dxa"/>
          </w:tcPr>
          <w:p w14:paraId="6314D292">
            <w:pPr>
              <w:pStyle w:val="11"/>
              <w:keepNext/>
              <w:spacing w:after="0" w:line="360" w:lineRule="auto"/>
              <w:ind w:left="66" w:right="66"/>
              <w:rPr>
                <w:rFonts w:ascii="宋体" w:hAnsi="宋体" w:cs="宋体"/>
                <w:color w:val="000000"/>
                <w:sz w:val="24"/>
                <w:szCs w:val="24"/>
              </w:rPr>
            </w:pPr>
          </w:p>
        </w:tc>
        <w:tc>
          <w:tcPr>
            <w:tcW w:w="1418" w:type="dxa"/>
          </w:tcPr>
          <w:p w14:paraId="4376ACCB">
            <w:pPr>
              <w:pStyle w:val="11"/>
              <w:keepNext/>
              <w:spacing w:after="0" w:line="360" w:lineRule="auto"/>
              <w:ind w:left="66" w:right="66"/>
              <w:rPr>
                <w:rFonts w:ascii="宋体" w:hAnsi="宋体" w:cs="宋体"/>
                <w:color w:val="000000"/>
                <w:sz w:val="24"/>
                <w:szCs w:val="24"/>
              </w:rPr>
            </w:pPr>
          </w:p>
        </w:tc>
        <w:tc>
          <w:tcPr>
            <w:tcW w:w="1701" w:type="dxa"/>
          </w:tcPr>
          <w:p w14:paraId="18FA9BD2">
            <w:pPr>
              <w:pStyle w:val="11"/>
              <w:keepNext/>
              <w:spacing w:after="0" w:line="360" w:lineRule="auto"/>
              <w:ind w:left="66" w:right="66"/>
              <w:rPr>
                <w:rFonts w:ascii="宋体" w:hAnsi="宋体" w:cs="宋体"/>
                <w:color w:val="000000"/>
                <w:sz w:val="24"/>
                <w:szCs w:val="24"/>
              </w:rPr>
            </w:pPr>
          </w:p>
        </w:tc>
      </w:tr>
      <w:tr w14:paraId="12D312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993" w:type="dxa"/>
          </w:tcPr>
          <w:p w14:paraId="453FB628">
            <w:pPr>
              <w:pStyle w:val="11"/>
              <w:keepNext/>
              <w:spacing w:after="0" w:line="360" w:lineRule="auto"/>
              <w:ind w:left="66" w:right="66"/>
              <w:rPr>
                <w:rFonts w:ascii="宋体" w:hAnsi="宋体" w:cs="宋体"/>
                <w:color w:val="000000"/>
                <w:sz w:val="24"/>
                <w:szCs w:val="24"/>
              </w:rPr>
            </w:pPr>
          </w:p>
        </w:tc>
        <w:tc>
          <w:tcPr>
            <w:tcW w:w="1984" w:type="dxa"/>
          </w:tcPr>
          <w:p w14:paraId="517B944F">
            <w:pPr>
              <w:pStyle w:val="11"/>
              <w:keepNext/>
              <w:spacing w:after="0" w:line="360" w:lineRule="auto"/>
              <w:ind w:left="66" w:right="66"/>
              <w:rPr>
                <w:rFonts w:ascii="宋体" w:hAnsi="宋体" w:cs="宋体"/>
                <w:color w:val="000000"/>
                <w:sz w:val="24"/>
                <w:szCs w:val="24"/>
              </w:rPr>
            </w:pPr>
          </w:p>
        </w:tc>
        <w:tc>
          <w:tcPr>
            <w:tcW w:w="851" w:type="dxa"/>
          </w:tcPr>
          <w:p w14:paraId="2E5C3879">
            <w:pPr>
              <w:pStyle w:val="11"/>
              <w:keepNext/>
              <w:spacing w:after="0" w:line="360" w:lineRule="auto"/>
              <w:ind w:left="66" w:right="66"/>
              <w:rPr>
                <w:rFonts w:ascii="宋体" w:hAnsi="宋体" w:cs="宋体"/>
                <w:color w:val="000000"/>
                <w:sz w:val="24"/>
                <w:szCs w:val="24"/>
              </w:rPr>
            </w:pPr>
          </w:p>
        </w:tc>
        <w:tc>
          <w:tcPr>
            <w:tcW w:w="774" w:type="dxa"/>
          </w:tcPr>
          <w:p w14:paraId="456BFDDE">
            <w:pPr>
              <w:pStyle w:val="11"/>
              <w:keepNext/>
              <w:spacing w:after="0" w:line="360" w:lineRule="auto"/>
              <w:ind w:left="66" w:right="66"/>
              <w:rPr>
                <w:rFonts w:ascii="宋体" w:hAnsi="宋体" w:cs="宋体"/>
                <w:color w:val="000000"/>
                <w:sz w:val="24"/>
                <w:szCs w:val="24"/>
              </w:rPr>
            </w:pPr>
          </w:p>
        </w:tc>
        <w:tc>
          <w:tcPr>
            <w:tcW w:w="1352" w:type="dxa"/>
          </w:tcPr>
          <w:p w14:paraId="0EE125C0">
            <w:pPr>
              <w:pStyle w:val="11"/>
              <w:keepNext/>
              <w:spacing w:after="0" w:line="360" w:lineRule="auto"/>
              <w:ind w:left="66" w:right="66"/>
              <w:rPr>
                <w:rFonts w:ascii="宋体" w:hAnsi="宋体" w:cs="宋体"/>
                <w:color w:val="000000"/>
                <w:sz w:val="24"/>
                <w:szCs w:val="24"/>
              </w:rPr>
            </w:pPr>
          </w:p>
        </w:tc>
        <w:tc>
          <w:tcPr>
            <w:tcW w:w="1418" w:type="dxa"/>
          </w:tcPr>
          <w:p w14:paraId="1C644200">
            <w:pPr>
              <w:pStyle w:val="11"/>
              <w:keepNext/>
              <w:spacing w:after="0" w:line="360" w:lineRule="auto"/>
              <w:ind w:left="66" w:right="66"/>
              <w:rPr>
                <w:rFonts w:ascii="宋体" w:hAnsi="宋体" w:cs="宋体"/>
                <w:color w:val="000000"/>
                <w:sz w:val="24"/>
                <w:szCs w:val="24"/>
              </w:rPr>
            </w:pPr>
          </w:p>
        </w:tc>
        <w:tc>
          <w:tcPr>
            <w:tcW w:w="1701" w:type="dxa"/>
          </w:tcPr>
          <w:p w14:paraId="19D27DC0">
            <w:pPr>
              <w:pStyle w:val="11"/>
              <w:keepNext/>
              <w:spacing w:after="0" w:line="360" w:lineRule="auto"/>
              <w:ind w:left="66" w:right="66"/>
              <w:rPr>
                <w:rFonts w:ascii="宋体" w:hAnsi="宋体" w:cs="宋体"/>
                <w:color w:val="000000"/>
                <w:sz w:val="24"/>
                <w:szCs w:val="24"/>
              </w:rPr>
            </w:pPr>
          </w:p>
        </w:tc>
      </w:tr>
      <w:tr w14:paraId="7A202A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993" w:type="dxa"/>
          </w:tcPr>
          <w:p w14:paraId="1CEED0D9">
            <w:pPr>
              <w:pStyle w:val="11"/>
              <w:keepNext/>
              <w:spacing w:after="0" w:line="360" w:lineRule="auto"/>
              <w:ind w:left="66" w:right="66"/>
              <w:rPr>
                <w:rFonts w:ascii="宋体" w:hAnsi="宋体" w:cs="宋体"/>
                <w:color w:val="000000"/>
                <w:sz w:val="24"/>
                <w:szCs w:val="24"/>
              </w:rPr>
            </w:pPr>
          </w:p>
        </w:tc>
        <w:tc>
          <w:tcPr>
            <w:tcW w:w="1984" w:type="dxa"/>
          </w:tcPr>
          <w:p w14:paraId="557C5199">
            <w:pPr>
              <w:pStyle w:val="11"/>
              <w:keepNext/>
              <w:spacing w:after="0" w:line="360" w:lineRule="auto"/>
              <w:ind w:left="66" w:right="66"/>
              <w:rPr>
                <w:rFonts w:ascii="宋体" w:hAnsi="宋体" w:cs="宋体"/>
                <w:color w:val="000000"/>
                <w:sz w:val="24"/>
                <w:szCs w:val="24"/>
              </w:rPr>
            </w:pPr>
          </w:p>
        </w:tc>
        <w:tc>
          <w:tcPr>
            <w:tcW w:w="851" w:type="dxa"/>
          </w:tcPr>
          <w:p w14:paraId="0DD9F81D">
            <w:pPr>
              <w:pStyle w:val="11"/>
              <w:keepNext/>
              <w:spacing w:after="0" w:line="360" w:lineRule="auto"/>
              <w:ind w:left="66" w:right="66"/>
              <w:rPr>
                <w:rFonts w:ascii="宋体" w:hAnsi="宋体" w:cs="宋体"/>
                <w:color w:val="000000"/>
                <w:sz w:val="24"/>
                <w:szCs w:val="24"/>
              </w:rPr>
            </w:pPr>
          </w:p>
        </w:tc>
        <w:tc>
          <w:tcPr>
            <w:tcW w:w="774" w:type="dxa"/>
          </w:tcPr>
          <w:p w14:paraId="395487ED">
            <w:pPr>
              <w:pStyle w:val="11"/>
              <w:keepNext/>
              <w:spacing w:after="0" w:line="360" w:lineRule="auto"/>
              <w:ind w:left="66" w:right="66"/>
              <w:rPr>
                <w:rFonts w:ascii="宋体" w:hAnsi="宋体" w:cs="宋体"/>
                <w:color w:val="000000"/>
                <w:sz w:val="24"/>
                <w:szCs w:val="24"/>
              </w:rPr>
            </w:pPr>
          </w:p>
        </w:tc>
        <w:tc>
          <w:tcPr>
            <w:tcW w:w="1352" w:type="dxa"/>
          </w:tcPr>
          <w:p w14:paraId="4DDAD085">
            <w:pPr>
              <w:pStyle w:val="11"/>
              <w:keepNext/>
              <w:spacing w:after="0" w:line="360" w:lineRule="auto"/>
              <w:ind w:left="66" w:right="66"/>
              <w:rPr>
                <w:rFonts w:ascii="宋体" w:hAnsi="宋体" w:cs="宋体"/>
                <w:color w:val="000000"/>
                <w:sz w:val="24"/>
                <w:szCs w:val="24"/>
              </w:rPr>
            </w:pPr>
          </w:p>
        </w:tc>
        <w:tc>
          <w:tcPr>
            <w:tcW w:w="1418" w:type="dxa"/>
          </w:tcPr>
          <w:p w14:paraId="0E55E759">
            <w:pPr>
              <w:pStyle w:val="11"/>
              <w:keepNext/>
              <w:spacing w:after="0" w:line="360" w:lineRule="auto"/>
              <w:ind w:left="66" w:right="66"/>
              <w:rPr>
                <w:rFonts w:ascii="宋体" w:hAnsi="宋体" w:cs="宋体"/>
                <w:color w:val="000000"/>
                <w:sz w:val="24"/>
                <w:szCs w:val="24"/>
              </w:rPr>
            </w:pPr>
          </w:p>
        </w:tc>
        <w:tc>
          <w:tcPr>
            <w:tcW w:w="1701" w:type="dxa"/>
          </w:tcPr>
          <w:p w14:paraId="444C94A0">
            <w:pPr>
              <w:pStyle w:val="11"/>
              <w:keepNext/>
              <w:spacing w:after="0" w:line="360" w:lineRule="auto"/>
              <w:ind w:left="66" w:right="66"/>
              <w:rPr>
                <w:rFonts w:ascii="宋体" w:hAnsi="宋体" w:cs="宋体"/>
                <w:color w:val="000000"/>
                <w:sz w:val="24"/>
                <w:szCs w:val="24"/>
              </w:rPr>
            </w:pPr>
          </w:p>
        </w:tc>
      </w:tr>
      <w:tr w14:paraId="04E8D4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993" w:type="dxa"/>
          </w:tcPr>
          <w:p w14:paraId="5EAC5345">
            <w:pPr>
              <w:pStyle w:val="11"/>
              <w:keepNext/>
              <w:spacing w:after="0" w:line="360" w:lineRule="auto"/>
              <w:ind w:left="66" w:right="66"/>
              <w:rPr>
                <w:rFonts w:ascii="宋体" w:hAnsi="宋体" w:cs="宋体"/>
                <w:color w:val="000000"/>
                <w:sz w:val="24"/>
                <w:szCs w:val="24"/>
              </w:rPr>
            </w:pPr>
          </w:p>
        </w:tc>
        <w:tc>
          <w:tcPr>
            <w:tcW w:w="1984" w:type="dxa"/>
          </w:tcPr>
          <w:p w14:paraId="5A0327C8">
            <w:pPr>
              <w:pStyle w:val="11"/>
              <w:keepNext/>
              <w:spacing w:after="0" w:line="360" w:lineRule="auto"/>
              <w:ind w:left="66" w:right="66"/>
              <w:rPr>
                <w:rFonts w:ascii="宋体" w:hAnsi="宋体" w:cs="宋体"/>
                <w:color w:val="000000"/>
                <w:sz w:val="24"/>
                <w:szCs w:val="24"/>
              </w:rPr>
            </w:pPr>
          </w:p>
        </w:tc>
        <w:tc>
          <w:tcPr>
            <w:tcW w:w="851" w:type="dxa"/>
          </w:tcPr>
          <w:p w14:paraId="21C49E20">
            <w:pPr>
              <w:pStyle w:val="11"/>
              <w:keepNext/>
              <w:spacing w:after="0" w:line="360" w:lineRule="auto"/>
              <w:ind w:left="66" w:right="66"/>
              <w:rPr>
                <w:rFonts w:ascii="宋体" w:hAnsi="宋体" w:cs="宋体"/>
                <w:color w:val="000000"/>
                <w:sz w:val="24"/>
                <w:szCs w:val="24"/>
              </w:rPr>
            </w:pPr>
          </w:p>
        </w:tc>
        <w:tc>
          <w:tcPr>
            <w:tcW w:w="774" w:type="dxa"/>
          </w:tcPr>
          <w:p w14:paraId="42D252B3">
            <w:pPr>
              <w:pStyle w:val="11"/>
              <w:keepNext/>
              <w:spacing w:after="0" w:line="360" w:lineRule="auto"/>
              <w:ind w:left="66" w:right="66"/>
              <w:rPr>
                <w:rFonts w:ascii="宋体" w:hAnsi="宋体" w:cs="宋体"/>
                <w:color w:val="000000"/>
                <w:sz w:val="24"/>
                <w:szCs w:val="24"/>
              </w:rPr>
            </w:pPr>
          </w:p>
        </w:tc>
        <w:tc>
          <w:tcPr>
            <w:tcW w:w="1352" w:type="dxa"/>
          </w:tcPr>
          <w:p w14:paraId="1867F79D">
            <w:pPr>
              <w:pStyle w:val="11"/>
              <w:keepNext/>
              <w:spacing w:after="0" w:line="360" w:lineRule="auto"/>
              <w:ind w:left="66" w:right="66"/>
              <w:rPr>
                <w:rFonts w:ascii="宋体" w:hAnsi="宋体" w:cs="宋体"/>
                <w:color w:val="000000"/>
                <w:sz w:val="24"/>
                <w:szCs w:val="24"/>
              </w:rPr>
            </w:pPr>
          </w:p>
        </w:tc>
        <w:tc>
          <w:tcPr>
            <w:tcW w:w="1418" w:type="dxa"/>
          </w:tcPr>
          <w:p w14:paraId="01E0F803">
            <w:pPr>
              <w:pStyle w:val="11"/>
              <w:keepNext/>
              <w:spacing w:after="0" w:line="360" w:lineRule="auto"/>
              <w:ind w:left="66" w:right="66"/>
              <w:rPr>
                <w:rFonts w:ascii="宋体" w:hAnsi="宋体" w:cs="宋体"/>
                <w:color w:val="000000"/>
                <w:sz w:val="24"/>
                <w:szCs w:val="24"/>
              </w:rPr>
            </w:pPr>
          </w:p>
        </w:tc>
        <w:tc>
          <w:tcPr>
            <w:tcW w:w="1701" w:type="dxa"/>
          </w:tcPr>
          <w:p w14:paraId="0536C691">
            <w:pPr>
              <w:pStyle w:val="11"/>
              <w:keepNext/>
              <w:spacing w:after="0" w:line="360" w:lineRule="auto"/>
              <w:ind w:left="66" w:right="66"/>
              <w:rPr>
                <w:rFonts w:ascii="宋体" w:hAnsi="宋体" w:cs="宋体"/>
                <w:color w:val="000000"/>
                <w:sz w:val="24"/>
                <w:szCs w:val="24"/>
              </w:rPr>
            </w:pPr>
          </w:p>
        </w:tc>
      </w:tr>
      <w:tr w14:paraId="616E23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993" w:type="dxa"/>
          </w:tcPr>
          <w:p w14:paraId="48B0CED9">
            <w:pPr>
              <w:pStyle w:val="11"/>
              <w:keepNext/>
              <w:spacing w:after="0" w:line="360" w:lineRule="auto"/>
              <w:ind w:left="66" w:right="66"/>
              <w:rPr>
                <w:rFonts w:ascii="宋体" w:hAnsi="宋体" w:cs="宋体"/>
                <w:color w:val="000000"/>
                <w:sz w:val="24"/>
                <w:szCs w:val="24"/>
              </w:rPr>
            </w:pPr>
          </w:p>
        </w:tc>
        <w:tc>
          <w:tcPr>
            <w:tcW w:w="1984" w:type="dxa"/>
          </w:tcPr>
          <w:p w14:paraId="0A30C6AE">
            <w:pPr>
              <w:pStyle w:val="11"/>
              <w:keepNext/>
              <w:spacing w:after="0" w:line="360" w:lineRule="auto"/>
              <w:ind w:left="66" w:right="66"/>
              <w:rPr>
                <w:rFonts w:ascii="宋体" w:hAnsi="宋体" w:cs="宋体"/>
                <w:color w:val="000000"/>
                <w:sz w:val="24"/>
                <w:szCs w:val="24"/>
              </w:rPr>
            </w:pPr>
          </w:p>
        </w:tc>
        <w:tc>
          <w:tcPr>
            <w:tcW w:w="851" w:type="dxa"/>
          </w:tcPr>
          <w:p w14:paraId="762A03A2">
            <w:pPr>
              <w:pStyle w:val="11"/>
              <w:keepNext/>
              <w:spacing w:after="0" w:line="360" w:lineRule="auto"/>
              <w:ind w:left="66" w:right="66"/>
              <w:rPr>
                <w:rFonts w:ascii="宋体" w:hAnsi="宋体" w:cs="宋体"/>
                <w:color w:val="000000"/>
                <w:sz w:val="24"/>
                <w:szCs w:val="24"/>
              </w:rPr>
            </w:pPr>
          </w:p>
        </w:tc>
        <w:tc>
          <w:tcPr>
            <w:tcW w:w="774" w:type="dxa"/>
          </w:tcPr>
          <w:p w14:paraId="38681DB9">
            <w:pPr>
              <w:pStyle w:val="11"/>
              <w:keepNext/>
              <w:spacing w:after="0" w:line="360" w:lineRule="auto"/>
              <w:ind w:left="66" w:right="66"/>
              <w:rPr>
                <w:rFonts w:ascii="宋体" w:hAnsi="宋体" w:cs="宋体"/>
                <w:color w:val="000000"/>
                <w:sz w:val="24"/>
                <w:szCs w:val="24"/>
              </w:rPr>
            </w:pPr>
          </w:p>
        </w:tc>
        <w:tc>
          <w:tcPr>
            <w:tcW w:w="1352" w:type="dxa"/>
          </w:tcPr>
          <w:p w14:paraId="4008B12E">
            <w:pPr>
              <w:pStyle w:val="11"/>
              <w:keepNext/>
              <w:spacing w:after="0" w:line="360" w:lineRule="auto"/>
              <w:ind w:left="66" w:right="66"/>
              <w:rPr>
                <w:rFonts w:ascii="宋体" w:hAnsi="宋体" w:cs="宋体"/>
                <w:color w:val="000000"/>
                <w:sz w:val="24"/>
                <w:szCs w:val="24"/>
              </w:rPr>
            </w:pPr>
          </w:p>
        </w:tc>
        <w:tc>
          <w:tcPr>
            <w:tcW w:w="1418" w:type="dxa"/>
          </w:tcPr>
          <w:p w14:paraId="42878D62">
            <w:pPr>
              <w:pStyle w:val="11"/>
              <w:keepNext/>
              <w:spacing w:after="0" w:line="360" w:lineRule="auto"/>
              <w:ind w:left="66" w:right="66"/>
              <w:rPr>
                <w:rFonts w:ascii="宋体" w:hAnsi="宋体" w:cs="宋体"/>
                <w:color w:val="000000"/>
                <w:sz w:val="24"/>
                <w:szCs w:val="24"/>
              </w:rPr>
            </w:pPr>
          </w:p>
        </w:tc>
        <w:tc>
          <w:tcPr>
            <w:tcW w:w="1701" w:type="dxa"/>
          </w:tcPr>
          <w:p w14:paraId="41212E31">
            <w:pPr>
              <w:pStyle w:val="11"/>
              <w:keepNext/>
              <w:spacing w:after="0" w:line="360" w:lineRule="auto"/>
              <w:ind w:left="66" w:right="66"/>
              <w:rPr>
                <w:rFonts w:ascii="宋体" w:hAnsi="宋体" w:cs="宋体"/>
                <w:color w:val="000000"/>
                <w:sz w:val="24"/>
                <w:szCs w:val="24"/>
              </w:rPr>
            </w:pPr>
          </w:p>
        </w:tc>
      </w:tr>
      <w:tr w14:paraId="1B6DD1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Pr>
          <w:p w14:paraId="081DF2F0">
            <w:pPr>
              <w:pStyle w:val="11"/>
              <w:keepNext/>
              <w:spacing w:after="0" w:line="360" w:lineRule="auto"/>
              <w:ind w:left="66" w:right="66"/>
              <w:rPr>
                <w:rFonts w:ascii="宋体" w:hAnsi="宋体" w:cs="宋体"/>
                <w:color w:val="000000"/>
                <w:sz w:val="24"/>
                <w:szCs w:val="24"/>
              </w:rPr>
            </w:pPr>
          </w:p>
        </w:tc>
        <w:tc>
          <w:tcPr>
            <w:tcW w:w="1984" w:type="dxa"/>
          </w:tcPr>
          <w:p w14:paraId="12595139">
            <w:pPr>
              <w:pStyle w:val="11"/>
              <w:keepNext/>
              <w:spacing w:after="0" w:line="360" w:lineRule="auto"/>
              <w:ind w:left="66" w:right="66"/>
              <w:rPr>
                <w:rFonts w:ascii="宋体" w:hAnsi="宋体" w:cs="宋体"/>
                <w:color w:val="000000"/>
                <w:sz w:val="24"/>
                <w:szCs w:val="24"/>
              </w:rPr>
            </w:pPr>
          </w:p>
        </w:tc>
        <w:tc>
          <w:tcPr>
            <w:tcW w:w="851" w:type="dxa"/>
          </w:tcPr>
          <w:p w14:paraId="31700CC8">
            <w:pPr>
              <w:pStyle w:val="11"/>
              <w:keepNext/>
              <w:spacing w:after="0" w:line="360" w:lineRule="auto"/>
              <w:ind w:left="66" w:right="66"/>
              <w:rPr>
                <w:rFonts w:ascii="宋体" w:hAnsi="宋体" w:cs="宋体"/>
                <w:color w:val="000000"/>
                <w:sz w:val="24"/>
                <w:szCs w:val="24"/>
              </w:rPr>
            </w:pPr>
          </w:p>
        </w:tc>
        <w:tc>
          <w:tcPr>
            <w:tcW w:w="774" w:type="dxa"/>
          </w:tcPr>
          <w:p w14:paraId="0F0FAAFC">
            <w:pPr>
              <w:pStyle w:val="11"/>
              <w:keepNext/>
              <w:spacing w:after="0" w:line="360" w:lineRule="auto"/>
              <w:ind w:left="66" w:right="66"/>
              <w:rPr>
                <w:rFonts w:ascii="宋体" w:hAnsi="宋体" w:cs="宋体"/>
                <w:color w:val="000000"/>
                <w:sz w:val="24"/>
                <w:szCs w:val="24"/>
              </w:rPr>
            </w:pPr>
          </w:p>
        </w:tc>
        <w:tc>
          <w:tcPr>
            <w:tcW w:w="1352" w:type="dxa"/>
          </w:tcPr>
          <w:p w14:paraId="7EA90351">
            <w:pPr>
              <w:pStyle w:val="11"/>
              <w:keepNext/>
              <w:spacing w:after="0" w:line="360" w:lineRule="auto"/>
              <w:ind w:left="66" w:right="66"/>
              <w:rPr>
                <w:rFonts w:ascii="宋体" w:hAnsi="宋体" w:cs="宋体"/>
                <w:color w:val="000000"/>
                <w:sz w:val="24"/>
                <w:szCs w:val="24"/>
              </w:rPr>
            </w:pPr>
          </w:p>
        </w:tc>
        <w:tc>
          <w:tcPr>
            <w:tcW w:w="1418" w:type="dxa"/>
          </w:tcPr>
          <w:p w14:paraId="4DBE36B0">
            <w:pPr>
              <w:pStyle w:val="11"/>
              <w:keepNext/>
              <w:spacing w:after="0" w:line="360" w:lineRule="auto"/>
              <w:ind w:left="66" w:right="66"/>
              <w:rPr>
                <w:rFonts w:ascii="宋体" w:hAnsi="宋体" w:cs="宋体"/>
                <w:color w:val="000000"/>
                <w:sz w:val="24"/>
                <w:szCs w:val="24"/>
              </w:rPr>
            </w:pPr>
          </w:p>
        </w:tc>
        <w:tc>
          <w:tcPr>
            <w:tcW w:w="1701" w:type="dxa"/>
          </w:tcPr>
          <w:p w14:paraId="5DC9D73C">
            <w:pPr>
              <w:pStyle w:val="11"/>
              <w:keepNext/>
              <w:spacing w:after="0" w:line="360" w:lineRule="auto"/>
              <w:ind w:left="66" w:right="66"/>
              <w:rPr>
                <w:rFonts w:ascii="宋体" w:hAnsi="宋体" w:cs="宋体"/>
                <w:color w:val="000000"/>
                <w:sz w:val="24"/>
                <w:szCs w:val="24"/>
              </w:rPr>
            </w:pPr>
          </w:p>
        </w:tc>
      </w:tr>
      <w:tr w14:paraId="7A76DB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93" w:type="dxa"/>
          </w:tcPr>
          <w:p w14:paraId="24067021">
            <w:pPr>
              <w:pStyle w:val="11"/>
              <w:keepNext/>
              <w:spacing w:after="0" w:line="360" w:lineRule="auto"/>
              <w:ind w:left="66" w:right="66"/>
              <w:rPr>
                <w:rFonts w:ascii="宋体" w:hAnsi="宋体" w:cs="宋体"/>
                <w:color w:val="000000"/>
                <w:sz w:val="24"/>
                <w:szCs w:val="24"/>
              </w:rPr>
            </w:pPr>
          </w:p>
        </w:tc>
        <w:tc>
          <w:tcPr>
            <w:tcW w:w="1984" w:type="dxa"/>
          </w:tcPr>
          <w:p w14:paraId="4C262730">
            <w:pPr>
              <w:pStyle w:val="11"/>
              <w:keepNext/>
              <w:spacing w:after="0" w:line="360" w:lineRule="auto"/>
              <w:ind w:left="66" w:right="66"/>
              <w:rPr>
                <w:rFonts w:ascii="宋体" w:hAnsi="宋体" w:cs="宋体"/>
                <w:color w:val="000000"/>
                <w:sz w:val="24"/>
                <w:szCs w:val="24"/>
              </w:rPr>
            </w:pPr>
          </w:p>
        </w:tc>
        <w:tc>
          <w:tcPr>
            <w:tcW w:w="851" w:type="dxa"/>
          </w:tcPr>
          <w:p w14:paraId="3518C144">
            <w:pPr>
              <w:pStyle w:val="11"/>
              <w:keepNext/>
              <w:spacing w:after="0" w:line="360" w:lineRule="auto"/>
              <w:ind w:left="66" w:right="66"/>
              <w:rPr>
                <w:rFonts w:ascii="宋体" w:hAnsi="宋体" w:cs="宋体"/>
                <w:color w:val="000000"/>
                <w:sz w:val="24"/>
                <w:szCs w:val="24"/>
              </w:rPr>
            </w:pPr>
          </w:p>
        </w:tc>
        <w:tc>
          <w:tcPr>
            <w:tcW w:w="774" w:type="dxa"/>
          </w:tcPr>
          <w:p w14:paraId="7A9D13BA">
            <w:pPr>
              <w:pStyle w:val="11"/>
              <w:keepNext/>
              <w:spacing w:after="0" w:line="360" w:lineRule="auto"/>
              <w:ind w:left="66" w:right="66"/>
              <w:rPr>
                <w:rFonts w:ascii="宋体" w:hAnsi="宋体" w:cs="宋体"/>
                <w:color w:val="000000"/>
                <w:sz w:val="24"/>
                <w:szCs w:val="24"/>
              </w:rPr>
            </w:pPr>
          </w:p>
        </w:tc>
        <w:tc>
          <w:tcPr>
            <w:tcW w:w="1352" w:type="dxa"/>
          </w:tcPr>
          <w:p w14:paraId="4E3D81E5">
            <w:pPr>
              <w:pStyle w:val="11"/>
              <w:keepNext/>
              <w:spacing w:after="0" w:line="360" w:lineRule="auto"/>
              <w:ind w:left="66" w:right="66"/>
              <w:rPr>
                <w:rFonts w:ascii="宋体" w:hAnsi="宋体" w:cs="宋体"/>
                <w:color w:val="000000"/>
                <w:sz w:val="24"/>
                <w:szCs w:val="24"/>
              </w:rPr>
            </w:pPr>
          </w:p>
        </w:tc>
        <w:tc>
          <w:tcPr>
            <w:tcW w:w="1418" w:type="dxa"/>
          </w:tcPr>
          <w:p w14:paraId="7A452A22">
            <w:pPr>
              <w:pStyle w:val="11"/>
              <w:keepNext/>
              <w:spacing w:after="0" w:line="360" w:lineRule="auto"/>
              <w:ind w:left="66" w:right="66"/>
              <w:rPr>
                <w:rFonts w:ascii="宋体" w:hAnsi="宋体" w:cs="宋体"/>
                <w:color w:val="000000"/>
                <w:sz w:val="24"/>
                <w:szCs w:val="24"/>
              </w:rPr>
            </w:pPr>
          </w:p>
        </w:tc>
        <w:tc>
          <w:tcPr>
            <w:tcW w:w="1701" w:type="dxa"/>
          </w:tcPr>
          <w:p w14:paraId="71AA4918">
            <w:pPr>
              <w:pStyle w:val="11"/>
              <w:keepNext/>
              <w:spacing w:after="0" w:line="360" w:lineRule="auto"/>
              <w:ind w:left="66" w:right="66"/>
              <w:rPr>
                <w:rFonts w:ascii="宋体" w:hAnsi="宋体" w:cs="宋体"/>
                <w:color w:val="000000"/>
                <w:sz w:val="24"/>
                <w:szCs w:val="24"/>
              </w:rPr>
            </w:pPr>
          </w:p>
        </w:tc>
      </w:tr>
      <w:tr w14:paraId="015052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Pr>
          <w:p w14:paraId="60C5757B">
            <w:pPr>
              <w:pStyle w:val="11"/>
              <w:keepNext/>
              <w:spacing w:after="0" w:line="360" w:lineRule="auto"/>
              <w:ind w:left="66" w:right="66"/>
              <w:rPr>
                <w:rFonts w:ascii="宋体" w:hAnsi="宋体" w:cs="宋体"/>
                <w:color w:val="000000"/>
                <w:sz w:val="24"/>
                <w:szCs w:val="24"/>
              </w:rPr>
            </w:pPr>
          </w:p>
        </w:tc>
        <w:tc>
          <w:tcPr>
            <w:tcW w:w="1984" w:type="dxa"/>
          </w:tcPr>
          <w:p w14:paraId="0423E843">
            <w:pPr>
              <w:pStyle w:val="11"/>
              <w:keepNext/>
              <w:spacing w:after="0" w:line="360" w:lineRule="auto"/>
              <w:ind w:left="66" w:right="66"/>
              <w:rPr>
                <w:rFonts w:ascii="宋体" w:hAnsi="宋体" w:cs="宋体"/>
                <w:color w:val="000000"/>
                <w:sz w:val="24"/>
                <w:szCs w:val="24"/>
              </w:rPr>
            </w:pPr>
          </w:p>
        </w:tc>
        <w:tc>
          <w:tcPr>
            <w:tcW w:w="851" w:type="dxa"/>
          </w:tcPr>
          <w:p w14:paraId="6601790E">
            <w:pPr>
              <w:pStyle w:val="11"/>
              <w:keepNext/>
              <w:spacing w:after="0" w:line="360" w:lineRule="auto"/>
              <w:ind w:left="66" w:right="66"/>
              <w:rPr>
                <w:rFonts w:ascii="宋体" w:hAnsi="宋体" w:cs="宋体"/>
                <w:color w:val="000000"/>
                <w:sz w:val="24"/>
                <w:szCs w:val="24"/>
              </w:rPr>
            </w:pPr>
          </w:p>
        </w:tc>
        <w:tc>
          <w:tcPr>
            <w:tcW w:w="774" w:type="dxa"/>
          </w:tcPr>
          <w:p w14:paraId="265CAEF1">
            <w:pPr>
              <w:pStyle w:val="11"/>
              <w:keepNext/>
              <w:spacing w:after="0" w:line="360" w:lineRule="auto"/>
              <w:ind w:left="66" w:right="66"/>
              <w:rPr>
                <w:rFonts w:ascii="宋体" w:hAnsi="宋体" w:cs="宋体"/>
                <w:color w:val="000000"/>
                <w:sz w:val="24"/>
                <w:szCs w:val="24"/>
              </w:rPr>
            </w:pPr>
          </w:p>
        </w:tc>
        <w:tc>
          <w:tcPr>
            <w:tcW w:w="1352" w:type="dxa"/>
          </w:tcPr>
          <w:p w14:paraId="4C6078A9">
            <w:pPr>
              <w:pStyle w:val="11"/>
              <w:keepNext/>
              <w:spacing w:after="0" w:line="360" w:lineRule="auto"/>
              <w:ind w:left="66" w:right="66"/>
              <w:rPr>
                <w:rFonts w:ascii="宋体" w:hAnsi="宋体" w:cs="宋体"/>
                <w:color w:val="000000"/>
                <w:sz w:val="24"/>
                <w:szCs w:val="24"/>
              </w:rPr>
            </w:pPr>
          </w:p>
        </w:tc>
        <w:tc>
          <w:tcPr>
            <w:tcW w:w="1418" w:type="dxa"/>
          </w:tcPr>
          <w:p w14:paraId="1A68A21A">
            <w:pPr>
              <w:pStyle w:val="11"/>
              <w:keepNext/>
              <w:spacing w:after="0" w:line="360" w:lineRule="auto"/>
              <w:ind w:left="66" w:right="66"/>
              <w:rPr>
                <w:rFonts w:ascii="宋体" w:hAnsi="宋体" w:cs="宋体"/>
                <w:color w:val="000000"/>
                <w:sz w:val="24"/>
                <w:szCs w:val="24"/>
              </w:rPr>
            </w:pPr>
          </w:p>
        </w:tc>
        <w:tc>
          <w:tcPr>
            <w:tcW w:w="1701" w:type="dxa"/>
          </w:tcPr>
          <w:p w14:paraId="3A004312">
            <w:pPr>
              <w:pStyle w:val="11"/>
              <w:keepNext/>
              <w:spacing w:after="0" w:line="360" w:lineRule="auto"/>
              <w:ind w:left="66" w:right="66"/>
              <w:rPr>
                <w:rFonts w:ascii="宋体" w:hAnsi="宋体" w:cs="宋体"/>
                <w:color w:val="000000"/>
                <w:sz w:val="24"/>
                <w:szCs w:val="24"/>
              </w:rPr>
            </w:pPr>
          </w:p>
        </w:tc>
      </w:tr>
      <w:tr w14:paraId="449FE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993" w:type="dxa"/>
          </w:tcPr>
          <w:p w14:paraId="77B3366C">
            <w:pPr>
              <w:pStyle w:val="11"/>
              <w:keepNext/>
              <w:spacing w:after="0" w:line="360" w:lineRule="auto"/>
              <w:ind w:left="66" w:right="66"/>
              <w:rPr>
                <w:rFonts w:ascii="宋体" w:hAnsi="宋体" w:cs="宋体"/>
                <w:color w:val="000000"/>
                <w:sz w:val="24"/>
                <w:szCs w:val="24"/>
              </w:rPr>
            </w:pPr>
          </w:p>
        </w:tc>
        <w:tc>
          <w:tcPr>
            <w:tcW w:w="1984" w:type="dxa"/>
          </w:tcPr>
          <w:p w14:paraId="782D8116">
            <w:pPr>
              <w:pStyle w:val="11"/>
              <w:keepNext/>
              <w:spacing w:after="0" w:line="360" w:lineRule="auto"/>
              <w:ind w:left="66" w:right="66"/>
              <w:rPr>
                <w:rFonts w:ascii="宋体" w:hAnsi="宋体" w:cs="宋体"/>
                <w:color w:val="000000"/>
                <w:sz w:val="24"/>
                <w:szCs w:val="24"/>
              </w:rPr>
            </w:pPr>
          </w:p>
        </w:tc>
        <w:tc>
          <w:tcPr>
            <w:tcW w:w="851" w:type="dxa"/>
          </w:tcPr>
          <w:p w14:paraId="0AA30FC4">
            <w:pPr>
              <w:pStyle w:val="11"/>
              <w:keepNext/>
              <w:spacing w:after="0" w:line="360" w:lineRule="auto"/>
              <w:ind w:left="66" w:right="66"/>
              <w:rPr>
                <w:rFonts w:ascii="宋体" w:hAnsi="宋体" w:cs="宋体"/>
                <w:color w:val="000000"/>
                <w:sz w:val="24"/>
                <w:szCs w:val="24"/>
              </w:rPr>
            </w:pPr>
          </w:p>
        </w:tc>
        <w:tc>
          <w:tcPr>
            <w:tcW w:w="774" w:type="dxa"/>
          </w:tcPr>
          <w:p w14:paraId="024617F0">
            <w:pPr>
              <w:pStyle w:val="11"/>
              <w:keepNext/>
              <w:spacing w:after="0" w:line="360" w:lineRule="auto"/>
              <w:ind w:left="66" w:right="66"/>
              <w:rPr>
                <w:rFonts w:ascii="宋体" w:hAnsi="宋体" w:cs="宋体"/>
                <w:color w:val="000000"/>
                <w:sz w:val="24"/>
                <w:szCs w:val="24"/>
              </w:rPr>
            </w:pPr>
          </w:p>
        </w:tc>
        <w:tc>
          <w:tcPr>
            <w:tcW w:w="1352" w:type="dxa"/>
          </w:tcPr>
          <w:p w14:paraId="774EC505">
            <w:pPr>
              <w:pStyle w:val="11"/>
              <w:keepNext/>
              <w:spacing w:after="0" w:line="360" w:lineRule="auto"/>
              <w:ind w:left="66" w:right="66"/>
              <w:rPr>
                <w:rFonts w:ascii="宋体" w:hAnsi="宋体" w:cs="宋体"/>
                <w:color w:val="000000"/>
                <w:sz w:val="24"/>
                <w:szCs w:val="24"/>
              </w:rPr>
            </w:pPr>
          </w:p>
        </w:tc>
        <w:tc>
          <w:tcPr>
            <w:tcW w:w="1418" w:type="dxa"/>
          </w:tcPr>
          <w:p w14:paraId="192E7AC5">
            <w:pPr>
              <w:pStyle w:val="11"/>
              <w:keepNext/>
              <w:spacing w:after="0" w:line="360" w:lineRule="auto"/>
              <w:ind w:left="66" w:right="66"/>
              <w:rPr>
                <w:rFonts w:ascii="宋体" w:hAnsi="宋体" w:cs="宋体"/>
                <w:color w:val="000000"/>
                <w:sz w:val="24"/>
                <w:szCs w:val="24"/>
              </w:rPr>
            </w:pPr>
          </w:p>
        </w:tc>
        <w:tc>
          <w:tcPr>
            <w:tcW w:w="1701" w:type="dxa"/>
          </w:tcPr>
          <w:p w14:paraId="055322BC">
            <w:pPr>
              <w:pStyle w:val="11"/>
              <w:keepNext/>
              <w:spacing w:after="0" w:line="360" w:lineRule="auto"/>
              <w:ind w:left="66" w:right="66"/>
              <w:rPr>
                <w:rFonts w:ascii="宋体" w:hAnsi="宋体" w:cs="宋体"/>
                <w:color w:val="000000"/>
                <w:sz w:val="24"/>
                <w:szCs w:val="24"/>
              </w:rPr>
            </w:pPr>
          </w:p>
        </w:tc>
      </w:tr>
      <w:tr w14:paraId="53EC6D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2" w:hRule="atLeast"/>
          <w:jc w:val="center"/>
        </w:trPr>
        <w:tc>
          <w:tcPr>
            <w:tcW w:w="993" w:type="dxa"/>
          </w:tcPr>
          <w:p w14:paraId="306B5682">
            <w:pPr>
              <w:pStyle w:val="11"/>
              <w:keepNext/>
              <w:spacing w:after="0" w:line="360" w:lineRule="auto"/>
              <w:ind w:left="66" w:right="66"/>
              <w:rPr>
                <w:rFonts w:ascii="宋体" w:hAnsi="宋体" w:cs="宋体"/>
                <w:color w:val="000000"/>
                <w:sz w:val="24"/>
                <w:szCs w:val="24"/>
              </w:rPr>
            </w:pPr>
          </w:p>
        </w:tc>
        <w:tc>
          <w:tcPr>
            <w:tcW w:w="1984" w:type="dxa"/>
          </w:tcPr>
          <w:p w14:paraId="0F2F8495">
            <w:pPr>
              <w:pStyle w:val="11"/>
              <w:keepNext/>
              <w:spacing w:after="0" w:line="360" w:lineRule="auto"/>
              <w:ind w:left="66" w:right="66"/>
              <w:rPr>
                <w:rFonts w:ascii="宋体" w:hAnsi="宋体" w:cs="宋体"/>
                <w:color w:val="000000"/>
                <w:sz w:val="24"/>
                <w:szCs w:val="24"/>
              </w:rPr>
            </w:pPr>
          </w:p>
        </w:tc>
        <w:tc>
          <w:tcPr>
            <w:tcW w:w="851" w:type="dxa"/>
          </w:tcPr>
          <w:p w14:paraId="512F1B3A">
            <w:pPr>
              <w:pStyle w:val="11"/>
              <w:keepNext/>
              <w:spacing w:after="0" w:line="360" w:lineRule="auto"/>
              <w:ind w:left="66" w:right="66"/>
              <w:rPr>
                <w:rFonts w:ascii="宋体" w:hAnsi="宋体" w:cs="宋体"/>
                <w:color w:val="000000"/>
                <w:sz w:val="24"/>
                <w:szCs w:val="24"/>
              </w:rPr>
            </w:pPr>
          </w:p>
        </w:tc>
        <w:tc>
          <w:tcPr>
            <w:tcW w:w="774" w:type="dxa"/>
          </w:tcPr>
          <w:p w14:paraId="4DA275FE">
            <w:pPr>
              <w:pStyle w:val="11"/>
              <w:keepNext/>
              <w:spacing w:after="0" w:line="360" w:lineRule="auto"/>
              <w:ind w:left="66" w:right="66"/>
              <w:rPr>
                <w:rFonts w:ascii="宋体" w:hAnsi="宋体" w:cs="宋体"/>
                <w:color w:val="000000"/>
                <w:sz w:val="24"/>
                <w:szCs w:val="24"/>
              </w:rPr>
            </w:pPr>
          </w:p>
        </w:tc>
        <w:tc>
          <w:tcPr>
            <w:tcW w:w="1352" w:type="dxa"/>
          </w:tcPr>
          <w:p w14:paraId="3819FBC7">
            <w:pPr>
              <w:pStyle w:val="11"/>
              <w:keepNext/>
              <w:spacing w:after="0" w:line="360" w:lineRule="auto"/>
              <w:ind w:left="66" w:right="66"/>
              <w:rPr>
                <w:rFonts w:ascii="宋体" w:hAnsi="宋体" w:cs="宋体"/>
                <w:color w:val="000000"/>
                <w:sz w:val="24"/>
                <w:szCs w:val="24"/>
              </w:rPr>
            </w:pPr>
          </w:p>
        </w:tc>
        <w:tc>
          <w:tcPr>
            <w:tcW w:w="1418" w:type="dxa"/>
          </w:tcPr>
          <w:p w14:paraId="07C0C91A">
            <w:pPr>
              <w:pStyle w:val="11"/>
              <w:keepNext/>
              <w:spacing w:after="0" w:line="360" w:lineRule="auto"/>
              <w:ind w:left="66" w:right="66"/>
              <w:rPr>
                <w:rFonts w:ascii="宋体" w:hAnsi="宋体" w:cs="宋体"/>
                <w:color w:val="000000"/>
                <w:sz w:val="24"/>
                <w:szCs w:val="24"/>
              </w:rPr>
            </w:pPr>
          </w:p>
        </w:tc>
        <w:tc>
          <w:tcPr>
            <w:tcW w:w="1701" w:type="dxa"/>
          </w:tcPr>
          <w:p w14:paraId="73F3E8C0">
            <w:pPr>
              <w:pStyle w:val="11"/>
              <w:keepNext/>
              <w:spacing w:after="0" w:line="360" w:lineRule="auto"/>
              <w:ind w:left="66" w:right="66"/>
              <w:rPr>
                <w:rFonts w:ascii="宋体" w:hAnsi="宋体" w:cs="宋体"/>
                <w:color w:val="000000"/>
                <w:sz w:val="24"/>
                <w:szCs w:val="24"/>
              </w:rPr>
            </w:pPr>
          </w:p>
        </w:tc>
      </w:tr>
      <w:tr w14:paraId="114884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993" w:type="dxa"/>
          </w:tcPr>
          <w:p w14:paraId="6AD2ED7B">
            <w:pPr>
              <w:pStyle w:val="11"/>
              <w:keepNext/>
              <w:spacing w:after="0" w:line="360" w:lineRule="auto"/>
              <w:ind w:left="66" w:right="66"/>
              <w:rPr>
                <w:rFonts w:ascii="宋体" w:hAnsi="宋体" w:cs="宋体"/>
                <w:color w:val="000000"/>
                <w:sz w:val="24"/>
                <w:szCs w:val="24"/>
              </w:rPr>
            </w:pPr>
          </w:p>
        </w:tc>
        <w:tc>
          <w:tcPr>
            <w:tcW w:w="1984" w:type="dxa"/>
          </w:tcPr>
          <w:p w14:paraId="483FAC93">
            <w:pPr>
              <w:pStyle w:val="11"/>
              <w:keepNext/>
              <w:spacing w:after="0" w:line="360" w:lineRule="auto"/>
              <w:ind w:left="66" w:right="66"/>
              <w:rPr>
                <w:rFonts w:ascii="宋体" w:hAnsi="宋体" w:cs="宋体"/>
                <w:color w:val="000000"/>
                <w:sz w:val="24"/>
                <w:szCs w:val="24"/>
              </w:rPr>
            </w:pPr>
          </w:p>
        </w:tc>
        <w:tc>
          <w:tcPr>
            <w:tcW w:w="851" w:type="dxa"/>
          </w:tcPr>
          <w:p w14:paraId="44DE8944">
            <w:pPr>
              <w:pStyle w:val="11"/>
              <w:keepNext/>
              <w:spacing w:after="0" w:line="360" w:lineRule="auto"/>
              <w:ind w:left="66" w:right="66"/>
              <w:rPr>
                <w:rFonts w:ascii="宋体" w:hAnsi="宋体" w:cs="宋体"/>
                <w:color w:val="000000"/>
                <w:sz w:val="24"/>
                <w:szCs w:val="24"/>
              </w:rPr>
            </w:pPr>
          </w:p>
        </w:tc>
        <w:tc>
          <w:tcPr>
            <w:tcW w:w="774" w:type="dxa"/>
          </w:tcPr>
          <w:p w14:paraId="291DB793">
            <w:pPr>
              <w:pStyle w:val="11"/>
              <w:keepNext/>
              <w:spacing w:after="0" w:line="360" w:lineRule="auto"/>
              <w:ind w:left="66" w:right="66"/>
              <w:rPr>
                <w:rFonts w:ascii="宋体" w:hAnsi="宋体" w:cs="宋体"/>
                <w:color w:val="000000"/>
                <w:sz w:val="24"/>
                <w:szCs w:val="24"/>
              </w:rPr>
            </w:pPr>
          </w:p>
        </w:tc>
        <w:tc>
          <w:tcPr>
            <w:tcW w:w="1352" w:type="dxa"/>
          </w:tcPr>
          <w:p w14:paraId="3F2EF4F8">
            <w:pPr>
              <w:pStyle w:val="11"/>
              <w:keepNext/>
              <w:spacing w:after="0" w:line="360" w:lineRule="auto"/>
              <w:ind w:left="66" w:right="66"/>
              <w:rPr>
                <w:rFonts w:ascii="宋体" w:hAnsi="宋体" w:cs="宋体"/>
                <w:color w:val="000000"/>
                <w:sz w:val="24"/>
                <w:szCs w:val="24"/>
              </w:rPr>
            </w:pPr>
          </w:p>
        </w:tc>
        <w:tc>
          <w:tcPr>
            <w:tcW w:w="1418" w:type="dxa"/>
          </w:tcPr>
          <w:p w14:paraId="63996EF6">
            <w:pPr>
              <w:pStyle w:val="11"/>
              <w:keepNext/>
              <w:spacing w:after="0" w:line="360" w:lineRule="auto"/>
              <w:ind w:left="66" w:right="66"/>
              <w:rPr>
                <w:rFonts w:ascii="宋体" w:hAnsi="宋体" w:cs="宋体"/>
                <w:color w:val="000000"/>
                <w:sz w:val="24"/>
                <w:szCs w:val="24"/>
              </w:rPr>
            </w:pPr>
          </w:p>
        </w:tc>
        <w:tc>
          <w:tcPr>
            <w:tcW w:w="1701" w:type="dxa"/>
          </w:tcPr>
          <w:p w14:paraId="335C0A80">
            <w:pPr>
              <w:pStyle w:val="11"/>
              <w:keepNext/>
              <w:spacing w:after="0" w:line="360" w:lineRule="auto"/>
              <w:ind w:left="66" w:right="66"/>
              <w:rPr>
                <w:rFonts w:ascii="宋体" w:hAnsi="宋体" w:cs="宋体"/>
                <w:color w:val="000000"/>
                <w:sz w:val="24"/>
                <w:szCs w:val="24"/>
              </w:rPr>
            </w:pPr>
          </w:p>
        </w:tc>
      </w:tr>
      <w:tr w14:paraId="7B3422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993" w:type="dxa"/>
          </w:tcPr>
          <w:p w14:paraId="5F5DFE61">
            <w:pPr>
              <w:pStyle w:val="11"/>
              <w:keepNext/>
              <w:spacing w:after="0" w:line="360" w:lineRule="auto"/>
              <w:ind w:left="66" w:right="66"/>
              <w:rPr>
                <w:rFonts w:ascii="宋体" w:hAnsi="宋体" w:cs="宋体"/>
                <w:color w:val="000000"/>
                <w:sz w:val="24"/>
                <w:szCs w:val="24"/>
              </w:rPr>
            </w:pPr>
          </w:p>
        </w:tc>
        <w:tc>
          <w:tcPr>
            <w:tcW w:w="1984" w:type="dxa"/>
          </w:tcPr>
          <w:p w14:paraId="0F45CE69">
            <w:pPr>
              <w:pStyle w:val="11"/>
              <w:keepNext/>
              <w:spacing w:after="0" w:line="360" w:lineRule="auto"/>
              <w:ind w:left="66" w:right="66"/>
              <w:rPr>
                <w:rFonts w:ascii="宋体" w:hAnsi="宋体" w:cs="宋体"/>
                <w:color w:val="000000"/>
                <w:sz w:val="24"/>
                <w:szCs w:val="24"/>
              </w:rPr>
            </w:pPr>
          </w:p>
        </w:tc>
        <w:tc>
          <w:tcPr>
            <w:tcW w:w="851" w:type="dxa"/>
          </w:tcPr>
          <w:p w14:paraId="27FB5392">
            <w:pPr>
              <w:pStyle w:val="11"/>
              <w:keepNext/>
              <w:spacing w:after="0" w:line="360" w:lineRule="auto"/>
              <w:ind w:left="66" w:right="66"/>
              <w:rPr>
                <w:rFonts w:ascii="宋体" w:hAnsi="宋体" w:cs="宋体"/>
                <w:color w:val="000000"/>
                <w:sz w:val="24"/>
                <w:szCs w:val="24"/>
              </w:rPr>
            </w:pPr>
          </w:p>
        </w:tc>
        <w:tc>
          <w:tcPr>
            <w:tcW w:w="774" w:type="dxa"/>
          </w:tcPr>
          <w:p w14:paraId="7E29473B">
            <w:pPr>
              <w:pStyle w:val="11"/>
              <w:keepNext/>
              <w:spacing w:after="0" w:line="360" w:lineRule="auto"/>
              <w:ind w:left="66" w:right="66"/>
              <w:rPr>
                <w:rFonts w:ascii="宋体" w:hAnsi="宋体" w:cs="宋体"/>
                <w:color w:val="000000"/>
                <w:sz w:val="24"/>
                <w:szCs w:val="24"/>
              </w:rPr>
            </w:pPr>
          </w:p>
        </w:tc>
        <w:tc>
          <w:tcPr>
            <w:tcW w:w="1352" w:type="dxa"/>
          </w:tcPr>
          <w:p w14:paraId="1DD6A178">
            <w:pPr>
              <w:pStyle w:val="11"/>
              <w:keepNext/>
              <w:spacing w:after="0" w:line="360" w:lineRule="auto"/>
              <w:ind w:left="66" w:right="66"/>
              <w:rPr>
                <w:rFonts w:ascii="宋体" w:hAnsi="宋体" w:cs="宋体"/>
                <w:color w:val="000000"/>
                <w:sz w:val="24"/>
                <w:szCs w:val="24"/>
              </w:rPr>
            </w:pPr>
          </w:p>
        </w:tc>
        <w:tc>
          <w:tcPr>
            <w:tcW w:w="1418" w:type="dxa"/>
          </w:tcPr>
          <w:p w14:paraId="0A81CACE">
            <w:pPr>
              <w:pStyle w:val="11"/>
              <w:keepNext/>
              <w:spacing w:after="0" w:line="360" w:lineRule="auto"/>
              <w:ind w:left="66" w:right="66"/>
              <w:rPr>
                <w:rFonts w:ascii="宋体" w:hAnsi="宋体" w:cs="宋体"/>
                <w:color w:val="000000"/>
                <w:sz w:val="24"/>
                <w:szCs w:val="24"/>
              </w:rPr>
            </w:pPr>
          </w:p>
        </w:tc>
        <w:tc>
          <w:tcPr>
            <w:tcW w:w="1701" w:type="dxa"/>
          </w:tcPr>
          <w:p w14:paraId="52354A6B">
            <w:pPr>
              <w:pStyle w:val="11"/>
              <w:keepNext/>
              <w:spacing w:after="0" w:line="360" w:lineRule="auto"/>
              <w:ind w:left="66" w:right="66"/>
              <w:rPr>
                <w:rFonts w:ascii="宋体" w:hAnsi="宋体" w:cs="宋体"/>
                <w:color w:val="000000"/>
                <w:sz w:val="24"/>
                <w:szCs w:val="24"/>
              </w:rPr>
            </w:pPr>
          </w:p>
        </w:tc>
      </w:tr>
      <w:tr w14:paraId="5126A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993" w:type="dxa"/>
          </w:tcPr>
          <w:p w14:paraId="3F023025">
            <w:pPr>
              <w:pStyle w:val="11"/>
              <w:keepNext/>
              <w:spacing w:after="0" w:line="360" w:lineRule="auto"/>
              <w:ind w:left="66" w:right="66"/>
              <w:rPr>
                <w:rFonts w:ascii="宋体" w:hAnsi="宋体" w:cs="宋体"/>
                <w:color w:val="000000"/>
                <w:sz w:val="24"/>
                <w:szCs w:val="24"/>
              </w:rPr>
            </w:pPr>
          </w:p>
        </w:tc>
        <w:tc>
          <w:tcPr>
            <w:tcW w:w="1984" w:type="dxa"/>
          </w:tcPr>
          <w:p w14:paraId="0DF0C5E0">
            <w:pPr>
              <w:pStyle w:val="11"/>
              <w:keepNext/>
              <w:spacing w:after="0" w:line="360" w:lineRule="auto"/>
              <w:ind w:left="66" w:right="66"/>
              <w:rPr>
                <w:rFonts w:ascii="宋体" w:hAnsi="宋体" w:cs="宋体"/>
                <w:color w:val="000000"/>
                <w:sz w:val="24"/>
                <w:szCs w:val="24"/>
              </w:rPr>
            </w:pPr>
          </w:p>
        </w:tc>
        <w:tc>
          <w:tcPr>
            <w:tcW w:w="851" w:type="dxa"/>
          </w:tcPr>
          <w:p w14:paraId="137A2230">
            <w:pPr>
              <w:pStyle w:val="11"/>
              <w:keepNext/>
              <w:spacing w:after="0" w:line="360" w:lineRule="auto"/>
              <w:ind w:left="66" w:right="66"/>
              <w:rPr>
                <w:rFonts w:ascii="宋体" w:hAnsi="宋体" w:cs="宋体"/>
                <w:color w:val="000000"/>
                <w:sz w:val="24"/>
                <w:szCs w:val="24"/>
              </w:rPr>
            </w:pPr>
          </w:p>
        </w:tc>
        <w:tc>
          <w:tcPr>
            <w:tcW w:w="774" w:type="dxa"/>
          </w:tcPr>
          <w:p w14:paraId="5E78B3DC">
            <w:pPr>
              <w:pStyle w:val="11"/>
              <w:keepNext/>
              <w:spacing w:after="0" w:line="360" w:lineRule="auto"/>
              <w:ind w:left="66" w:right="66"/>
              <w:rPr>
                <w:rFonts w:ascii="宋体" w:hAnsi="宋体" w:cs="宋体"/>
                <w:color w:val="000000"/>
                <w:sz w:val="24"/>
                <w:szCs w:val="24"/>
              </w:rPr>
            </w:pPr>
          </w:p>
        </w:tc>
        <w:tc>
          <w:tcPr>
            <w:tcW w:w="1352" w:type="dxa"/>
          </w:tcPr>
          <w:p w14:paraId="69CAD309">
            <w:pPr>
              <w:pStyle w:val="11"/>
              <w:keepNext/>
              <w:spacing w:after="0" w:line="360" w:lineRule="auto"/>
              <w:ind w:left="66" w:right="66"/>
              <w:rPr>
                <w:rFonts w:ascii="宋体" w:hAnsi="宋体" w:cs="宋体"/>
                <w:color w:val="000000"/>
                <w:sz w:val="24"/>
                <w:szCs w:val="24"/>
              </w:rPr>
            </w:pPr>
          </w:p>
        </w:tc>
        <w:tc>
          <w:tcPr>
            <w:tcW w:w="1418" w:type="dxa"/>
          </w:tcPr>
          <w:p w14:paraId="19563852">
            <w:pPr>
              <w:pStyle w:val="11"/>
              <w:keepNext/>
              <w:spacing w:after="0" w:line="360" w:lineRule="auto"/>
              <w:ind w:left="66" w:right="66"/>
              <w:rPr>
                <w:rFonts w:ascii="宋体" w:hAnsi="宋体" w:cs="宋体"/>
                <w:color w:val="000000"/>
                <w:sz w:val="24"/>
                <w:szCs w:val="24"/>
              </w:rPr>
            </w:pPr>
          </w:p>
        </w:tc>
        <w:tc>
          <w:tcPr>
            <w:tcW w:w="1701" w:type="dxa"/>
          </w:tcPr>
          <w:p w14:paraId="6E9C8615">
            <w:pPr>
              <w:pStyle w:val="11"/>
              <w:keepNext/>
              <w:spacing w:after="0" w:line="360" w:lineRule="auto"/>
              <w:ind w:left="66" w:right="66"/>
              <w:rPr>
                <w:rFonts w:ascii="宋体" w:hAnsi="宋体" w:cs="宋体"/>
                <w:color w:val="000000"/>
                <w:sz w:val="24"/>
                <w:szCs w:val="24"/>
              </w:rPr>
            </w:pPr>
          </w:p>
        </w:tc>
      </w:tr>
      <w:tr w14:paraId="26C4F0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993" w:type="dxa"/>
          </w:tcPr>
          <w:p w14:paraId="08E0CEEC">
            <w:pPr>
              <w:pStyle w:val="11"/>
              <w:keepNext/>
              <w:spacing w:after="0" w:line="360" w:lineRule="auto"/>
              <w:ind w:left="66" w:right="66"/>
              <w:rPr>
                <w:rFonts w:ascii="宋体" w:hAnsi="宋体" w:cs="宋体"/>
                <w:color w:val="000000"/>
                <w:sz w:val="24"/>
                <w:szCs w:val="24"/>
              </w:rPr>
            </w:pPr>
          </w:p>
        </w:tc>
        <w:tc>
          <w:tcPr>
            <w:tcW w:w="1984" w:type="dxa"/>
          </w:tcPr>
          <w:p w14:paraId="37DF5728">
            <w:pPr>
              <w:pStyle w:val="11"/>
              <w:keepNext/>
              <w:spacing w:after="0" w:line="360" w:lineRule="auto"/>
              <w:ind w:left="66" w:right="66"/>
              <w:rPr>
                <w:rFonts w:ascii="宋体" w:hAnsi="宋体" w:cs="宋体"/>
                <w:color w:val="000000"/>
                <w:sz w:val="24"/>
                <w:szCs w:val="24"/>
              </w:rPr>
            </w:pPr>
          </w:p>
        </w:tc>
        <w:tc>
          <w:tcPr>
            <w:tcW w:w="851" w:type="dxa"/>
          </w:tcPr>
          <w:p w14:paraId="70BC132F">
            <w:pPr>
              <w:pStyle w:val="11"/>
              <w:keepNext/>
              <w:spacing w:after="0" w:line="360" w:lineRule="auto"/>
              <w:ind w:left="66" w:right="66"/>
              <w:rPr>
                <w:rFonts w:ascii="宋体" w:hAnsi="宋体" w:cs="宋体"/>
                <w:color w:val="000000"/>
                <w:sz w:val="24"/>
                <w:szCs w:val="24"/>
              </w:rPr>
            </w:pPr>
          </w:p>
        </w:tc>
        <w:tc>
          <w:tcPr>
            <w:tcW w:w="774" w:type="dxa"/>
          </w:tcPr>
          <w:p w14:paraId="22811860">
            <w:pPr>
              <w:pStyle w:val="11"/>
              <w:keepNext/>
              <w:spacing w:after="0" w:line="360" w:lineRule="auto"/>
              <w:ind w:left="66" w:right="66"/>
              <w:rPr>
                <w:rFonts w:ascii="宋体" w:hAnsi="宋体" w:cs="宋体"/>
                <w:color w:val="000000"/>
                <w:sz w:val="24"/>
                <w:szCs w:val="24"/>
              </w:rPr>
            </w:pPr>
          </w:p>
        </w:tc>
        <w:tc>
          <w:tcPr>
            <w:tcW w:w="1352" w:type="dxa"/>
          </w:tcPr>
          <w:p w14:paraId="1A6AFDDE">
            <w:pPr>
              <w:pStyle w:val="11"/>
              <w:keepNext/>
              <w:spacing w:after="0" w:line="360" w:lineRule="auto"/>
              <w:ind w:left="66" w:right="66"/>
              <w:rPr>
                <w:rFonts w:ascii="宋体" w:hAnsi="宋体" w:cs="宋体"/>
                <w:color w:val="000000"/>
                <w:sz w:val="24"/>
                <w:szCs w:val="24"/>
              </w:rPr>
            </w:pPr>
          </w:p>
        </w:tc>
        <w:tc>
          <w:tcPr>
            <w:tcW w:w="1418" w:type="dxa"/>
          </w:tcPr>
          <w:p w14:paraId="27F3B028">
            <w:pPr>
              <w:pStyle w:val="11"/>
              <w:keepNext/>
              <w:spacing w:after="0" w:line="360" w:lineRule="auto"/>
              <w:ind w:left="66" w:right="66"/>
              <w:rPr>
                <w:rFonts w:ascii="宋体" w:hAnsi="宋体" w:cs="宋体"/>
                <w:color w:val="000000"/>
                <w:sz w:val="24"/>
                <w:szCs w:val="24"/>
              </w:rPr>
            </w:pPr>
          </w:p>
        </w:tc>
        <w:tc>
          <w:tcPr>
            <w:tcW w:w="1701" w:type="dxa"/>
          </w:tcPr>
          <w:p w14:paraId="2183889C">
            <w:pPr>
              <w:pStyle w:val="11"/>
              <w:keepNext/>
              <w:spacing w:after="0" w:line="360" w:lineRule="auto"/>
              <w:ind w:left="66" w:right="66"/>
              <w:rPr>
                <w:rFonts w:ascii="宋体" w:hAnsi="宋体" w:cs="宋体"/>
                <w:color w:val="000000"/>
                <w:sz w:val="24"/>
                <w:szCs w:val="24"/>
              </w:rPr>
            </w:pPr>
          </w:p>
        </w:tc>
      </w:tr>
      <w:tr w14:paraId="73844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Pr>
          <w:p w14:paraId="03F424C6">
            <w:pPr>
              <w:pStyle w:val="11"/>
              <w:keepNext/>
              <w:spacing w:after="0" w:line="360" w:lineRule="auto"/>
              <w:ind w:left="66" w:right="66"/>
              <w:rPr>
                <w:rFonts w:ascii="宋体" w:hAnsi="宋体" w:cs="宋体"/>
                <w:color w:val="000000"/>
                <w:sz w:val="24"/>
                <w:szCs w:val="24"/>
              </w:rPr>
            </w:pPr>
          </w:p>
        </w:tc>
        <w:tc>
          <w:tcPr>
            <w:tcW w:w="1984" w:type="dxa"/>
          </w:tcPr>
          <w:p w14:paraId="47FCB968">
            <w:pPr>
              <w:pStyle w:val="11"/>
              <w:keepNext/>
              <w:spacing w:after="0" w:line="360" w:lineRule="auto"/>
              <w:ind w:left="66" w:right="66"/>
              <w:rPr>
                <w:rFonts w:ascii="宋体" w:hAnsi="宋体" w:cs="宋体"/>
                <w:color w:val="000000"/>
                <w:sz w:val="24"/>
                <w:szCs w:val="24"/>
              </w:rPr>
            </w:pPr>
          </w:p>
        </w:tc>
        <w:tc>
          <w:tcPr>
            <w:tcW w:w="851" w:type="dxa"/>
          </w:tcPr>
          <w:p w14:paraId="366485CD">
            <w:pPr>
              <w:pStyle w:val="11"/>
              <w:keepNext/>
              <w:spacing w:after="0" w:line="360" w:lineRule="auto"/>
              <w:ind w:left="66" w:right="66"/>
              <w:rPr>
                <w:rFonts w:ascii="宋体" w:hAnsi="宋体" w:cs="宋体"/>
                <w:color w:val="000000"/>
                <w:sz w:val="24"/>
                <w:szCs w:val="24"/>
              </w:rPr>
            </w:pPr>
          </w:p>
        </w:tc>
        <w:tc>
          <w:tcPr>
            <w:tcW w:w="774" w:type="dxa"/>
          </w:tcPr>
          <w:p w14:paraId="6467A229">
            <w:pPr>
              <w:pStyle w:val="11"/>
              <w:keepNext/>
              <w:spacing w:after="0" w:line="360" w:lineRule="auto"/>
              <w:ind w:left="66" w:right="66"/>
              <w:rPr>
                <w:rFonts w:ascii="宋体" w:hAnsi="宋体" w:cs="宋体"/>
                <w:color w:val="000000"/>
                <w:sz w:val="24"/>
                <w:szCs w:val="24"/>
              </w:rPr>
            </w:pPr>
          </w:p>
        </w:tc>
        <w:tc>
          <w:tcPr>
            <w:tcW w:w="1352" w:type="dxa"/>
          </w:tcPr>
          <w:p w14:paraId="45D57BC4">
            <w:pPr>
              <w:pStyle w:val="11"/>
              <w:keepNext/>
              <w:spacing w:after="0" w:line="360" w:lineRule="auto"/>
              <w:ind w:left="66" w:right="66"/>
              <w:rPr>
                <w:rFonts w:ascii="宋体" w:hAnsi="宋体" w:cs="宋体"/>
                <w:color w:val="000000"/>
                <w:sz w:val="24"/>
                <w:szCs w:val="24"/>
              </w:rPr>
            </w:pPr>
          </w:p>
        </w:tc>
        <w:tc>
          <w:tcPr>
            <w:tcW w:w="1418" w:type="dxa"/>
          </w:tcPr>
          <w:p w14:paraId="6B1A0E05">
            <w:pPr>
              <w:pStyle w:val="11"/>
              <w:keepNext/>
              <w:spacing w:after="0" w:line="360" w:lineRule="auto"/>
              <w:ind w:left="66" w:right="66"/>
              <w:rPr>
                <w:rFonts w:ascii="宋体" w:hAnsi="宋体" w:cs="宋体"/>
                <w:color w:val="000000"/>
                <w:sz w:val="24"/>
                <w:szCs w:val="24"/>
              </w:rPr>
            </w:pPr>
          </w:p>
        </w:tc>
        <w:tc>
          <w:tcPr>
            <w:tcW w:w="1701" w:type="dxa"/>
          </w:tcPr>
          <w:p w14:paraId="7F573A38">
            <w:pPr>
              <w:pStyle w:val="11"/>
              <w:keepNext/>
              <w:spacing w:after="0" w:line="360" w:lineRule="auto"/>
              <w:ind w:left="66" w:right="66"/>
              <w:rPr>
                <w:rFonts w:ascii="宋体" w:hAnsi="宋体" w:cs="宋体"/>
                <w:color w:val="000000"/>
                <w:sz w:val="24"/>
                <w:szCs w:val="24"/>
              </w:rPr>
            </w:pPr>
          </w:p>
        </w:tc>
      </w:tr>
      <w:tr w14:paraId="102BE8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993" w:type="dxa"/>
          </w:tcPr>
          <w:p w14:paraId="05F1622D">
            <w:pPr>
              <w:pStyle w:val="11"/>
              <w:keepNext/>
              <w:spacing w:after="0" w:line="360" w:lineRule="auto"/>
              <w:ind w:left="66" w:right="66"/>
              <w:rPr>
                <w:rFonts w:ascii="宋体" w:hAnsi="宋体" w:cs="宋体"/>
                <w:color w:val="000000"/>
                <w:sz w:val="24"/>
                <w:szCs w:val="24"/>
              </w:rPr>
            </w:pPr>
          </w:p>
        </w:tc>
        <w:tc>
          <w:tcPr>
            <w:tcW w:w="1984" w:type="dxa"/>
          </w:tcPr>
          <w:p w14:paraId="1BD9A88A">
            <w:pPr>
              <w:pStyle w:val="11"/>
              <w:keepNext/>
              <w:spacing w:after="0" w:line="360" w:lineRule="auto"/>
              <w:ind w:left="66" w:right="66"/>
              <w:rPr>
                <w:rFonts w:ascii="宋体" w:hAnsi="宋体" w:cs="宋体"/>
                <w:color w:val="000000"/>
                <w:sz w:val="24"/>
                <w:szCs w:val="24"/>
              </w:rPr>
            </w:pPr>
          </w:p>
        </w:tc>
        <w:tc>
          <w:tcPr>
            <w:tcW w:w="851" w:type="dxa"/>
          </w:tcPr>
          <w:p w14:paraId="5A60813A">
            <w:pPr>
              <w:pStyle w:val="11"/>
              <w:keepNext/>
              <w:spacing w:after="0" w:line="360" w:lineRule="auto"/>
              <w:ind w:left="66" w:right="66"/>
              <w:rPr>
                <w:rFonts w:ascii="宋体" w:hAnsi="宋体" w:cs="宋体"/>
                <w:color w:val="000000"/>
                <w:sz w:val="24"/>
                <w:szCs w:val="24"/>
              </w:rPr>
            </w:pPr>
          </w:p>
        </w:tc>
        <w:tc>
          <w:tcPr>
            <w:tcW w:w="774" w:type="dxa"/>
          </w:tcPr>
          <w:p w14:paraId="106D855B">
            <w:pPr>
              <w:pStyle w:val="11"/>
              <w:keepNext/>
              <w:spacing w:after="0" w:line="360" w:lineRule="auto"/>
              <w:ind w:left="66" w:right="66"/>
              <w:rPr>
                <w:rFonts w:ascii="宋体" w:hAnsi="宋体" w:cs="宋体"/>
                <w:color w:val="000000"/>
                <w:sz w:val="24"/>
                <w:szCs w:val="24"/>
              </w:rPr>
            </w:pPr>
          </w:p>
        </w:tc>
        <w:tc>
          <w:tcPr>
            <w:tcW w:w="1352" w:type="dxa"/>
          </w:tcPr>
          <w:p w14:paraId="7F95D3D8">
            <w:pPr>
              <w:pStyle w:val="11"/>
              <w:keepNext/>
              <w:spacing w:after="0" w:line="360" w:lineRule="auto"/>
              <w:ind w:left="66" w:right="66"/>
              <w:rPr>
                <w:rFonts w:ascii="宋体" w:hAnsi="宋体" w:cs="宋体"/>
                <w:color w:val="000000"/>
                <w:sz w:val="24"/>
                <w:szCs w:val="24"/>
              </w:rPr>
            </w:pPr>
          </w:p>
        </w:tc>
        <w:tc>
          <w:tcPr>
            <w:tcW w:w="1418" w:type="dxa"/>
          </w:tcPr>
          <w:p w14:paraId="33298B4D">
            <w:pPr>
              <w:pStyle w:val="11"/>
              <w:keepNext/>
              <w:spacing w:after="0" w:line="360" w:lineRule="auto"/>
              <w:ind w:left="66" w:right="66"/>
              <w:rPr>
                <w:rFonts w:ascii="宋体" w:hAnsi="宋体" w:cs="宋体"/>
                <w:color w:val="000000"/>
                <w:sz w:val="24"/>
                <w:szCs w:val="24"/>
              </w:rPr>
            </w:pPr>
          </w:p>
        </w:tc>
        <w:tc>
          <w:tcPr>
            <w:tcW w:w="1701" w:type="dxa"/>
          </w:tcPr>
          <w:p w14:paraId="34C290E3">
            <w:pPr>
              <w:pStyle w:val="11"/>
              <w:keepNext/>
              <w:spacing w:after="0" w:line="360" w:lineRule="auto"/>
              <w:ind w:left="66" w:right="66"/>
              <w:rPr>
                <w:rFonts w:ascii="宋体" w:hAnsi="宋体" w:cs="宋体"/>
                <w:color w:val="000000"/>
                <w:sz w:val="24"/>
                <w:szCs w:val="24"/>
              </w:rPr>
            </w:pPr>
          </w:p>
        </w:tc>
      </w:tr>
      <w:tr w14:paraId="3F0F81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993" w:type="dxa"/>
          </w:tcPr>
          <w:p w14:paraId="7C5E2230">
            <w:pPr>
              <w:pStyle w:val="11"/>
              <w:keepNext/>
              <w:spacing w:after="0" w:line="360" w:lineRule="auto"/>
              <w:ind w:left="66" w:right="66"/>
              <w:rPr>
                <w:rFonts w:ascii="宋体" w:hAnsi="宋体" w:cs="宋体"/>
                <w:color w:val="000000"/>
                <w:sz w:val="24"/>
                <w:szCs w:val="24"/>
              </w:rPr>
            </w:pPr>
          </w:p>
        </w:tc>
        <w:tc>
          <w:tcPr>
            <w:tcW w:w="1984" w:type="dxa"/>
          </w:tcPr>
          <w:p w14:paraId="310BD249">
            <w:pPr>
              <w:pStyle w:val="11"/>
              <w:keepNext/>
              <w:spacing w:after="0" w:line="360" w:lineRule="auto"/>
              <w:ind w:left="66" w:right="66"/>
              <w:rPr>
                <w:rFonts w:ascii="宋体" w:hAnsi="宋体" w:cs="宋体"/>
                <w:color w:val="000000"/>
                <w:sz w:val="24"/>
                <w:szCs w:val="24"/>
              </w:rPr>
            </w:pPr>
          </w:p>
        </w:tc>
        <w:tc>
          <w:tcPr>
            <w:tcW w:w="851" w:type="dxa"/>
          </w:tcPr>
          <w:p w14:paraId="396BBDD6">
            <w:pPr>
              <w:pStyle w:val="11"/>
              <w:keepNext/>
              <w:spacing w:after="0" w:line="360" w:lineRule="auto"/>
              <w:ind w:left="66" w:right="66"/>
              <w:rPr>
                <w:rFonts w:ascii="宋体" w:hAnsi="宋体" w:cs="宋体"/>
                <w:color w:val="000000"/>
                <w:sz w:val="24"/>
                <w:szCs w:val="24"/>
              </w:rPr>
            </w:pPr>
          </w:p>
        </w:tc>
        <w:tc>
          <w:tcPr>
            <w:tcW w:w="774" w:type="dxa"/>
          </w:tcPr>
          <w:p w14:paraId="6A47D557">
            <w:pPr>
              <w:pStyle w:val="11"/>
              <w:keepNext/>
              <w:spacing w:after="0" w:line="360" w:lineRule="auto"/>
              <w:ind w:left="66" w:right="66"/>
              <w:rPr>
                <w:rFonts w:ascii="宋体" w:hAnsi="宋体" w:cs="宋体"/>
                <w:color w:val="000000"/>
                <w:sz w:val="24"/>
                <w:szCs w:val="24"/>
              </w:rPr>
            </w:pPr>
          </w:p>
        </w:tc>
        <w:tc>
          <w:tcPr>
            <w:tcW w:w="1352" w:type="dxa"/>
          </w:tcPr>
          <w:p w14:paraId="12CEF627">
            <w:pPr>
              <w:pStyle w:val="11"/>
              <w:keepNext/>
              <w:spacing w:after="0" w:line="360" w:lineRule="auto"/>
              <w:ind w:left="66" w:right="66"/>
              <w:rPr>
                <w:rFonts w:ascii="宋体" w:hAnsi="宋体" w:cs="宋体"/>
                <w:color w:val="000000"/>
                <w:sz w:val="24"/>
                <w:szCs w:val="24"/>
              </w:rPr>
            </w:pPr>
          </w:p>
        </w:tc>
        <w:tc>
          <w:tcPr>
            <w:tcW w:w="1418" w:type="dxa"/>
          </w:tcPr>
          <w:p w14:paraId="4BF4B9C6">
            <w:pPr>
              <w:pStyle w:val="11"/>
              <w:keepNext/>
              <w:spacing w:after="0" w:line="360" w:lineRule="auto"/>
              <w:ind w:left="66" w:right="66"/>
              <w:rPr>
                <w:rFonts w:ascii="宋体" w:hAnsi="宋体" w:cs="宋体"/>
                <w:color w:val="000000"/>
                <w:sz w:val="24"/>
                <w:szCs w:val="24"/>
              </w:rPr>
            </w:pPr>
          </w:p>
        </w:tc>
        <w:tc>
          <w:tcPr>
            <w:tcW w:w="1701" w:type="dxa"/>
          </w:tcPr>
          <w:p w14:paraId="728CD6C8">
            <w:pPr>
              <w:pStyle w:val="11"/>
              <w:keepNext/>
              <w:spacing w:after="0" w:line="360" w:lineRule="auto"/>
              <w:ind w:left="66" w:right="66"/>
              <w:rPr>
                <w:rFonts w:ascii="宋体" w:hAnsi="宋体" w:cs="宋体"/>
                <w:color w:val="000000"/>
                <w:sz w:val="24"/>
                <w:szCs w:val="24"/>
              </w:rPr>
            </w:pPr>
          </w:p>
        </w:tc>
      </w:tr>
      <w:tr w14:paraId="6A5F8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993" w:type="dxa"/>
          </w:tcPr>
          <w:p w14:paraId="37D90CAE">
            <w:pPr>
              <w:pStyle w:val="11"/>
              <w:keepNext/>
              <w:spacing w:after="0" w:line="360" w:lineRule="auto"/>
              <w:ind w:left="66" w:right="66"/>
              <w:rPr>
                <w:rFonts w:ascii="宋体" w:hAnsi="宋体" w:cs="宋体"/>
                <w:color w:val="000000"/>
                <w:sz w:val="24"/>
                <w:szCs w:val="24"/>
              </w:rPr>
            </w:pPr>
          </w:p>
        </w:tc>
        <w:tc>
          <w:tcPr>
            <w:tcW w:w="1984" w:type="dxa"/>
          </w:tcPr>
          <w:p w14:paraId="3589A813">
            <w:pPr>
              <w:pStyle w:val="11"/>
              <w:keepNext/>
              <w:spacing w:after="0" w:line="360" w:lineRule="auto"/>
              <w:ind w:left="66" w:right="66"/>
              <w:rPr>
                <w:rFonts w:ascii="宋体" w:hAnsi="宋体" w:cs="宋体"/>
                <w:color w:val="000000"/>
                <w:sz w:val="24"/>
                <w:szCs w:val="24"/>
              </w:rPr>
            </w:pPr>
          </w:p>
        </w:tc>
        <w:tc>
          <w:tcPr>
            <w:tcW w:w="851" w:type="dxa"/>
          </w:tcPr>
          <w:p w14:paraId="624E76BC">
            <w:pPr>
              <w:pStyle w:val="11"/>
              <w:keepNext/>
              <w:spacing w:after="0" w:line="360" w:lineRule="auto"/>
              <w:ind w:left="66" w:right="66"/>
              <w:rPr>
                <w:rFonts w:ascii="宋体" w:hAnsi="宋体" w:cs="宋体"/>
                <w:color w:val="000000"/>
                <w:sz w:val="24"/>
                <w:szCs w:val="24"/>
              </w:rPr>
            </w:pPr>
          </w:p>
        </w:tc>
        <w:tc>
          <w:tcPr>
            <w:tcW w:w="774" w:type="dxa"/>
          </w:tcPr>
          <w:p w14:paraId="258255CA">
            <w:pPr>
              <w:pStyle w:val="11"/>
              <w:keepNext/>
              <w:spacing w:after="0" w:line="360" w:lineRule="auto"/>
              <w:ind w:left="66" w:right="66"/>
              <w:rPr>
                <w:rFonts w:ascii="宋体" w:hAnsi="宋体" w:cs="宋体"/>
                <w:color w:val="000000"/>
                <w:sz w:val="24"/>
                <w:szCs w:val="24"/>
              </w:rPr>
            </w:pPr>
          </w:p>
        </w:tc>
        <w:tc>
          <w:tcPr>
            <w:tcW w:w="1352" w:type="dxa"/>
          </w:tcPr>
          <w:p w14:paraId="02CF15BB">
            <w:pPr>
              <w:pStyle w:val="11"/>
              <w:keepNext/>
              <w:spacing w:after="0" w:line="360" w:lineRule="auto"/>
              <w:ind w:left="66" w:right="66"/>
              <w:rPr>
                <w:rFonts w:ascii="宋体" w:hAnsi="宋体" w:cs="宋体"/>
                <w:color w:val="000000"/>
                <w:sz w:val="24"/>
                <w:szCs w:val="24"/>
              </w:rPr>
            </w:pPr>
          </w:p>
        </w:tc>
        <w:tc>
          <w:tcPr>
            <w:tcW w:w="1418" w:type="dxa"/>
          </w:tcPr>
          <w:p w14:paraId="51175AC0">
            <w:pPr>
              <w:pStyle w:val="11"/>
              <w:keepNext/>
              <w:spacing w:after="0" w:line="360" w:lineRule="auto"/>
              <w:ind w:left="66" w:right="66"/>
              <w:rPr>
                <w:rFonts w:ascii="宋体" w:hAnsi="宋体" w:cs="宋体"/>
                <w:color w:val="000000"/>
                <w:sz w:val="24"/>
                <w:szCs w:val="24"/>
              </w:rPr>
            </w:pPr>
          </w:p>
        </w:tc>
        <w:tc>
          <w:tcPr>
            <w:tcW w:w="1701" w:type="dxa"/>
          </w:tcPr>
          <w:p w14:paraId="313ADBCE">
            <w:pPr>
              <w:pStyle w:val="11"/>
              <w:keepNext/>
              <w:spacing w:after="0" w:line="360" w:lineRule="auto"/>
              <w:ind w:left="66" w:right="66"/>
              <w:rPr>
                <w:rFonts w:ascii="宋体" w:hAnsi="宋体" w:cs="宋体"/>
                <w:color w:val="000000"/>
                <w:sz w:val="24"/>
                <w:szCs w:val="24"/>
              </w:rPr>
            </w:pPr>
          </w:p>
        </w:tc>
      </w:tr>
      <w:tr w14:paraId="10287C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993" w:type="dxa"/>
          </w:tcPr>
          <w:p w14:paraId="6BBBF9E3">
            <w:pPr>
              <w:pStyle w:val="11"/>
              <w:keepNext/>
              <w:spacing w:after="0" w:line="360" w:lineRule="auto"/>
              <w:ind w:left="66" w:right="66"/>
              <w:rPr>
                <w:rFonts w:ascii="宋体" w:hAnsi="宋体" w:cs="宋体"/>
                <w:color w:val="000000"/>
                <w:sz w:val="24"/>
                <w:szCs w:val="24"/>
              </w:rPr>
            </w:pPr>
          </w:p>
        </w:tc>
        <w:tc>
          <w:tcPr>
            <w:tcW w:w="1984" w:type="dxa"/>
          </w:tcPr>
          <w:p w14:paraId="62EFAE89">
            <w:pPr>
              <w:pStyle w:val="11"/>
              <w:keepNext/>
              <w:spacing w:after="0" w:line="360" w:lineRule="auto"/>
              <w:ind w:left="66" w:right="66"/>
              <w:rPr>
                <w:rFonts w:ascii="宋体" w:hAnsi="宋体" w:cs="宋体"/>
                <w:color w:val="000000"/>
                <w:sz w:val="24"/>
                <w:szCs w:val="24"/>
              </w:rPr>
            </w:pPr>
          </w:p>
        </w:tc>
        <w:tc>
          <w:tcPr>
            <w:tcW w:w="851" w:type="dxa"/>
          </w:tcPr>
          <w:p w14:paraId="6A161D71">
            <w:pPr>
              <w:pStyle w:val="11"/>
              <w:keepNext/>
              <w:spacing w:after="0" w:line="360" w:lineRule="auto"/>
              <w:ind w:left="66" w:right="66"/>
              <w:rPr>
                <w:rFonts w:ascii="宋体" w:hAnsi="宋体" w:cs="宋体"/>
                <w:color w:val="000000"/>
                <w:sz w:val="24"/>
                <w:szCs w:val="24"/>
              </w:rPr>
            </w:pPr>
          </w:p>
        </w:tc>
        <w:tc>
          <w:tcPr>
            <w:tcW w:w="774" w:type="dxa"/>
          </w:tcPr>
          <w:p w14:paraId="778AF4BE">
            <w:pPr>
              <w:pStyle w:val="11"/>
              <w:keepNext/>
              <w:spacing w:after="0" w:line="360" w:lineRule="auto"/>
              <w:ind w:left="66" w:right="66"/>
              <w:rPr>
                <w:rFonts w:ascii="宋体" w:hAnsi="宋体" w:cs="宋体"/>
                <w:color w:val="000000"/>
                <w:sz w:val="24"/>
                <w:szCs w:val="24"/>
              </w:rPr>
            </w:pPr>
          </w:p>
        </w:tc>
        <w:tc>
          <w:tcPr>
            <w:tcW w:w="1352" w:type="dxa"/>
          </w:tcPr>
          <w:p w14:paraId="0F3FEB2A">
            <w:pPr>
              <w:pStyle w:val="11"/>
              <w:keepNext/>
              <w:spacing w:after="0" w:line="360" w:lineRule="auto"/>
              <w:ind w:left="66" w:right="66"/>
              <w:rPr>
                <w:rFonts w:ascii="宋体" w:hAnsi="宋体" w:cs="宋体"/>
                <w:color w:val="000000"/>
                <w:sz w:val="24"/>
                <w:szCs w:val="24"/>
              </w:rPr>
            </w:pPr>
          </w:p>
        </w:tc>
        <w:tc>
          <w:tcPr>
            <w:tcW w:w="1418" w:type="dxa"/>
          </w:tcPr>
          <w:p w14:paraId="5F9D8E95">
            <w:pPr>
              <w:pStyle w:val="11"/>
              <w:keepNext/>
              <w:spacing w:after="0" w:line="360" w:lineRule="auto"/>
              <w:ind w:left="66" w:right="66"/>
              <w:rPr>
                <w:rFonts w:ascii="宋体" w:hAnsi="宋体" w:cs="宋体"/>
                <w:color w:val="000000"/>
                <w:sz w:val="24"/>
                <w:szCs w:val="24"/>
              </w:rPr>
            </w:pPr>
          </w:p>
        </w:tc>
        <w:tc>
          <w:tcPr>
            <w:tcW w:w="1701" w:type="dxa"/>
          </w:tcPr>
          <w:p w14:paraId="6656C6A6">
            <w:pPr>
              <w:pStyle w:val="11"/>
              <w:keepNext/>
              <w:spacing w:after="0" w:line="360" w:lineRule="auto"/>
              <w:ind w:left="66" w:right="66"/>
              <w:rPr>
                <w:rFonts w:ascii="宋体" w:hAnsi="宋体" w:cs="宋体"/>
                <w:color w:val="000000"/>
                <w:sz w:val="24"/>
                <w:szCs w:val="24"/>
              </w:rPr>
            </w:pPr>
          </w:p>
        </w:tc>
      </w:tr>
      <w:tr w14:paraId="343EB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993" w:type="dxa"/>
          </w:tcPr>
          <w:p w14:paraId="4D8FFADE">
            <w:pPr>
              <w:pStyle w:val="11"/>
              <w:keepNext/>
              <w:spacing w:after="0" w:line="360" w:lineRule="auto"/>
              <w:ind w:left="66" w:right="66"/>
              <w:rPr>
                <w:rFonts w:ascii="宋体" w:hAnsi="宋体" w:cs="宋体"/>
                <w:color w:val="000000"/>
                <w:sz w:val="24"/>
                <w:szCs w:val="24"/>
              </w:rPr>
            </w:pPr>
          </w:p>
        </w:tc>
        <w:tc>
          <w:tcPr>
            <w:tcW w:w="1984" w:type="dxa"/>
          </w:tcPr>
          <w:p w14:paraId="3EA237BB">
            <w:pPr>
              <w:pStyle w:val="11"/>
              <w:keepNext/>
              <w:spacing w:after="0" w:line="360" w:lineRule="auto"/>
              <w:ind w:left="66" w:right="66"/>
              <w:rPr>
                <w:rFonts w:ascii="宋体" w:hAnsi="宋体" w:cs="宋体"/>
                <w:color w:val="000000"/>
                <w:sz w:val="24"/>
                <w:szCs w:val="24"/>
              </w:rPr>
            </w:pPr>
          </w:p>
        </w:tc>
        <w:tc>
          <w:tcPr>
            <w:tcW w:w="851" w:type="dxa"/>
          </w:tcPr>
          <w:p w14:paraId="0E486483">
            <w:pPr>
              <w:pStyle w:val="11"/>
              <w:keepNext/>
              <w:spacing w:after="0" w:line="360" w:lineRule="auto"/>
              <w:ind w:left="66" w:right="66"/>
              <w:rPr>
                <w:rFonts w:ascii="宋体" w:hAnsi="宋体" w:cs="宋体"/>
                <w:color w:val="000000"/>
                <w:sz w:val="24"/>
                <w:szCs w:val="24"/>
              </w:rPr>
            </w:pPr>
          </w:p>
        </w:tc>
        <w:tc>
          <w:tcPr>
            <w:tcW w:w="774" w:type="dxa"/>
          </w:tcPr>
          <w:p w14:paraId="5A6F5453">
            <w:pPr>
              <w:pStyle w:val="11"/>
              <w:keepNext/>
              <w:spacing w:after="0" w:line="360" w:lineRule="auto"/>
              <w:ind w:left="66" w:right="66"/>
              <w:rPr>
                <w:rFonts w:ascii="宋体" w:hAnsi="宋体" w:cs="宋体"/>
                <w:color w:val="000000"/>
                <w:sz w:val="24"/>
                <w:szCs w:val="24"/>
              </w:rPr>
            </w:pPr>
          </w:p>
        </w:tc>
        <w:tc>
          <w:tcPr>
            <w:tcW w:w="1352" w:type="dxa"/>
          </w:tcPr>
          <w:p w14:paraId="3BD3CBCC">
            <w:pPr>
              <w:pStyle w:val="11"/>
              <w:keepNext/>
              <w:spacing w:after="0" w:line="360" w:lineRule="auto"/>
              <w:ind w:left="66" w:right="66"/>
              <w:rPr>
                <w:rFonts w:ascii="宋体" w:hAnsi="宋体" w:cs="宋体"/>
                <w:color w:val="000000"/>
                <w:sz w:val="24"/>
                <w:szCs w:val="24"/>
              </w:rPr>
            </w:pPr>
          </w:p>
        </w:tc>
        <w:tc>
          <w:tcPr>
            <w:tcW w:w="1418" w:type="dxa"/>
          </w:tcPr>
          <w:p w14:paraId="035CF751">
            <w:pPr>
              <w:pStyle w:val="11"/>
              <w:keepNext/>
              <w:spacing w:after="0" w:line="360" w:lineRule="auto"/>
              <w:ind w:left="66" w:right="66"/>
              <w:rPr>
                <w:rFonts w:ascii="宋体" w:hAnsi="宋体" w:cs="宋体"/>
                <w:color w:val="000000"/>
                <w:sz w:val="24"/>
                <w:szCs w:val="24"/>
              </w:rPr>
            </w:pPr>
          </w:p>
        </w:tc>
        <w:tc>
          <w:tcPr>
            <w:tcW w:w="1701" w:type="dxa"/>
          </w:tcPr>
          <w:p w14:paraId="23FC70F3">
            <w:pPr>
              <w:pStyle w:val="11"/>
              <w:keepNext/>
              <w:spacing w:after="0" w:line="360" w:lineRule="auto"/>
              <w:ind w:left="66" w:right="66"/>
              <w:rPr>
                <w:rFonts w:ascii="宋体" w:hAnsi="宋体" w:cs="宋体"/>
                <w:color w:val="000000"/>
                <w:sz w:val="24"/>
                <w:szCs w:val="24"/>
              </w:rPr>
            </w:pPr>
          </w:p>
        </w:tc>
      </w:tr>
    </w:tbl>
    <w:p w14:paraId="6A76D80F">
      <w:pPr>
        <w:spacing w:line="360" w:lineRule="auto"/>
        <w:rPr>
          <w:rFonts w:ascii="宋体" w:hAnsi="宋体" w:cs="宋体"/>
          <w:color w:val="000000"/>
          <w:sz w:val="24"/>
          <w:szCs w:val="24"/>
        </w:rPr>
      </w:pPr>
    </w:p>
    <w:p w14:paraId="3EB56CF3">
      <w:pPr>
        <w:spacing w:line="360" w:lineRule="auto"/>
        <w:jc w:val="center"/>
        <w:rPr>
          <w:rFonts w:ascii="宋体" w:hAnsi="宋体" w:cs="宋体"/>
          <w:color w:val="000000"/>
          <w:sz w:val="24"/>
          <w:szCs w:val="24"/>
        </w:rPr>
      </w:pPr>
      <w:r>
        <w:rPr>
          <w:rFonts w:hint="eastAsia" w:ascii="宋体" w:hAnsi="宋体" w:cs="宋体"/>
          <w:color w:val="000000"/>
          <w:sz w:val="24"/>
          <w:szCs w:val="24"/>
        </w:rPr>
        <w:br w:type="page"/>
      </w:r>
      <w:r>
        <w:rPr>
          <w:rFonts w:hint="eastAsia" w:ascii="宋体" w:hAnsi="宋体" w:cs="宋体"/>
          <w:color w:val="000000"/>
          <w:sz w:val="24"/>
          <w:szCs w:val="24"/>
        </w:rPr>
        <w:t>11-3：专业工程暂估价表</w:t>
      </w:r>
    </w:p>
    <w:tbl>
      <w:tblPr>
        <w:tblStyle w:val="34"/>
        <w:tblW w:w="881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7EB5D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single" w:color="auto" w:sz="12" w:space="0"/>
              <w:bottom w:val="double" w:color="auto" w:sz="6" w:space="0"/>
            </w:tcBorders>
            <w:vAlign w:val="center"/>
          </w:tcPr>
          <w:p w14:paraId="1655D7BE">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序号</w:t>
            </w:r>
          </w:p>
        </w:tc>
        <w:tc>
          <w:tcPr>
            <w:tcW w:w="1984" w:type="dxa"/>
            <w:tcBorders>
              <w:top w:val="single" w:color="auto" w:sz="12" w:space="0"/>
              <w:bottom w:val="double" w:color="auto" w:sz="6" w:space="0"/>
            </w:tcBorders>
            <w:vAlign w:val="center"/>
          </w:tcPr>
          <w:p w14:paraId="37FAC74B">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专业工程名称</w:t>
            </w:r>
          </w:p>
        </w:tc>
        <w:tc>
          <w:tcPr>
            <w:tcW w:w="4678" w:type="dxa"/>
            <w:tcBorders>
              <w:top w:val="single" w:color="auto" w:sz="12" w:space="0"/>
              <w:bottom w:val="double" w:color="auto" w:sz="6" w:space="0"/>
            </w:tcBorders>
            <w:vAlign w:val="center"/>
          </w:tcPr>
          <w:p w14:paraId="37F66DDC">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工程内容</w:t>
            </w:r>
          </w:p>
        </w:tc>
        <w:tc>
          <w:tcPr>
            <w:tcW w:w="1276" w:type="dxa"/>
            <w:tcBorders>
              <w:top w:val="single" w:color="auto" w:sz="12" w:space="0"/>
              <w:bottom w:val="double" w:color="auto" w:sz="6" w:space="0"/>
            </w:tcBorders>
            <w:vAlign w:val="center"/>
          </w:tcPr>
          <w:p w14:paraId="7F5B8A02">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金额</w:t>
            </w:r>
          </w:p>
        </w:tc>
      </w:tr>
      <w:tr w14:paraId="2B1467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7" w:hRule="atLeast"/>
          <w:jc w:val="center"/>
        </w:trPr>
        <w:tc>
          <w:tcPr>
            <w:tcW w:w="879" w:type="dxa"/>
            <w:tcBorders>
              <w:top w:val="double" w:color="auto" w:sz="6" w:space="0"/>
              <w:bottom w:val="single" w:color="auto" w:sz="6" w:space="0"/>
            </w:tcBorders>
          </w:tcPr>
          <w:p w14:paraId="2802C75E">
            <w:pPr>
              <w:pStyle w:val="11"/>
              <w:keepNext/>
              <w:spacing w:after="0" w:line="360" w:lineRule="auto"/>
              <w:ind w:left="66" w:right="66"/>
              <w:rPr>
                <w:rFonts w:ascii="宋体" w:hAnsi="宋体" w:cs="宋体"/>
                <w:color w:val="000000"/>
                <w:sz w:val="24"/>
                <w:szCs w:val="24"/>
              </w:rPr>
            </w:pPr>
          </w:p>
        </w:tc>
        <w:tc>
          <w:tcPr>
            <w:tcW w:w="1984" w:type="dxa"/>
            <w:tcBorders>
              <w:top w:val="double" w:color="auto" w:sz="6" w:space="0"/>
              <w:bottom w:val="single" w:color="auto" w:sz="6" w:space="0"/>
            </w:tcBorders>
          </w:tcPr>
          <w:p w14:paraId="1F4A25EB">
            <w:pPr>
              <w:pStyle w:val="11"/>
              <w:keepNext/>
              <w:spacing w:after="0" w:line="360" w:lineRule="auto"/>
              <w:ind w:left="66" w:right="66"/>
              <w:rPr>
                <w:rFonts w:ascii="宋体" w:hAnsi="宋体" w:cs="宋体"/>
                <w:color w:val="000000"/>
                <w:sz w:val="24"/>
                <w:szCs w:val="24"/>
              </w:rPr>
            </w:pPr>
          </w:p>
        </w:tc>
        <w:tc>
          <w:tcPr>
            <w:tcW w:w="4678" w:type="dxa"/>
            <w:tcBorders>
              <w:top w:val="double" w:color="auto" w:sz="6" w:space="0"/>
              <w:bottom w:val="single" w:color="auto" w:sz="6" w:space="0"/>
            </w:tcBorders>
          </w:tcPr>
          <w:p w14:paraId="69EDC5B6">
            <w:pPr>
              <w:pStyle w:val="11"/>
              <w:keepNext/>
              <w:spacing w:after="0" w:line="360" w:lineRule="auto"/>
              <w:ind w:left="66" w:right="66"/>
              <w:rPr>
                <w:rFonts w:ascii="宋体" w:hAnsi="宋体" w:cs="宋体"/>
                <w:color w:val="000000"/>
                <w:sz w:val="24"/>
                <w:szCs w:val="24"/>
              </w:rPr>
            </w:pPr>
          </w:p>
        </w:tc>
        <w:tc>
          <w:tcPr>
            <w:tcW w:w="1276" w:type="dxa"/>
            <w:tcBorders>
              <w:top w:val="double" w:color="auto" w:sz="6" w:space="0"/>
              <w:bottom w:val="single" w:color="auto" w:sz="6" w:space="0"/>
            </w:tcBorders>
          </w:tcPr>
          <w:p w14:paraId="2C28A833">
            <w:pPr>
              <w:pStyle w:val="11"/>
              <w:keepNext/>
              <w:spacing w:after="0" w:line="360" w:lineRule="auto"/>
              <w:ind w:left="66" w:right="66"/>
              <w:rPr>
                <w:rFonts w:ascii="宋体" w:hAnsi="宋体" w:cs="宋体"/>
                <w:color w:val="000000"/>
                <w:sz w:val="24"/>
                <w:szCs w:val="24"/>
              </w:rPr>
            </w:pPr>
          </w:p>
        </w:tc>
      </w:tr>
      <w:tr w14:paraId="15B02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7" w:hRule="atLeast"/>
          <w:jc w:val="center"/>
        </w:trPr>
        <w:tc>
          <w:tcPr>
            <w:tcW w:w="879" w:type="dxa"/>
            <w:tcBorders>
              <w:top w:val="nil"/>
            </w:tcBorders>
          </w:tcPr>
          <w:p w14:paraId="647C49EB">
            <w:pPr>
              <w:pStyle w:val="11"/>
              <w:keepNext/>
              <w:spacing w:after="0" w:line="360" w:lineRule="auto"/>
              <w:ind w:left="66" w:right="66"/>
              <w:rPr>
                <w:rFonts w:ascii="宋体" w:hAnsi="宋体" w:cs="宋体"/>
                <w:color w:val="000000"/>
                <w:sz w:val="24"/>
                <w:szCs w:val="24"/>
              </w:rPr>
            </w:pPr>
          </w:p>
        </w:tc>
        <w:tc>
          <w:tcPr>
            <w:tcW w:w="1984" w:type="dxa"/>
            <w:tcBorders>
              <w:top w:val="nil"/>
            </w:tcBorders>
          </w:tcPr>
          <w:p w14:paraId="27A02738">
            <w:pPr>
              <w:pStyle w:val="11"/>
              <w:keepNext/>
              <w:spacing w:after="0" w:line="360" w:lineRule="auto"/>
              <w:ind w:left="66" w:right="66"/>
              <w:rPr>
                <w:rFonts w:ascii="宋体" w:hAnsi="宋体" w:cs="宋体"/>
                <w:color w:val="000000"/>
                <w:sz w:val="24"/>
                <w:szCs w:val="24"/>
              </w:rPr>
            </w:pPr>
          </w:p>
        </w:tc>
        <w:tc>
          <w:tcPr>
            <w:tcW w:w="4678" w:type="dxa"/>
            <w:tcBorders>
              <w:top w:val="nil"/>
            </w:tcBorders>
          </w:tcPr>
          <w:p w14:paraId="5B504A0E">
            <w:pPr>
              <w:pStyle w:val="11"/>
              <w:keepNext/>
              <w:spacing w:after="0" w:line="360" w:lineRule="auto"/>
              <w:ind w:left="66" w:right="66"/>
              <w:rPr>
                <w:rFonts w:ascii="宋体" w:hAnsi="宋体" w:cs="宋体"/>
                <w:color w:val="000000"/>
                <w:sz w:val="24"/>
                <w:szCs w:val="24"/>
              </w:rPr>
            </w:pPr>
          </w:p>
        </w:tc>
        <w:tc>
          <w:tcPr>
            <w:tcW w:w="1276" w:type="dxa"/>
            <w:tcBorders>
              <w:top w:val="nil"/>
            </w:tcBorders>
          </w:tcPr>
          <w:p w14:paraId="0A974A69">
            <w:pPr>
              <w:pStyle w:val="11"/>
              <w:keepNext/>
              <w:spacing w:after="0" w:line="360" w:lineRule="auto"/>
              <w:ind w:left="66" w:right="66"/>
              <w:rPr>
                <w:rFonts w:ascii="宋体" w:hAnsi="宋体" w:cs="宋体"/>
                <w:color w:val="000000"/>
                <w:sz w:val="24"/>
                <w:szCs w:val="24"/>
              </w:rPr>
            </w:pPr>
          </w:p>
        </w:tc>
      </w:tr>
      <w:tr w14:paraId="0FAFD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879" w:type="dxa"/>
            <w:tcBorders>
              <w:top w:val="nil"/>
            </w:tcBorders>
          </w:tcPr>
          <w:p w14:paraId="26B1A309">
            <w:pPr>
              <w:pStyle w:val="11"/>
              <w:keepNext/>
              <w:spacing w:after="0" w:line="360" w:lineRule="auto"/>
              <w:ind w:left="66" w:right="66"/>
              <w:rPr>
                <w:rFonts w:ascii="宋体" w:hAnsi="宋体" w:cs="宋体"/>
                <w:color w:val="000000"/>
                <w:sz w:val="24"/>
                <w:szCs w:val="24"/>
              </w:rPr>
            </w:pPr>
          </w:p>
        </w:tc>
        <w:tc>
          <w:tcPr>
            <w:tcW w:w="1984" w:type="dxa"/>
            <w:tcBorders>
              <w:top w:val="nil"/>
            </w:tcBorders>
          </w:tcPr>
          <w:p w14:paraId="74C15194">
            <w:pPr>
              <w:pStyle w:val="11"/>
              <w:keepNext/>
              <w:spacing w:after="0" w:line="360" w:lineRule="auto"/>
              <w:ind w:left="66" w:right="66"/>
              <w:rPr>
                <w:rFonts w:ascii="宋体" w:hAnsi="宋体" w:cs="宋体"/>
                <w:color w:val="000000"/>
                <w:sz w:val="24"/>
                <w:szCs w:val="24"/>
              </w:rPr>
            </w:pPr>
          </w:p>
        </w:tc>
        <w:tc>
          <w:tcPr>
            <w:tcW w:w="4678" w:type="dxa"/>
            <w:tcBorders>
              <w:top w:val="nil"/>
            </w:tcBorders>
          </w:tcPr>
          <w:p w14:paraId="7979B92E">
            <w:pPr>
              <w:pStyle w:val="11"/>
              <w:keepNext/>
              <w:spacing w:after="0" w:line="360" w:lineRule="auto"/>
              <w:ind w:left="66" w:right="66"/>
              <w:rPr>
                <w:rFonts w:ascii="宋体" w:hAnsi="宋体" w:cs="宋体"/>
                <w:color w:val="000000"/>
                <w:sz w:val="24"/>
                <w:szCs w:val="24"/>
              </w:rPr>
            </w:pPr>
          </w:p>
        </w:tc>
        <w:tc>
          <w:tcPr>
            <w:tcW w:w="1276" w:type="dxa"/>
            <w:tcBorders>
              <w:top w:val="nil"/>
            </w:tcBorders>
          </w:tcPr>
          <w:p w14:paraId="5C7075FE">
            <w:pPr>
              <w:pStyle w:val="11"/>
              <w:keepNext/>
              <w:spacing w:after="0" w:line="360" w:lineRule="auto"/>
              <w:ind w:left="66" w:right="66"/>
              <w:rPr>
                <w:rFonts w:ascii="宋体" w:hAnsi="宋体" w:cs="宋体"/>
                <w:color w:val="000000"/>
                <w:sz w:val="24"/>
                <w:szCs w:val="24"/>
              </w:rPr>
            </w:pPr>
          </w:p>
        </w:tc>
      </w:tr>
      <w:tr w14:paraId="0966B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2" w:hRule="atLeast"/>
          <w:jc w:val="center"/>
        </w:trPr>
        <w:tc>
          <w:tcPr>
            <w:tcW w:w="879" w:type="dxa"/>
          </w:tcPr>
          <w:p w14:paraId="3911CA09">
            <w:pPr>
              <w:pStyle w:val="11"/>
              <w:keepNext/>
              <w:spacing w:after="0" w:line="360" w:lineRule="auto"/>
              <w:ind w:left="66" w:right="66"/>
              <w:rPr>
                <w:rFonts w:ascii="宋体" w:hAnsi="宋体" w:cs="宋体"/>
                <w:color w:val="000000"/>
                <w:sz w:val="24"/>
                <w:szCs w:val="24"/>
              </w:rPr>
            </w:pPr>
          </w:p>
        </w:tc>
        <w:tc>
          <w:tcPr>
            <w:tcW w:w="1984" w:type="dxa"/>
          </w:tcPr>
          <w:p w14:paraId="09C9FAF4">
            <w:pPr>
              <w:pStyle w:val="11"/>
              <w:keepNext/>
              <w:spacing w:after="0" w:line="360" w:lineRule="auto"/>
              <w:ind w:left="66" w:right="66"/>
              <w:rPr>
                <w:rFonts w:ascii="宋体" w:hAnsi="宋体" w:cs="宋体"/>
                <w:color w:val="000000"/>
                <w:sz w:val="24"/>
                <w:szCs w:val="24"/>
              </w:rPr>
            </w:pPr>
          </w:p>
        </w:tc>
        <w:tc>
          <w:tcPr>
            <w:tcW w:w="4678" w:type="dxa"/>
          </w:tcPr>
          <w:p w14:paraId="18569F39">
            <w:pPr>
              <w:pStyle w:val="11"/>
              <w:keepNext/>
              <w:spacing w:after="0" w:line="360" w:lineRule="auto"/>
              <w:ind w:left="66" w:right="66"/>
              <w:rPr>
                <w:rFonts w:ascii="宋体" w:hAnsi="宋体" w:cs="宋体"/>
                <w:color w:val="000000"/>
                <w:sz w:val="24"/>
                <w:szCs w:val="24"/>
              </w:rPr>
            </w:pPr>
          </w:p>
        </w:tc>
        <w:tc>
          <w:tcPr>
            <w:tcW w:w="1276" w:type="dxa"/>
          </w:tcPr>
          <w:p w14:paraId="375FC14C">
            <w:pPr>
              <w:pStyle w:val="11"/>
              <w:keepNext/>
              <w:spacing w:after="0" w:line="360" w:lineRule="auto"/>
              <w:ind w:left="66" w:right="66"/>
              <w:rPr>
                <w:rFonts w:ascii="宋体" w:hAnsi="宋体" w:cs="宋体"/>
                <w:color w:val="000000"/>
                <w:sz w:val="24"/>
                <w:szCs w:val="24"/>
              </w:rPr>
            </w:pPr>
          </w:p>
        </w:tc>
      </w:tr>
      <w:tr w14:paraId="3478B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7" w:hRule="atLeast"/>
          <w:jc w:val="center"/>
        </w:trPr>
        <w:tc>
          <w:tcPr>
            <w:tcW w:w="879" w:type="dxa"/>
          </w:tcPr>
          <w:p w14:paraId="23A1A96D">
            <w:pPr>
              <w:pStyle w:val="11"/>
              <w:keepNext/>
              <w:spacing w:after="0" w:line="360" w:lineRule="auto"/>
              <w:ind w:left="66" w:right="66"/>
              <w:rPr>
                <w:rFonts w:ascii="宋体" w:hAnsi="宋体" w:cs="宋体"/>
                <w:color w:val="000000"/>
                <w:sz w:val="24"/>
                <w:szCs w:val="24"/>
              </w:rPr>
            </w:pPr>
          </w:p>
        </w:tc>
        <w:tc>
          <w:tcPr>
            <w:tcW w:w="1984" w:type="dxa"/>
          </w:tcPr>
          <w:p w14:paraId="1650829D">
            <w:pPr>
              <w:pStyle w:val="11"/>
              <w:keepNext/>
              <w:spacing w:after="0" w:line="360" w:lineRule="auto"/>
              <w:ind w:left="66" w:right="66"/>
              <w:rPr>
                <w:rFonts w:ascii="宋体" w:hAnsi="宋体" w:cs="宋体"/>
                <w:color w:val="000000"/>
                <w:sz w:val="24"/>
                <w:szCs w:val="24"/>
              </w:rPr>
            </w:pPr>
          </w:p>
        </w:tc>
        <w:tc>
          <w:tcPr>
            <w:tcW w:w="4678" w:type="dxa"/>
          </w:tcPr>
          <w:p w14:paraId="18747959">
            <w:pPr>
              <w:pStyle w:val="11"/>
              <w:keepNext/>
              <w:spacing w:after="0" w:line="360" w:lineRule="auto"/>
              <w:ind w:left="66" w:right="66"/>
              <w:rPr>
                <w:rFonts w:ascii="宋体" w:hAnsi="宋体" w:cs="宋体"/>
                <w:color w:val="000000"/>
                <w:sz w:val="24"/>
                <w:szCs w:val="24"/>
              </w:rPr>
            </w:pPr>
          </w:p>
        </w:tc>
        <w:tc>
          <w:tcPr>
            <w:tcW w:w="1276" w:type="dxa"/>
          </w:tcPr>
          <w:p w14:paraId="24A2F8B5">
            <w:pPr>
              <w:pStyle w:val="11"/>
              <w:keepNext/>
              <w:spacing w:after="0" w:line="360" w:lineRule="auto"/>
              <w:ind w:left="66" w:right="66"/>
              <w:rPr>
                <w:rFonts w:ascii="宋体" w:hAnsi="宋体" w:cs="宋体"/>
                <w:color w:val="000000"/>
                <w:sz w:val="24"/>
                <w:szCs w:val="24"/>
              </w:rPr>
            </w:pPr>
          </w:p>
        </w:tc>
      </w:tr>
      <w:tr w14:paraId="6FFD47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2" w:hRule="atLeast"/>
          <w:jc w:val="center"/>
        </w:trPr>
        <w:tc>
          <w:tcPr>
            <w:tcW w:w="879" w:type="dxa"/>
          </w:tcPr>
          <w:p w14:paraId="45C253A2">
            <w:pPr>
              <w:pStyle w:val="11"/>
              <w:keepNext/>
              <w:spacing w:after="0" w:line="360" w:lineRule="auto"/>
              <w:ind w:left="66" w:right="66"/>
              <w:rPr>
                <w:rFonts w:ascii="宋体" w:hAnsi="宋体" w:cs="宋体"/>
                <w:color w:val="000000"/>
                <w:sz w:val="24"/>
                <w:szCs w:val="24"/>
              </w:rPr>
            </w:pPr>
          </w:p>
        </w:tc>
        <w:tc>
          <w:tcPr>
            <w:tcW w:w="1984" w:type="dxa"/>
          </w:tcPr>
          <w:p w14:paraId="10C3BEAF">
            <w:pPr>
              <w:pStyle w:val="11"/>
              <w:keepNext/>
              <w:spacing w:after="0" w:line="360" w:lineRule="auto"/>
              <w:ind w:left="66" w:right="66"/>
              <w:rPr>
                <w:rFonts w:ascii="宋体" w:hAnsi="宋体" w:cs="宋体"/>
                <w:color w:val="000000"/>
                <w:sz w:val="24"/>
                <w:szCs w:val="24"/>
              </w:rPr>
            </w:pPr>
          </w:p>
        </w:tc>
        <w:tc>
          <w:tcPr>
            <w:tcW w:w="4678" w:type="dxa"/>
          </w:tcPr>
          <w:p w14:paraId="20C542CA">
            <w:pPr>
              <w:pStyle w:val="11"/>
              <w:keepNext/>
              <w:spacing w:after="0" w:line="360" w:lineRule="auto"/>
              <w:ind w:left="66" w:right="66"/>
              <w:rPr>
                <w:rFonts w:ascii="宋体" w:hAnsi="宋体" w:cs="宋体"/>
                <w:color w:val="000000"/>
                <w:sz w:val="24"/>
                <w:szCs w:val="24"/>
              </w:rPr>
            </w:pPr>
          </w:p>
        </w:tc>
        <w:tc>
          <w:tcPr>
            <w:tcW w:w="1276" w:type="dxa"/>
          </w:tcPr>
          <w:p w14:paraId="4174A6E8">
            <w:pPr>
              <w:pStyle w:val="11"/>
              <w:keepNext/>
              <w:spacing w:after="0" w:line="360" w:lineRule="auto"/>
              <w:ind w:left="66" w:right="66"/>
              <w:rPr>
                <w:rFonts w:ascii="宋体" w:hAnsi="宋体" w:cs="宋体"/>
                <w:color w:val="000000"/>
                <w:sz w:val="24"/>
                <w:szCs w:val="24"/>
              </w:rPr>
            </w:pPr>
          </w:p>
        </w:tc>
      </w:tr>
      <w:tr w14:paraId="6D56A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7" w:hRule="atLeast"/>
          <w:jc w:val="center"/>
        </w:trPr>
        <w:tc>
          <w:tcPr>
            <w:tcW w:w="879" w:type="dxa"/>
          </w:tcPr>
          <w:p w14:paraId="7AA8750B">
            <w:pPr>
              <w:pStyle w:val="11"/>
              <w:keepNext/>
              <w:spacing w:after="0" w:line="360" w:lineRule="auto"/>
              <w:ind w:left="66" w:right="66"/>
              <w:rPr>
                <w:rFonts w:ascii="宋体" w:hAnsi="宋体" w:cs="宋体"/>
                <w:color w:val="000000"/>
                <w:sz w:val="24"/>
                <w:szCs w:val="24"/>
              </w:rPr>
            </w:pPr>
          </w:p>
        </w:tc>
        <w:tc>
          <w:tcPr>
            <w:tcW w:w="1984" w:type="dxa"/>
          </w:tcPr>
          <w:p w14:paraId="4E72C366">
            <w:pPr>
              <w:pStyle w:val="11"/>
              <w:keepNext/>
              <w:spacing w:after="0" w:line="360" w:lineRule="auto"/>
              <w:ind w:left="66" w:right="66"/>
              <w:rPr>
                <w:rFonts w:ascii="宋体" w:hAnsi="宋体" w:cs="宋体"/>
                <w:color w:val="000000"/>
                <w:sz w:val="24"/>
                <w:szCs w:val="24"/>
              </w:rPr>
            </w:pPr>
          </w:p>
        </w:tc>
        <w:tc>
          <w:tcPr>
            <w:tcW w:w="4678" w:type="dxa"/>
          </w:tcPr>
          <w:p w14:paraId="01DBB1FF">
            <w:pPr>
              <w:pStyle w:val="11"/>
              <w:keepNext/>
              <w:spacing w:after="0" w:line="360" w:lineRule="auto"/>
              <w:ind w:left="66" w:right="66"/>
              <w:rPr>
                <w:rFonts w:ascii="宋体" w:hAnsi="宋体" w:cs="宋体"/>
                <w:color w:val="000000"/>
                <w:sz w:val="24"/>
                <w:szCs w:val="24"/>
              </w:rPr>
            </w:pPr>
          </w:p>
        </w:tc>
        <w:tc>
          <w:tcPr>
            <w:tcW w:w="1276" w:type="dxa"/>
          </w:tcPr>
          <w:p w14:paraId="64DEB552">
            <w:pPr>
              <w:pStyle w:val="11"/>
              <w:keepNext/>
              <w:spacing w:after="0" w:line="360" w:lineRule="auto"/>
              <w:ind w:left="66" w:right="66"/>
              <w:rPr>
                <w:rFonts w:ascii="宋体" w:hAnsi="宋体" w:cs="宋体"/>
                <w:color w:val="000000"/>
                <w:sz w:val="24"/>
                <w:szCs w:val="24"/>
              </w:rPr>
            </w:pPr>
          </w:p>
        </w:tc>
      </w:tr>
      <w:tr w14:paraId="075B7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2" w:hRule="atLeast"/>
          <w:jc w:val="center"/>
        </w:trPr>
        <w:tc>
          <w:tcPr>
            <w:tcW w:w="879" w:type="dxa"/>
          </w:tcPr>
          <w:p w14:paraId="3C72035A">
            <w:pPr>
              <w:pStyle w:val="11"/>
              <w:keepNext/>
              <w:spacing w:after="0" w:line="360" w:lineRule="auto"/>
              <w:ind w:left="66" w:right="66"/>
              <w:rPr>
                <w:rFonts w:ascii="宋体" w:hAnsi="宋体" w:cs="宋体"/>
                <w:color w:val="000000"/>
                <w:sz w:val="24"/>
                <w:szCs w:val="24"/>
              </w:rPr>
            </w:pPr>
          </w:p>
        </w:tc>
        <w:tc>
          <w:tcPr>
            <w:tcW w:w="1984" w:type="dxa"/>
          </w:tcPr>
          <w:p w14:paraId="7DFC7746">
            <w:pPr>
              <w:pStyle w:val="11"/>
              <w:keepNext/>
              <w:spacing w:after="0" w:line="360" w:lineRule="auto"/>
              <w:ind w:left="66" w:right="66"/>
              <w:rPr>
                <w:rFonts w:ascii="宋体" w:hAnsi="宋体" w:cs="宋体"/>
                <w:color w:val="000000"/>
                <w:sz w:val="24"/>
                <w:szCs w:val="24"/>
              </w:rPr>
            </w:pPr>
          </w:p>
        </w:tc>
        <w:tc>
          <w:tcPr>
            <w:tcW w:w="4678" w:type="dxa"/>
          </w:tcPr>
          <w:p w14:paraId="4D8FAC06">
            <w:pPr>
              <w:pStyle w:val="11"/>
              <w:keepNext/>
              <w:spacing w:after="0" w:line="360" w:lineRule="auto"/>
              <w:ind w:left="66" w:right="66"/>
              <w:rPr>
                <w:rFonts w:ascii="宋体" w:hAnsi="宋体" w:cs="宋体"/>
                <w:color w:val="000000"/>
                <w:sz w:val="24"/>
                <w:szCs w:val="24"/>
              </w:rPr>
            </w:pPr>
          </w:p>
        </w:tc>
        <w:tc>
          <w:tcPr>
            <w:tcW w:w="1276" w:type="dxa"/>
          </w:tcPr>
          <w:p w14:paraId="416CA3B4">
            <w:pPr>
              <w:pStyle w:val="11"/>
              <w:keepNext/>
              <w:spacing w:after="0" w:line="360" w:lineRule="auto"/>
              <w:ind w:left="66" w:right="66"/>
              <w:rPr>
                <w:rFonts w:ascii="宋体" w:hAnsi="宋体" w:cs="宋体"/>
                <w:color w:val="000000"/>
                <w:sz w:val="24"/>
                <w:szCs w:val="24"/>
              </w:rPr>
            </w:pPr>
          </w:p>
        </w:tc>
      </w:tr>
      <w:tr w14:paraId="65442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2" w:hRule="atLeast"/>
          <w:jc w:val="center"/>
        </w:trPr>
        <w:tc>
          <w:tcPr>
            <w:tcW w:w="879" w:type="dxa"/>
          </w:tcPr>
          <w:p w14:paraId="33F1265E">
            <w:pPr>
              <w:pStyle w:val="11"/>
              <w:keepNext/>
              <w:spacing w:after="0" w:line="360" w:lineRule="auto"/>
              <w:ind w:left="66" w:right="66"/>
              <w:rPr>
                <w:rFonts w:ascii="宋体" w:hAnsi="宋体" w:cs="宋体"/>
                <w:color w:val="000000"/>
                <w:sz w:val="24"/>
                <w:szCs w:val="24"/>
              </w:rPr>
            </w:pPr>
          </w:p>
        </w:tc>
        <w:tc>
          <w:tcPr>
            <w:tcW w:w="1984" w:type="dxa"/>
          </w:tcPr>
          <w:p w14:paraId="31F8D73E">
            <w:pPr>
              <w:pStyle w:val="11"/>
              <w:keepNext/>
              <w:spacing w:after="0" w:line="360" w:lineRule="auto"/>
              <w:ind w:left="66" w:right="66"/>
              <w:rPr>
                <w:rFonts w:ascii="宋体" w:hAnsi="宋体" w:cs="宋体"/>
                <w:color w:val="000000"/>
                <w:sz w:val="24"/>
                <w:szCs w:val="24"/>
              </w:rPr>
            </w:pPr>
          </w:p>
        </w:tc>
        <w:tc>
          <w:tcPr>
            <w:tcW w:w="4678" w:type="dxa"/>
          </w:tcPr>
          <w:p w14:paraId="0F4C8C8C">
            <w:pPr>
              <w:pStyle w:val="11"/>
              <w:keepNext/>
              <w:spacing w:after="0" w:line="360" w:lineRule="auto"/>
              <w:ind w:left="66" w:right="66"/>
              <w:rPr>
                <w:rFonts w:ascii="宋体" w:hAnsi="宋体" w:cs="宋体"/>
                <w:color w:val="000000"/>
                <w:sz w:val="24"/>
                <w:szCs w:val="24"/>
              </w:rPr>
            </w:pPr>
          </w:p>
        </w:tc>
        <w:tc>
          <w:tcPr>
            <w:tcW w:w="1276" w:type="dxa"/>
          </w:tcPr>
          <w:p w14:paraId="3F44638F">
            <w:pPr>
              <w:pStyle w:val="11"/>
              <w:keepNext/>
              <w:spacing w:after="0" w:line="360" w:lineRule="auto"/>
              <w:ind w:left="66" w:right="66"/>
              <w:rPr>
                <w:rFonts w:ascii="宋体" w:hAnsi="宋体" w:cs="宋体"/>
                <w:color w:val="000000"/>
                <w:sz w:val="24"/>
                <w:szCs w:val="24"/>
              </w:rPr>
            </w:pPr>
          </w:p>
        </w:tc>
      </w:tr>
      <w:tr w14:paraId="620BC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2" w:hRule="atLeast"/>
          <w:jc w:val="center"/>
        </w:trPr>
        <w:tc>
          <w:tcPr>
            <w:tcW w:w="879" w:type="dxa"/>
          </w:tcPr>
          <w:p w14:paraId="0C260545">
            <w:pPr>
              <w:pStyle w:val="11"/>
              <w:keepNext/>
              <w:spacing w:after="0" w:line="360" w:lineRule="auto"/>
              <w:ind w:left="66" w:right="66"/>
              <w:rPr>
                <w:rFonts w:ascii="宋体" w:hAnsi="宋体" w:cs="宋体"/>
                <w:color w:val="000000"/>
                <w:sz w:val="24"/>
                <w:szCs w:val="24"/>
              </w:rPr>
            </w:pPr>
          </w:p>
        </w:tc>
        <w:tc>
          <w:tcPr>
            <w:tcW w:w="1984" w:type="dxa"/>
          </w:tcPr>
          <w:p w14:paraId="08AC3052">
            <w:pPr>
              <w:pStyle w:val="11"/>
              <w:keepNext/>
              <w:spacing w:after="0" w:line="360" w:lineRule="auto"/>
              <w:ind w:left="66" w:right="66"/>
              <w:rPr>
                <w:rFonts w:ascii="宋体" w:hAnsi="宋体" w:cs="宋体"/>
                <w:color w:val="000000"/>
                <w:sz w:val="24"/>
                <w:szCs w:val="24"/>
              </w:rPr>
            </w:pPr>
          </w:p>
        </w:tc>
        <w:tc>
          <w:tcPr>
            <w:tcW w:w="4678" w:type="dxa"/>
          </w:tcPr>
          <w:p w14:paraId="7B2FC830">
            <w:pPr>
              <w:pStyle w:val="11"/>
              <w:keepNext/>
              <w:spacing w:after="0" w:line="360" w:lineRule="auto"/>
              <w:ind w:left="66" w:right="66"/>
              <w:rPr>
                <w:rFonts w:ascii="宋体" w:hAnsi="宋体" w:cs="宋体"/>
                <w:color w:val="000000"/>
                <w:sz w:val="24"/>
                <w:szCs w:val="24"/>
              </w:rPr>
            </w:pPr>
          </w:p>
        </w:tc>
        <w:tc>
          <w:tcPr>
            <w:tcW w:w="1276" w:type="dxa"/>
          </w:tcPr>
          <w:p w14:paraId="5F716F5B">
            <w:pPr>
              <w:pStyle w:val="11"/>
              <w:keepNext/>
              <w:spacing w:after="0" w:line="360" w:lineRule="auto"/>
              <w:ind w:left="66" w:right="66"/>
              <w:rPr>
                <w:rFonts w:ascii="宋体" w:hAnsi="宋体" w:cs="宋体"/>
                <w:color w:val="000000"/>
                <w:sz w:val="24"/>
                <w:szCs w:val="24"/>
              </w:rPr>
            </w:pPr>
          </w:p>
        </w:tc>
      </w:tr>
      <w:tr w14:paraId="513828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2" w:hRule="atLeast"/>
          <w:jc w:val="center"/>
        </w:trPr>
        <w:tc>
          <w:tcPr>
            <w:tcW w:w="879" w:type="dxa"/>
          </w:tcPr>
          <w:p w14:paraId="28994BEC">
            <w:pPr>
              <w:pStyle w:val="11"/>
              <w:keepNext/>
              <w:spacing w:after="0" w:line="360" w:lineRule="auto"/>
              <w:ind w:left="66" w:right="66"/>
              <w:rPr>
                <w:rFonts w:ascii="宋体" w:hAnsi="宋体" w:cs="宋体"/>
                <w:color w:val="000000"/>
                <w:sz w:val="24"/>
                <w:szCs w:val="24"/>
              </w:rPr>
            </w:pPr>
          </w:p>
        </w:tc>
        <w:tc>
          <w:tcPr>
            <w:tcW w:w="1984" w:type="dxa"/>
          </w:tcPr>
          <w:p w14:paraId="7D120CA7">
            <w:pPr>
              <w:pStyle w:val="11"/>
              <w:keepNext/>
              <w:spacing w:after="0" w:line="360" w:lineRule="auto"/>
              <w:ind w:left="66" w:right="66"/>
              <w:rPr>
                <w:rFonts w:ascii="宋体" w:hAnsi="宋体" w:cs="宋体"/>
                <w:color w:val="000000"/>
                <w:sz w:val="24"/>
                <w:szCs w:val="24"/>
              </w:rPr>
            </w:pPr>
          </w:p>
        </w:tc>
        <w:tc>
          <w:tcPr>
            <w:tcW w:w="4678" w:type="dxa"/>
          </w:tcPr>
          <w:p w14:paraId="6B8F44EF">
            <w:pPr>
              <w:pStyle w:val="11"/>
              <w:keepNext/>
              <w:spacing w:after="0" w:line="360" w:lineRule="auto"/>
              <w:ind w:left="66" w:right="66"/>
              <w:rPr>
                <w:rFonts w:ascii="宋体" w:hAnsi="宋体" w:cs="宋体"/>
                <w:color w:val="000000"/>
                <w:sz w:val="24"/>
                <w:szCs w:val="24"/>
              </w:rPr>
            </w:pPr>
          </w:p>
        </w:tc>
        <w:tc>
          <w:tcPr>
            <w:tcW w:w="1276" w:type="dxa"/>
          </w:tcPr>
          <w:p w14:paraId="626B8C4B">
            <w:pPr>
              <w:pStyle w:val="11"/>
              <w:keepNext/>
              <w:spacing w:after="0" w:line="360" w:lineRule="auto"/>
              <w:ind w:left="66" w:right="66"/>
              <w:rPr>
                <w:rFonts w:ascii="宋体" w:hAnsi="宋体" w:cs="宋体"/>
                <w:color w:val="000000"/>
                <w:sz w:val="24"/>
                <w:szCs w:val="24"/>
              </w:rPr>
            </w:pPr>
          </w:p>
        </w:tc>
      </w:tr>
      <w:tr w14:paraId="25764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2" w:hRule="atLeast"/>
          <w:jc w:val="center"/>
        </w:trPr>
        <w:tc>
          <w:tcPr>
            <w:tcW w:w="879" w:type="dxa"/>
          </w:tcPr>
          <w:p w14:paraId="30403595">
            <w:pPr>
              <w:pStyle w:val="11"/>
              <w:keepNext/>
              <w:spacing w:after="0" w:line="360" w:lineRule="auto"/>
              <w:ind w:left="66" w:right="66"/>
              <w:rPr>
                <w:rFonts w:ascii="宋体" w:hAnsi="宋体" w:cs="宋体"/>
                <w:color w:val="000000"/>
                <w:sz w:val="24"/>
                <w:szCs w:val="24"/>
              </w:rPr>
            </w:pPr>
          </w:p>
        </w:tc>
        <w:tc>
          <w:tcPr>
            <w:tcW w:w="1984" w:type="dxa"/>
          </w:tcPr>
          <w:p w14:paraId="1707993B">
            <w:pPr>
              <w:pStyle w:val="11"/>
              <w:keepNext/>
              <w:spacing w:after="0" w:line="360" w:lineRule="auto"/>
              <w:ind w:left="66" w:right="66"/>
              <w:rPr>
                <w:rFonts w:ascii="宋体" w:hAnsi="宋体" w:cs="宋体"/>
                <w:color w:val="000000"/>
                <w:sz w:val="24"/>
                <w:szCs w:val="24"/>
              </w:rPr>
            </w:pPr>
          </w:p>
        </w:tc>
        <w:tc>
          <w:tcPr>
            <w:tcW w:w="4678" w:type="dxa"/>
          </w:tcPr>
          <w:p w14:paraId="639BB693">
            <w:pPr>
              <w:pStyle w:val="11"/>
              <w:keepNext/>
              <w:spacing w:after="0" w:line="360" w:lineRule="auto"/>
              <w:ind w:left="66" w:right="66"/>
              <w:rPr>
                <w:rFonts w:ascii="宋体" w:hAnsi="宋体" w:cs="宋体"/>
                <w:color w:val="000000"/>
                <w:sz w:val="24"/>
                <w:szCs w:val="24"/>
              </w:rPr>
            </w:pPr>
          </w:p>
        </w:tc>
        <w:tc>
          <w:tcPr>
            <w:tcW w:w="1276" w:type="dxa"/>
          </w:tcPr>
          <w:p w14:paraId="6E9FF1B8">
            <w:pPr>
              <w:pStyle w:val="11"/>
              <w:keepNext/>
              <w:spacing w:after="0" w:line="360" w:lineRule="auto"/>
              <w:ind w:left="66" w:right="66"/>
              <w:rPr>
                <w:rFonts w:ascii="宋体" w:hAnsi="宋体" w:cs="宋体"/>
                <w:color w:val="000000"/>
                <w:sz w:val="24"/>
                <w:szCs w:val="24"/>
              </w:rPr>
            </w:pPr>
          </w:p>
        </w:tc>
      </w:tr>
      <w:tr w14:paraId="6ADDF0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2" w:hRule="atLeast"/>
          <w:jc w:val="center"/>
        </w:trPr>
        <w:tc>
          <w:tcPr>
            <w:tcW w:w="879" w:type="dxa"/>
          </w:tcPr>
          <w:p w14:paraId="3AA23AEA">
            <w:pPr>
              <w:pStyle w:val="11"/>
              <w:keepNext/>
              <w:spacing w:after="0" w:line="360" w:lineRule="auto"/>
              <w:ind w:left="66" w:right="66"/>
              <w:rPr>
                <w:rFonts w:ascii="宋体" w:hAnsi="宋体" w:cs="宋体"/>
                <w:color w:val="000000"/>
                <w:sz w:val="24"/>
                <w:szCs w:val="24"/>
              </w:rPr>
            </w:pPr>
          </w:p>
        </w:tc>
        <w:tc>
          <w:tcPr>
            <w:tcW w:w="1984" w:type="dxa"/>
          </w:tcPr>
          <w:p w14:paraId="4C4DD591">
            <w:pPr>
              <w:pStyle w:val="11"/>
              <w:keepNext/>
              <w:spacing w:after="0" w:line="360" w:lineRule="auto"/>
              <w:ind w:left="66" w:right="66"/>
              <w:rPr>
                <w:rFonts w:ascii="宋体" w:hAnsi="宋体" w:cs="宋体"/>
                <w:color w:val="000000"/>
                <w:sz w:val="24"/>
                <w:szCs w:val="24"/>
              </w:rPr>
            </w:pPr>
          </w:p>
        </w:tc>
        <w:tc>
          <w:tcPr>
            <w:tcW w:w="4678" w:type="dxa"/>
          </w:tcPr>
          <w:p w14:paraId="6D608353">
            <w:pPr>
              <w:pStyle w:val="11"/>
              <w:keepNext/>
              <w:spacing w:after="0" w:line="360" w:lineRule="auto"/>
              <w:ind w:left="66" w:right="66"/>
              <w:rPr>
                <w:rFonts w:ascii="宋体" w:hAnsi="宋体" w:cs="宋体"/>
                <w:color w:val="000000"/>
                <w:sz w:val="24"/>
                <w:szCs w:val="24"/>
              </w:rPr>
            </w:pPr>
          </w:p>
        </w:tc>
        <w:tc>
          <w:tcPr>
            <w:tcW w:w="1276" w:type="dxa"/>
          </w:tcPr>
          <w:p w14:paraId="3A82CC81">
            <w:pPr>
              <w:pStyle w:val="11"/>
              <w:keepNext/>
              <w:spacing w:after="0" w:line="360" w:lineRule="auto"/>
              <w:ind w:left="66" w:right="66"/>
              <w:rPr>
                <w:rFonts w:ascii="宋体" w:hAnsi="宋体" w:cs="宋体"/>
                <w:color w:val="000000"/>
                <w:sz w:val="24"/>
                <w:szCs w:val="24"/>
              </w:rPr>
            </w:pPr>
          </w:p>
        </w:tc>
      </w:tr>
      <w:tr w14:paraId="12F77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2" w:hRule="atLeast"/>
          <w:jc w:val="center"/>
        </w:trPr>
        <w:tc>
          <w:tcPr>
            <w:tcW w:w="879" w:type="dxa"/>
          </w:tcPr>
          <w:p w14:paraId="5B263AAA">
            <w:pPr>
              <w:pStyle w:val="11"/>
              <w:keepNext/>
              <w:spacing w:after="0" w:line="360" w:lineRule="auto"/>
              <w:ind w:left="66" w:right="66"/>
              <w:rPr>
                <w:rFonts w:ascii="宋体" w:hAnsi="宋体" w:cs="宋体"/>
                <w:color w:val="000000"/>
                <w:sz w:val="24"/>
                <w:szCs w:val="24"/>
              </w:rPr>
            </w:pPr>
          </w:p>
        </w:tc>
        <w:tc>
          <w:tcPr>
            <w:tcW w:w="1984" w:type="dxa"/>
          </w:tcPr>
          <w:p w14:paraId="4D3014A0">
            <w:pPr>
              <w:pStyle w:val="11"/>
              <w:keepNext/>
              <w:spacing w:after="0" w:line="360" w:lineRule="auto"/>
              <w:ind w:left="66" w:right="66"/>
              <w:rPr>
                <w:rFonts w:ascii="宋体" w:hAnsi="宋体" w:cs="宋体"/>
                <w:color w:val="000000"/>
                <w:sz w:val="24"/>
                <w:szCs w:val="24"/>
              </w:rPr>
            </w:pPr>
          </w:p>
        </w:tc>
        <w:tc>
          <w:tcPr>
            <w:tcW w:w="4678" w:type="dxa"/>
          </w:tcPr>
          <w:p w14:paraId="1C3D6031">
            <w:pPr>
              <w:pStyle w:val="11"/>
              <w:keepNext/>
              <w:spacing w:after="0" w:line="360" w:lineRule="auto"/>
              <w:ind w:left="66" w:right="66"/>
              <w:rPr>
                <w:rFonts w:ascii="宋体" w:hAnsi="宋体" w:cs="宋体"/>
                <w:color w:val="000000"/>
                <w:sz w:val="24"/>
                <w:szCs w:val="24"/>
              </w:rPr>
            </w:pPr>
          </w:p>
        </w:tc>
        <w:tc>
          <w:tcPr>
            <w:tcW w:w="1276" w:type="dxa"/>
          </w:tcPr>
          <w:p w14:paraId="46E2BB32">
            <w:pPr>
              <w:pStyle w:val="11"/>
              <w:keepNext/>
              <w:spacing w:after="0" w:line="360" w:lineRule="auto"/>
              <w:ind w:left="66" w:right="66"/>
              <w:rPr>
                <w:rFonts w:ascii="宋体" w:hAnsi="宋体" w:cs="宋体"/>
                <w:color w:val="000000"/>
                <w:sz w:val="24"/>
                <w:szCs w:val="24"/>
              </w:rPr>
            </w:pPr>
          </w:p>
        </w:tc>
      </w:tr>
      <w:tr w14:paraId="0EC077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879" w:type="dxa"/>
          </w:tcPr>
          <w:p w14:paraId="65B4B2AF">
            <w:pPr>
              <w:pStyle w:val="11"/>
              <w:keepNext/>
              <w:spacing w:after="0" w:line="360" w:lineRule="auto"/>
              <w:ind w:left="66" w:right="66"/>
              <w:rPr>
                <w:rFonts w:ascii="宋体" w:hAnsi="宋体" w:cs="宋体"/>
                <w:color w:val="000000"/>
                <w:sz w:val="24"/>
                <w:szCs w:val="24"/>
              </w:rPr>
            </w:pPr>
          </w:p>
        </w:tc>
        <w:tc>
          <w:tcPr>
            <w:tcW w:w="1984" w:type="dxa"/>
          </w:tcPr>
          <w:p w14:paraId="170F0182">
            <w:pPr>
              <w:pStyle w:val="11"/>
              <w:keepNext/>
              <w:spacing w:after="0" w:line="360" w:lineRule="auto"/>
              <w:ind w:left="66" w:right="66"/>
              <w:rPr>
                <w:rFonts w:ascii="宋体" w:hAnsi="宋体" w:cs="宋体"/>
                <w:color w:val="000000"/>
                <w:sz w:val="24"/>
                <w:szCs w:val="24"/>
              </w:rPr>
            </w:pPr>
          </w:p>
        </w:tc>
        <w:tc>
          <w:tcPr>
            <w:tcW w:w="4678" w:type="dxa"/>
          </w:tcPr>
          <w:p w14:paraId="569DF42C">
            <w:pPr>
              <w:pStyle w:val="11"/>
              <w:keepNext/>
              <w:spacing w:after="0" w:line="360" w:lineRule="auto"/>
              <w:ind w:left="66" w:right="66"/>
              <w:rPr>
                <w:rFonts w:ascii="宋体" w:hAnsi="宋体" w:cs="宋体"/>
                <w:color w:val="000000"/>
                <w:sz w:val="24"/>
                <w:szCs w:val="24"/>
              </w:rPr>
            </w:pPr>
          </w:p>
        </w:tc>
        <w:tc>
          <w:tcPr>
            <w:tcW w:w="1276" w:type="dxa"/>
          </w:tcPr>
          <w:p w14:paraId="47AB40EE">
            <w:pPr>
              <w:pStyle w:val="11"/>
              <w:keepNext/>
              <w:spacing w:after="0" w:line="360" w:lineRule="auto"/>
              <w:ind w:left="66" w:right="66"/>
              <w:rPr>
                <w:rFonts w:ascii="宋体" w:hAnsi="宋体" w:cs="宋体"/>
                <w:color w:val="000000"/>
                <w:sz w:val="24"/>
                <w:szCs w:val="24"/>
              </w:rPr>
            </w:pPr>
          </w:p>
        </w:tc>
      </w:tr>
      <w:tr w14:paraId="561D9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2" w:hRule="atLeast"/>
          <w:jc w:val="center"/>
        </w:trPr>
        <w:tc>
          <w:tcPr>
            <w:tcW w:w="879" w:type="dxa"/>
          </w:tcPr>
          <w:p w14:paraId="0704F136">
            <w:pPr>
              <w:pStyle w:val="11"/>
              <w:keepNext/>
              <w:spacing w:after="0" w:line="360" w:lineRule="auto"/>
              <w:ind w:left="66" w:right="66"/>
              <w:rPr>
                <w:rFonts w:ascii="宋体" w:hAnsi="宋体" w:cs="宋体"/>
                <w:color w:val="000000"/>
                <w:sz w:val="24"/>
                <w:szCs w:val="24"/>
              </w:rPr>
            </w:pPr>
          </w:p>
        </w:tc>
        <w:tc>
          <w:tcPr>
            <w:tcW w:w="1984" w:type="dxa"/>
          </w:tcPr>
          <w:p w14:paraId="636CC01E">
            <w:pPr>
              <w:pStyle w:val="11"/>
              <w:keepNext/>
              <w:spacing w:after="0" w:line="360" w:lineRule="auto"/>
              <w:ind w:left="66" w:right="66"/>
              <w:rPr>
                <w:rFonts w:ascii="宋体" w:hAnsi="宋体" w:cs="宋体"/>
                <w:color w:val="000000"/>
                <w:sz w:val="24"/>
                <w:szCs w:val="24"/>
              </w:rPr>
            </w:pPr>
          </w:p>
        </w:tc>
        <w:tc>
          <w:tcPr>
            <w:tcW w:w="4678" w:type="dxa"/>
          </w:tcPr>
          <w:p w14:paraId="3439197F">
            <w:pPr>
              <w:pStyle w:val="11"/>
              <w:keepNext/>
              <w:spacing w:after="0" w:line="360" w:lineRule="auto"/>
              <w:ind w:left="66" w:right="66"/>
              <w:rPr>
                <w:rFonts w:ascii="宋体" w:hAnsi="宋体" w:cs="宋体"/>
                <w:color w:val="000000"/>
                <w:sz w:val="24"/>
                <w:szCs w:val="24"/>
              </w:rPr>
            </w:pPr>
          </w:p>
        </w:tc>
        <w:tc>
          <w:tcPr>
            <w:tcW w:w="1276" w:type="dxa"/>
          </w:tcPr>
          <w:p w14:paraId="44B5C1D7">
            <w:pPr>
              <w:pStyle w:val="11"/>
              <w:keepNext/>
              <w:spacing w:after="0" w:line="360" w:lineRule="auto"/>
              <w:ind w:left="66" w:right="66"/>
              <w:rPr>
                <w:rFonts w:ascii="宋体" w:hAnsi="宋体" w:cs="宋体"/>
                <w:color w:val="000000"/>
                <w:sz w:val="24"/>
                <w:szCs w:val="24"/>
              </w:rPr>
            </w:pPr>
          </w:p>
        </w:tc>
      </w:tr>
      <w:tr w14:paraId="6038C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879" w:type="dxa"/>
          </w:tcPr>
          <w:p w14:paraId="01086939">
            <w:pPr>
              <w:pStyle w:val="11"/>
              <w:keepNext/>
              <w:spacing w:after="0" w:line="360" w:lineRule="auto"/>
              <w:ind w:left="66" w:right="66"/>
              <w:rPr>
                <w:rFonts w:ascii="宋体" w:hAnsi="宋体" w:cs="宋体"/>
                <w:color w:val="000000"/>
                <w:sz w:val="24"/>
                <w:szCs w:val="24"/>
              </w:rPr>
            </w:pPr>
          </w:p>
        </w:tc>
        <w:tc>
          <w:tcPr>
            <w:tcW w:w="1984" w:type="dxa"/>
          </w:tcPr>
          <w:p w14:paraId="427B83C0">
            <w:pPr>
              <w:pStyle w:val="11"/>
              <w:keepNext/>
              <w:spacing w:after="0" w:line="360" w:lineRule="auto"/>
              <w:ind w:left="66" w:right="66"/>
              <w:rPr>
                <w:rFonts w:ascii="宋体" w:hAnsi="宋体" w:cs="宋体"/>
                <w:color w:val="000000"/>
                <w:sz w:val="24"/>
                <w:szCs w:val="24"/>
              </w:rPr>
            </w:pPr>
          </w:p>
        </w:tc>
        <w:tc>
          <w:tcPr>
            <w:tcW w:w="4678" w:type="dxa"/>
          </w:tcPr>
          <w:p w14:paraId="4136A765">
            <w:pPr>
              <w:pStyle w:val="11"/>
              <w:keepNext/>
              <w:spacing w:after="0" w:line="360" w:lineRule="auto"/>
              <w:ind w:left="66" w:right="66"/>
              <w:rPr>
                <w:rFonts w:ascii="宋体" w:hAnsi="宋体" w:cs="宋体"/>
                <w:color w:val="000000"/>
                <w:sz w:val="24"/>
                <w:szCs w:val="24"/>
              </w:rPr>
            </w:pPr>
          </w:p>
        </w:tc>
        <w:tc>
          <w:tcPr>
            <w:tcW w:w="1276" w:type="dxa"/>
          </w:tcPr>
          <w:p w14:paraId="2A40AF01">
            <w:pPr>
              <w:pStyle w:val="11"/>
              <w:keepNext/>
              <w:spacing w:after="0" w:line="360" w:lineRule="auto"/>
              <w:ind w:left="66" w:right="66"/>
              <w:rPr>
                <w:rFonts w:ascii="宋体" w:hAnsi="宋体" w:cs="宋体"/>
                <w:color w:val="000000"/>
                <w:sz w:val="24"/>
                <w:szCs w:val="24"/>
              </w:rPr>
            </w:pPr>
          </w:p>
        </w:tc>
      </w:tr>
      <w:tr w14:paraId="3391F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879" w:type="dxa"/>
          </w:tcPr>
          <w:p w14:paraId="6D294BF0">
            <w:pPr>
              <w:pStyle w:val="11"/>
              <w:keepNext/>
              <w:spacing w:after="0" w:line="360" w:lineRule="auto"/>
              <w:ind w:left="66" w:right="66"/>
              <w:rPr>
                <w:rFonts w:ascii="宋体" w:hAnsi="宋体" w:cs="宋体"/>
                <w:color w:val="000000"/>
                <w:sz w:val="24"/>
                <w:szCs w:val="24"/>
              </w:rPr>
            </w:pPr>
          </w:p>
        </w:tc>
        <w:tc>
          <w:tcPr>
            <w:tcW w:w="1984" w:type="dxa"/>
          </w:tcPr>
          <w:p w14:paraId="54A6995F">
            <w:pPr>
              <w:pStyle w:val="11"/>
              <w:keepNext/>
              <w:spacing w:after="0" w:line="360" w:lineRule="auto"/>
              <w:ind w:left="66" w:right="66"/>
              <w:rPr>
                <w:rFonts w:ascii="宋体" w:hAnsi="宋体" w:cs="宋体"/>
                <w:color w:val="000000"/>
                <w:sz w:val="24"/>
                <w:szCs w:val="24"/>
              </w:rPr>
            </w:pPr>
          </w:p>
        </w:tc>
        <w:tc>
          <w:tcPr>
            <w:tcW w:w="4678" w:type="dxa"/>
          </w:tcPr>
          <w:p w14:paraId="22BDBE78">
            <w:pPr>
              <w:pStyle w:val="11"/>
              <w:keepNext/>
              <w:spacing w:after="0" w:line="360" w:lineRule="auto"/>
              <w:ind w:left="66" w:right="66"/>
              <w:rPr>
                <w:rFonts w:ascii="宋体" w:hAnsi="宋体" w:cs="宋体"/>
                <w:color w:val="000000"/>
                <w:sz w:val="24"/>
                <w:szCs w:val="24"/>
              </w:rPr>
            </w:pPr>
          </w:p>
        </w:tc>
        <w:tc>
          <w:tcPr>
            <w:tcW w:w="1276" w:type="dxa"/>
          </w:tcPr>
          <w:p w14:paraId="20DE34F7">
            <w:pPr>
              <w:pStyle w:val="11"/>
              <w:keepNext/>
              <w:spacing w:after="0" w:line="360" w:lineRule="auto"/>
              <w:ind w:left="66" w:right="66"/>
              <w:rPr>
                <w:rFonts w:ascii="宋体" w:hAnsi="宋体" w:cs="宋体"/>
                <w:color w:val="000000"/>
                <w:sz w:val="24"/>
                <w:szCs w:val="24"/>
              </w:rPr>
            </w:pPr>
          </w:p>
        </w:tc>
      </w:tr>
      <w:tr w14:paraId="17A32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2" w:hRule="atLeast"/>
          <w:jc w:val="center"/>
        </w:trPr>
        <w:tc>
          <w:tcPr>
            <w:tcW w:w="879" w:type="dxa"/>
          </w:tcPr>
          <w:p w14:paraId="68139158">
            <w:pPr>
              <w:pStyle w:val="11"/>
              <w:keepNext/>
              <w:spacing w:after="0" w:line="360" w:lineRule="auto"/>
              <w:ind w:left="66" w:right="66"/>
              <w:rPr>
                <w:rFonts w:ascii="宋体" w:hAnsi="宋体" w:cs="宋体"/>
                <w:color w:val="000000"/>
                <w:sz w:val="24"/>
                <w:szCs w:val="24"/>
              </w:rPr>
            </w:pPr>
          </w:p>
        </w:tc>
        <w:tc>
          <w:tcPr>
            <w:tcW w:w="1984" w:type="dxa"/>
          </w:tcPr>
          <w:p w14:paraId="79FA9879">
            <w:pPr>
              <w:pStyle w:val="11"/>
              <w:keepNext/>
              <w:spacing w:after="0" w:line="360" w:lineRule="auto"/>
              <w:ind w:left="66" w:right="66"/>
              <w:rPr>
                <w:rFonts w:ascii="宋体" w:hAnsi="宋体" w:cs="宋体"/>
                <w:color w:val="000000"/>
                <w:sz w:val="24"/>
                <w:szCs w:val="24"/>
              </w:rPr>
            </w:pPr>
          </w:p>
        </w:tc>
        <w:tc>
          <w:tcPr>
            <w:tcW w:w="4678" w:type="dxa"/>
          </w:tcPr>
          <w:p w14:paraId="691D1924">
            <w:pPr>
              <w:pStyle w:val="11"/>
              <w:keepNext/>
              <w:spacing w:after="0" w:line="360" w:lineRule="auto"/>
              <w:ind w:left="66" w:right="66"/>
              <w:rPr>
                <w:rFonts w:ascii="宋体" w:hAnsi="宋体" w:cs="宋体"/>
                <w:color w:val="000000"/>
                <w:sz w:val="24"/>
                <w:szCs w:val="24"/>
              </w:rPr>
            </w:pPr>
          </w:p>
        </w:tc>
        <w:tc>
          <w:tcPr>
            <w:tcW w:w="1276" w:type="dxa"/>
          </w:tcPr>
          <w:p w14:paraId="22FEA0F9">
            <w:pPr>
              <w:pStyle w:val="11"/>
              <w:keepNext/>
              <w:spacing w:after="0" w:line="360" w:lineRule="auto"/>
              <w:ind w:left="66" w:right="66"/>
              <w:rPr>
                <w:rFonts w:ascii="宋体" w:hAnsi="宋体" w:cs="宋体"/>
                <w:color w:val="000000"/>
                <w:sz w:val="24"/>
                <w:szCs w:val="24"/>
              </w:rPr>
            </w:pPr>
          </w:p>
        </w:tc>
      </w:tr>
      <w:tr w14:paraId="23DA50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2" w:hRule="atLeast"/>
          <w:jc w:val="center"/>
        </w:trPr>
        <w:tc>
          <w:tcPr>
            <w:tcW w:w="879" w:type="dxa"/>
          </w:tcPr>
          <w:p w14:paraId="226D3F84">
            <w:pPr>
              <w:pStyle w:val="11"/>
              <w:keepNext/>
              <w:spacing w:after="0" w:line="360" w:lineRule="auto"/>
              <w:ind w:left="66" w:right="66"/>
              <w:rPr>
                <w:rFonts w:ascii="宋体" w:hAnsi="宋体" w:cs="宋体"/>
                <w:color w:val="000000"/>
                <w:sz w:val="24"/>
                <w:szCs w:val="24"/>
              </w:rPr>
            </w:pPr>
          </w:p>
        </w:tc>
        <w:tc>
          <w:tcPr>
            <w:tcW w:w="1984" w:type="dxa"/>
          </w:tcPr>
          <w:p w14:paraId="72188279">
            <w:pPr>
              <w:pStyle w:val="11"/>
              <w:keepNext/>
              <w:spacing w:after="0" w:line="360" w:lineRule="auto"/>
              <w:ind w:left="66" w:right="66"/>
              <w:rPr>
                <w:rFonts w:ascii="宋体" w:hAnsi="宋体" w:cs="宋体"/>
                <w:color w:val="000000"/>
                <w:sz w:val="24"/>
                <w:szCs w:val="24"/>
              </w:rPr>
            </w:pPr>
          </w:p>
        </w:tc>
        <w:tc>
          <w:tcPr>
            <w:tcW w:w="4678" w:type="dxa"/>
          </w:tcPr>
          <w:p w14:paraId="08645668">
            <w:pPr>
              <w:pStyle w:val="11"/>
              <w:keepNext/>
              <w:spacing w:after="0" w:line="360" w:lineRule="auto"/>
              <w:ind w:left="66" w:right="66"/>
              <w:rPr>
                <w:rFonts w:ascii="宋体" w:hAnsi="宋体" w:cs="宋体"/>
                <w:color w:val="000000"/>
                <w:sz w:val="24"/>
                <w:szCs w:val="24"/>
              </w:rPr>
            </w:pPr>
          </w:p>
        </w:tc>
        <w:tc>
          <w:tcPr>
            <w:tcW w:w="1276" w:type="dxa"/>
          </w:tcPr>
          <w:p w14:paraId="62B9F81F">
            <w:pPr>
              <w:pStyle w:val="11"/>
              <w:keepNext/>
              <w:spacing w:after="0" w:line="360" w:lineRule="auto"/>
              <w:ind w:left="66" w:right="66"/>
              <w:rPr>
                <w:rFonts w:ascii="宋体" w:hAnsi="宋体" w:cs="宋体"/>
                <w:color w:val="000000"/>
                <w:sz w:val="24"/>
                <w:szCs w:val="24"/>
              </w:rPr>
            </w:pPr>
          </w:p>
        </w:tc>
      </w:tr>
      <w:tr w14:paraId="63B281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8817" w:type="dxa"/>
            <w:gridSpan w:val="4"/>
          </w:tcPr>
          <w:p w14:paraId="56A38D87">
            <w:pPr>
              <w:pStyle w:val="11"/>
              <w:keepNext/>
              <w:spacing w:after="0" w:line="360" w:lineRule="auto"/>
              <w:ind w:left="66" w:right="66"/>
              <w:rPr>
                <w:rFonts w:ascii="宋体" w:hAnsi="宋体" w:cs="宋体"/>
                <w:color w:val="000000"/>
                <w:sz w:val="24"/>
                <w:szCs w:val="24"/>
              </w:rPr>
            </w:pPr>
            <w:r>
              <w:rPr>
                <w:rFonts w:hint="eastAsia" w:ascii="宋体" w:hAnsi="宋体" w:cs="宋体"/>
                <w:color w:val="000000"/>
                <w:sz w:val="24"/>
                <w:szCs w:val="24"/>
              </w:rPr>
              <w:t>小计：</w:t>
            </w:r>
          </w:p>
        </w:tc>
      </w:tr>
    </w:tbl>
    <w:p w14:paraId="6BD56043"/>
    <w:p w14:paraId="3B164D85">
      <w:pPr>
        <w:pStyle w:val="3"/>
      </w:pPr>
    </w:p>
    <w:p w14:paraId="710460AA">
      <w:pPr>
        <w:rPr>
          <w:rFonts w:ascii="宋体" w:hAnsi="宋体" w:cs="宋体"/>
        </w:rPr>
      </w:pPr>
    </w:p>
    <w:p w14:paraId="18323856">
      <w:pPr>
        <w:pStyle w:val="2"/>
        <w:spacing w:before="0" w:after="0"/>
        <w:jc w:val="center"/>
        <w:rPr>
          <w:rFonts w:ascii="宋体" w:hAnsi="宋体" w:cs="宋体"/>
          <w:highlight w:val="none"/>
        </w:rPr>
      </w:pPr>
      <w:bookmarkStart w:id="1659" w:name="_Toc24371"/>
      <w:bookmarkStart w:id="1660" w:name="_Toc20559"/>
      <w:r>
        <w:rPr>
          <w:rFonts w:hint="eastAsia" w:ascii="宋体" w:hAnsi="宋体" w:cs="宋体"/>
          <w:highlight w:val="none"/>
        </w:rPr>
        <w:t>第五章  技术标准要求</w:t>
      </w:r>
      <w:bookmarkEnd w:id="1659"/>
      <w:bookmarkEnd w:id="1660"/>
    </w:p>
    <w:p w14:paraId="02485190">
      <w:pPr>
        <w:pStyle w:val="67"/>
        <w:keepNext w:val="0"/>
        <w:keepLines w:val="0"/>
        <w:pageBreakBefore w:val="0"/>
        <w:widowControl w:val="0"/>
        <w:kinsoku/>
        <w:wordWrap/>
        <w:overflowPunct/>
        <w:topLinePunct w:val="0"/>
        <w:autoSpaceDE/>
        <w:autoSpaceDN/>
        <w:bidi w:val="0"/>
        <w:adjustRightInd/>
        <w:spacing w:before="0" w:beforeAutospacing="0" w:after="0" w:afterAutospacing="0" w:line="420" w:lineRule="exact"/>
        <w:ind w:firstLine="420"/>
        <w:jc w:val="both"/>
        <w:textAlignment w:val="auto"/>
        <w:outlineLvl w:val="9"/>
        <w:rPr>
          <w:rStyle w:val="70"/>
          <w:rFonts w:ascii="宋体" w:hAnsi="宋体"/>
          <w:sz w:val="24"/>
          <w:szCs w:val="24"/>
        </w:rPr>
      </w:pPr>
      <w:bookmarkStart w:id="1661" w:name="_Toc518573575"/>
      <w:bookmarkStart w:id="1662" w:name="_Toc25378"/>
      <w:bookmarkStart w:id="1663" w:name="_Toc16616"/>
      <w:bookmarkStart w:id="1664" w:name="_Toc21950"/>
      <w:bookmarkStart w:id="1665" w:name="_Toc5714"/>
      <w:bookmarkStart w:id="1666" w:name="_Toc3051"/>
      <w:bookmarkStart w:id="1667" w:name="_Toc26568"/>
      <w:bookmarkStart w:id="1668" w:name="_Toc518240139"/>
      <w:bookmarkStart w:id="1669" w:name="_Toc14029"/>
      <w:bookmarkStart w:id="1670" w:name="_Toc12641"/>
      <w:bookmarkStart w:id="1671" w:name="_Toc518573691"/>
      <w:bookmarkStart w:id="1672" w:name="_Toc25789"/>
      <w:bookmarkStart w:id="1673" w:name="_Toc518573692"/>
      <w:bookmarkStart w:id="1674" w:name="_Toc2666"/>
      <w:bookmarkStart w:id="1675" w:name="_Toc518240140"/>
      <w:bookmarkStart w:id="1676" w:name="_Toc4406"/>
      <w:bookmarkStart w:id="1677" w:name="_Toc15595"/>
      <w:bookmarkStart w:id="1678" w:name="_Toc518573576"/>
      <w:r>
        <w:rPr>
          <w:rStyle w:val="70"/>
          <w:rFonts w:hint="eastAsia" w:ascii="宋体" w:hAnsi="宋体"/>
          <w:sz w:val="24"/>
          <w:szCs w:val="24"/>
        </w:rPr>
        <w:t>1、工程条件</w:t>
      </w:r>
      <w:bookmarkEnd w:id="1661"/>
      <w:bookmarkEnd w:id="1662"/>
      <w:bookmarkEnd w:id="1663"/>
      <w:bookmarkEnd w:id="1664"/>
      <w:bookmarkEnd w:id="1665"/>
      <w:bookmarkEnd w:id="1666"/>
      <w:bookmarkEnd w:id="1667"/>
      <w:bookmarkEnd w:id="1668"/>
      <w:bookmarkEnd w:id="1669"/>
      <w:bookmarkEnd w:id="1670"/>
      <w:bookmarkEnd w:id="1671"/>
      <w:bookmarkEnd w:id="1672"/>
    </w:p>
    <w:p w14:paraId="195356E4">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outlineLvl w:val="9"/>
        <w:rPr>
          <w:rStyle w:val="70"/>
          <w:rFonts w:ascii="宋体" w:hAnsi="宋体"/>
          <w:sz w:val="24"/>
          <w:szCs w:val="24"/>
        </w:rPr>
      </w:pPr>
      <w:r>
        <w:rPr>
          <w:rStyle w:val="70"/>
          <w:rFonts w:ascii="宋体" w:hAnsi="宋体"/>
          <w:sz w:val="24"/>
          <w:szCs w:val="24"/>
        </w:rPr>
        <w:t>1.</w:t>
      </w:r>
      <w:r>
        <w:rPr>
          <w:rStyle w:val="70"/>
          <w:rFonts w:hint="eastAsia" w:ascii="宋体" w:hAnsi="宋体"/>
          <w:sz w:val="24"/>
          <w:szCs w:val="24"/>
        </w:rPr>
        <w:t>1施工现场</w:t>
      </w:r>
    </w:p>
    <w:p w14:paraId="0833D53D">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outlineLvl w:val="9"/>
        <w:rPr>
          <w:rStyle w:val="70"/>
          <w:rFonts w:ascii="宋体" w:hAnsi="宋体"/>
          <w:sz w:val="24"/>
          <w:szCs w:val="24"/>
        </w:rPr>
      </w:pPr>
      <w:r>
        <w:rPr>
          <w:rStyle w:val="70"/>
          <w:rFonts w:ascii="宋体" w:hAnsi="宋体"/>
          <w:sz w:val="24"/>
          <w:szCs w:val="24"/>
        </w:rPr>
        <w:t>1.</w:t>
      </w:r>
      <w:r>
        <w:rPr>
          <w:rStyle w:val="70"/>
          <w:rFonts w:hint="eastAsia" w:ascii="宋体" w:hAnsi="宋体"/>
          <w:sz w:val="24"/>
          <w:szCs w:val="24"/>
        </w:rPr>
        <w:t>1</w:t>
      </w:r>
      <w:r>
        <w:rPr>
          <w:rStyle w:val="70"/>
          <w:rFonts w:ascii="宋体" w:hAnsi="宋体"/>
          <w:sz w:val="24"/>
          <w:szCs w:val="24"/>
        </w:rPr>
        <w:t>.1</w:t>
      </w:r>
      <w:r>
        <w:rPr>
          <w:rStyle w:val="70"/>
          <w:rFonts w:hint="eastAsia" w:ascii="宋体" w:hAnsi="宋体"/>
          <w:sz w:val="24"/>
          <w:szCs w:val="24"/>
        </w:rPr>
        <w:t>施工现场通讯设施、施工生产、生活用水、用电均由中标人自行安表计量，费用自理。</w:t>
      </w:r>
    </w:p>
    <w:p w14:paraId="632EE144">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outlineLvl w:val="9"/>
        <w:rPr>
          <w:rStyle w:val="70"/>
          <w:rFonts w:ascii="宋体" w:hAnsi="宋体"/>
          <w:sz w:val="24"/>
          <w:szCs w:val="24"/>
        </w:rPr>
      </w:pPr>
      <w:r>
        <w:rPr>
          <w:rStyle w:val="70"/>
          <w:rFonts w:ascii="宋体" w:hAnsi="宋体"/>
          <w:sz w:val="24"/>
          <w:szCs w:val="24"/>
        </w:rPr>
        <w:t>1.</w:t>
      </w:r>
      <w:r>
        <w:rPr>
          <w:rStyle w:val="70"/>
          <w:rFonts w:hint="eastAsia" w:ascii="宋体" w:hAnsi="宋体"/>
          <w:sz w:val="24"/>
          <w:szCs w:val="24"/>
        </w:rPr>
        <w:t>1</w:t>
      </w:r>
      <w:r>
        <w:rPr>
          <w:rStyle w:val="70"/>
          <w:rFonts w:ascii="宋体" w:hAnsi="宋体"/>
          <w:sz w:val="24"/>
          <w:szCs w:val="24"/>
        </w:rPr>
        <w:t>.2</w:t>
      </w:r>
      <w:r>
        <w:rPr>
          <w:rStyle w:val="70"/>
          <w:rFonts w:hint="eastAsia" w:ascii="宋体" w:hAnsi="宋体"/>
          <w:sz w:val="24"/>
          <w:szCs w:val="24"/>
        </w:rPr>
        <w:t>中标人在施工现场搭设的临时设施，在工程竣工验收后在合同中约定时间内必须拆除。</w:t>
      </w:r>
    </w:p>
    <w:p w14:paraId="068C44E3">
      <w:pPr>
        <w:pStyle w:val="67"/>
        <w:keepNext w:val="0"/>
        <w:keepLines w:val="0"/>
        <w:pageBreakBefore w:val="0"/>
        <w:widowControl w:val="0"/>
        <w:kinsoku/>
        <w:wordWrap/>
        <w:overflowPunct/>
        <w:topLinePunct w:val="0"/>
        <w:autoSpaceDE/>
        <w:autoSpaceDN/>
        <w:bidi w:val="0"/>
        <w:adjustRightInd/>
        <w:spacing w:beforeAutospacing="0" w:afterAutospacing="0" w:line="420" w:lineRule="exact"/>
        <w:ind w:firstLine="420"/>
        <w:jc w:val="both"/>
        <w:textAlignment w:val="auto"/>
        <w:outlineLvl w:val="9"/>
        <w:rPr>
          <w:rStyle w:val="70"/>
          <w:rFonts w:ascii="宋体" w:hAnsi="宋体"/>
          <w:sz w:val="24"/>
          <w:szCs w:val="24"/>
        </w:rPr>
      </w:pPr>
      <w:bookmarkStart w:id="1679" w:name="_Toc23192"/>
      <w:bookmarkStart w:id="1680" w:name="_Toc30393"/>
      <w:bookmarkStart w:id="1681" w:name="_Toc21531"/>
      <w:bookmarkStart w:id="1682" w:name="_Toc30611"/>
      <w:bookmarkStart w:id="1683" w:name="_Toc31010"/>
      <w:bookmarkStart w:id="1684" w:name="_Toc6667"/>
      <w:r>
        <w:rPr>
          <w:rStyle w:val="70"/>
          <w:rFonts w:hint="eastAsia" w:ascii="宋体" w:hAnsi="宋体"/>
          <w:sz w:val="24"/>
          <w:szCs w:val="24"/>
        </w:rPr>
        <w:t>2、技术规范</w:t>
      </w:r>
      <w:bookmarkEnd w:id="1673"/>
      <w:bookmarkEnd w:id="1674"/>
      <w:bookmarkEnd w:id="1675"/>
      <w:bookmarkEnd w:id="1676"/>
      <w:bookmarkEnd w:id="1677"/>
      <w:bookmarkEnd w:id="1678"/>
      <w:bookmarkEnd w:id="1679"/>
      <w:bookmarkEnd w:id="1680"/>
      <w:bookmarkEnd w:id="1681"/>
      <w:bookmarkEnd w:id="1682"/>
      <w:bookmarkEnd w:id="1683"/>
      <w:bookmarkEnd w:id="1684"/>
    </w:p>
    <w:p w14:paraId="494F86A4">
      <w:pPr>
        <w:pStyle w:val="68"/>
        <w:keepNext w:val="0"/>
        <w:keepLines w:val="0"/>
        <w:pageBreakBefore w:val="0"/>
        <w:widowControl w:val="0"/>
        <w:kinsoku/>
        <w:wordWrap/>
        <w:overflowPunct/>
        <w:topLinePunct w:val="0"/>
        <w:autoSpaceDE/>
        <w:autoSpaceDN/>
        <w:bidi w:val="0"/>
        <w:adjustRightInd/>
        <w:spacing w:line="420" w:lineRule="exact"/>
        <w:ind w:firstLine="482"/>
        <w:jc w:val="both"/>
        <w:textAlignment w:val="auto"/>
        <w:outlineLvl w:val="9"/>
        <w:rPr>
          <w:rStyle w:val="70"/>
          <w:rFonts w:ascii="宋体" w:hAnsi="宋体"/>
          <w:b/>
          <w:bCs/>
          <w:sz w:val="24"/>
          <w:szCs w:val="24"/>
        </w:rPr>
      </w:pPr>
      <w:r>
        <w:rPr>
          <w:rStyle w:val="70"/>
          <w:rFonts w:ascii="宋体" w:hAnsi="宋体"/>
          <w:b/>
          <w:bCs/>
          <w:sz w:val="24"/>
          <w:szCs w:val="24"/>
        </w:rPr>
        <w:t>2.1</w:t>
      </w:r>
      <w:r>
        <w:rPr>
          <w:rStyle w:val="70"/>
          <w:rFonts w:hint="eastAsia" w:ascii="宋体" w:hAnsi="宋体"/>
          <w:b/>
          <w:bCs/>
          <w:sz w:val="24"/>
          <w:szCs w:val="24"/>
        </w:rPr>
        <w:t>工程建设标准</w:t>
      </w:r>
    </w:p>
    <w:p w14:paraId="181DCD37">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outlineLvl w:val="9"/>
        <w:rPr>
          <w:rStyle w:val="70"/>
          <w:rFonts w:ascii="宋体" w:hAnsi="宋体"/>
          <w:sz w:val="24"/>
          <w:szCs w:val="24"/>
        </w:rPr>
      </w:pPr>
      <w:r>
        <w:rPr>
          <w:rStyle w:val="70"/>
          <w:rFonts w:ascii="宋体" w:hAnsi="宋体"/>
          <w:sz w:val="24"/>
          <w:szCs w:val="24"/>
        </w:rPr>
        <w:t>2.1.1</w:t>
      </w:r>
      <w:r>
        <w:rPr>
          <w:rStyle w:val="70"/>
          <w:rFonts w:hint="eastAsia" w:ascii="宋体" w:hAnsi="宋体"/>
          <w:sz w:val="24"/>
          <w:szCs w:val="24"/>
        </w:rPr>
        <w:t>依据设计文件的要求，本招标工程项目的材料、设备、施工须达到下列现行中华人民共和国及自治区或行业的工程建设标准、规范要求，并应严格执行工程建设强制性标准。</w:t>
      </w:r>
    </w:p>
    <w:p w14:paraId="182E3154">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rPr>
          <w:rStyle w:val="70"/>
          <w:rFonts w:ascii="宋体" w:hAnsi="宋体"/>
          <w:sz w:val="24"/>
          <w:szCs w:val="24"/>
          <w:highlight w:val="yellow"/>
        </w:rPr>
      </w:pPr>
      <w:r>
        <w:rPr>
          <w:rStyle w:val="70"/>
          <w:rFonts w:ascii="宋体" w:hAnsi="宋体"/>
          <w:sz w:val="24"/>
          <w:szCs w:val="24"/>
        </w:rPr>
        <w:t>2.1.2</w:t>
      </w:r>
      <w:r>
        <w:rPr>
          <w:rStyle w:val="70"/>
          <w:rFonts w:hint="eastAsia" w:ascii="宋体" w:hAnsi="宋体"/>
          <w:sz w:val="24"/>
          <w:szCs w:val="24"/>
        </w:rPr>
        <w:t>投标人应按国家、行业及自治区现行的有关工程建设标准、规范、规程及相关的法律、法规执行。</w:t>
      </w:r>
    </w:p>
    <w:p w14:paraId="746349D7">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rPr>
          <w:rStyle w:val="70"/>
          <w:rFonts w:ascii="宋体" w:hAnsi="宋体"/>
          <w:sz w:val="24"/>
          <w:szCs w:val="24"/>
        </w:rPr>
      </w:pPr>
      <w:r>
        <w:rPr>
          <w:rStyle w:val="70"/>
          <w:rFonts w:ascii="宋体" w:hAnsi="宋体"/>
          <w:sz w:val="24"/>
          <w:szCs w:val="24"/>
        </w:rPr>
        <w:t>2.2</w:t>
      </w:r>
      <w:r>
        <w:rPr>
          <w:rStyle w:val="70"/>
          <w:rFonts w:hint="eastAsia" w:ascii="宋体" w:hAnsi="宋体"/>
          <w:sz w:val="24"/>
          <w:szCs w:val="24"/>
        </w:rPr>
        <w:t>工程材料：本工程承包范围内施工所用材料均由中标人负责，必须采用合格产品；若有备选的多种产品，则择优选择。中标人采购的材料，必须由招标人组织中标单位、设计单位、监理单位共同参加，选择供应商和确定品种、规格、价格后，由中标人负责签订采购合同，货款由中标人直接支付给供货商，如有拖欠货款等特殊情况，招标人有权直接从中标人工程款中扣除支付。中标人采购的材料由中标人负责运输、装卸及保管。中标人采购的材料必须保证质量，并附有材质证明，进货厂家、质量证明及价格，必须经得监理工程师、招标人代表的书面认定，到货后还应提供合格证、化验单等有关质量文件；如果需要的话，中标人还须将材料样品送至有关检测部门检测，相关的检测费用由中标人承担。</w:t>
      </w:r>
    </w:p>
    <w:p w14:paraId="666DBCEC">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rPr>
          <w:rStyle w:val="70"/>
          <w:rFonts w:ascii="宋体" w:hAnsi="宋体"/>
          <w:sz w:val="24"/>
          <w:szCs w:val="24"/>
        </w:rPr>
      </w:pPr>
      <w:r>
        <w:rPr>
          <w:rStyle w:val="70"/>
          <w:rFonts w:ascii="宋体" w:hAnsi="宋体"/>
          <w:sz w:val="24"/>
          <w:szCs w:val="24"/>
        </w:rPr>
        <w:t>2.3</w:t>
      </w:r>
      <w:r>
        <w:rPr>
          <w:rStyle w:val="70"/>
          <w:rFonts w:hint="eastAsia" w:ascii="宋体" w:hAnsi="宋体"/>
          <w:sz w:val="24"/>
          <w:szCs w:val="24"/>
        </w:rPr>
        <w:t>安全防护措施：中标人应按照国家和内蒙古自治区有关法律、法规制定安全保护措施。现场应有专职的安全员，制定切实可行的劳动保护、防火、照明、信号灯等有关安全方面的措施。</w:t>
      </w:r>
    </w:p>
    <w:p w14:paraId="4BC97E45">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rPr>
          <w:rStyle w:val="70"/>
          <w:rFonts w:ascii="宋体" w:hAnsi="宋体"/>
          <w:sz w:val="24"/>
          <w:szCs w:val="24"/>
        </w:rPr>
      </w:pPr>
      <w:r>
        <w:rPr>
          <w:rStyle w:val="70"/>
          <w:rFonts w:ascii="宋体" w:hAnsi="宋体"/>
          <w:sz w:val="24"/>
          <w:szCs w:val="24"/>
        </w:rPr>
        <w:t>2.4</w:t>
      </w:r>
      <w:r>
        <w:rPr>
          <w:rStyle w:val="70"/>
          <w:rFonts w:hint="eastAsia" w:ascii="宋体" w:hAnsi="宋体"/>
          <w:sz w:val="24"/>
          <w:szCs w:val="24"/>
        </w:rPr>
        <w:t>水土保持与环保</w:t>
      </w:r>
    </w:p>
    <w:p w14:paraId="041DABAA">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rPr>
          <w:rStyle w:val="70"/>
          <w:rFonts w:ascii="宋体" w:hAnsi="宋体"/>
          <w:sz w:val="24"/>
          <w:szCs w:val="24"/>
        </w:rPr>
      </w:pPr>
      <w:r>
        <w:rPr>
          <w:rStyle w:val="70"/>
          <w:rFonts w:ascii="宋体" w:hAnsi="宋体"/>
          <w:sz w:val="24"/>
          <w:szCs w:val="24"/>
        </w:rPr>
        <w:t>2.4.1</w:t>
      </w:r>
      <w:r>
        <w:rPr>
          <w:rStyle w:val="70"/>
          <w:rFonts w:hint="eastAsia" w:ascii="宋体" w:hAnsi="宋体"/>
          <w:sz w:val="24"/>
          <w:szCs w:val="24"/>
        </w:rPr>
        <w:t>投标人应按照国家和内蒙古自治区有关法律、法规及有关规定制定水土保持和环保方面的措施；</w:t>
      </w:r>
    </w:p>
    <w:p w14:paraId="3E42DBB4">
      <w:pPr>
        <w:pStyle w:val="68"/>
        <w:keepNext w:val="0"/>
        <w:keepLines w:val="0"/>
        <w:pageBreakBefore w:val="0"/>
        <w:widowControl w:val="0"/>
        <w:kinsoku/>
        <w:wordWrap/>
        <w:overflowPunct/>
        <w:topLinePunct w:val="0"/>
        <w:autoSpaceDE/>
        <w:autoSpaceDN/>
        <w:bidi w:val="0"/>
        <w:adjustRightInd/>
        <w:spacing w:line="420" w:lineRule="exact"/>
        <w:ind w:firstLine="480"/>
        <w:jc w:val="both"/>
        <w:textAlignment w:val="auto"/>
        <w:rPr>
          <w:rStyle w:val="70"/>
          <w:rFonts w:ascii="宋体" w:hAnsi="宋体"/>
          <w:sz w:val="24"/>
          <w:szCs w:val="24"/>
        </w:rPr>
        <w:sectPr>
          <w:footerReference r:id="rId5" w:type="default"/>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bookmarkStart w:id="1685" w:name="_Toc6312"/>
      <w:r>
        <w:rPr>
          <w:rStyle w:val="70"/>
          <w:rFonts w:hint="eastAsia" w:ascii="宋体" w:hAnsi="宋体"/>
          <w:sz w:val="24"/>
          <w:szCs w:val="24"/>
        </w:rPr>
        <w:t>2.4.2要求投标人在施工中不得扰民和造成环境污染、污水、垃圾、废渣应及时清理。</w:t>
      </w:r>
      <w:bookmarkEnd w:id="1685"/>
      <w:bookmarkStart w:id="1686" w:name="_Toc24361"/>
    </w:p>
    <w:p w14:paraId="6F222CFD">
      <w:pPr>
        <w:pStyle w:val="2"/>
        <w:numPr>
          <w:ilvl w:val="0"/>
          <w:numId w:val="6"/>
        </w:numPr>
        <w:spacing w:before="0" w:after="0" w:line="360" w:lineRule="auto"/>
        <w:jc w:val="center"/>
        <w:rPr>
          <w:rFonts w:ascii="宋体" w:hAnsi="宋体" w:cs="宋体"/>
        </w:rPr>
      </w:pPr>
      <w:r>
        <w:rPr>
          <w:rFonts w:hint="eastAsia" w:ascii="宋体" w:hAnsi="宋体" w:cs="宋体"/>
        </w:rPr>
        <w:t xml:space="preserve"> </w:t>
      </w:r>
      <w:bookmarkStart w:id="1687" w:name="_Toc11709"/>
      <w:r>
        <w:rPr>
          <w:rFonts w:hint="eastAsia" w:ascii="宋体" w:hAnsi="宋体" w:cs="宋体"/>
        </w:rPr>
        <w:t>工程量清单</w:t>
      </w:r>
      <w:bookmarkEnd w:id="1687"/>
    </w:p>
    <w:bookmarkEnd w:id="1686"/>
    <w:p w14:paraId="3DF40319">
      <w:pPr>
        <w:pStyle w:val="2"/>
        <w:jc w:val="center"/>
        <w:rPr>
          <w:rFonts w:hint="eastAsia"/>
          <w:sz w:val="40"/>
          <w:szCs w:val="52"/>
        </w:rPr>
      </w:pPr>
    </w:p>
    <w:p w14:paraId="6E61C0D4">
      <w:pPr>
        <w:rPr>
          <w:rFonts w:hint="eastAsia"/>
          <w:lang w:val="en-US" w:eastAsia="zh-CN"/>
        </w:rPr>
      </w:pPr>
    </w:p>
    <w:p w14:paraId="7F990139">
      <w:pPr>
        <w:rPr>
          <w:rFonts w:hint="eastAsia"/>
          <w:lang w:val="en-US" w:eastAsia="zh-CN"/>
        </w:rPr>
      </w:pPr>
    </w:p>
    <w:p w14:paraId="5319EC01">
      <w:pPr>
        <w:rPr>
          <w:rFonts w:hint="eastAsia"/>
          <w:lang w:val="en-US" w:eastAsia="zh-CN"/>
        </w:rPr>
      </w:pPr>
    </w:p>
    <w:p w14:paraId="5F16D574">
      <w:pPr>
        <w:rPr>
          <w:rFonts w:hint="eastAsia"/>
          <w:lang w:val="en-US" w:eastAsia="zh-CN"/>
        </w:rPr>
      </w:pPr>
    </w:p>
    <w:p w14:paraId="723D25B0">
      <w:pPr>
        <w:rPr>
          <w:rFonts w:hint="eastAsia"/>
          <w:lang w:val="en-US" w:eastAsia="zh-CN"/>
        </w:rPr>
      </w:pPr>
    </w:p>
    <w:p w14:paraId="3945F25F">
      <w:pPr>
        <w:jc w:val="center"/>
        <w:rPr>
          <w:rFonts w:hint="eastAsia"/>
          <w:b/>
          <w:bCs/>
          <w:sz w:val="32"/>
          <w:szCs w:val="36"/>
          <w:lang w:val="en-US" w:eastAsia="zh-CN"/>
        </w:rPr>
      </w:pPr>
      <w:r>
        <w:rPr>
          <w:rFonts w:hint="eastAsia"/>
          <w:b/>
          <w:bCs/>
          <w:sz w:val="32"/>
          <w:szCs w:val="36"/>
          <w:lang w:val="en-US" w:eastAsia="zh-CN"/>
        </w:rPr>
        <w:t>（另附）</w:t>
      </w:r>
    </w:p>
    <w:p w14:paraId="788F4260">
      <w:pPr>
        <w:pStyle w:val="3"/>
        <w:rPr>
          <w:rFonts w:hint="eastAsia"/>
          <w:b/>
          <w:bCs/>
          <w:sz w:val="32"/>
          <w:szCs w:val="36"/>
          <w:lang w:val="en-US" w:eastAsia="zh-CN"/>
        </w:rPr>
      </w:pPr>
    </w:p>
    <w:p w14:paraId="2FFB0460">
      <w:pPr>
        <w:rPr>
          <w:rFonts w:hint="eastAsia"/>
          <w:b/>
          <w:bCs/>
          <w:sz w:val="32"/>
          <w:szCs w:val="36"/>
          <w:lang w:val="en-US" w:eastAsia="zh-CN"/>
        </w:rPr>
      </w:pPr>
    </w:p>
    <w:p w14:paraId="480F9755">
      <w:pPr>
        <w:pStyle w:val="3"/>
        <w:rPr>
          <w:rFonts w:hint="eastAsia"/>
          <w:b/>
          <w:bCs/>
          <w:sz w:val="32"/>
          <w:szCs w:val="36"/>
          <w:lang w:val="en-US" w:eastAsia="zh-CN"/>
        </w:rPr>
      </w:pPr>
    </w:p>
    <w:p w14:paraId="0BD09CAA">
      <w:pPr>
        <w:rPr>
          <w:rFonts w:hint="eastAsia"/>
          <w:b/>
          <w:bCs/>
          <w:sz w:val="32"/>
          <w:szCs w:val="36"/>
          <w:lang w:val="en-US" w:eastAsia="zh-CN"/>
        </w:rPr>
      </w:pPr>
    </w:p>
    <w:p w14:paraId="58C3E3D7">
      <w:pPr>
        <w:pStyle w:val="3"/>
        <w:rPr>
          <w:rFonts w:hint="eastAsia"/>
          <w:b/>
          <w:bCs/>
          <w:sz w:val="32"/>
          <w:szCs w:val="36"/>
          <w:lang w:val="en-US" w:eastAsia="zh-CN"/>
        </w:rPr>
      </w:pPr>
    </w:p>
    <w:p w14:paraId="3CF747D3">
      <w:pPr>
        <w:rPr>
          <w:rFonts w:hint="eastAsia"/>
          <w:b/>
          <w:bCs/>
          <w:sz w:val="32"/>
          <w:szCs w:val="36"/>
          <w:lang w:val="en-US" w:eastAsia="zh-CN"/>
        </w:rPr>
      </w:pPr>
    </w:p>
    <w:p w14:paraId="020A6F78">
      <w:pPr>
        <w:pStyle w:val="3"/>
        <w:rPr>
          <w:rFonts w:hint="eastAsia"/>
          <w:b/>
          <w:bCs/>
          <w:sz w:val="32"/>
          <w:szCs w:val="36"/>
          <w:lang w:val="en-US" w:eastAsia="zh-CN"/>
        </w:rPr>
      </w:pPr>
    </w:p>
    <w:p w14:paraId="1636C187">
      <w:pPr>
        <w:rPr>
          <w:rFonts w:hint="eastAsia"/>
          <w:b/>
          <w:bCs/>
          <w:sz w:val="32"/>
          <w:szCs w:val="36"/>
          <w:lang w:val="en-US" w:eastAsia="zh-CN"/>
        </w:rPr>
      </w:pPr>
    </w:p>
    <w:p w14:paraId="11C33380">
      <w:pPr>
        <w:pStyle w:val="3"/>
        <w:rPr>
          <w:rFonts w:hint="eastAsia"/>
          <w:b/>
          <w:bCs/>
          <w:sz w:val="32"/>
          <w:szCs w:val="36"/>
          <w:lang w:val="en-US" w:eastAsia="zh-CN"/>
        </w:rPr>
      </w:pPr>
    </w:p>
    <w:p w14:paraId="166AAAA0">
      <w:pPr>
        <w:rPr>
          <w:rFonts w:hint="eastAsia"/>
          <w:b/>
          <w:bCs/>
          <w:sz w:val="32"/>
          <w:szCs w:val="36"/>
          <w:lang w:val="en-US" w:eastAsia="zh-CN"/>
        </w:rPr>
      </w:pPr>
    </w:p>
    <w:p w14:paraId="74975B33">
      <w:pPr>
        <w:pStyle w:val="3"/>
        <w:rPr>
          <w:rFonts w:hint="eastAsia"/>
          <w:b/>
          <w:bCs/>
          <w:sz w:val="32"/>
          <w:szCs w:val="36"/>
          <w:lang w:val="en-US" w:eastAsia="zh-CN"/>
        </w:rPr>
      </w:pPr>
    </w:p>
    <w:p w14:paraId="14100C16">
      <w:pPr>
        <w:rPr>
          <w:rFonts w:hint="eastAsia"/>
          <w:lang w:val="en-US" w:eastAsia="zh-CN"/>
        </w:rPr>
      </w:pPr>
    </w:p>
    <w:p w14:paraId="4C4DE3CC">
      <w:pPr>
        <w:pStyle w:val="2"/>
        <w:numPr>
          <w:ilvl w:val="0"/>
          <w:numId w:val="6"/>
        </w:numPr>
        <w:spacing w:before="0" w:after="0" w:line="360" w:lineRule="auto"/>
        <w:jc w:val="center"/>
        <w:rPr>
          <w:rFonts w:hint="eastAsia" w:ascii="宋体" w:hAnsi="宋体" w:cs="宋体"/>
        </w:rPr>
      </w:pPr>
      <w:r>
        <w:rPr>
          <w:rFonts w:hint="eastAsia" w:ascii="宋体" w:hAnsi="宋体" w:cs="宋体"/>
        </w:rPr>
        <w:t xml:space="preserve"> </w:t>
      </w:r>
      <w:bookmarkStart w:id="1688" w:name="_Toc29690"/>
      <w:r>
        <w:rPr>
          <w:rFonts w:hint="eastAsia" w:ascii="宋体" w:hAnsi="宋体" w:cs="宋体"/>
          <w:lang w:eastAsia="zh-CN"/>
        </w:rPr>
        <w:t>图纸</w:t>
      </w:r>
      <w:bookmarkEnd w:id="1688"/>
    </w:p>
    <w:p w14:paraId="5F04B03C">
      <w:pPr>
        <w:rPr>
          <w:rFonts w:hint="eastAsia"/>
          <w:sz w:val="40"/>
          <w:szCs w:val="52"/>
          <w:lang w:eastAsia="zh-CN"/>
        </w:rPr>
      </w:pPr>
    </w:p>
    <w:p w14:paraId="25AE4248">
      <w:pPr>
        <w:pStyle w:val="3"/>
        <w:jc w:val="center"/>
        <w:rPr>
          <w:rFonts w:hint="eastAsia" w:ascii="宋体" w:hAnsi="宋体" w:eastAsia="宋体" w:cs="宋体"/>
          <w:b/>
          <w:bCs/>
          <w:kern w:val="2"/>
          <w:sz w:val="28"/>
          <w:szCs w:val="28"/>
          <w:lang w:val="en-US" w:eastAsia="zh-CN" w:bidi="ar-SA"/>
        </w:rPr>
      </w:pPr>
    </w:p>
    <w:p w14:paraId="395284E4">
      <w:pPr>
        <w:pStyle w:val="3"/>
        <w:jc w:val="center"/>
        <w:rPr>
          <w:rFonts w:hint="eastAsia" w:ascii="宋体" w:hAnsi="宋体" w:eastAsia="宋体" w:cs="宋体"/>
          <w:b/>
          <w:bCs/>
          <w:kern w:val="2"/>
          <w:sz w:val="28"/>
          <w:szCs w:val="28"/>
          <w:lang w:val="en-US" w:eastAsia="zh-CN" w:bidi="ar-SA"/>
        </w:rPr>
      </w:pPr>
    </w:p>
    <w:p w14:paraId="1196B9EB">
      <w:pPr>
        <w:jc w:val="center"/>
        <w:rPr>
          <w:rFonts w:hint="eastAsia"/>
          <w:b/>
          <w:bCs/>
          <w:sz w:val="32"/>
          <w:szCs w:val="36"/>
          <w:lang w:val="en-US" w:eastAsia="zh-CN"/>
        </w:rPr>
      </w:pPr>
      <w:bookmarkStart w:id="1689" w:name="_Toc11310"/>
      <w:r>
        <w:rPr>
          <w:rFonts w:hint="eastAsia"/>
          <w:b/>
          <w:bCs/>
          <w:sz w:val="32"/>
          <w:szCs w:val="36"/>
          <w:lang w:val="en-US" w:eastAsia="zh-CN"/>
        </w:rPr>
        <w:t>（另附）</w:t>
      </w:r>
      <w:bookmarkEnd w:id="1689"/>
    </w:p>
    <w:p w14:paraId="3A7AD136">
      <w:pPr>
        <w:rPr>
          <w:rFonts w:hint="eastAsia"/>
          <w:sz w:val="40"/>
          <w:szCs w:val="52"/>
          <w:lang w:eastAsia="zh-CN"/>
        </w:rPr>
      </w:pPr>
    </w:p>
    <w:p w14:paraId="4A6C4FA8">
      <w:pPr>
        <w:pStyle w:val="3"/>
        <w:rPr>
          <w:rFonts w:hint="eastAsia"/>
        </w:rPr>
      </w:pPr>
    </w:p>
    <w:p w14:paraId="153473B5">
      <w:pPr>
        <w:rPr>
          <w:rFonts w:hint="eastAsia"/>
        </w:rPr>
      </w:pPr>
    </w:p>
    <w:p w14:paraId="28998B59">
      <w:pPr>
        <w:pStyle w:val="3"/>
        <w:rPr>
          <w:rFonts w:hint="eastAsia"/>
        </w:rPr>
      </w:pPr>
    </w:p>
    <w:p w14:paraId="4873E45B">
      <w:pPr>
        <w:rPr>
          <w:rFonts w:hint="eastAsia"/>
        </w:rPr>
      </w:pPr>
    </w:p>
    <w:p w14:paraId="63C50FDD">
      <w:pPr>
        <w:pStyle w:val="3"/>
        <w:rPr>
          <w:rFonts w:hint="eastAsia"/>
        </w:rPr>
      </w:pPr>
    </w:p>
    <w:p w14:paraId="01B30755">
      <w:pPr>
        <w:rPr>
          <w:rFonts w:hint="eastAsia"/>
        </w:rPr>
      </w:pPr>
    </w:p>
    <w:p w14:paraId="34E69ADE">
      <w:pPr>
        <w:pStyle w:val="3"/>
        <w:rPr>
          <w:rFonts w:hint="eastAsia"/>
        </w:rPr>
      </w:pPr>
    </w:p>
    <w:p w14:paraId="7E36AD88">
      <w:pPr>
        <w:rPr>
          <w:rFonts w:hint="eastAsia"/>
        </w:rPr>
      </w:pPr>
    </w:p>
    <w:p w14:paraId="768AD77C">
      <w:pPr>
        <w:pStyle w:val="3"/>
        <w:rPr>
          <w:rFonts w:hint="eastAsia"/>
        </w:rPr>
      </w:pPr>
    </w:p>
    <w:p w14:paraId="5D258496">
      <w:pPr>
        <w:rPr>
          <w:rFonts w:hint="eastAsia"/>
        </w:rPr>
      </w:pPr>
    </w:p>
    <w:p w14:paraId="0F67B57C">
      <w:pPr>
        <w:pStyle w:val="3"/>
        <w:rPr>
          <w:rFonts w:hint="eastAsia"/>
        </w:rPr>
      </w:pPr>
    </w:p>
    <w:p w14:paraId="20E092DE">
      <w:pPr>
        <w:rPr>
          <w:rFonts w:hint="eastAsia"/>
        </w:rPr>
      </w:pPr>
      <w:r>
        <w:rPr>
          <w:rFonts w:hint="eastAsia"/>
        </w:rPr>
        <w:br w:type="textWrapping"/>
      </w:r>
      <w:r>
        <w:rPr>
          <w:rFonts w:hint="eastAsia"/>
        </w:rPr>
        <w:br w:type="textWrapping"/>
      </w:r>
    </w:p>
    <w:p w14:paraId="3F9E193B">
      <w:pPr>
        <w:pStyle w:val="2"/>
        <w:numPr>
          <w:ilvl w:val="0"/>
          <w:numId w:val="6"/>
        </w:numPr>
        <w:spacing w:before="0" w:after="0" w:line="360" w:lineRule="auto"/>
        <w:jc w:val="center"/>
        <w:rPr>
          <w:rFonts w:hint="eastAsia" w:ascii="宋体" w:hAnsi="宋体" w:cs="宋体"/>
        </w:rPr>
      </w:pPr>
      <w:bookmarkStart w:id="1690" w:name="_Toc13600"/>
      <w:r>
        <w:rPr>
          <w:rFonts w:hint="eastAsia" w:ascii="宋体" w:hAnsi="宋体" w:cs="宋体"/>
        </w:rPr>
        <w:t>投标文件格式</w:t>
      </w:r>
      <w:bookmarkEnd w:id="1690"/>
    </w:p>
    <w:p w14:paraId="229F7E67">
      <w:pPr>
        <w:tabs>
          <w:tab w:val="right" w:pos="8312"/>
        </w:tabs>
        <w:bidi w:val="0"/>
        <w:jc w:val="left"/>
        <w:rPr>
          <w:rFonts w:hint="eastAsia" w:cs="Times New Roman"/>
          <w:kern w:val="2"/>
          <w:sz w:val="21"/>
          <w:szCs w:val="22"/>
          <w:lang w:val="en-US" w:eastAsia="zh-CN" w:bidi="ar-SA"/>
        </w:rPr>
      </w:pPr>
    </w:p>
    <w:p w14:paraId="7AB2407F">
      <w:pPr>
        <w:spacing w:before="240"/>
        <w:jc w:val="center"/>
        <w:rPr>
          <w:rFonts w:hint="eastAsia" w:ascii="宋体" w:hAnsi="宋体" w:cs="宋体"/>
          <w:b w:val="0"/>
          <w:bCs w:val="0"/>
          <w:sz w:val="44"/>
          <w:szCs w:val="44"/>
          <w:lang w:eastAsia="zh-CN"/>
        </w:rPr>
      </w:pPr>
    </w:p>
    <w:p w14:paraId="6FF05F18">
      <w:pPr>
        <w:spacing w:before="240"/>
        <w:jc w:val="center"/>
        <w:rPr>
          <w:rFonts w:hint="eastAsia" w:ascii="宋体" w:hAnsi="宋体" w:cs="宋体"/>
          <w:b w:val="0"/>
          <w:bCs w:val="0"/>
          <w:sz w:val="44"/>
          <w:szCs w:val="44"/>
          <w:lang w:eastAsia="zh-CN"/>
        </w:rPr>
      </w:pPr>
    </w:p>
    <w:p w14:paraId="06C9C1F2">
      <w:pPr>
        <w:spacing w:before="240"/>
        <w:jc w:val="center"/>
        <w:rPr>
          <w:rFonts w:hint="eastAsia" w:ascii="宋体" w:hAnsi="宋体" w:eastAsia="宋体" w:cs="宋体"/>
          <w:b w:val="0"/>
          <w:bCs w:val="0"/>
          <w:sz w:val="44"/>
          <w:szCs w:val="44"/>
          <w:lang w:eastAsia="zh-CN"/>
        </w:rPr>
      </w:pPr>
      <w:r>
        <w:rPr>
          <w:rFonts w:hint="eastAsia" w:ascii="宋体" w:hAnsi="宋体" w:cs="宋体"/>
          <w:b w:val="0"/>
          <w:bCs w:val="0"/>
          <w:sz w:val="44"/>
          <w:szCs w:val="44"/>
          <w:lang w:eastAsia="zh-CN"/>
        </w:rPr>
        <w:t>（</w:t>
      </w:r>
      <w:r>
        <w:rPr>
          <w:rFonts w:hint="eastAsia" w:ascii="宋体" w:hAnsi="宋体" w:cs="宋体"/>
          <w:b w:val="0"/>
          <w:bCs w:val="0"/>
          <w:sz w:val="44"/>
          <w:szCs w:val="44"/>
          <w:lang w:val="en-US" w:eastAsia="zh-CN"/>
        </w:rPr>
        <w:t>项目</w:t>
      </w:r>
      <w:r>
        <w:rPr>
          <w:rFonts w:hint="eastAsia" w:ascii="宋体" w:hAnsi="宋体" w:cs="宋体"/>
          <w:b w:val="0"/>
          <w:bCs w:val="0"/>
          <w:sz w:val="44"/>
          <w:szCs w:val="44"/>
          <w:lang w:eastAsia="zh-CN"/>
        </w:rPr>
        <w:t>名称）</w:t>
      </w:r>
    </w:p>
    <w:p w14:paraId="37885E76">
      <w:pPr>
        <w:pStyle w:val="3"/>
        <w:rPr>
          <w:b w:val="0"/>
          <w:bCs w:val="0"/>
        </w:rPr>
      </w:pPr>
    </w:p>
    <w:p w14:paraId="31F5264C">
      <w:pPr>
        <w:rPr>
          <w:b w:val="0"/>
          <w:bCs w:val="0"/>
        </w:rPr>
      </w:pPr>
    </w:p>
    <w:p w14:paraId="5C8AACA4">
      <w:pPr>
        <w:spacing w:before="240"/>
        <w:jc w:val="center"/>
        <w:rPr>
          <w:rFonts w:ascii="宋体" w:hAnsi="宋体" w:cs="宋体"/>
          <w:b w:val="0"/>
          <w:bCs w:val="0"/>
          <w:sz w:val="52"/>
          <w:szCs w:val="52"/>
        </w:rPr>
      </w:pPr>
      <w:r>
        <w:rPr>
          <w:rFonts w:hint="eastAsia" w:ascii="宋体" w:hAnsi="宋体" w:cs="宋体"/>
          <w:b w:val="0"/>
          <w:bCs w:val="0"/>
          <w:sz w:val="56"/>
          <w:szCs w:val="56"/>
        </w:rPr>
        <w:t>投  标  文  件</w:t>
      </w:r>
    </w:p>
    <w:p w14:paraId="21BB7DA5">
      <w:pPr>
        <w:spacing w:before="240"/>
        <w:ind w:firstLine="2240" w:firstLineChars="700"/>
        <w:rPr>
          <w:rFonts w:hint="eastAsia" w:ascii="宋体" w:hAnsi="宋体" w:cs="宋体"/>
          <w:b w:val="0"/>
          <w:bCs w:val="0"/>
          <w:sz w:val="32"/>
          <w:szCs w:val="32"/>
        </w:rPr>
      </w:pPr>
      <w:bookmarkStart w:id="1691" w:name="_Toc12094_WPSOffice_Level2"/>
    </w:p>
    <w:p w14:paraId="353CE1E0">
      <w:pPr>
        <w:spacing w:before="240"/>
        <w:ind w:firstLine="2240" w:firstLineChars="700"/>
        <w:rPr>
          <w:rFonts w:ascii="宋体" w:hAnsi="宋体" w:cs="宋体"/>
          <w:b w:val="0"/>
          <w:bCs w:val="0"/>
          <w:sz w:val="32"/>
          <w:szCs w:val="32"/>
        </w:rPr>
      </w:pPr>
      <w:r>
        <w:rPr>
          <w:rFonts w:hint="eastAsia" w:ascii="宋体" w:hAnsi="宋体" w:cs="宋体"/>
          <w:b w:val="0"/>
          <w:bCs w:val="0"/>
          <w:sz w:val="32"/>
          <w:szCs w:val="32"/>
        </w:rPr>
        <w:t>招标编号：</w:t>
      </w:r>
      <w:bookmarkEnd w:id="1691"/>
      <w:r>
        <w:rPr>
          <w:rFonts w:hint="eastAsia" w:ascii="宋体" w:hAnsi="宋体" w:cs="宋体"/>
          <w:b w:val="0"/>
          <w:bCs w:val="0"/>
          <w:sz w:val="32"/>
          <w:szCs w:val="32"/>
          <w:u w:val="single"/>
        </w:rPr>
        <w:t xml:space="preserve">              </w:t>
      </w:r>
    </w:p>
    <w:p w14:paraId="45360D28">
      <w:pPr>
        <w:jc w:val="center"/>
        <w:rPr>
          <w:rFonts w:ascii="宋体" w:hAnsi="宋体" w:cs="宋体"/>
          <w:sz w:val="32"/>
          <w:szCs w:val="32"/>
        </w:rPr>
      </w:pPr>
    </w:p>
    <w:p w14:paraId="43C017AC">
      <w:pPr>
        <w:jc w:val="center"/>
        <w:rPr>
          <w:rFonts w:ascii="宋体" w:hAnsi="宋体" w:cs="宋体"/>
          <w:sz w:val="32"/>
          <w:szCs w:val="32"/>
        </w:rPr>
      </w:pPr>
    </w:p>
    <w:p w14:paraId="4686072A">
      <w:pPr>
        <w:pStyle w:val="3"/>
        <w:rPr>
          <w:rFonts w:ascii="宋体" w:hAnsi="宋体" w:cs="宋体"/>
        </w:rPr>
      </w:pPr>
    </w:p>
    <w:p w14:paraId="2B5CCE71"/>
    <w:p w14:paraId="5C742082">
      <w:pPr>
        <w:jc w:val="center"/>
        <w:rPr>
          <w:rFonts w:ascii="宋体" w:hAnsi="宋体" w:cs="宋体"/>
          <w:sz w:val="32"/>
          <w:szCs w:val="32"/>
        </w:rPr>
      </w:pPr>
    </w:p>
    <w:p w14:paraId="29D62D38">
      <w:pPr>
        <w:jc w:val="center"/>
        <w:rPr>
          <w:rFonts w:ascii="宋体" w:hAnsi="宋体" w:cs="宋体"/>
          <w:sz w:val="32"/>
          <w:szCs w:val="32"/>
        </w:rPr>
      </w:pPr>
    </w:p>
    <w:p w14:paraId="50515A9B">
      <w:pPr>
        <w:spacing w:line="360" w:lineRule="auto"/>
        <w:ind w:firstLine="560" w:firstLineChars="200"/>
        <w:jc w:val="both"/>
        <w:rPr>
          <w:rFonts w:ascii="宋体" w:hAnsi="宋体" w:cs="宋体"/>
          <w:sz w:val="28"/>
          <w:szCs w:val="28"/>
        </w:rPr>
      </w:pPr>
      <w:r>
        <w:rPr>
          <w:rFonts w:hint="eastAsia" w:ascii="宋体" w:hAnsi="宋体" w:cs="宋体"/>
          <w:sz w:val="28"/>
          <w:szCs w:val="28"/>
        </w:rPr>
        <w:t>投标单位：</w:t>
      </w:r>
      <w:r>
        <w:rPr>
          <w:rFonts w:hint="eastAsia" w:ascii="宋体" w:hAnsi="宋体" w:cs="宋体"/>
          <w:sz w:val="28"/>
          <w:szCs w:val="28"/>
          <w:u w:val="single"/>
        </w:rPr>
        <w:t xml:space="preserve">                               </w:t>
      </w:r>
      <w:r>
        <w:rPr>
          <w:rFonts w:hint="eastAsia" w:ascii="宋体" w:hAnsi="宋体" w:cs="宋体"/>
          <w:sz w:val="28"/>
          <w:szCs w:val="28"/>
        </w:rPr>
        <w:t>（盖单位章）</w:t>
      </w:r>
    </w:p>
    <w:p w14:paraId="243BE3CA">
      <w:pPr>
        <w:spacing w:line="360" w:lineRule="auto"/>
        <w:ind w:firstLine="560" w:firstLineChars="200"/>
        <w:rPr>
          <w:rFonts w:ascii="宋体" w:hAnsi="宋体" w:cs="宋体"/>
          <w:sz w:val="28"/>
          <w:szCs w:val="28"/>
        </w:rPr>
      </w:pPr>
      <w:r>
        <w:rPr>
          <w:rFonts w:hint="eastAsia" w:ascii="宋体" w:hAnsi="宋体" w:cs="宋体"/>
          <w:sz w:val="28"/>
          <w:szCs w:val="28"/>
        </w:rPr>
        <w:t>法定代表人或其委托代理人：</w:t>
      </w:r>
      <w:r>
        <w:rPr>
          <w:rFonts w:hint="eastAsia" w:ascii="宋体" w:hAnsi="宋体" w:cs="宋体"/>
          <w:sz w:val="28"/>
          <w:szCs w:val="28"/>
          <w:u w:val="single"/>
        </w:rPr>
        <w:t xml:space="preserve">               </w:t>
      </w:r>
      <w:r>
        <w:rPr>
          <w:rFonts w:hint="eastAsia" w:ascii="宋体" w:hAnsi="宋体" w:cs="宋体"/>
          <w:sz w:val="28"/>
          <w:szCs w:val="28"/>
        </w:rPr>
        <w:t>（签字或盖章）</w:t>
      </w:r>
    </w:p>
    <w:p w14:paraId="7ED0F939">
      <w:pPr>
        <w:jc w:val="center"/>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19E6628B">
      <w:pPr>
        <w:spacing w:before="240" w:after="240"/>
        <w:jc w:val="center"/>
        <w:rPr>
          <w:rFonts w:ascii="宋体" w:hAnsi="宋体" w:cs="宋体"/>
          <w:sz w:val="28"/>
          <w:szCs w:val="28"/>
        </w:rPr>
      </w:pPr>
      <w:r>
        <w:rPr>
          <w:rFonts w:hint="eastAsia" w:ascii="宋体" w:hAnsi="宋体" w:cs="宋体"/>
          <w:sz w:val="28"/>
          <w:szCs w:val="28"/>
        </w:rPr>
        <w:br w:type="page"/>
      </w:r>
      <w:r>
        <w:rPr>
          <w:rFonts w:hint="eastAsia" w:ascii="宋体" w:hAnsi="宋体" w:cs="宋体"/>
          <w:sz w:val="28"/>
          <w:szCs w:val="28"/>
        </w:rPr>
        <w:t>目    录</w:t>
      </w:r>
    </w:p>
    <w:p w14:paraId="43F93A37">
      <w:pPr>
        <w:spacing w:line="360" w:lineRule="auto"/>
        <w:rPr>
          <w:rFonts w:ascii="宋体" w:hAnsi="宋体" w:cs="宋体"/>
          <w:sz w:val="24"/>
          <w:szCs w:val="28"/>
        </w:rPr>
      </w:pPr>
      <w:r>
        <w:rPr>
          <w:rFonts w:hint="eastAsia" w:ascii="宋体" w:hAnsi="宋体" w:cs="宋体"/>
          <w:sz w:val="24"/>
          <w:szCs w:val="28"/>
        </w:rPr>
        <w:t>一、投标函</w:t>
      </w:r>
    </w:p>
    <w:p w14:paraId="5487CC8A">
      <w:pPr>
        <w:spacing w:line="360" w:lineRule="auto"/>
        <w:rPr>
          <w:rFonts w:ascii="宋体" w:hAnsi="宋体" w:cs="宋体"/>
          <w:sz w:val="24"/>
          <w:szCs w:val="28"/>
        </w:rPr>
      </w:pPr>
      <w:r>
        <w:rPr>
          <w:rFonts w:hint="eastAsia" w:ascii="宋体" w:hAnsi="宋体" w:cs="宋体"/>
          <w:sz w:val="24"/>
          <w:szCs w:val="28"/>
        </w:rPr>
        <w:t>二、投标报价汇总表</w:t>
      </w:r>
    </w:p>
    <w:p w14:paraId="5594AA92">
      <w:pPr>
        <w:spacing w:line="360" w:lineRule="auto"/>
        <w:rPr>
          <w:rFonts w:ascii="宋体" w:hAnsi="宋体" w:cs="宋体"/>
          <w:sz w:val="24"/>
          <w:szCs w:val="28"/>
        </w:rPr>
      </w:pPr>
      <w:r>
        <w:rPr>
          <w:rFonts w:hint="eastAsia" w:ascii="宋体" w:hAnsi="宋体" w:cs="宋体"/>
          <w:sz w:val="24"/>
          <w:szCs w:val="28"/>
        </w:rPr>
        <w:t>三、</w:t>
      </w:r>
      <w:r>
        <w:rPr>
          <w:rFonts w:hint="eastAsia" w:ascii="宋体" w:hAnsi="宋体"/>
          <w:color w:val="000000"/>
          <w:sz w:val="24"/>
          <w:szCs w:val="32"/>
        </w:rPr>
        <w:t>法定代表人身份证明</w:t>
      </w:r>
      <w:r>
        <w:rPr>
          <w:rFonts w:hint="eastAsia" w:ascii="宋体" w:hAnsi="宋体"/>
          <w:color w:val="000000"/>
          <w:sz w:val="24"/>
          <w:szCs w:val="32"/>
          <w:lang w:eastAsia="zh-CN"/>
        </w:rPr>
        <w:t>及授权委托书</w:t>
      </w:r>
    </w:p>
    <w:p w14:paraId="4A815CF9">
      <w:pPr>
        <w:spacing w:line="360" w:lineRule="auto"/>
        <w:rPr>
          <w:rFonts w:ascii="宋体" w:hAnsi="宋体" w:cs="宋体"/>
          <w:sz w:val="24"/>
          <w:szCs w:val="28"/>
        </w:rPr>
      </w:pPr>
      <w:r>
        <w:rPr>
          <w:rFonts w:hint="eastAsia" w:ascii="宋体" w:hAnsi="宋体" w:cs="宋体"/>
          <w:sz w:val="24"/>
          <w:szCs w:val="28"/>
        </w:rPr>
        <w:t>四、</w:t>
      </w:r>
      <w:r>
        <w:rPr>
          <w:rFonts w:hint="eastAsia" w:ascii="宋体" w:hAnsi="宋体" w:cs="宋体"/>
          <w:sz w:val="24"/>
          <w:szCs w:val="28"/>
          <w:lang w:val="en-US" w:eastAsia="zh-CN"/>
        </w:rPr>
        <w:t>联合体协议书</w:t>
      </w:r>
    </w:p>
    <w:p w14:paraId="51DBF4AE">
      <w:pPr>
        <w:spacing w:line="360" w:lineRule="auto"/>
        <w:rPr>
          <w:rFonts w:ascii="宋体" w:hAnsi="宋体" w:cs="宋体"/>
          <w:sz w:val="24"/>
          <w:szCs w:val="28"/>
        </w:rPr>
      </w:pPr>
      <w:r>
        <w:rPr>
          <w:rFonts w:hint="eastAsia" w:ascii="宋体" w:hAnsi="宋体" w:cs="宋体"/>
          <w:sz w:val="24"/>
          <w:szCs w:val="28"/>
        </w:rPr>
        <w:t>五、投标保证金</w:t>
      </w:r>
    </w:p>
    <w:p w14:paraId="12D2ED65">
      <w:pPr>
        <w:spacing w:line="360" w:lineRule="auto"/>
        <w:rPr>
          <w:rFonts w:ascii="宋体" w:hAnsi="宋体" w:cs="宋体"/>
          <w:sz w:val="24"/>
          <w:szCs w:val="28"/>
        </w:rPr>
      </w:pPr>
      <w:r>
        <w:rPr>
          <w:rFonts w:hint="eastAsia" w:ascii="宋体" w:hAnsi="宋体" w:cs="宋体"/>
          <w:sz w:val="24"/>
          <w:szCs w:val="28"/>
        </w:rPr>
        <w:t>六、已标价工程量清单</w:t>
      </w:r>
    </w:p>
    <w:p w14:paraId="36BA1B51">
      <w:pPr>
        <w:spacing w:line="360" w:lineRule="auto"/>
        <w:rPr>
          <w:rFonts w:ascii="宋体" w:hAnsi="宋体" w:cs="宋体"/>
          <w:sz w:val="24"/>
          <w:szCs w:val="28"/>
        </w:rPr>
      </w:pPr>
      <w:r>
        <w:rPr>
          <w:rFonts w:hint="eastAsia" w:ascii="宋体" w:hAnsi="宋体" w:cs="宋体"/>
          <w:sz w:val="24"/>
          <w:szCs w:val="28"/>
        </w:rPr>
        <w:t>七、施工组织设计</w:t>
      </w:r>
    </w:p>
    <w:p w14:paraId="1F589300">
      <w:pPr>
        <w:spacing w:line="360" w:lineRule="auto"/>
        <w:rPr>
          <w:rFonts w:ascii="宋体" w:hAnsi="宋体" w:cs="宋体"/>
          <w:sz w:val="24"/>
          <w:szCs w:val="28"/>
        </w:rPr>
      </w:pPr>
      <w:r>
        <w:rPr>
          <w:rFonts w:hint="eastAsia" w:ascii="宋体" w:hAnsi="宋体" w:cs="宋体"/>
          <w:sz w:val="24"/>
          <w:szCs w:val="28"/>
        </w:rPr>
        <w:t>八、项目管理机构</w:t>
      </w:r>
    </w:p>
    <w:p w14:paraId="6C2303B4">
      <w:pPr>
        <w:spacing w:line="360" w:lineRule="auto"/>
        <w:rPr>
          <w:rFonts w:ascii="宋体" w:hAnsi="宋体" w:cs="宋体"/>
          <w:sz w:val="24"/>
          <w:szCs w:val="28"/>
        </w:rPr>
      </w:pPr>
      <w:r>
        <w:rPr>
          <w:rFonts w:hint="eastAsia" w:ascii="宋体" w:hAnsi="宋体" w:cs="宋体"/>
          <w:sz w:val="24"/>
          <w:szCs w:val="28"/>
        </w:rPr>
        <w:t>九、符合性审查资料</w:t>
      </w:r>
    </w:p>
    <w:p w14:paraId="51C8E908">
      <w:pPr>
        <w:pStyle w:val="3"/>
        <w:jc w:val="center"/>
        <w:rPr>
          <w:rFonts w:ascii="宋体" w:hAnsi="宋体" w:cs="宋体"/>
          <w:sz w:val="28"/>
          <w:szCs w:val="28"/>
        </w:rPr>
      </w:pPr>
      <w:r>
        <w:rPr>
          <w:rFonts w:hint="eastAsia" w:ascii="宋体" w:hAnsi="宋体" w:cs="宋体"/>
        </w:rPr>
        <w:br w:type="page"/>
      </w:r>
      <w:bookmarkStart w:id="1692" w:name="_Toc31175"/>
      <w:r>
        <w:rPr>
          <w:rFonts w:hint="eastAsia" w:ascii="宋体" w:hAnsi="宋体" w:cs="宋体"/>
          <w:sz w:val="28"/>
          <w:szCs w:val="28"/>
        </w:rPr>
        <w:t>一、投标函</w:t>
      </w:r>
      <w:bookmarkEnd w:id="1692"/>
    </w:p>
    <w:p w14:paraId="273E4A2A">
      <w:pPr>
        <w:spacing w:line="440" w:lineRule="exact"/>
        <w:rPr>
          <w:rFonts w:ascii="宋体" w:hAnsi="宋体" w:cs="宋体"/>
          <w:sz w:val="24"/>
          <w:szCs w:val="24"/>
        </w:rPr>
      </w:pPr>
      <w:r>
        <w:rPr>
          <w:rFonts w:hint="eastAsia" w:ascii="宋体" w:hAnsi="宋体" w:cs="宋体"/>
          <w:sz w:val="24"/>
          <w:szCs w:val="24"/>
        </w:rPr>
        <w:t>（招标人名称）：</w:t>
      </w:r>
    </w:p>
    <w:p w14:paraId="5AB26530">
      <w:pPr>
        <w:spacing w:line="440" w:lineRule="exact"/>
        <w:ind w:firstLine="480" w:firstLineChars="200"/>
        <w:rPr>
          <w:rFonts w:ascii="宋体" w:hAnsi="宋体" w:cs="宋体"/>
          <w:sz w:val="24"/>
          <w:szCs w:val="24"/>
        </w:rPr>
      </w:pPr>
      <w:r>
        <w:rPr>
          <w:rFonts w:hint="eastAsia" w:ascii="宋体" w:hAnsi="宋体" w:cs="宋体"/>
          <w:sz w:val="24"/>
          <w:szCs w:val="24"/>
        </w:rPr>
        <w:t>1．我方己仔细研究了</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项目</w:t>
      </w:r>
      <w:r>
        <w:rPr>
          <w:rFonts w:hint="eastAsia" w:ascii="宋体" w:hAnsi="宋体" w:cs="宋体"/>
          <w:sz w:val="24"/>
          <w:szCs w:val="24"/>
        </w:rPr>
        <w:t>名称）招标文件的全部内容，愿意以人民币（大写）</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）的投标总报价，工期</w:t>
      </w:r>
      <w:r>
        <w:rPr>
          <w:rFonts w:hint="eastAsia" w:ascii="宋体" w:hAnsi="宋体" w:cs="宋体"/>
          <w:sz w:val="24"/>
          <w:szCs w:val="24"/>
          <w:u w:val="single"/>
        </w:rPr>
        <w:t xml:space="preserve">       </w:t>
      </w:r>
      <w:r>
        <w:rPr>
          <w:rFonts w:hint="eastAsia" w:ascii="宋体" w:hAnsi="宋体" w:cs="宋体"/>
          <w:sz w:val="24"/>
          <w:szCs w:val="24"/>
        </w:rPr>
        <w:t>，按合同约定实施和完成承包工程，修补工程中的任何缺陷，工程质量</w:t>
      </w:r>
      <w:r>
        <w:rPr>
          <w:rFonts w:hint="eastAsia" w:ascii="宋体" w:hAnsi="宋体" w:cs="宋体"/>
          <w:sz w:val="24"/>
          <w:szCs w:val="24"/>
          <w:u w:val="single"/>
        </w:rPr>
        <w:t xml:space="preserve">         </w:t>
      </w:r>
      <w:r>
        <w:rPr>
          <w:rFonts w:hint="eastAsia" w:ascii="宋体" w:hAnsi="宋体" w:cs="宋体"/>
          <w:sz w:val="24"/>
          <w:szCs w:val="24"/>
        </w:rPr>
        <w:t>。</w:t>
      </w:r>
    </w:p>
    <w:p w14:paraId="3A0D6FC5">
      <w:pPr>
        <w:spacing w:line="440" w:lineRule="exact"/>
        <w:ind w:firstLine="480" w:firstLineChars="200"/>
        <w:rPr>
          <w:rFonts w:ascii="宋体" w:hAnsi="宋体" w:cs="宋体"/>
          <w:sz w:val="24"/>
          <w:szCs w:val="24"/>
        </w:rPr>
      </w:pPr>
      <w:r>
        <w:rPr>
          <w:rFonts w:hint="eastAsia" w:ascii="宋体" w:hAnsi="宋体" w:cs="宋体"/>
          <w:sz w:val="24"/>
          <w:szCs w:val="24"/>
        </w:rPr>
        <w:t>2．我方承诺在招标文件规定的投标有效期</w:t>
      </w:r>
      <w:r>
        <w:rPr>
          <w:rFonts w:hint="eastAsia" w:ascii="宋体" w:hAnsi="宋体" w:cs="宋体"/>
          <w:sz w:val="24"/>
          <w:szCs w:val="24"/>
          <w:u w:val="single"/>
        </w:rPr>
        <w:t xml:space="preserve">     </w:t>
      </w:r>
      <w:r>
        <w:rPr>
          <w:rFonts w:hint="eastAsia" w:ascii="宋体" w:hAnsi="宋体" w:cs="宋体"/>
          <w:sz w:val="24"/>
          <w:szCs w:val="24"/>
        </w:rPr>
        <w:t>天内不修改、撤销投标文件。</w:t>
      </w:r>
    </w:p>
    <w:p w14:paraId="51048575">
      <w:pPr>
        <w:spacing w:line="440" w:lineRule="exact"/>
        <w:ind w:firstLine="480" w:firstLineChars="200"/>
        <w:rPr>
          <w:rFonts w:ascii="宋体" w:hAnsi="宋体" w:cs="宋体"/>
          <w:sz w:val="24"/>
          <w:szCs w:val="24"/>
        </w:rPr>
      </w:pPr>
      <w:r>
        <w:rPr>
          <w:rFonts w:hint="eastAsia" w:ascii="宋体" w:hAnsi="宋体" w:cs="宋体"/>
          <w:sz w:val="24"/>
          <w:szCs w:val="24"/>
        </w:rPr>
        <w:t>3．随同本投标函提交投标保证金一份，金额为人民币（大写）</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u w:val="single"/>
        </w:rPr>
        <w:t xml:space="preserve">       </w:t>
      </w:r>
      <w:r>
        <w:rPr>
          <w:rFonts w:hint="eastAsia" w:ascii="宋体" w:hAnsi="宋体" w:cs="宋体"/>
          <w:sz w:val="24"/>
          <w:szCs w:val="24"/>
        </w:rPr>
        <w:t>）。</w:t>
      </w:r>
    </w:p>
    <w:p w14:paraId="24300282">
      <w:pPr>
        <w:spacing w:line="440" w:lineRule="exact"/>
        <w:ind w:firstLine="480" w:firstLineChars="200"/>
        <w:rPr>
          <w:rFonts w:ascii="宋体" w:hAnsi="宋体" w:cs="宋体"/>
          <w:sz w:val="24"/>
          <w:szCs w:val="24"/>
        </w:rPr>
      </w:pPr>
      <w:r>
        <w:rPr>
          <w:rFonts w:hint="eastAsia" w:ascii="宋体" w:hAnsi="宋体" w:cs="宋体"/>
          <w:sz w:val="24"/>
          <w:szCs w:val="24"/>
        </w:rPr>
        <w:t>4．如我方中标：</w:t>
      </w:r>
    </w:p>
    <w:p w14:paraId="7479FCD9">
      <w:pPr>
        <w:spacing w:line="440" w:lineRule="exact"/>
        <w:ind w:firstLine="360" w:firstLineChars="150"/>
        <w:rPr>
          <w:rFonts w:ascii="宋体" w:hAnsi="宋体" w:cs="宋体"/>
          <w:sz w:val="24"/>
          <w:szCs w:val="24"/>
        </w:rPr>
      </w:pPr>
      <w:r>
        <w:rPr>
          <w:rFonts w:hint="eastAsia" w:ascii="宋体" w:hAnsi="宋体" w:cs="宋体"/>
          <w:sz w:val="24"/>
          <w:szCs w:val="24"/>
        </w:rPr>
        <w:t>（1）我方承诺在收到中标通知书后，在中标通知书规定的期限内与你方签订合同。</w:t>
      </w:r>
    </w:p>
    <w:p w14:paraId="267074ED">
      <w:pPr>
        <w:spacing w:line="440" w:lineRule="exact"/>
        <w:ind w:firstLine="360" w:firstLineChars="150"/>
        <w:rPr>
          <w:rFonts w:ascii="宋体" w:hAnsi="宋体" w:cs="宋体"/>
          <w:sz w:val="24"/>
          <w:szCs w:val="24"/>
        </w:rPr>
      </w:pPr>
      <w:r>
        <w:rPr>
          <w:rFonts w:hint="eastAsia" w:ascii="宋体" w:hAnsi="宋体" w:cs="宋体"/>
          <w:sz w:val="24"/>
          <w:szCs w:val="24"/>
        </w:rPr>
        <w:t>（2）本投标函属于合同文件的组成部分。</w:t>
      </w:r>
    </w:p>
    <w:p w14:paraId="71AD9FF5">
      <w:pPr>
        <w:spacing w:line="440" w:lineRule="exact"/>
        <w:ind w:firstLine="360" w:firstLineChars="150"/>
        <w:rPr>
          <w:rFonts w:ascii="宋体" w:hAnsi="宋体" w:cs="宋体"/>
          <w:sz w:val="24"/>
          <w:szCs w:val="24"/>
        </w:rPr>
      </w:pPr>
      <w:r>
        <w:rPr>
          <w:rFonts w:hint="eastAsia" w:ascii="宋体" w:hAnsi="宋体" w:cs="宋体"/>
          <w:sz w:val="24"/>
          <w:szCs w:val="24"/>
        </w:rPr>
        <w:t>（3）我方承诺按照招标文件规定向你方递交履约担保。</w:t>
      </w:r>
    </w:p>
    <w:p w14:paraId="60C42926">
      <w:pPr>
        <w:spacing w:line="440" w:lineRule="exact"/>
        <w:ind w:firstLine="360" w:firstLineChars="150"/>
        <w:rPr>
          <w:rFonts w:ascii="宋体" w:hAnsi="宋体" w:cs="宋体"/>
          <w:sz w:val="24"/>
          <w:szCs w:val="24"/>
        </w:rPr>
      </w:pPr>
      <w:r>
        <w:rPr>
          <w:rFonts w:hint="eastAsia" w:ascii="宋体" w:hAnsi="宋体" w:cs="宋体"/>
          <w:sz w:val="24"/>
          <w:szCs w:val="24"/>
        </w:rPr>
        <w:t>（4）我方承诺在合同约定的期限内完成并移交全部合同工程。</w:t>
      </w:r>
    </w:p>
    <w:p w14:paraId="77925439">
      <w:pPr>
        <w:spacing w:line="440" w:lineRule="exact"/>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sz w:val="24"/>
          <w:szCs w:val="28"/>
        </w:rPr>
        <w:t>我方在此声明，所递交的投标文件及有关资料内容完整、真实和准确，且不存在第二章“投标人须知”第1.4.1项和第1.4.2项规定的任何一种情形。</w:t>
      </w:r>
    </w:p>
    <w:p w14:paraId="4639FD86">
      <w:pPr>
        <w:spacing w:line="440" w:lineRule="exact"/>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sz w:val="24"/>
          <w:szCs w:val="24"/>
          <w:u w:val="single"/>
        </w:rPr>
        <w:t xml:space="preserve">              </w:t>
      </w:r>
      <w:r>
        <w:rPr>
          <w:rFonts w:hint="eastAsia" w:ascii="宋体" w:hAnsi="宋体" w:cs="宋体"/>
          <w:sz w:val="24"/>
          <w:szCs w:val="24"/>
        </w:rPr>
        <w:t>（其他补充说明）。</w:t>
      </w:r>
    </w:p>
    <w:p w14:paraId="5E52B6E6">
      <w:pPr>
        <w:spacing w:line="440" w:lineRule="exact"/>
        <w:rPr>
          <w:rFonts w:ascii="宋体" w:hAnsi="宋体" w:cs="宋体"/>
          <w:sz w:val="24"/>
          <w:szCs w:val="24"/>
        </w:rPr>
      </w:pPr>
    </w:p>
    <w:p w14:paraId="790D51B1">
      <w:pPr>
        <w:spacing w:line="440" w:lineRule="exact"/>
        <w:rPr>
          <w:rFonts w:ascii="宋体" w:hAnsi="宋体" w:cs="宋体"/>
          <w:sz w:val="24"/>
          <w:szCs w:val="24"/>
        </w:rPr>
      </w:pPr>
      <w:r>
        <w:rPr>
          <w:rFonts w:hint="eastAsia" w:ascii="宋体" w:hAnsi="宋体" w:cs="宋体"/>
          <w:sz w:val="24"/>
          <w:szCs w:val="24"/>
        </w:rPr>
        <w:t>投标单位：（盖单位章）</w:t>
      </w:r>
    </w:p>
    <w:p w14:paraId="72D21B90">
      <w:pPr>
        <w:spacing w:line="440" w:lineRule="exact"/>
        <w:rPr>
          <w:rFonts w:ascii="宋体" w:hAnsi="宋体" w:cs="宋体"/>
          <w:sz w:val="24"/>
          <w:szCs w:val="24"/>
        </w:rPr>
      </w:pPr>
      <w:r>
        <w:rPr>
          <w:rFonts w:hint="eastAsia" w:ascii="宋体" w:hAnsi="宋体" w:cs="宋体"/>
          <w:sz w:val="24"/>
          <w:szCs w:val="24"/>
        </w:rPr>
        <w:t>法定代表人或其委托代理人：（签字或盖章）</w:t>
      </w:r>
    </w:p>
    <w:p w14:paraId="4A9FFABE">
      <w:pPr>
        <w:spacing w:line="440" w:lineRule="exact"/>
        <w:rPr>
          <w:rFonts w:ascii="宋体" w:hAnsi="宋体" w:cs="宋体"/>
          <w:sz w:val="24"/>
          <w:szCs w:val="24"/>
        </w:rPr>
      </w:pPr>
      <w:r>
        <w:rPr>
          <w:rFonts w:hint="eastAsia" w:ascii="宋体" w:hAnsi="宋体" w:cs="宋体"/>
          <w:sz w:val="24"/>
          <w:szCs w:val="24"/>
        </w:rPr>
        <w:t>地址：</w:t>
      </w:r>
    </w:p>
    <w:p w14:paraId="0DF11B60">
      <w:pPr>
        <w:spacing w:line="440" w:lineRule="exact"/>
        <w:rPr>
          <w:rFonts w:ascii="宋体" w:hAnsi="宋体" w:cs="宋体"/>
          <w:sz w:val="24"/>
          <w:szCs w:val="24"/>
        </w:rPr>
      </w:pPr>
      <w:r>
        <w:rPr>
          <w:rFonts w:hint="eastAsia" w:ascii="宋体" w:hAnsi="宋体" w:cs="宋体"/>
          <w:sz w:val="24"/>
          <w:szCs w:val="24"/>
        </w:rPr>
        <w:t>电话：</w:t>
      </w:r>
    </w:p>
    <w:p w14:paraId="4370018B">
      <w:pPr>
        <w:spacing w:line="440" w:lineRule="exact"/>
        <w:rPr>
          <w:rFonts w:ascii="宋体" w:hAnsi="宋体" w:cs="宋体"/>
          <w:sz w:val="24"/>
          <w:szCs w:val="24"/>
        </w:rPr>
      </w:pPr>
      <w:r>
        <w:rPr>
          <w:rFonts w:hint="eastAsia" w:ascii="宋体" w:hAnsi="宋体" w:cs="宋体"/>
          <w:sz w:val="24"/>
          <w:szCs w:val="24"/>
        </w:rPr>
        <w:t>邮政编码：</w:t>
      </w:r>
    </w:p>
    <w:p w14:paraId="3512DE58">
      <w:pPr>
        <w:spacing w:line="440" w:lineRule="exact"/>
        <w:rPr>
          <w:rFonts w:ascii="宋体" w:hAnsi="宋体" w:cs="宋体"/>
          <w:sz w:val="24"/>
          <w:szCs w:val="24"/>
        </w:rPr>
      </w:pPr>
      <w:r>
        <w:rPr>
          <w:rFonts w:hint="eastAsia" w:ascii="宋体" w:hAnsi="宋体" w:cs="宋体"/>
          <w:sz w:val="24"/>
          <w:szCs w:val="24"/>
        </w:rPr>
        <w:t>年月日</w:t>
      </w:r>
      <w:r>
        <w:rPr>
          <w:rFonts w:hint="eastAsia" w:ascii="宋体" w:hAnsi="宋体" w:cs="宋体"/>
          <w:sz w:val="24"/>
          <w:szCs w:val="24"/>
        </w:rPr>
        <w:br w:type="textWrapping"/>
      </w:r>
    </w:p>
    <w:p w14:paraId="335ADD95">
      <w:pPr>
        <w:rPr>
          <w:rFonts w:hint="eastAsia" w:ascii="宋体" w:hAnsi="宋体" w:cs="宋体"/>
          <w:sz w:val="28"/>
          <w:szCs w:val="28"/>
        </w:rPr>
      </w:pPr>
      <w:bookmarkStart w:id="1693" w:name="_Toc2169"/>
      <w:r>
        <w:rPr>
          <w:rFonts w:hint="eastAsia" w:ascii="宋体" w:hAnsi="宋体" w:cs="宋体"/>
          <w:sz w:val="28"/>
          <w:szCs w:val="28"/>
        </w:rPr>
        <w:br w:type="page"/>
      </w:r>
    </w:p>
    <w:p w14:paraId="625A1489">
      <w:pPr>
        <w:pStyle w:val="3"/>
        <w:jc w:val="center"/>
        <w:rPr>
          <w:rFonts w:ascii="宋体" w:hAnsi="宋体" w:cs="宋体"/>
          <w:sz w:val="28"/>
          <w:szCs w:val="28"/>
        </w:rPr>
      </w:pPr>
      <w:r>
        <w:rPr>
          <w:rFonts w:hint="eastAsia" w:ascii="宋体" w:hAnsi="宋体" w:cs="宋体"/>
          <w:sz w:val="28"/>
          <w:szCs w:val="28"/>
        </w:rPr>
        <w:t>二、投标报价汇总表</w:t>
      </w:r>
      <w:bookmarkEnd w:id="1693"/>
    </w:p>
    <w:tbl>
      <w:tblPr>
        <w:tblStyle w:val="34"/>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9"/>
        <w:gridCol w:w="2340"/>
        <w:gridCol w:w="2103"/>
        <w:gridCol w:w="2927"/>
      </w:tblGrid>
      <w:tr w14:paraId="32582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4" w:hRule="atLeast"/>
          <w:jc w:val="center"/>
        </w:trPr>
        <w:tc>
          <w:tcPr>
            <w:tcW w:w="2329" w:type="dxa"/>
            <w:vAlign w:val="center"/>
          </w:tcPr>
          <w:p w14:paraId="7ABE6C0C">
            <w:pPr>
              <w:jc w:val="center"/>
              <w:rPr>
                <w:rFonts w:ascii="宋体" w:hAnsi="宋体" w:cs="宋体"/>
                <w:sz w:val="24"/>
                <w:szCs w:val="24"/>
              </w:rPr>
            </w:pPr>
            <w:r>
              <w:rPr>
                <w:rFonts w:hint="eastAsia" w:ascii="宋体" w:hAnsi="宋体" w:cs="宋体"/>
                <w:sz w:val="24"/>
                <w:szCs w:val="24"/>
              </w:rPr>
              <w:t>投标单位</w:t>
            </w:r>
          </w:p>
        </w:tc>
        <w:tc>
          <w:tcPr>
            <w:tcW w:w="7370" w:type="dxa"/>
            <w:gridSpan w:val="3"/>
            <w:vAlign w:val="center"/>
          </w:tcPr>
          <w:p w14:paraId="655309DF">
            <w:pPr>
              <w:jc w:val="center"/>
              <w:rPr>
                <w:rFonts w:ascii="宋体" w:hAnsi="宋体" w:cs="宋体"/>
                <w:sz w:val="24"/>
                <w:szCs w:val="24"/>
              </w:rPr>
            </w:pPr>
          </w:p>
        </w:tc>
      </w:tr>
      <w:tr w14:paraId="3DD2B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4" w:hRule="atLeast"/>
          <w:jc w:val="center"/>
        </w:trPr>
        <w:tc>
          <w:tcPr>
            <w:tcW w:w="2329" w:type="dxa"/>
            <w:vAlign w:val="center"/>
          </w:tcPr>
          <w:p w14:paraId="2E5F67DD">
            <w:pPr>
              <w:jc w:val="center"/>
              <w:rPr>
                <w:rFonts w:ascii="宋体" w:hAnsi="宋体" w:cs="宋体"/>
                <w:sz w:val="24"/>
                <w:szCs w:val="24"/>
              </w:rPr>
            </w:pPr>
            <w:r>
              <w:rPr>
                <w:rFonts w:hint="eastAsia" w:ascii="宋体" w:hAnsi="宋体" w:cs="宋体"/>
                <w:sz w:val="24"/>
                <w:szCs w:val="24"/>
              </w:rPr>
              <w:t>地址</w:t>
            </w:r>
          </w:p>
        </w:tc>
        <w:tc>
          <w:tcPr>
            <w:tcW w:w="7370" w:type="dxa"/>
            <w:gridSpan w:val="3"/>
            <w:vAlign w:val="center"/>
          </w:tcPr>
          <w:p w14:paraId="6B4B762D">
            <w:pPr>
              <w:jc w:val="center"/>
              <w:rPr>
                <w:rFonts w:ascii="宋体" w:hAnsi="宋体" w:cs="宋体"/>
                <w:sz w:val="24"/>
                <w:szCs w:val="24"/>
              </w:rPr>
            </w:pPr>
          </w:p>
        </w:tc>
      </w:tr>
      <w:tr w14:paraId="6619F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2329" w:type="dxa"/>
            <w:vAlign w:val="center"/>
          </w:tcPr>
          <w:p w14:paraId="54F00446">
            <w:pPr>
              <w:jc w:val="center"/>
              <w:rPr>
                <w:rFonts w:ascii="宋体" w:hAnsi="宋体" w:cs="宋体"/>
                <w:sz w:val="24"/>
                <w:szCs w:val="24"/>
              </w:rPr>
            </w:pPr>
            <w:r>
              <w:rPr>
                <w:rFonts w:hint="eastAsia" w:ascii="宋体" w:hAnsi="宋体" w:cs="宋体"/>
                <w:sz w:val="24"/>
                <w:szCs w:val="24"/>
              </w:rPr>
              <w:t>法定代表人</w:t>
            </w:r>
          </w:p>
        </w:tc>
        <w:tc>
          <w:tcPr>
            <w:tcW w:w="2340" w:type="dxa"/>
            <w:vAlign w:val="center"/>
          </w:tcPr>
          <w:p w14:paraId="309693F5">
            <w:pPr>
              <w:jc w:val="center"/>
              <w:rPr>
                <w:rFonts w:ascii="宋体" w:hAnsi="宋体" w:cs="宋体"/>
                <w:sz w:val="24"/>
                <w:szCs w:val="24"/>
              </w:rPr>
            </w:pPr>
          </w:p>
        </w:tc>
        <w:tc>
          <w:tcPr>
            <w:tcW w:w="2103" w:type="dxa"/>
            <w:vAlign w:val="center"/>
          </w:tcPr>
          <w:p w14:paraId="1C04A6F0">
            <w:pPr>
              <w:jc w:val="center"/>
              <w:rPr>
                <w:rFonts w:ascii="宋体" w:hAnsi="宋体" w:cs="宋体"/>
                <w:sz w:val="24"/>
                <w:szCs w:val="24"/>
              </w:rPr>
            </w:pPr>
            <w:r>
              <w:rPr>
                <w:rFonts w:hint="eastAsia" w:ascii="宋体" w:hAnsi="宋体" w:cs="宋体"/>
                <w:sz w:val="24"/>
                <w:szCs w:val="24"/>
              </w:rPr>
              <w:t>企业等级</w:t>
            </w:r>
          </w:p>
        </w:tc>
        <w:tc>
          <w:tcPr>
            <w:tcW w:w="2927" w:type="dxa"/>
            <w:vAlign w:val="center"/>
          </w:tcPr>
          <w:p w14:paraId="285E56F9">
            <w:pPr>
              <w:jc w:val="center"/>
              <w:rPr>
                <w:rFonts w:ascii="宋体" w:hAnsi="宋体" w:cs="宋体"/>
                <w:sz w:val="24"/>
                <w:szCs w:val="24"/>
              </w:rPr>
            </w:pPr>
          </w:p>
        </w:tc>
      </w:tr>
      <w:tr w14:paraId="503B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2329" w:type="dxa"/>
            <w:vAlign w:val="center"/>
          </w:tcPr>
          <w:p w14:paraId="383677BC">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投标项目</w:t>
            </w:r>
          </w:p>
        </w:tc>
        <w:tc>
          <w:tcPr>
            <w:tcW w:w="7370" w:type="dxa"/>
            <w:gridSpan w:val="3"/>
            <w:vAlign w:val="center"/>
          </w:tcPr>
          <w:p w14:paraId="270538B0">
            <w:pPr>
              <w:jc w:val="center"/>
              <w:rPr>
                <w:rFonts w:ascii="宋体" w:hAnsi="宋体" w:cs="宋体"/>
                <w:sz w:val="24"/>
                <w:szCs w:val="24"/>
              </w:rPr>
            </w:pPr>
          </w:p>
        </w:tc>
      </w:tr>
      <w:tr w14:paraId="75858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4" w:hRule="atLeast"/>
          <w:jc w:val="center"/>
        </w:trPr>
        <w:tc>
          <w:tcPr>
            <w:tcW w:w="2329" w:type="dxa"/>
            <w:vAlign w:val="center"/>
          </w:tcPr>
          <w:p w14:paraId="0526625B">
            <w:pPr>
              <w:jc w:val="center"/>
              <w:rPr>
                <w:rFonts w:ascii="宋体" w:hAnsi="宋体" w:cs="宋体"/>
                <w:sz w:val="24"/>
                <w:szCs w:val="24"/>
              </w:rPr>
            </w:pPr>
            <w:r>
              <w:rPr>
                <w:rFonts w:hint="eastAsia" w:ascii="宋体" w:hAnsi="宋体" w:cs="宋体"/>
                <w:sz w:val="24"/>
                <w:szCs w:val="24"/>
              </w:rPr>
              <w:t>投标范围</w:t>
            </w:r>
          </w:p>
        </w:tc>
        <w:tc>
          <w:tcPr>
            <w:tcW w:w="7370" w:type="dxa"/>
            <w:gridSpan w:val="3"/>
            <w:vAlign w:val="center"/>
          </w:tcPr>
          <w:p w14:paraId="38BBFFD2">
            <w:pPr>
              <w:jc w:val="center"/>
              <w:rPr>
                <w:rFonts w:ascii="宋体" w:hAnsi="宋体" w:cs="宋体"/>
                <w:sz w:val="24"/>
                <w:szCs w:val="24"/>
              </w:rPr>
            </w:pPr>
          </w:p>
        </w:tc>
      </w:tr>
      <w:tr w14:paraId="478B1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2" w:hRule="atLeast"/>
          <w:jc w:val="center"/>
        </w:trPr>
        <w:tc>
          <w:tcPr>
            <w:tcW w:w="2329" w:type="dxa"/>
            <w:vAlign w:val="center"/>
          </w:tcPr>
          <w:p w14:paraId="10C5A850">
            <w:pPr>
              <w:jc w:val="center"/>
              <w:rPr>
                <w:rFonts w:ascii="宋体" w:hAnsi="宋体" w:cs="宋体"/>
                <w:sz w:val="24"/>
                <w:szCs w:val="24"/>
              </w:rPr>
            </w:pPr>
            <w:r>
              <w:rPr>
                <w:rFonts w:hint="eastAsia" w:ascii="宋体" w:hAnsi="宋体" w:cs="宋体"/>
                <w:sz w:val="24"/>
                <w:szCs w:val="24"/>
              </w:rPr>
              <w:t>投标报价</w:t>
            </w:r>
          </w:p>
        </w:tc>
        <w:tc>
          <w:tcPr>
            <w:tcW w:w="7370" w:type="dxa"/>
            <w:gridSpan w:val="3"/>
            <w:vAlign w:val="center"/>
          </w:tcPr>
          <w:p w14:paraId="4048C971">
            <w:pPr>
              <w:jc w:val="center"/>
              <w:rPr>
                <w:rFonts w:ascii="宋体" w:hAnsi="宋体" w:cs="宋体"/>
                <w:sz w:val="24"/>
                <w:szCs w:val="24"/>
              </w:rPr>
            </w:pPr>
            <w:r>
              <w:rPr>
                <w:rFonts w:hint="eastAsia" w:ascii="宋体" w:hAnsi="宋体" w:cs="宋体"/>
                <w:sz w:val="24"/>
                <w:szCs w:val="24"/>
              </w:rPr>
              <w:t>大写：</w:t>
            </w:r>
          </w:p>
          <w:p w14:paraId="4BA5F08D">
            <w:pPr>
              <w:jc w:val="center"/>
              <w:rPr>
                <w:rFonts w:ascii="宋体" w:hAnsi="宋体" w:cs="宋体"/>
                <w:sz w:val="24"/>
                <w:szCs w:val="24"/>
              </w:rPr>
            </w:pPr>
          </w:p>
          <w:p w14:paraId="30A76F6C">
            <w:pPr>
              <w:jc w:val="center"/>
              <w:rPr>
                <w:rFonts w:ascii="宋体" w:hAnsi="宋体" w:cs="宋体"/>
                <w:sz w:val="24"/>
                <w:szCs w:val="24"/>
              </w:rPr>
            </w:pPr>
            <w:r>
              <w:rPr>
                <w:rFonts w:hint="eastAsia" w:ascii="宋体" w:hAnsi="宋体" w:cs="宋体"/>
                <w:sz w:val="24"/>
                <w:szCs w:val="24"/>
              </w:rPr>
              <w:t>￥：元</w:t>
            </w:r>
          </w:p>
        </w:tc>
      </w:tr>
      <w:tr w14:paraId="0BFD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4" w:hRule="atLeast"/>
          <w:jc w:val="center"/>
        </w:trPr>
        <w:tc>
          <w:tcPr>
            <w:tcW w:w="2329" w:type="dxa"/>
            <w:vAlign w:val="center"/>
          </w:tcPr>
          <w:p w14:paraId="22BECD07">
            <w:pPr>
              <w:jc w:val="center"/>
              <w:rPr>
                <w:rFonts w:ascii="宋体" w:hAnsi="宋体" w:cs="宋体"/>
                <w:sz w:val="24"/>
                <w:szCs w:val="24"/>
              </w:rPr>
            </w:pPr>
            <w:r>
              <w:rPr>
                <w:rFonts w:hint="eastAsia" w:ascii="宋体" w:hAnsi="宋体" w:cs="宋体"/>
                <w:sz w:val="24"/>
                <w:szCs w:val="24"/>
              </w:rPr>
              <w:t>计划工期</w:t>
            </w:r>
          </w:p>
        </w:tc>
        <w:tc>
          <w:tcPr>
            <w:tcW w:w="7370" w:type="dxa"/>
            <w:gridSpan w:val="3"/>
            <w:vAlign w:val="center"/>
          </w:tcPr>
          <w:p w14:paraId="24308FAA">
            <w:pPr>
              <w:spacing w:line="360" w:lineRule="auto"/>
              <w:jc w:val="center"/>
              <w:rPr>
                <w:rFonts w:ascii="宋体" w:hAnsi="宋体" w:cs="宋体"/>
                <w:sz w:val="24"/>
                <w:szCs w:val="24"/>
              </w:rPr>
            </w:pPr>
          </w:p>
        </w:tc>
      </w:tr>
      <w:tr w14:paraId="2161D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jc w:val="center"/>
        </w:trPr>
        <w:tc>
          <w:tcPr>
            <w:tcW w:w="2329" w:type="dxa"/>
            <w:vAlign w:val="center"/>
          </w:tcPr>
          <w:p w14:paraId="25213891">
            <w:pPr>
              <w:jc w:val="center"/>
              <w:rPr>
                <w:rFonts w:ascii="宋体" w:hAnsi="宋体" w:cs="宋体"/>
                <w:sz w:val="24"/>
                <w:szCs w:val="24"/>
              </w:rPr>
            </w:pPr>
            <w:r>
              <w:rPr>
                <w:rFonts w:hint="eastAsia" w:ascii="宋体" w:hAnsi="宋体" w:cs="宋体"/>
                <w:sz w:val="24"/>
                <w:szCs w:val="24"/>
              </w:rPr>
              <w:t>质量标准</w:t>
            </w:r>
          </w:p>
        </w:tc>
        <w:tc>
          <w:tcPr>
            <w:tcW w:w="7370" w:type="dxa"/>
            <w:gridSpan w:val="3"/>
            <w:vAlign w:val="center"/>
          </w:tcPr>
          <w:p w14:paraId="6EDCC2C6">
            <w:pPr>
              <w:jc w:val="center"/>
              <w:rPr>
                <w:rFonts w:ascii="宋体" w:hAnsi="宋体" w:cs="宋体"/>
                <w:sz w:val="24"/>
                <w:szCs w:val="24"/>
              </w:rPr>
            </w:pPr>
          </w:p>
        </w:tc>
      </w:tr>
    </w:tbl>
    <w:p w14:paraId="1BAF74AB">
      <w:pPr>
        <w:ind w:firstLine="3600" w:firstLineChars="1500"/>
        <w:rPr>
          <w:rFonts w:ascii="宋体" w:hAnsi="宋体" w:cs="宋体"/>
          <w:sz w:val="24"/>
          <w:szCs w:val="24"/>
        </w:rPr>
      </w:pPr>
    </w:p>
    <w:p w14:paraId="71610CD6">
      <w:pPr>
        <w:spacing w:line="360" w:lineRule="auto"/>
        <w:rPr>
          <w:rFonts w:ascii="宋体" w:hAnsi="宋体" w:cs="宋体"/>
          <w:sz w:val="24"/>
          <w:szCs w:val="24"/>
        </w:rPr>
      </w:pPr>
      <w:r>
        <w:rPr>
          <w:rFonts w:hint="eastAsia" w:ascii="宋体" w:hAnsi="宋体" w:cs="宋体"/>
          <w:sz w:val="24"/>
          <w:szCs w:val="24"/>
        </w:rPr>
        <w:t>投标单位：</w:t>
      </w:r>
      <w:r>
        <w:rPr>
          <w:rFonts w:hint="eastAsia" w:ascii="宋体" w:hAnsi="宋体" w:cs="宋体"/>
          <w:sz w:val="24"/>
          <w:szCs w:val="24"/>
          <w:u w:val="single"/>
        </w:rPr>
        <w:t xml:space="preserve">              </w:t>
      </w:r>
      <w:r>
        <w:rPr>
          <w:rFonts w:hint="eastAsia" w:ascii="宋体" w:hAnsi="宋体" w:cs="宋体"/>
          <w:sz w:val="24"/>
          <w:szCs w:val="24"/>
        </w:rPr>
        <w:t>（盖单位章）</w:t>
      </w:r>
    </w:p>
    <w:p w14:paraId="12311996">
      <w:pPr>
        <w:spacing w:line="360" w:lineRule="auto"/>
        <w:rPr>
          <w:rFonts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14:paraId="2D0DFCFD">
      <w:pPr>
        <w:spacing w:line="36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67AFED76">
      <w:pPr>
        <w:rPr>
          <w:rFonts w:ascii="宋体" w:hAnsi="宋体" w:cs="宋体"/>
          <w:sz w:val="28"/>
          <w:szCs w:val="28"/>
        </w:rPr>
      </w:pPr>
      <w:r>
        <w:rPr>
          <w:rFonts w:hint="eastAsia" w:ascii="宋体" w:hAnsi="宋体" w:cs="宋体"/>
          <w:sz w:val="28"/>
          <w:szCs w:val="28"/>
        </w:rPr>
        <w:br w:type="page"/>
      </w:r>
    </w:p>
    <w:p w14:paraId="4254A921">
      <w:pPr>
        <w:pStyle w:val="3"/>
        <w:jc w:val="center"/>
        <w:rPr>
          <w:rFonts w:ascii="宋体" w:hAnsi="宋体" w:cs="宋体"/>
          <w:sz w:val="28"/>
          <w:szCs w:val="28"/>
        </w:rPr>
      </w:pPr>
      <w:bookmarkStart w:id="1694" w:name="_Toc10145"/>
      <w:r>
        <w:rPr>
          <w:rFonts w:hint="eastAsia" w:ascii="宋体" w:hAnsi="宋体" w:cs="宋体"/>
          <w:sz w:val="28"/>
          <w:szCs w:val="28"/>
        </w:rPr>
        <w:t>三、法定代表人身份证明</w:t>
      </w:r>
      <w:r>
        <w:rPr>
          <w:rFonts w:hint="eastAsia" w:ascii="宋体" w:hAnsi="宋体" w:cs="宋体"/>
          <w:sz w:val="28"/>
          <w:szCs w:val="28"/>
          <w:lang w:eastAsia="zh-CN"/>
        </w:rPr>
        <w:t>及授权委托书</w:t>
      </w:r>
      <w:bookmarkEnd w:id="1694"/>
    </w:p>
    <w:p w14:paraId="709A7023">
      <w:pPr>
        <w:jc w:val="center"/>
        <w:outlineLvl w:val="9"/>
        <w:rPr>
          <w:rFonts w:ascii="宋体" w:hAnsi="宋体" w:cs="宋体"/>
          <w:b/>
          <w:bCs/>
          <w:sz w:val="28"/>
          <w:szCs w:val="28"/>
        </w:rPr>
      </w:pPr>
      <w:bookmarkStart w:id="1695" w:name="_Toc12343"/>
      <w:r>
        <w:rPr>
          <w:rFonts w:hint="eastAsia" w:ascii="宋体" w:hAnsi="宋体" w:cs="宋体"/>
          <w:b/>
          <w:bCs/>
          <w:sz w:val="28"/>
          <w:szCs w:val="28"/>
          <w:lang w:eastAsia="zh-CN"/>
        </w:rPr>
        <w:t>（</w:t>
      </w:r>
      <w:r>
        <w:rPr>
          <w:rFonts w:hint="eastAsia" w:ascii="宋体" w:hAnsi="宋体" w:cs="宋体"/>
          <w:b/>
          <w:bCs/>
          <w:sz w:val="28"/>
          <w:szCs w:val="28"/>
          <w:lang w:val="en-US" w:eastAsia="zh-CN"/>
        </w:rPr>
        <w:t>一</w:t>
      </w:r>
      <w:r>
        <w:rPr>
          <w:rFonts w:hint="eastAsia" w:ascii="宋体" w:hAnsi="宋体" w:cs="宋体"/>
          <w:b/>
          <w:bCs/>
          <w:sz w:val="28"/>
          <w:szCs w:val="28"/>
          <w:lang w:eastAsia="zh-CN"/>
        </w:rPr>
        <w:t>）</w:t>
      </w:r>
      <w:r>
        <w:rPr>
          <w:rFonts w:hint="eastAsia" w:ascii="宋体" w:hAnsi="宋体" w:cs="宋体"/>
          <w:b/>
          <w:bCs/>
          <w:sz w:val="28"/>
          <w:szCs w:val="28"/>
        </w:rPr>
        <w:t>法定代表人身份证明</w:t>
      </w:r>
      <w:bookmarkEnd w:id="1695"/>
    </w:p>
    <w:p w14:paraId="150E71CD">
      <w:pPr>
        <w:jc w:val="center"/>
        <w:rPr>
          <w:rFonts w:ascii="宋体" w:hAnsi="宋体" w:cs="宋体"/>
        </w:rPr>
      </w:pPr>
    </w:p>
    <w:p w14:paraId="7E7292D6">
      <w:pPr>
        <w:jc w:val="center"/>
        <w:rPr>
          <w:rFonts w:ascii="宋体" w:hAnsi="宋体" w:cs="宋体"/>
        </w:rPr>
      </w:pPr>
    </w:p>
    <w:p w14:paraId="6AB4E62E">
      <w:pPr>
        <w:spacing w:line="500" w:lineRule="exact"/>
        <w:rPr>
          <w:rFonts w:ascii="宋体" w:hAnsi="宋体" w:cs="宋体"/>
          <w:sz w:val="24"/>
          <w:szCs w:val="24"/>
        </w:rPr>
      </w:pPr>
      <w:r>
        <w:rPr>
          <w:rFonts w:hint="eastAsia" w:ascii="宋体" w:hAnsi="宋体" w:cs="宋体"/>
          <w:sz w:val="24"/>
          <w:szCs w:val="24"/>
        </w:rPr>
        <w:t>投 标 人：</w:t>
      </w:r>
      <w:r>
        <w:rPr>
          <w:rFonts w:hint="eastAsia" w:ascii="宋体" w:hAnsi="宋体" w:cs="宋体"/>
          <w:sz w:val="24"/>
          <w:szCs w:val="24"/>
          <w:u w:val="single"/>
        </w:rPr>
        <w:t xml:space="preserve">                                                        </w:t>
      </w:r>
    </w:p>
    <w:p w14:paraId="21DFD840">
      <w:pPr>
        <w:spacing w:line="500" w:lineRule="exact"/>
        <w:rPr>
          <w:rFonts w:ascii="宋体" w:hAnsi="宋体" w:cs="宋体"/>
          <w:sz w:val="24"/>
          <w:szCs w:val="24"/>
        </w:rPr>
      </w:pPr>
      <w:r>
        <w:rPr>
          <w:rFonts w:hint="eastAsia" w:ascii="宋体" w:hAnsi="宋体" w:cs="宋体"/>
          <w:sz w:val="24"/>
          <w:szCs w:val="24"/>
        </w:rPr>
        <w:t>单位性质：</w:t>
      </w:r>
      <w:r>
        <w:rPr>
          <w:rFonts w:hint="eastAsia" w:ascii="宋体" w:hAnsi="宋体" w:cs="宋体"/>
          <w:sz w:val="24"/>
          <w:szCs w:val="24"/>
          <w:u w:val="single"/>
        </w:rPr>
        <w:t xml:space="preserve">                                                        </w:t>
      </w:r>
    </w:p>
    <w:p w14:paraId="1057B570">
      <w:pPr>
        <w:spacing w:line="500" w:lineRule="exact"/>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p>
    <w:p w14:paraId="765E4AB5">
      <w:pPr>
        <w:spacing w:line="500" w:lineRule="exact"/>
        <w:rPr>
          <w:rFonts w:ascii="宋体" w:hAnsi="宋体" w:cs="宋体"/>
          <w:sz w:val="24"/>
          <w:szCs w:val="24"/>
        </w:rPr>
      </w:pPr>
      <w:r>
        <w:rPr>
          <w:rFonts w:hint="eastAsia" w:ascii="宋体" w:hAnsi="宋体" w:cs="宋体"/>
          <w:sz w:val="24"/>
          <w:szCs w:val="24"/>
        </w:rPr>
        <w:t>成立时间：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10A7229C">
      <w:pPr>
        <w:spacing w:line="500" w:lineRule="exact"/>
        <w:rPr>
          <w:rFonts w:ascii="宋体" w:hAnsi="宋体" w:cs="宋体"/>
          <w:sz w:val="24"/>
          <w:szCs w:val="24"/>
        </w:rPr>
      </w:pPr>
      <w:r>
        <w:rPr>
          <w:rFonts w:hint="eastAsia" w:ascii="宋体" w:hAnsi="宋体" w:cs="宋体"/>
          <w:sz w:val="24"/>
          <w:szCs w:val="24"/>
        </w:rPr>
        <w:t>经营期限：</w:t>
      </w:r>
      <w:r>
        <w:rPr>
          <w:rFonts w:hint="eastAsia" w:ascii="宋体" w:hAnsi="宋体" w:cs="宋体"/>
          <w:sz w:val="24"/>
          <w:szCs w:val="24"/>
          <w:u w:val="single"/>
        </w:rPr>
        <w:t xml:space="preserve">                                                        </w:t>
      </w:r>
    </w:p>
    <w:p w14:paraId="045E03A7">
      <w:pPr>
        <w:spacing w:line="500" w:lineRule="exact"/>
        <w:rPr>
          <w:rFonts w:ascii="宋体" w:hAnsi="宋体" w:cs="宋体"/>
          <w:sz w:val="24"/>
          <w:szCs w:val="24"/>
        </w:rPr>
      </w:pPr>
      <w:r>
        <w:rPr>
          <w:rFonts w:hint="eastAsia" w:ascii="宋体" w:hAnsi="宋体" w:cs="宋体"/>
          <w:sz w:val="24"/>
          <w:szCs w:val="24"/>
        </w:rPr>
        <w:t>姓    名：</w:t>
      </w:r>
      <w:r>
        <w:rPr>
          <w:rFonts w:hint="eastAsia" w:ascii="宋体" w:hAnsi="宋体" w:cs="宋体"/>
          <w:sz w:val="24"/>
          <w:szCs w:val="24"/>
          <w:u w:val="single"/>
        </w:rPr>
        <w:t xml:space="preserve">                          </w:t>
      </w:r>
      <w:r>
        <w:rPr>
          <w:rFonts w:hint="eastAsia" w:ascii="宋体" w:hAnsi="宋体" w:cs="宋体"/>
          <w:sz w:val="24"/>
          <w:szCs w:val="24"/>
        </w:rPr>
        <w:t>性        别：</w:t>
      </w:r>
      <w:r>
        <w:rPr>
          <w:rFonts w:hint="eastAsia" w:ascii="宋体" w:hAnsi="宋体" w:cs="宋体"/>
          <w:sz w:val="24"/>
          <w:szCs w:val="24"/>
          <w:u w:val="single"/>
        </w:rPr>
        <w:t xml:space="preserve">                </w:t>
      </w:r>
    </w:p>
    <w:p w14:paraId="75A8686B">
      <w:pPr>
        <w:spacing w:line="500" w:lineRule="exact"/>
        <w:rPr>
          <w:rFonts w:ascii="宋体" w:hAnsi="宋体" w:cs="宋体"/>
          <w:sz w:val="24"/>
          <w:szCs w:val="24"/>
        </w:rPr>
      </w:pPr>
      <w:r>
        <w:rPr>
          <w:rFonts w:hint="eastAsia" w:ascii="宋体" w:hAnsi="宋体" w:cs="宋体"/>
          <w:sz w:val="24"/>
          <w:szCs w:val="24"/>
        </w:rPr>
        <w:t>年    龄：</w:t>
      </w:r>
      <w:r>
        <w:rPr>
          <w:rFonts w:hint="eastAsia" w:ascii="宋体" w:hAnsi="宋体" w:cs="宋体"/>
          <w:sz w:val="24"/>
          <w:szCs w:val="24"/>
          <w:u w:val="single"/>
        </w:rPr>
        <w:t xml:space="preserve">                          </w:t>
      </w:r>
      <w:r>
        <w:rPr>
          <w:rFonts w:hint="eastAsia" w:ascii="宋体" w:hAnsi="宋体" w:cs="宋体"/>
          <w:sz w:val="24"/>
          <w:szCs w:val="24"/>
        </w:rPr>
        <w:t>职        务：</w:t>
      </w:r>
      <w:r>
        <w:rPr>
          <w:rFonts w:hint="eastAsia" w:ascii="宋体" w:hAnsi="宋体" w:cs="宋体"/>
          <w:sz w:val="24"/>
          <w:szCs w:val="24"/>
          <w:u w:val="single"/>
        </w:rPr>
        <w:t xml:space="preserve">                </w:t>
      </w:r>
    </w:p>
    <w:p w14:paraId="7C51D872">
      <w:pPr>
        <w:spacing w:line="500" w:lineRule="exact"/>
        <w:rPr>
          <w:rFonts w:ascii="宋体" w:hAnsi="宋体" w:cs="宋体"/>
          <w:sz w:val="24"/>
          <w:szCs w:val="24"/>
        </w:rPr>
      </w:pPr>
      <w:r>
        <w:rPr>
          <w:rFonts w:hint="eastAsia" w:ascii="宋体" w:hAnsi="宋体" w:cs="宋体"/>
          <w:sz w:val="24"/>
          <w:szCs w:val="24"/>
        </w:rPr>
        <w:t>系</w:t>
      </w:r>
      <w:r>
        <w:rPr>
          <w:rFonts w:hint="eastAsia" w:ascii="宋体" w:hAnsi="宋体" w:cs="宋体"/>
          <w:sz w:val="24"/>
          <w:szCs w:val="24"/>
          <w:u w:val="single"/>
        </w:rPr>
        <w:t xml:space="preserve">                                                 </w:t>
      </w:r>
      <w:r>
        <w:rPr>
          <w:rFonts w:hint="eastAsia" w:ascii="宋体" w:hAnsi="宋体" w:cs="宋体"/>
          <w:sz w:val="24"/>
          <w:szCs w:val="24"/>
        </w:rPr>
        <w:t>（投标人名称）的法定代表人。</w:t>
      </w:r>
    </w:p>
    <w:p w14:paraId="3A46F078">
      <w:pPr>
        <w:spacing w:line="500" w:lineRule="exact"/>
        <w:rPr>
          <w:rFonts w:ascii="宋体" w:hAnsi="宋体" w:cs="宋体"/>
          <w:sz w:val="24"/>
          <w:szCs w:val="24"/>
        </w:rPr>
      </w:pPr>
      <w:r>
        <w:rPr>
          <w:rFonts w:hint="eastAsia" w:ascii="宋体" w:hAnsi="宋体" w:cs="宋体"/>
          <w:sz w:val="24"/>
          <w:szCs w:val="24"/>
        </w:rPr>
        <w:t>特此证明。</w:t>
      </w:r>
    </w:p>
    <w:p w14:paraId="59AF479A">
      <w:pPr>
        <w:spacing w:line="500" w:lineRule="exact"/>
        <w:rPr>
          <w:rFonts w:ascii="宋体" w:hAnsi="宋体" w:cs="宋体"/>
          <w:sz w:val="24"/>
          <w:szCs w:val="24"/>
        </w:rPr>
      </w:pPr>
    </w:p>
    <w:p w14:paraId="1F80CC12">
      <w:pPr>
        <w:spacing w:line="500" w:lineRule="exact"/>
        <w:rPr>
          <w:rFonts w:ascii="宋体" w:hAnsi="宋体" w:cs="宋体"/>
          <w:sz w:val="24"/>
          <w:szCs w:val="24"/>
        </w:rPr>
      </w:pPr>
      <w:r>
        <w:rPr>
          <w:rFonts w:hint="eastAsia" w:ascii="宋体" w:hAnsi="宋体" w:cs="宋体"/>
          <w:sz w:val="24"/>
          <w:szCs w:val="24"/>
        </w:rPr>
        <mc:AlternateContent>
          <mc:Choice Requires="wps">
            <w:drawing>
              <wp:anchor distT="0" distB="0" distL="114300" distR="114300" simplePos="0" relativeHeight="251662336" behindDoc="0" locked="0" layoutInCell="1" allowOverlap="1">
                <wp:simplePos x="0" y="0"/>
                <wp:positionH relativeFrom="column">
                  <wp:posOffset>367665</wp:posOffset>
                </wp:positionH>
                <wp:positionV relativeFrom="paragraph">
                  <wp:posOffset>144780</wp:posOffset>
                </wp:positionV>
                <wp:extent cx="2571750" cy="1476375"/>
                <wp:effectExtent l="4445" t="4445" r="14605" b="5080"/>
                <wp:wrapNone/>
                <wp:docPr id="30" name="圆角矩形 30"/>
                <wp:cNvGraphicFramePr/>
                <a:graphic xmlns:a="http://schemas.openxmlformats.org/drawingml/2006/main">
                  <a:graphicData uri="http://schemas.microsoft.com/office/word/2010/wordprocessingShape">
                    <wps:wsp>
                      <wps:cNvSpPr/>
                      <wps:spPr>
                        <a:xfrm>
                          <a:off x="0" y="0"/>
                          <a:ext cx="2571750" cy="1476375"/>
                        </a:xfrm>
                        <a:prstGeom prst="roundRect">
                          <a:avLst>
                            <a:gd name="adj" fmla="val 16667"/>
                          </a:avLst>
                        </a:prstGeom>
                        <a:solidFill>
                          <a:srgbClr val="FFFFFF"/>
                        </a:solidFill>
                        <a:ln w="9525" cap="flat" cmpd="sng">
                          <a:solidFill>
                            <a:srgbClr val="0D0D0D"/>
                          </a:solidFill>
                          <a:prstDash val="dash"/>
                          <a:headEnd type="none" w="med" len="med"/>
                          <a:tailEnd type="none" w="med" len="med"/>
                        </a:ln>
                        <a:effectLst/>
                      </wps:spPr>
                      <wps:txbx>
                        <w:txbxContent>
                          <w:p w14:paraId="60317425">
                            <w:pPr>
                              <w:jc w:val="both"/>
                            </w:pPr>
                          </w:p>
                          <w:p w14:paraId="6BB93BCC">
                            <w:pPr>
                              <w:jc w:val="center"/>
                              <w:rPr>
                                <w:highlight w:val="white"/>
                              </w:rPr>
                            </w:pPr>
                          </w:p>
                          <w:p w14:paraId="14D09E5F">
                            <w:pPr>
                              <w:jc w:val="center"/>
                              <w:rPr>
                                <w:sz w:val="24"/>
                                <w:szCs w:val="28"/>
                              </w:rPr>
                            </w:pPr>
                            <w:r>
                              <w:rPr>
                                <w:rFonts w:hint="eastAsia"/>
                                <w:sz w:val="24"/>
                                <w:szCs w:val="28"/>
                                <w:highlight w:val="white"/>
                              </w:rPr>
                              <w:t>法定代表人身份证正面复印件</w:t>
                            </w:r>
                          </w:p>
                        </w:txbxContent>
                      </wps:txbx>
                      <wps:bodyPr upright="1"/>
                    </wps:wsp>
                  </a:graphicData>
                </a:graphic>
              </wp:anchor>
            </w:drawing>
          </mc:Choice>
          <mc:Fallback>
            <w:pict>
              <v:roundrect id="_x0000_s1026" o:spid="_x0000_s1026" o:spt="2" style="position:absolute;left:0pt;margin-left:28.95pt;margin-top:11.4pt;height:116.25pt;width:202.5pt;z-index:251662336;mso-width-relative:page;mso-height-relative:page;" fillcolor="#FFFFFF" filled="t" stroked="t" coordsize="21600,21600" arcsize="0.166666666666667" o:gfxdata="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0PS/htgAAAAJAQAADwAAAAAAAAABACAAAAAiAAAAZHJzL2Rvd25yZXYueG1sUEsB&#10;AhQAFAAAAAgAh07iQN5FCNAuAgAAZgQAAA4AAAAAAAAAAQAgAAAAJwEAAGRycy9lMm9Eb2MueG1s&#10;UEsFBgAAAAAGAAYAWQEAAMcFAAAAAA==&#10;">
                <v:fill on="t" focussize="0,0"/>
                <v:stroke color="#0D0D0D" joinstyle="round" dashstyle="dash"/>
                <v:imagedata o:title=""/>
                <o:lock v:ext="edit" aspectratio="f"/>
                <v:textbox>
                  <w:txbxContent>
                    <w:p w14:paraId="60317425">
                      <w:pPr>
                        <w:jc w:val="both"/>
                      </w:pPr>
                    </w:p>
                    <w:p w14:paraId="6BB93BCC">
                      <w:pPr>
                        <w:jc w:val="center"/>
                        <w:rPr>
                          <w:highlight w:val="white"/>
                        </w:rPr>
                      </w:pPr>
                    </w:p>
                    <w:p w14:paraId="14D09E5F">
                      <w:pPr>
                        <w:jc w:val="center"/>
                        <w:rPr>
                          <w:sz w:val="24"/>
                          <w:szCs w:val="28"/>
                        </w:rPr>
                      </w:pPr>
                      <w:r>
                        <w:rPr>
                          <w:rFonts w:hint="eastAsia"/>
                          <w:sz w:val="24"/>
                          <w:szCs w:val="28"/>
                          <w:highlight w:val="white"/>
                        </w:rPr>
                        <w:t>法定代表人身份证正面复印件</w:t>
                      </w:r>
                    </w:p>
                  </w:txbxContent>
                </v:textbox>
              </v:roundrect>
            </w:pict>
          </mc:Fallback>
        </mc:AlternateContent>
      </w:r>
      <w:r>
        <w:rPr>
          <w:rFonts w:hint="eastAsia" w:ascii="宋体" w:hAnsi="宋体" w:cs="宋体"/>
          <w:sz w:val="24"/>
          <w:szCs w:val="24"/>
        </w:rPr>
        <mc:AlternateContent>
          <mc:Choice Requires="wps">
            <w:drawing>
              <wp:anchor distT="0" distB="0" distL="114300" distR="114300" simplePos="0" relativeHeight="251663360" behindDoc="0" locked="0" layoutInCell="1" allowOverlap="1">
                <wp:simplePos x="0" y="0"/>
                <wp:positionH relativeFrom="column">
                  <wp:posOffset>3187065</wp:posOffset>
                </wp:positionH>
                <wp:positionV relativeFrom="paragraph">
                  <wp:posOffset>145415</wp:posOffset>
                </wp:positionV>
                <wp:extent cx="2571750" cy="1485265"/>
                <wp:effectExtent l="4445" t="5080" r="14605" b="14605"/>
                <wp:wrapNone/>
                <wp:docPr id="26" name="圆角矩形 26"/>
                <wp:cNvGraphicFramePr/>
                <a:graphic xmlns:a="http://schemas.openxmlformats.org/drawingml/2006/main">
                  <a:graphicData uri="http://schemas.microsoft.com/office/word/2010/wordprocessingShape">
                    <wps:wsp>
                      <wps:cNvSpPr/>
                      <wps:spPr>
                        <a:xfrm>
                          <a:off x="0" y="0"/>
                          <a:ext cx="2571750" cy="1485265"/>
                        </a:xfrm>
                        <a:prstGeom prst="roundRect">
                          <a:avLst>
                            <a:gd name="adj" fmla="val 16667"/>
                          </a:avLst>
                        </a:prstGeom>
                        <a:solidFill>
                          <a:srgbClr val="FFFFFF"/>
                        </a:solidFill>
                        <a:ln w="9525" cap="flat" cmpd="sng">
                          <a:solidFill>
                            <a:srgbClr val="000000"/>
                          </a:solidFill>
                          <a:prstDash val="dash"/>
                          <a:headEnd type="none" w="med" len="med"/>
                          <a:tailEnd type="none" w="med" len="med"/>
                        </a:ln>
                        <a:effectLst/>
                      </wps:spPr>
                      <wps:txbx>
                        <w:txbxContent>
                          <w:p w14:paraId="54515869"/>
                          <w:p w14:paraId="4EEBA5E8">
                            <w:pPr>
                              <w:jc w:val="center"/>
                              <w:rPr>
                                <w:highlight w:val="white"/>
                              </w:rPr>
                            </w:pPr>
                          </w:p>
                          <w:p w14:paraId="08DE1145">
                            <w:pPr>
                              <w:jc w:val="center"/>
                              <w:rPr>
                                <w:sz w:val="24"/>
                                <w:szCs w:val="28"/>
                              </w:rPr>
                            </w:pPr>
                            <w:r>
                              <w:rPr>
                                <w:rFonts w:hint="eastAsia"/>
                                <w:sz w:val="24"/>
                                <w:szCs w:val="28"/>
                                <w:highlight w:val="white"/>
                              </w:rPr>
                              <w:t>法定代表人身份证背面复印件</w:t>
                            </w:r>
                          </w:p>
                        </w:txbxContent>
                      </wps:txbx>
                      <wps:bodyPr upright="1"/>
                    </wps:wsp>
                  </a:graphicData>
                </a:graphic>
              </wp:anchor>
            </w:drawing>
          </mc:Choice>
          <mc:Fallback>
            <w:pict>
              <v:roundrect id="_x0000_s1026" o:spid="_x0000_s1026" o:spt="2" style="position:absolute;left:0pt;margin-left:250.95pt;margin-top:11.45pt;height:116.95pt;width:202.5pt;z-index:251663360;mso-width-relative:page;mso-height-relative:page;" fillcolor="#FFFFFF" filled="t" stroked="t" coordsize="21600,21600" arcsize="0.166666666666667" o:gfxdata="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HBo992QAAAAoBAAAPAAAAAAAAAAEAIAAAACIAAABkcnMvZG93bnJldi54bWxQSwEC&#10;FAAUAAAACACHTuJAxCDEhCwCAABmBAAADgAAAAAAAAABACAAAAAoAQAAZHJzL2Uyb0RvYy54bWxQ&#10;SwUGAAAAAAYABgBZAQAAxgUAAAAA&#10;">
                <v:fill on="t" focussize="0,0"/>
                <v:stroke color="#000000" joinstyle="round" dashstyle="dash"/>
                <v:imagedata o:title=""/>
                <o:lock v:ext="edit" aspectratio="f"/>
                <v:textbox>
                  <w:txbxContent>
                    <w:p w14:paraId="54515869"/>
                    <w:p w14:paraId="4EEBA5E8">
                      <w:pPr>
                        <w:jc w:val="center"/>
                        <w:rPr>
                          <w:highlight w:val="white"/>
                        </w:rPr>
                      </w:pPr>
                    </w:p>
                    <w:p w14:paraId="08DE1145">
                      <w:pPr>
                        <w:jc w:val="center"/>
                        <w:rPr>
                          <w:sz w:val="24"/>
                          <w:szCs w:val="28"/>
                        </w:rPr>
                      </w:pPr>
                      <w:r>
                        <w:rPr>
                          <w:rFonts w:hint="eastAsia"/>
                          <w:sz w:val="24"/>
                          <w:szCs w:val="28"/>
                          <w:highlight w:val="white"/>
                        </w:rPr>
                        <w:t>法定代表人身份证背面复印件</w:t>
                      </w:r>
                    </w:p>
                  </w:txbxContent>
                </v:textbox>
              </v:roundrect>
            </w:pict>
          </mc:Fallback>
        </mc:AlternateContent>
      </w:r>
    </w:p>
    <w:p w14:paraId="376D47B3">
      <w:pPr>
        <w:spacing w:line="500" w:lineRule="exact"/>
        <w:rPr>
          <w:rFonts w:ascii="宋体" w:hAnsi="宋体" w:cs="宋体"/>
          <w:sz w:val="24"/>
          <w:szCs w:val="24"/>
        </w:rPr>
      </w:pPr>
    </w:p>
    <w:p w14:paraId="48D4E081">
      <w:pPr>
        <w:wordWrap w:val="0"/>
        <w:spacing w:line="500" w:lineRule="exact"/>
        <w:jc w:val="right"/>
        <w:rPr>
          <w:rFonts w:ascii="宋体" w:hAnsi="宋体" w:cs="宋体"/>
          <w:sz w:val="24"/>
          <w:szCs w:val="24"/>
        </w:rPr>
      </w:pPr>
    </w:p>
    <w:p w14:paraId="21CCC77C">
      <w:pPr>
        <w:spacing w:line="500" w:lineRule="exact"/>
        <w:jc w:val="right"/>
        <w:rPr>
          <w:rFonts w:ascii="宋体" w:hAnsi="宋体" w:cs="宋体"/>
          <w:sz w:val="24"/>
          <w:szCs w:val="24"/>
        </w:rPr>
      </w:pPr>
    </w:p>
    <w:p w14:paraId="19738AB7">
      <w:pPr>
        <w:spacing w:line="500" w:lineRule="exact"/>
        <w:jc w:val="right"/>
        <w:rPr>
          <w:rFonts w:ascii="宋体" w:hAnsi="宋体" w:cs="宋体"/>
          <w:sz w:val="24"/>
          <w:szCs w:val="24"/>
        </w:rPr>
      </w:pPr>
    </w:p>
    <w:p w14:paraId="4DCE784C">
      <w:pPr>
        <w:spacing w:line="500" w:lineRule="exact"/>
        <w:jc w:val="right"/>
        <w:rPr>
          <w:rFonts w:ascii="宋体" w:hAnsi="宋体" w:cs="宋体"/>
          <w:sz w:val="24"/>
          <w:szCs w:val="24"/>
        </w:rPr>
      </w:pPr>
    </w:p>
    <w:p w14:paraId="6A4F72AF">
      <w:pPr>
        <w:spacing w:line="500" w:lineRule="exact"/>
        <w:jc w:val="right"/>
        <w:rPr>
          <w:rFonts w:ascii="宋体" w:hAnsi="宋体" w:cs="宋体"/>
          <w:sz w:val="24"/>
          <w:szCs w:val="24"/>
        </w:rPr>
      </w:pPr>
    </w:p>
    <w:p w14:paraId="36C0ABD4">
      <w:pPr>
        <w:spacing w:line="500" w:lineRule="exact"/>
        <w:ind w:right="420"/>
        <w:rPr>
          <w:rFonts w:ascii="宋体" w:hAnsi="宋体" w:cs="宋体"/>
          <w:sz w:val="24"/>
          <w:szCs w:val="24"/>
        </w:rPr>
      </w:pPr>
    </w:p>
    <w:p w14:paraId="0DDDEAF1">
      <w:pPr>
        <w:spacing w:line="500" w:lineRule="exact"/>
        <w:jc w:val="right"/>
        <w:rPr>
          <w:rFonts w:ascii="宋体" w:hAnsi="宋体" w:cs="宋体"/>
          <w:sz w:val="24"/>
          <w:szCs w:val="24"/>
        </w:rPr>
      </w:pPr>
      <w:r>
        <w:rPr>
          <w:rFonts w:hint="eastAsia" w:ascii="宋体" w:hAnsi="宋体" w:cs="宋体"/>
          <w:sz w:val="24"/>
          <w:szCs w:val="24"/>
        </w:rPr>
        <w:t>投标单位：</w:t>
      </w:r>
      <w:r>
        <w:rPr>
          <w:rFonts w:hint="eastAsia" w:ascii="宋体" w:hAnsi="宋体" w:cs="宋体"/>
          <w:sz w:val="24"/>
          <w:szCs w:val="24"/>
          <w:u w:val="single"/>
        </w:rPr>
        <w:t xml:space="preserve">                          </w:t>
      </w:r>
      <w:r>
        <w:rPr>
          <w:rFonts w:hint="eastAsia" w:ascii="宋体" w:hAnsi="宋体" w:cs="宋体"/>
          <w:sz w:val="24"/>
          <w:szCs w:val="24"/>
        </w:rPr>
        <w:t>（盖单位章）</w:t>
      </w:r>
    </w:p>
    <w:p w14:paraId="18588F71">
      <w:pPr>
        <w:wordWrap w:val="0"/>
        <w:spacing w:line="500" w:lineRule="exact"/>
        <w:jc w:val="righ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 xml:space="preserve">日          </w:t>
      </w:r>
    </w:p>
    <w:p w14:paraId="6526609E">
      <w:pPr>
        <w:jc w:val="center"/>
        <w:rPr>
          <w:rFonts w:ascii="宋体" w:hAnsi="宋体" w:cs="宋体"/>
          <w:sz w:val="24"/>
          <w:szCs w:val="24"/>
        </w:rPr>
      </w:pPr>
    </w:p>
    <w:p w14:paraId="34658456">
      <w:pPr>
        <w:jc w:val="center"/>
        <w:outlineLvl w:val="9"/>
        <w:rPr>
          <w:rFonts w:hint="eastAsia" w:ascii="宋体" w:hAnsi="宋体" w:cs="宋体"/>
          <w:b/>
          <w:bCs/>
          <w:sz w:val="28"/>
          <w:szCs w:val="28"/>
          <w:lang w:eastAsia="zh-CN"/>
        </w:rPr>
      </w:pPr>
    </w:p>
    <w:p w14:paraId="1F836957">
      <w:pPr>
        <w:rPr>
          <w:rFonts w:hint="eastAsia" w:ascii="宋体" w:hAnsi="宋体" w:cs="宋体"/>
          <w:b/>
          <w:bCs/>
          <w:sz w:val="28"/>
          <w:szCs w:val="28"/>
          <w:lang w:eastAsia="zh-CN"/>
        </w:rPr>
      </w:pPr>
      <w:r>
        <w:rPr>
          <w:rFonts w:hint="eastAsia" w:ascii="宋体" w:hAnsi="宋体" w:cs="宋体"/>
          <w:b/>
          <w:bCs/>
          <w:sz w:val="28"/>
          <w:szCs w:val="28"/>
          <w:lang w:eastAsia="zh-CN"/>
        </w:rPr>
        <w:br w:type="page"/>
      </w:r>
    </w:p>
    <w:p w14:paraId="222CD701">
      <w:pPr>
        <w:jc w:val="center"/>
        <w:outlineLvl w:val="9"/>
        <w:rPr>
          <w:rFonts w:ascii="宋体" w:hAnsi="宋体" w:cs="宋体"/>
          <w:b/>
          <w:bCs/>
          <w:sz w:val="28"/>
          <w:szCs w:val="28"/>
        </w:rPr>
      </w:pPr>
      <w:r>
        <w:rPr>
          <w:rFonts w:hint="eastAsia" w:ascii="宋体" w:hAnsi="宋体" w:cs="宋体"/>
          <w:b/>
          <w:bCs/>
          <w:sz w:val="28"/>
          <w:szCs w:val="28"/>
          <w:lang w:eastAsia="zh-CN"/>
        </w:rPr>
        <w:t>（</w:t>
      </w:r>
      <w:r>
        <w:rPr>
          <w:rFonts w:hint="eastAsia" w:ascii="宋体" w:hAnsi="宋体" w:cs="宋体"/>
          <w:b/>
          <w:bCs/>
          <w:sz w:val="28"/>
          <w:szCs w:val="28"/>
          <w:lang w:val="en-US" w:eastAsia="zh-CN"/>
        </w:rPr>
        <w:t>二</w:t>
      </w:r>
      <w:r>
        <w:rPr>
          <w:rFonts w:hint="eastAsia" w:ascii="宋体" w:hAnsi="宋体" w:cs="宋体"/>
          <w:b/>
          <w:bCs/>
          <w:sz w:val="28"/>
          <w:szCs w:val="28"/>
          <w:lang w:eastAsia="zh-CN"/>
        </w:rPr>
        <w:t>）</w:t>
      </w:r>
      <w:r>
        <w:rPr>
          <w:rFonts w:hint="eastAsia" w:ascii="宋体" w:hAnsi="宋体" w:cs="宋体"/>
          <w:b/>
          <w:bCs/>
          <w:sz w:val="28"/>
          <w:szCs w:val="28"/>
        </w:rPr>
        <w:t>授权委托书</w:t>
      </w:r>
    </w:p>
    <w:p w14:paraId="61B3F5C0">
      <w:pPr>
        <w:spacing w:line="500" w:lineRule="exact"/>
        <w:ind w:firstLine="420"/>
        <w:rPr>
          <w:rFonts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（投标人名称）的法定代表人，现委托</w:t>
      </w:r>
      <w:r>
        <w:rPr>
          <w:rFonts w:hint="eastAsia" w:ascii="宋体" w:hAnsi="宋体" w:cs="宋体"/>
          <w:sz w:val="24"/>
          <w:szCs w:val="24"/>
          <w:u w:val="single"/>
        </w:rPr>
        <w:t xml:space="preserve">      </w:t>
      </w:r>
      <w:r>
        <w:rPr>
          <w:rFonts w:hint="eastAsia" w:ascii="宋体" w:hAnsi="宋体" w:cs="宋体"/>
          <w:sz w:val="24"/>
          <w:szCs w:val="24"/>
        </w:rPr>
        <w:t>（姓名）为我方代理人。代理人根据授权，以我方名义签署、澄清、说明、补正、递交、撤回、修改</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项目</w:t>
      </w:r>
      <w:r>
        <w:rPr>
          <w:rFonts w:hint="eastAsia" w:ascii="宋体" w:hAnsi="宋体" w:cs="宋体"/>
          <w:sz w:val="24"/>
          <w:szCs w:val="24"/>
        </w:rPr>
        <w:t>名称）投标文件、签订合同和处理有关事宜，其法律后果由我方承担。</w:t>
      </w:r>
    </w:p>
    <w:p w14:paraId="086FEA51">
      <w:pPr>
        <w:spacing w:line="500" w:lineRule="exact"/>
        <w:ind w:firstLine="480" w:firstLineChars="200"/>
        <w:rPr>
          <w:rFonts w:ascii="宋体" w:hAnsi="宋体" w:cs="宋体"/>
          <w:sz w:val="24"/>
          <w:szCs w:val="24"/>
        </w:rPr>
      </w:pPr>
      <w:r>
        <w:rPr>
          <w:rFonts w:hint="eastAsia" w:ascii="宋体" w:hAnsi="宋体" w:cs="宋体"/>
          <w:sz w:val="24"/>
          <w:szCs w:val="24"/>
        </w:rPr>
        <w:t>委托期限：</w:t>
      </w:r>
      <w:r>
        <w:rPr>
          <w:rFonts w:hint="eastAsia" w:ascii="宋体" w:hAnsi="宋体" w:cs="宋体"/>
          <w:sz w:val="24"/>
          <w:szCs w:val="24"/>
          <w:u w:val="single"/>
        </w:rPr>
        <w:t xml:space="preserve">                                               </w:t>
      </w:r>
      <w:r>
        <w:rPr>
          <w:rFonts w:hint="eastAsia" w:ascii="宋体" w:hAnsi="宋体" w:cs="宋体"/>
          <w:sz w:val="24"/>
          <w:szCs w:val="24"/>
        </w:rPr>
        <w:t>。</w:t>
      </w:r>
    </w:p>
    <w:p w14:paraId="78530867">
      <w:pPr>
        <w:spacing w:before="240" w:after="240" w:line="500" w:lineRule="exact"/>
        <w:ind w:firstLine="420"/>
        <w:rPr>
          <w:rFonts w:ascii="宋体" w:hAnsi="宋体" w:cs="宋体"/>
          <w:sz w:val="24"/>
          <w:szCs w:val="24"/>
        </w:rPr>
      </w:pPr>
      <w:r>
        <w:rPr>
          <w:rFonts w:hint="eastAsia" w:ascii="宋体" w:hAnsi="宋体" w:cs="宋体"/>
          <w:sz w:val="24"/>
          <w:szCs w:val="24"/>
        </w:rPr>
        <mc:AlternateContent>
          <mc:Choice Requires="wps">
            <w:drawing>
              <wp:anchor distT="0" distB="0" distL="114300" distR="114300" simplePos="0" relativeHeight="251671552" behindDoc="0" locked="0" layoutInCell="1" allowOverlap="1">
                <wp:simplePos x="0" y="0"/>
                <wp:positionH relativeFrom="column">
                  <wp:posOffset>3025140</wp:posOffset>
                </wp:positionH>
                <wp:positionV relativeFrom="paragraph">
                  <wp:posOffset>601980</wp:posOffset>
                </wp:positionV>
                <wp:extent cx="2371725" cy="1381125"/>
                <wp:effectExtent l="5080" t="4445" r="4445" b="5080"/>
                <wp:wrapNone/>
                <wp:docPr id="33" name="圆角矩形 33"/>
                <wp:cNvGraphicFramePr/>
                <a:graphic xmlns:a="http://schemas.openxmlformats.org/drawingml/2006/main">
                  <a:graphicData uri="http://schemas.microsoft.com/office/word/2010/wordprocessingShape">
                    <wps:wsp>
                      <wps:cNvSpPr/>
                      <wps:spPr>
                        <a:xfrm>
                          <a:off x="0" y="0"/>
                          <a:ext cx="2371725" cy="1381125"/>
                        </a:xfrm>
                        <a:prstGeom prst="roundRect">
                          <a:avLst>
                            <a:gd name="adj" fmla="val 16667"/>
                          </a:avLst>
                        </a:prstGeom>
                        <a:solidFill>
                          <a:srgbClr val="FFFFFF"/>
                        </a:solidFill>
                        <a:ln w="9525" cap="flat" cmpd="sng">
                          <a:solidFill>
                            <a:srgbClr val="000000"/>
                          </a:solidFill>
                          <a:prstDash val="dash"/>
                          <a:headEnd type="none" w="med" len="med"/>
                          <a:tailEnd type="none" w="med" len="med"/>
                        </a:ln>
                        <a:effectLst/>
                      </wps:spPr>
                      <wps:txbx>
                        <w:txbxContent>
                          <w:p w14:paraId="7D56BE97"/>
                          <w:p w14:paraId="1B888C6D">
                            <w:pPr>
                              <w:jc w:val="center"/>
                            </w:pPr>
                            <w:r>
                              <w:rPr>
                                <w:rFonts w:hint="eastAsia"/>
                                <w:highlight w:val="white"/>
                              </w:rPr>
                              <w:t>法定代表人身份证背面复印件</w:t>
                            </w:r>
                          </w:p>
                        </w:txbxContent>
                      </wps:txbx>
                      <wps:bodyPr upright="1"/>
                    </wps:wsp>
                  </a:graphicData>
                </a:graphic>
              </wp:anchor>
            </w:drawing>
          </mc:Choice>
          <mc:Fallback>
            <w:pict>
              <v:roundrect id="_x0000_s1026" o:spid="_x0000_s1026" o:spt="2" style="position:absolute;left:0pt;margin-left:238.2pt;margin-top:47.4pt;height:108.75pt;width:186.75pt;z-index:251671552;mso-width-relative:page;mso-height-relative:page;" fillcolor="#FFFFFF" filled="t" stroked="t" coordsize="21600,21600" arcsize="0.166666666666667" o:gfxdata="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Au4+7bAAAACgEAAA8AAAAAAAAAAQAgAAAAIgAAAGRycy9kb3ducmV2LnhtbFBL&#10;AQIUABQAAAAIAIdO4kCAhL0FLAIAAGYEAAAOAAAAAAAAAAEAIAAAACoBAABkcnMvZTJvRG9jLnht&#10;bFBLBQYAAAAABgAGAFkBAADIBQAAAAA=&#10;">
                <v:fill on="t" focussize="0,0"/>
                <v:stroke color="#000000" joinstyle="round" dashstyle="dash"/>
                <v:imagedata o:title=""/>
                <o:lock v:ext="edit" aspectratio="f"/>
                <v:textbox>
                  <w:txbxContent>
                    <w:p w14:paraId="7D56BE97"/>
                    <w:p w14:paraId="1B888C6D">
                      <w:pPr>
                        <w:jc w:val="center"/>
                      </w:pPr>
                      <w:r>
                        <w:rPr>
                          <w:rFonts w:hint="eastAsia"/>
                          <w:highlight w:val="white"/>
                        </w:rPr>
                        <w:t>法定代表人身份证背面复印件</w:t>
                      </w:r>
                    </w:p>
                  </w:txbxContent>
                </v:textbox>
              </v:roundrect>
            </w:pict>
          </mc:Fallback>
        </mc:AlternateContent>
      </w:r>
      <w:r>
        <w:rPr>
          <w:rFonts w:hint="eastAsia" w:ascii="宋体" w:hAnsi="宋体" w:cs="宋体"/>
          <w:sz w:val="24"/>
          <w:szCs w:val="24"/>
        </w:rPr>
        <mc:AlternateContent>
          <mc:Choice Requires="wps">
            <w:drawing>
              <wp:anchor distT="0" distB="0" distL="114300" distR="114300" simplePos="0" relativeHeight="251670528" behindDoc="0" locked="0" layoutInCell="1" allowOverlap="1">
                <wp:simplePos x="0" y="0"/>
                <wp:positionH relativeFrom="column">
                  <wp:posOffset>396240</wp:posOffset>
                </wp:positionH>
                <wp:positionV relativeFrom="paragraph">
                  <wp:posOffset>573405</wp:posOffset>
                </wp:positionV>
                <wp:extent cx="2371725" cy="1381125"/>
                <wp:effectExtent l="5080" t="4445" r="4445" b="5080"/>
                <wp:wrapNone/>
                <wp:docPr id="28" name="圆角矩形 28"/>
                <wp:cNvGraphicFramePr/>
                <a:graphic xmlns:a="http://schemas.openxmlformats.org/drawingml/2006/main">
                  <a:graphicData uri="http://schemas.microsoft.com/office/word/2010/wordprocessingShape">
                    <wps:wsp>
                      <wps:cNvSpPr/>
                      <wps:spPr>
                        <a:xfrm>
                          <a:off x="0" y="0"/>
                          <a:ext cx="2371725" cy="1381125"/>
                        </a:xfrm>
                        <a:prstGeom prst="roundRect">
                          <a:avLst>
                            <a:gd name="adj" fmla="val 16667"/>
                          </a:avLst>
                        </a:prstGeom>
                        <a:solidFill>
                          <a:srgbClr val="FFFFFF"/>
                        </a:solidFill>
                        <a:ln w="9525" cap="flat" cmpd="sng">
                          <a:solidFill>
                            <a:srgbClr val="0D0D0D"/>
                          </a:solidFill>
                          <a:prstDash val="dash"/>
                          <a:headEnd type="none" w="med" len="med"/>
                          <a:tailEnd type="none" w="med" len="med"/>
                        </a:ln>
                        <a:effectLst/>
                      </wps:spPr>
                      <wps:txbx>
                        <w:txbxContent>
                          <w:p w14:paraId="1DB1638B">
                            <w:pPr>
                              <w:jc w:val="center"/>
                            </w:pPr>
                          </w:p>
                          <w:p w14:paraId="47AA55F4">
                            <w:pPr>
                              <w:jc w:val="center"/>
                            </w:pPr>
                            <w:r>
                              <w:rPr>
                                <w:rFonts w:hint="eastAsia"/>
                                <w:highlight w:val="white"/>
                              </w:rPr>
                              <w:t>法定代表人身份证正面复印件</w:t>
                            </w:r>
                          </w:p>
                        </w:txbxContent>
                      </wps:txbx>
                      <wps:bodyPr upright="1"/>
                    </wps:wsp>
                  </a:graphicData>
                </a:graphic>
              </wp:anchor>
            </w:drawing>
          </mc:Choice>
          <mc:Fallback>
            <w:pict>
              <v:roundrect id="_x0000_s1026" o:spid="_x0000_s1026" o:spt="2" style="position:absolute;left:0pt;margin-left:31.2pt;margin-top:45.15pt;height:108.75pt;width:186.75pt;z-index:251670528;mso-width-relative:page;mso-height-relative:page;" fillcolor="#FFFFFF" filled="t" stroked="t" coordsize="21600,21600" arcsize="0.166666666666667" o:gfxdata="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ChEFz2QAAAAkBAAAPAAAAAAAAAAEAIAAAACIAAABkcnMvZG93bnJldi54bWxQSwEC&#10;FAAUAAAACACHTuJASIGsdywCAABmBAAADgAAAAAAAAABACAAAAAoAQAAZHJzL2Uyb0RvYy54bWxQ&#10;SwUGAAAAAAYABgBZAQAAxgUAAAAA&#10;">
                <v:fill on="t" focussize="0,0"/>
                <v:stroke color="#0D0D0D" joinstyle="round" dashstyle="dash"/>
                <v:imagedata o:title=""/>
                <o:lock v:ext="edit" aspectratio="f"/>
                <v:textbox>
                  <w:txbxContent>
                    <w:p w14:paraId="1DB1638B">
                      <w:pPr>
                        <w:jc w:val="center"/>
                      </w:pPr>
                    </w:p>
                    <w:p w14:paraId="47AA55F4">
                      <w:pPr>
                        <w:jc w:val="center"/>
                      </w:pPr>
                      <w:r>
                        <w:rPr>
                          <w:rFonts w:hint="eastAsia"/>
                          <w:highlight w:val="white"/>
                        </w:rPr>
                        <w:t>法定代表人身份证正面复印件</w:t>
                      </w:r>
                    </w:p>
                  </w:txbxContent>
                </v:textbox>
              </v:roundrect>
            </w:pict>
          </mc:Fallback>
        </mc:AlternateContent>
      </w:r>
      <w:r>
        <w:rPr>
          <w:rFonts w:hint="eastAsia" w:ascii="宋体" w:hAnsi="宋体" w:cs="宋体"/>
          <w:sz w:val="24"/>
          <w:szCs w:val="24"/>
        </w:rPr>
        <w:t>代理人无转委托权。</w:t>
      </w:r>
    </w:p>
    <w:p w14:paraId="5ED98C18">
      <w:pPr>
        <w:spacing w:line="500" w:lineRule="exact"/>
        <w:jc w:val="center"/>
        <w:rPr>
          <w:rFonts w:ascii="宋体" w:hAnsi="宋体" w:cs="宋体"/>
          <w:sz w:val="24"/>
          <w:szCs w:val="24"/>
        </w:rPr>
      </w:pPr>
    </w:p>
    <w:p w14:paraId="793E4753">
      <w:pPr>
        <w:spacing w:line="400" w:lineRule="exact"/>
        <w:ind w:firstLine="3570"/>
        <w:rPr>
          <w:rFonts w:ascii="宋体" w:hAnsi="宋体" w:cs="宋体"/>
          <w:sz w:val="24"/>
          <w:szCs w:val="24"/>
        </w:rPr>
      </w:pPr>
    </w:p>
    <w:p w14:paraId="60A2D89B">
      <w:pPr>
        <w:spacing w:line="400" w:lineRule="exact"/>
        <w:ind w:firstLine="3570"/>
        <w:rPr>
          <w:rFonts w:ascii="宋体" w:hAnsi="宋体" w:cs="宋体"/>
          <w:sz w:val="24"/>
          <w:szCs w:val="24"/>
        </w:rPr>
      </w:pPr>
    </w:p>
    <w:p w14:paraId="7E9B2704">
      <w:pPr>
        <w:spacing w:line="400" w:lineRule="exact"/>
        <w:ind w:firstLine="3570"/>
        <w:rPr>
          <w:rFonts w:ascii="宋体" w:hAnsi="宋体" w:cs="宋体"/>
          <w:sz w:val="24"/>
          <w:szCs w:val="24"/>
        </w:rPr>
      </w:pPr>
      <w:r>
        <w:rPr>
          <w:rFonts w:hint="eastAsia" w:ascii="宋体" w:hAnsi="宋体" w:cs="宋体"/>
          <w:sz w:val="24"/>
          <w:szCs w:val="24"/>
        </w:rPr>
        <mc:AlternateContent>
          <mc:Choice Requires="wps">
            <w:drawing>
              <wp:anchor distT="0" distB="0" distL="114300" distR="114300" simplePos="0" relativeHeight="251674624" behindDoc="0" locked="0" layoutInCell="1" allowOverlap="1">
                <wp:simplePos x="0" y="0"/>
                <wp:positionH relativeFrom="column">
                  <wp:posOffset>2205990</wp:posOffset>
                </wp:positionH>
                <wp:positionV relativeFrom="paragraph">
                  <wp:posOffset>20955</wp:posOffset>
                </wp:positionV>
                <wp:extent cx="1352550" cy="1323975"/>
                <wp:effectExtent l="4445" t="4445" r="14605" b="5080"/>
                <wp:wrapNone/>
                <wp:docPr id="31" name="椭圆 31"/>
                <wp:cNvGraphicFramePr/>
                <a:graphic xmlns:a="http://schemas.openxmlformats.org/drawingml/2006/main">
                  <a:graphicData uri="http://schemas.microsoft.com/office/word/2010/wordprocessingShape">
                    <wps:wsp>
                      <wps:cNvSpPr/>
                      <wps:spPr>
                        <a:xfrm>
                          <a:off x="0" y="0"/>
                          <a:ext cx="1352550" cy="1323975"/>
                        </a:xfrm>
                        <a:prstGeom prst="ellipse">
                          <a:avLst/>
                        </a:prstGeom>
                        <a:noFill/>
                        <a:ln w="9525" cap="flat" cmpd="sng">
                          <a:solidFill>
                            <a:srgbClr val="000000"/>
                          </a:solidFill>
                          <a:prstDash val="dash"/>
                          <a:headEnd type="none" w="med" len="med"/>
                          <a:tailEnd type="none" w="med" len="med"/>
                        </a:ln>
                        <a:effectLst/>
                      </wps:spPr>
                      <wps:txbx>
                        <w:txbxContent>
                          <w:p w14:paraId="3EDF78A8"/>
                          <w:p w14:paraId="0559F963">
                            <w:pPr>
                              <w:ind w:firstLine="210" w:firstLineChars="100"/>
                              <w:rPr>
                                <w:highlight w:val="white"/>
                              </w:rPr>
                            </w:pPr>
                            <w:r>
                              <w:rPr>
                                <w:rFonts w:hint="eastAsia"/>
                                <w:highlight w:val="white"/>
                              </w:rPr>
                              <w:t>加盖单位</w:t>
                            </w:r>
                          </w:p>
                          <w:p w14:paraId="1824DB1F">
                            <w:pPr>
                              <w:ind w:firstLine="420" w:firstLineChars="200"/>
                            </w:pPr>
                            <w:r>
                              <w:rPr>
                                <w:rFonts w:hint="eastAsia"/>
                                <w:highlight w:val="white"/>
                              </w:rPr>
                              <w:t>公章</w:t>
                            </w:r>
                          </w:p>
                        </w:txbxContent>
                      </wps:txbx>
                      <wps:bodyPr upright="1"/>
                    </wps:wsp>
                  </a:graphicData>
                </a:graphic>
              </wp:anchor>
            </w:drawing>
          </mc:Choice>
          <mc:Fallback>
            <w:pict>
              <v:shape id="_x0000_s1026" o:spid="_x0000_s1026" o:spt="3" type="#_x0000_t3" style="position:absolute;left:0pt;margin-left:173.7pt;margin-top:1.65pt;height:104.25pt;width:106.5pt;z-index:251674624;mso-width-relative:page;mso-height-relative:page;" filled="f" stroked="t" coordsize="21600,21600" o:gfxdata="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8rQYEdgAAAAJAQAADwAAAAAAAAABACAAAAAiAAAAZHJzL2Rvd25y&#10;ZXYueG1sUEsBAhQAFAAAAAgAh07iQCzLZgn+AQAACQQAAA4AAAAAAAAAAQAgAAAAJwEAAGRycy9l&#10;Mm9Eb2MueG1sUEsFBgAAAAAGAAYAWQEAAJcFAAAAAA==&#10;">
                <v:fill on="f" focussize="0,0"/>
                <v:stroke color="#000000" joinstyle="round" dashstyle="dash"/>
                <v:imagedata o:title=""/>
                <o:lock v:ext="edit" aspectratio="f"/>
                <v:textbox>
                  <w:txbxContent>
                    <w:p w14:paraId="3EDF78A8"/>
                    <w:p w14:paraId="0559F963">
                      <w:pPr>
                        <w:ind w:firstLine="210" w:firstLineChars="100"/>
                        <w:rPr>
                          <w:highlight w:val="white"/>
                        </w:rPr>
                      </w:pPr>
                      <w:r>
                        <w:rPr>
                          <w:rFonts w:hint="eastAsia"/>
                          <w:highlight w:val="white"/>
                        </w:rPr>
                        <w:t>加盖单位</w:t>
                      </w:r>
                    </w:p>
                    <w:p w14:paraId="1824DB1F">
                      <w:pPr>
                        <w:ind w:firstLine="420" w:firstLineChars="200"/>
                      </w:pPr>
                      <w:r>
                        <w:rPr>
                          <w:rFonts w:hint="eastAsia"/>
                          <w:highlight w:val="white"/>
                        </w:rPr>
                        <w:t>公章</w:t>
                      </w:r>
                    </w:p>
                  </w:txbxContent>
                </v:textbox>
              </v:shape>
            </w:pict>
          </mc:Fallback>
        </mc:AlternateContent>
      </w:r>
    </w:p>
    <w:p w14:paraId="2C97FB2A">
      <w:pPr>
        <w:spacing w:line="400" w:lineRule="exact"/>
        <w:ind w:firstLine="3570"/>
        <w:rPr>
          <w:rFonts w:ascii="宋体" w:hAnsi="宋体" w:cs="宋体"/>
          <w:sz w:val="24"/>
          <w:szCs w:val="24"/>
        </w:rPr>
      </w:pPr>
    </w:p>
    <w:p w14:paraId="2580B329">
      <w:pPr>
        <w:spacing w:line="400" w:lineRule="exact"/>
        <w:ind w:firstLine="3570"/>
        <w:rPr>
          <w:rFonts w:ascii="宋体" w:hAnsi="宋体" w:cs="宋体"/>
          <w:sz w:val="24"/>
          <w:szCs w:val="24"/>
        </w:rPr>
      </w:pPr>
      <w:r>
        <w:rPr>
          <w:rFonts w:hint="eastAsia" w:ascii="宋体" w:hAnsi="宋体" w:cs="宋体"/>
          <w:sz w:val="24"/>
          <w:szCs w:val="24"/>
        </w:rPr>
        <mc:AlternateContent>
          <mc:Choice Requires="wps">
            <w:drawing>
              <wp:anchor distT="0" distB="0" distL="114300" distR="114300" simplePos="0" relativeHeight="251672576" behindDoc="0" locked="0" layoutInCell="1" allowOverlap="1">
                <wp:simplePos x="0" y="0"/>
                <wp:positionH relativeFrom="column">
                  <wp:posOffset>377190</wp:posOffset>
                </wp:positionH>
                <wp:positionV relativeFrom="paragraph">
                  <wp:posOffset>236855</wp:posOffset>
                </wp:positionV>
                <wp:extent cx="2371725" cy="1381125"/>
                <wp:effectExtent l="5080" t="4445" r="4445" b="5080"/>
                <wp:wrapNone/>
                <wp:docPr id="29" name="圆角矩形 29"/>
                <wp:cNvGraphicFramePr/>
                <a:graphic xmlns:a="http://schemas.openxmlformats.org/drawingml/2006/main">
                  <a:graphicData uri="http://schemas.microsoft.com/office/word/2010/wordprocessingShape">
                    <wps:wsp>
                      <wps:cNvSpPr/>
                      <wps:spPr>
                        <a:xfrm>
                          <a:off x="0" y="0"/>
                          <a:ext cx="2371725" cy="1381125"/>
                        </a:xfrm>
                        <a:prstGeom prst="roundRect">
                          <a:avLst>
                            <a:gd name="adj" fmla="val 16667"/>
                          </a:avLst>
                        </a:prstGeom>
                        <a:solidFill>
                          <a:srgbClr val="FFFFFF"/>
                        </a:solidFill>
                        <a:ln w="9525" cap="flat" cmpd="sng">
                          <a:solidFill>
                            <a:srgbClr val="0D0D0D"/>
                          </a:solidFill>
                          <a:prstDash val="dash"/>
                          <a:headEnd type="none" w="med" len="med"/>
                          <a:tailEnd type="none" w="med" len="med"/>
                        </a:ln>
                        <a:effectLst/>
                      </wps:spPr>
                      <wps:txbx>
                        <w:txbxContent>
                          <w:p w14:paraId="36DFE6B2">
                            <w:pPr>
                              <w:jc w:val="center"/>
                            </w:pPr>
                          </w:p>
                          <w:p w14:paraId="6CB6639B">
                            <w:pPr>
                              <w:jc w:val="center"/>
                            </w:pPr>
                            <w:r>
                              <w:rPr>
                                <w:rFonts w:hint="eastAsia"/>
                                <w:highlight w:val="white"/>
                              </w:rPr>
                              <w:t>授权委托人身份证正面复印件</w:t>
                            </w:r>
                          </w:p>
                        </w:txbxContent>
                      </wps:txbx>
                      <wps:bodyPr upright="1"/>
                    </wps:wsp>
                  </a:graphicData>
                </a:graphic>
              </wp:anchor>
            </w:drawing>
          </mc:Choice>
          <mc:Fallback>
            <w:pict>
              <v:roundrect id="_x0000_s1026" o:spid="_x0000_s1026" o:spt="2" style="position:absolute;left:0pt;margin-left:29.7pt;margin-top:18.65pt;height:108.75pt;width:186.75pt;z-index:251672576;mso-width-relative:page;mso-height-relative:page;" fillcolor="#FFFFFF" filled="t" stroked="t" coordsize="21600,21600" arcsize="0.166666666666667" o:gfxdata="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pf9rVdkAAAAJAQAADwAAAAAAAAABACAAAAAiAAAAZHJzL2Rvd25yZXYueG1sUEsB&#10;AhQAFAAAAAgAh07iQMSUb/ctAgAAZgQAAA4AAAAAAAAAAQAgAAAAKAEAAGRycy9lMm9Eb2MueG1s&#10;UEsFBgAAAAAGAAYAWQEAAMcFAAAAAA==&#10;">
                <v:fill on="t" focussize="0,0"/>
                <v:stroke color="#0D0D0D" joinstyle="round" dashstyle="dash"/>
                <v:imagedata o:title=""/>
                <o:lock v:ext="edit" aspectratio="f"/>
                <v:textbox>
                  <w:txbxContent>
                    <w:p w14:paraId="36DFE6B2">
                      <w:pPr>
                        <w:jc w:val="center"/>
                      </w:pPr>
                    </w:p>
                    <w:p w14:paraId="6CB6639B">
                      <w:pPr>
                        <w:jc w:val="center"/>
                      </w:pPr>
                      <w:r>
                        <w:rPr>
                          <w:rFonts w:hint="eastAsia"/>
                          <w:highlight w:val="white"/>
                        </w:rPr>
                        <w:t>授权委托人身份证正面复印件</w:t>
                      </w:r>
                    </w:p>
                  </w:txbxContent>
                </v:textbox>
              </v:roundrect>
            </w:pict>
          </mc:Fallback>
        </mc:AlternateContent>
      </w:r>
      <w:r>
        <w:rPr>
          <w:rFonts w:hint="eastAsia" w:ascii="宋体" w:hAnsi="宋体" w:cs="宋体"/>
          <w:sz w:val="24"/>
          <w:szCs w:val="24"/>
        </w:rPr>
        <mc:AlternateContent>
          <mc:Choice Requires="wps">
            <w:drawing>
              <wp:anchor distT="0" distB="0" distL="114300" distR="114300" simplePos="0" relativeHeight="251673600" behindDoc="0" locked="0" layoutInCell="1" allowOverlap="1">
                <wp:simplePos x="0" y="0"/>
                <wp:positionH relativeFrom="column">
                  <wp:posOffset>3025140</wp:posOffset>
                </wp:positionH>
                <wp:positionV relativeFrom="paragraph">
                  <wp:posOffset>227330</wp:posOffset>
                </wp:positionV>
                <wp:extent cx="2371725" cy="1381125"/>
                <wp:effectExtent l="5080" t="4445" r="4445" b="5080"/>
                <wp:wrapNone/>
                <wp:docPr id="32" name="圆角矩形 32"/>
                <wp:cNvGraphicFramePr/>
                <a:graphic xmlns:a="http://schemas.openxmlformats.org/drawingml/2006/main">
                  <a:graphicData uri="http://schemas.microsoft.com/office/word/2010/wordprocessingShape">
                    <wps:wsp>
                      <wps:cNvSpPr/>
                      <wps:spPr>
                        <a:xfrm>
                          <a:off x="0" y="0"/>
                          <a:ext cx="2371725" cy="1381125"/>
                        </a:xfrm>
                        <a:prstGeom prst="roundRect">
                          <a:avLst>
                            <a:gd name="adj" fmla="val 16667"/>
                          </a:avLst>
                        </a:prstGeom>
                        <a:solidFill>
                          <a:srgbClr val="FFFFFF"/>
                        </a:solidFill>
                        <a:ln w="9525" cap="flat" cmpd="sng">
                          <a:solidFill>
                            <a:srgbClr val="000000"/>
                          </a:solidFill>
                          <a:prstDash val="dash"/>
                          <a:headEnd type="none" w="med" len="med"/>
                          <a:tailEnd type="none" w="med" len="med"/>
                        </a:ln>
                        <a:effectLst/>
                      </wps:spPr>
                      <wps:txbx>
                        <w:txbxContent>
                          <w:p w14:paraId="74975999"/>
                          <w:p w14:paraId="5885808F">
                            <w:pPr>
                              <w:jc w:val="center"/>
                            </w:pPr>
                            <w:r>
                              <w:rPr>
                                <w:rFonts w:hint="eastAsia"/>
                                <w:highlight w:val="white"/>
                              </w:rPr>
                              <w:t>授权委托人身份证背面复印件</w:t>
                            </w:r>
                          </w:p>
                        </w:txbxContent>
                      </wps:txbx>
                      <wps:bodyPr upright="1"/>
                    </wps:wsp>
                  </a:graphicData>
                </a:graphic>
              </wp:anchor>
            </w:drawing>
          </mc:Choice>
          <mc:Fallback>
            <w:pict>
              <v:roundrect id="_x0000_s1026" o:spid="_x0000_s1026" o:spt="2" style="position:absolute;left:0pt;margin-left:238.2pt;margin-top:17.9pt;height:108.75pt;width:186.75pt;z-index:251673600;mso-width-relative:page;mso-height-relative:page;" fillcolor="#FFFFFF" filled="t" stroked="t" coordsize="21600,21600" arcsize="0.166666666666667" o:gfxdata="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bIFIfbAAAACgEAAA8AAAAAAAAAAQAgAAAAIgAAAGRycy9kb3ducmV2LnhtbFBL&#10;AQIUABQAAAAIAIdO4kAMkX6FLAIAAGYEAAAOAAAAAAAAAAEAIAAAACoBAABkcnMvZTJvRG9jLnht&#10;bFBLBQYAAAAABgAGAFkBAADIBQAAAAA=&#10;">
                <v:fill on="t" focussize="0,0"/>
                <v:stroke color="#000000" joinstyle="round" dashstyle="dash"/>
                <v:imagedata o:title=""/>
                <o:lock v:ext="edit" aspectratio="f"/>
                <v:textbox>
                  <w:txbxContent>
                    <w:p w14:paraId="74975999"/>
                    <w:p w14:paraId="5885808F">
                      <w:pPr>
                        <w:jc w:val="center"/>
                      </w:pPr>
                      <w:r>
                        <w:rPr>
                          <w:rFonts w:hint="eastAsia"/>
                          <w:highlight w:val="white"/>
                        </w:rPr>
                        <w:t>授权委托人身份证背面复印件</w:t>
                      </w:r>
                    </w:p>
                  </w:txbxContent>
                </v:textbox>
              </v:roundrect>
            </w:pict>
          </mc:Fallback>
        </mc:AlternateContent>
      </w:r>
    </w:p>
    <w:p w14:paraId="1EDECE09">
      <w:pPr>
        <w:spacing w:line="400" w:lineRule="exact"/>
        <w:ind w:firstLine="3570"/>
        <w:rPr>
          <w:rFonts w:ascii="宋体" w:hAnsi="宋体" w:cs="宋体"/>
          <w:sz w:val="24"/>
          <w:szCs w:val="24"/>
        </w:rPr>
      </w:pPr>
    </w:p>
    <w:p w14:paraId="74250908">
      <w:pPr>
        <w:spacing w:line="400" w:lineRule="exact"/>
        <w:ind w:firstLine="3570"/>
        <w:rPr>
          <w:rFonts w:ascii="宋体" w:hAnsi="宋体" w:cs="宋体"/>
          <w:sz w:val="24"/>
          <w:szCs w:val="24"/>
        </w:rPr>
      </w:pPr>
    </w:p>
    <w:p w14:paraId="7FB3AFE0">
      <w:pPr>
        <w:spacing w:line="400" w:lineRule="exact"/>
        <w:ind w:firstLine="3570"/>
        <w:rPr>
          <w:rFonts w:ascii="宋体" w:hAnsi="宋体" w:cs="宋体"/>
          <w:sz w:val="24"/>
          <w:szCs w:val="24"/>
        </w:rPr>
      </w:pPr>
    </w:p>
    <w:p w14:paraId="7746BC16">
      <w:pPr>
        <w:spacing w:line="400" w:lineRule="exact"/>
        <w:ind w:firstLine="3570"/>
        <w:rPr>
          <w:rFonts w:ascii="宋体" w:hAnsi="宋体" w:cs="宋体"/>
          <w:sz w:val="24"/>
          <w:szCs w:val="24"/>
        </w:rPr>
      </w:pPr>
    </w:p>
    <w:p w14:paraId="3EB20DEE">
      <w:pPr>
        <w:spacing w:line="400" w:lineRule="exact"/>
        <w:ind w:firstLine="3570"/>
        <w:rPr>
          <w:rFonts w:ascii="宋体" w:hAnsi="宋体" w:cs="宋体"/>
          <w:sz w:val="24"/>
          <w:szCs w:val="24"/>
        </w:rPr>
      </w:pPr>
    </w:p>
    <w:p w14:paraId="0DC01406">
      <w:pPr>
        <w:spacing w:line="400" w:lineRule="exact"/>
        <w:ind w:firstLine="3570"/>
        <w:rPr>
          <w:rFonts w:ascii="宋体" w:hAnsi="宋体" w:cs="宋体"/>
          <w:sz w:val="24"/>
          <w:szCs w:val="24"/>
        </w:rPr>
      </w:pPr>
    </w:p>
    <w:p w14:paraId="457A6E65">
      <w:pPr>
        <w:spacing w:line="400" w:lineRule="exact"/>
        <w:ind w:firstLine="3570"/>
        <w:rPr>
          <w:rFonts w:ascii="宋体" w:hAnsi="宋体" w:cs="宋体"/>
          <w:sz w:val="24"/>
          <w:szCs w:val="24"/>
        </w:rPr>
      </w:pPr>
    </w:p>
    <w:p w14:paraId="240443B0">
      <w:pPr>
        <w:spacing w:line="400" w:lineRule="exact"/>
        <w:rPr>
          <w:rFonts w:ascii="宋体" w:hAnsi="宋体" w:cs="宋体"/>
          <w:sz w:val="24"/>
          <w:szCs w:val="24"/>
        </w:rPr>
      </w:pPr>
      <w:r>
        <w:rPr>
          <w:rFonts w:hint="eastAsia" w:ascii="宋体" w:hAnsi="宋体" w:cs="宋体"/>
          <w:sz w:val="24"/>
          <w:szCs w:val="24"/>
        </w:rPr>
        <w:t>投标单位：</w:t>
      </w:r>
      <w:r>
        <w:rPr>
          <w:rFonts w:hint="eastAsia" w:ascii="宋体" w:hAnsi="宋体" w:cs="宋体"/>
          <w:sz w:val="24"/>
          <w:szCs w:val="24"/>
          <w:u w:val="single"/>
        </w:rPr>
        <w:t xml:space="preserve">                           </w:t>
      </w:r>
      <w:r>
        <w:rPr>
          <w:rFonts w:hint="eastAsia" w:ascii="宋体" w:hAnsi="宋体" w:cs="宋体"/>
          <w:sz w:val="24"/>
          <w:szCs w:val="24"/>
        </w:rPr>
        <w:t>（盖单位章）</w:t>
      </w:r>
    </w:p>
    <w:p w14:paraId="249E95CB">
      <w:pPr>
        <w:spacing w:line="400" w:lineRule="exact"/>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sz w:val="24"/>
          <w:szCs w:val="24"/>
        </w:rPr>
        <w:t>（签字或盖章）</w:t>
      </w:r>
    </w:p>
    <w:p w14:paraId="2D9E4B3C">
      <w:pPr>
        <w:spacing w:line="400" w:lineRule="exact"/>
        <w:rPr>
          <w:rFonts w:ascii="宋体" w:hAnsi="宋体" w:cs="宋体"/>
          <w:sz w:val="24"/>
          <w:szCs w:val="24"/>
          <w:u w:val="single"/>
        </w:rPr>
      </w:pPr>
      <w:r>
        <w:rPr>
          <w:rFonts w:hint="eastAsia" w:ascii="宋体" w:hAnsi="宋体" w:cs="宋体"/>
          <w:sz w:val="24"/>
          <w:szCs w:val="24"/>
        </w:rPr>
        <w:t>身份证号码：</w:t>
      </w:r>
      <w:r>
        <w:rPr>
          <w:rFonts w:hint="eastAsia" w:ascii="宋体" w:hAnsi="宋体" w:cs="宋体"/>
          <w:sz w:val="24"/>
          <w:szCs w:val="24"/>
          <w:u w:val="single"/>
        </w:rPr>
        <w:t xml:space="preserve">                         </w:t>
      </w:r>
    </w:p>
    <w:p w14:paraId="016004CF">
      <w:pPr>
        <w:spacing w:line="400" w:lineRule="exact"/>
        <w:rPr>
          <w:rFonts w:ascii="宋体" w:hAnsi="宋体" w:cs="宋体"/>
          <w:sz w:val="24"/>
          <w:szCs w:val="24"/>
        </w:rPr>
      </w:pPr>
      <w:r>
        <w:rPr>
          <w:rFonts w:hint="eastAsia" w:ascii="宋体" w:hAnsi="宋体" w:cs="宋体"/>
          <w:sz w:val="24"/>
          <w:szCs w:val="24"/>
        </w:rPr>
        <w:t>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14:paraId="27CB337A">
      <w:pPr>
        <w:spacing w:line="400" w:lineRule="exact"/>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r>
        <w:rPr>
          <w:rFonts w:hint="eastAsia" w:ascii="宋体" w:hAnsi="宋体" w:cs="宋体"/>
          <w:sz w:val="24"/>
          <w:szCs w:val="24"/>
        </w:rPr>
        <w:t xml:space="preserve"> </w:t>
      </w:r>
    </w:p>
    <w:p w14:paraId="54C95CD3">
      <w:pPr>
        <w:spacing w:line="400" w:lineRule="exact"/>
        <w:rPr>
          <w:rFonts w:ascii="宋体" w:hAnsi="宋体" w:cs="宋体"/>
          <w:sz w:val="24"/>
          <w:szCs w:val="24"/>
        </w:rPr>
      </w:pPr>
    </w:p>
    <w:p w14:paraId="21F007C7">
      <w:pPr>
        <w:spacing w:line="40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615AA283">
      <w:pPr>
        <w:jc w:val="center"/>
        <w:rPr>
          <w:rFonts w:ascii="宋体" w:hAnsi="宋体" w:cs="宋体"/>
          <w:sz w:val="24"/>
          <w:szCs w:val="24"/>
        </w:rPr>
      </w:pPr>
    </w:p>
    <w:p w14:paraId="691614B2">
      <w:pPr>
        <w:jc w:val="center"/>
        <w:rPr>
          <w:rFonts w:ascii="宋体" w:hAnsi="宋体" w:cs="宋体"/>
          <w:sz w:val="24"/>
          <w:szCs w:val="28"/>
        </w:rPr>
      </w:pPr>
    </w:p>
    <w:p w14:paraId="6439EA83">
      <w:pPr>
        <w:spacing w:line="360" w:lineRule="auto"/>
        <w:jc w:val="center"/>
        <w:outlineLvl w:val="0"/>
        <w:rPr>
          <w:rFonts w:hint="eastAsia" w:ascii="宋体" w:hAnsi="宋体" w:cs="宋体"/>
          <w:sz w:val="28"/>
          <w:szCs w:val="28"/>
        </w:rPr>
      </w:pPr>
    </w:p>
    <w:p w14:paraId="0728798C">
      <w:pPr>
        <w:spacing w:line="360" w:lineRule="auto"/>
        <w:jc w:val="center"/>
        <w:outlineLvl w:val="0"/>
        <w:rPr>
          <w:rFonts w:hint="eastAsia" w:ascii="宋体" w:hAnsi="宋体" w:eastAsia="宋体" w:cs="Times New Roman"/>
          <w:b/>
          <w:bCs/>
          <w:color w:val="000000"/>
          <w:kern w:val="2"/>
          <w:sz w:val="28"/>
          <w:szCs w:val="28"/>
          <w:lang w:val="en-US" w:eastAsia="zh-CN" w:bidi="ar-SA"/>
        </w:rPr>
      </w:pPr>
    </w:p>
    <w:p w14:paraId="434BF8D8">
      <w:pPr>
        <w:spacing w:line="360" w:lineRule="auto"/>
        <w:jc w:val="center"/>
        <w:outlineLvl w:val="1"/>
        <w:rPr>
          <w:rFonts w:hint="eastAsia" w:ascii="宋体" w:hAnsi="宋体" w:eastAsia="宋体" w:cs="Times New Roman"/>
          <w:b/>
          <w:bCs/>
          <w:color w:val="000000"/>
          <w:kern w:val="2"/>
          <w:sz w:val="28"/>
          <w:szCs w:val="28"/>
          <w:lang w:val="en-US" w:eastAsia="zh-CN" w:bidi="ar-SA"/>
        </w:rPr>
      </w:pPr>
      <w:bookmarkStart w:id="1696" w:name="_Toc1252"/>
      <w:r>
        <w:rPr>
          <w:rFonts w:hint="eastAsia" w:ascii="宋体" w:hAnsi="宋体" w:eastAsia="宋体" w:cs="Times New Roman"/>
          <w:b/>
          <w:bCs/>
          <w:color w:val="000000"/>
          <w:kern w:val="2"/>
          <w:sz w:val="28"/>
          <w:szCs w:val="28"/>
          <w:lang w:val="en-US" w:eastAsia="zh-CN" w:bidi="ar-SA"/>
        </w:rPr>
        <w:t>四、联合体协议书</w:t>
      </w:r>
      <w:bookmarkEnd w:id="1696"/>
    </w:p>
    <w:p w14:paraId="11502F35">
      <w:pPr>
        <w:spacing w:line="400" w:lineRule="exact"/>
        <w:rPr>
          <w:rFonts w:ascii="宋体" w:hAnsi="宋体" w:cs="宋体"/>
          <w:szCs w:val="21"/>
        </w:rPr>
      </w:pPr>
    </w:p>
    <w:p w14:paraId="42EB2559">
      <w:pPr>
        <w:topLinePunct/>
        <w:spacing w:line="440" w:lineRule="exact"/>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（所有成员单位名称）自愿组成</w:t>
      </w:r>
      <w:r>
        <w:rPr>
          <w:rFonts w:hint="eastAsia" w:ascii="宋体" w:hAnsi="宋体"/>
          <w:color w:val="000000"/>
          <w:sz w:val="24"/>
          <w:szCs w:val="24"/>
          <w:u w:val="single"/>
        </w:rPr>
        <w:t xml:space="preserve">         </w:t>
      </w:r>
      <w:r>
        <w:rPr>
          <w:rFonts w:hint="eastAsia" w:ascii="宋体" w:hAnsi="宋体"/>
          <w:color w:val="000000"/>
          <w:sz w:val="24"/>
          <w:szCs w:val="24"/>
        </w:rPr>
        <w:t>（联合体名称）联合体，共同参加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none"/>
        </w:rPr>
        <w:t>（</w:t>
      </w:r>
      <w:r>
        <w:rPr>
          <w:rFonts w:hint="eastAsia" w:ascii="宋体" w:hAnsi="宋体"/>
          <w:color w:val="000000"/>
          <w:sz w:val="24"/>
          <w:szCs w:val="24"/>
          <w:u w:val="none"/>
          <w:lang w:val="en-US" w:eastAsia="zh-CN"/>
        </w:rPr>
        <w:t>项目</w:t>
      </w:r>
      <w:r>
        <w:rPr>
          <w:rFonts w:hint="eastAsia" w:ascii="宋体" w:hAnsi="宋体"/>
          <w:color w:val="000000"/>
          <w:sz w:val="24"/>
          <w:szCs w:val="24"/>
        </w:rPr>
        <w:t>名称）施工总承包投标。现就联合体投标事宜订立如下协议。</w:t>
      </w:r>
    </w:p>
    <w:p w14:paraId="43643E40">
      <w:pPr>
        <w:topLinePunct/>
        <w:spacing w:line="440" w:lineRule="exact"/>
        <w:rPr>
          <w:rFonts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u w:val="single"/>
        </w:rPr>
        <w:t xml:space="preserve">       </w:t>
      </w:r>
      <w:r>
        <w:rPr>
          <w:rFonts w:hint="eastAsia" w:ascii="宋体" w:hAnsi="宋体"/>
          <w:color w:val="000000"/>
          <w:sz w:val="24"/>
          <w:szCs w:val="24"/>
        </w:rPr>
        <w:t>（某成员单位名称）为</w:t>
      </w:r>
      <w:r>
        <w:rPr>
          <w:rFonts w:hint="eastAsia" w:ascii="宋体" w:hAnsi="宋体"/>
          <w:color w:val="000000"/>
          <w:sz w:val="24"/>
          <w:szCs w:val="24"/>
          <w:u w:val="single"/>
        </w:rPr>
        <w:t xml:space="preserve">        </w:t>
      </w:r>
      <w:r>
        <w:rPr>
          <w:rFonts w:hint="eastAsia" w:ascii="宋体" w:hAnsi="宋体"/>
          <w:color w:val="000000"/>
          <w:sz w:val="24"/>
          <w:szCs w:val="24"/>
        </w:rPr>
        <w:t>（联合体名称）牵头人。</w:t>
      </w:r>
    </w:p>
    <w:p w14:paraId="2AAAC7EA">
      <w:pPr>
        <w:topLinePunct/>
        <w:spacing w:line="440" w:lineRule="exact"/>
        <w:rPr>
          <w:rFonts w:ascii="宋体" w:hAnsi="宋体"/>
          <w:color w:val="000000"/>
          <w:sz w:val="24"/>
          <w:szCs w:val="24"/>
        </w:rPr>
      </w:pPr>
      <w:r>
        <w:rPr>
          <w:rFonts w:hint="eastAsia" w:ascii="宋体" w:hAnsi="宋体"/>
          <w:color w:val="000000"/>
          <w:sz w:val="24"/>
          <w:szCs w:val="24"/>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761E4BC2">
      <w:pPr>
        <w:topLinePunct/>
        <w:spacing w:line="440" w:lineRule="exact"/>
        <w:rPr>
          <w:rFonts w:ascii="宋体" w:hAnsi="宋体"/>
          <w:color w:val="000000"/>
          <w:sz w:val="24"/>
          <w:szCs w:val="24"/>
        </w:rPr>
      </w:pPr>
      <w:r>
        <w:rPr>
          <w:rFonts w:hint="eastAsia" w:ascii="宋体" w:hAnsi="宋体"/>
          <w:color w:val="000000"/>
          <w:sz w:val="24"/>
          <w:szCs w:val="24"/>
        </w:rPr>
        <w:t>3、联合体将严格按照招标文件的各项要求，递交投标文件，履行合同，并对外承担连带责任。</w:t>
      </w:r>
    </w:p>
    <w:p w14:paraId="02BA56B4">
      <w:pPr>
        <w:topLinePunct/>
        <w:spacing w:line="440" w:lineRule="exact"/>
        <w:rPr>
          <w:rFonts w:ascii="宋体" w:hAnsi="宋体"/>
          <w:color w:val="000000"/>
          <w:sz w:val="24"/>
          <w:szCs w:val="24"/>
        </w:rPr>
      </w:pPr>
      <w:r>
        <w:rPr>
          <w:rFonts w:hint="eastAsia" w:ascii="宋体" w:hAnsi="宋体"/>
          <w:color w:val="000000"/>
          <w:sz w:val="24"/>
          <w:szCs w:val="24"/>
        </w:rPr>
        <w:t>4、联合体各成员单位内部的职责分工如下：</w:t>
      </w:r>
      <w:r>
        <w:rPr>
          <w:rFonts w:hint="eastAsia" w:ascii="宋体" w:hAnsi="宋体"/>
          <w:color w:val="000000"/>
          <w:sz w:val="24"/>
          <w:szCs w:val="24"/>
          <w:u w:val="single"/>
        </w:rPr>
        <w:t xml:space="preserve">                  </w:t>
      </w:r>
      <w:r>
        <w:rPr>
          <w:rFonts w:hint="eastAsia" w:ascii="宋体" w:hAnsi="宋体"/>
          <w:color w:val="000000"/>
          <w:sz w:val="24"/>
          <w:szCs w:val="24"/>
        </w:rPr>
        <w:t>。</w:t>
      </w:r>
    </w:p>
    <w:p w14:paraId="3E4BDB52">
      <w:pPr>
        <w:topLinePunct/>
        <w:spacing w:line="440" w:lineRule="exact"/>
        <w:rPr>
          <w:rFonts w:ascii="宋体" w:hAnsi="宋体"/>
          <w:color w:val="000000"/>
          <w:sz w:val="24"/>
          <w:szCs w:val="24"/>
        </w:rPr>
      </w:pPr>
      <w:r>
        <w:rPr>
          <w:rFonts w:hint="eastAsia" w:ascii="宋体" w:hAnsi="宋体"/>
          <w:color w:val="000000"/>
          <w:sz w:val="24"/>
          <w:szCs w:val="24"/>
        </w:rPr>
        <w:t xml:space="preserve">5、本协议书自签署之日起生效，合同履行完毕后自动失效。 </w:t>
      </w:r>
    </w:p>
    <w:p w14:paraId="1F1A0182">
      <w:pPr>
        <w:topLinePunct/>
        <w:spacing w:line="440" w:lineRule="exact"/>
        <w:rPr>
          <w:rFonts w:ascii="宋体" w:hAnsi="宋体"/>
          <w:color w:val="000000"/>
          <w:sz w:val="24"/>
          <w:szCs w:val="24"/>
        </w:rPr>
      </w:pPr>
      <w:r>
        <w:rPr>
          <w:rFonts w:hint="eastAsia" w:ascii="宋体" w:hAnsi="宋体"/>
          <w:color w:val="000000"/>
          <w:sz w:val="24"/>
          <w:szCs w:val="24"/>
        </w:rPr>
        <w:t>6、本协议书一式</w:t>
      </w:r>
      <w:r>
        <w:rPr>
          <w:rFonts w:hint="eastAsia" w:ascii="宋体" w:hAnsi="宋体"/>
          <w:color w:val="000000"/>
          <w:sz w:val="24"/>
          <w:szCs w:val="24"/>
          <w:u w:val="single"/>
        </w:rPr>
        <w:t xml:space="preserve">     </w:t>
      </w:r>
      <w:r>
        <w:rPr>
          <w:rFonts w:hint="eastAsia" w:ascii="宋体" w:hAnsi="宋体"/>
          <w:color w:val="000000"/>
          <w:sz w:val="24"/>
          <w:szCs w:val="24"/>
        </w:rPr>
        <w:t>份，联合体成员和招标人各执一份。</w:t>
      </w:r>
    </w:p>
    <w:p w14:paraId="65719B10">
      <w:pPr>
        <w:topLinePunct/>
        <w:spacing w:line="440" w:lineRule="exact"/>
        <w:rPr>
          <w:rFonts w:ascii="宋体" w:hAnsi="宋体"/>
          <w:color w:val="000000"/>
          <w:sz w:val="24"/>
          <w:szCs w:val="24"/>
        </w:rPr>
      </w:pPr>
    </w:p>
    <w:p w14:paraId="12150250">
      <w:pPr>
        <w:topLinePunct/>
        <w:spacing w:line="440" w:lineRule="exact"/>
        <w:rPr>
          <w:rFonts w:ascii="宋体" w:hAnsi="宋体"/>
          <w:color w:val="000000"/>
          <w:sz w:val="24"/>
          <w:szCs w:val="24"/>
        </w:rPr>
      </w:pPr>
      <w:r>
        <w:rPr>
          <w:rFonts w:hint="eastAsia" w:ascii="宋体" w:hAnsi="宋体"/>
          <w:color w:val="000000"/>
          <w:sz w:val="24"/>
          <w:szCs w:val="24"/>
        </w:rPr>
        <w:t>注：本协议书由委托代理人签字的，应附法定代表人签字的授权委托书。</w:t>
      </w:r>
    </w:p>
    <w:p w14:paraId="38587D7F">
      <w:pPr>
        <w:topLinePunct/>
        <w:spacing w:line="440" w:lineRule="exact"/>
        <w:rPr>
          <w:rFonts w:ascii="宋体" w:hAnsi="宋体"/>
          <w:color w:val="000000"/>
          <w:sz w:val="24"/>
          <w:szCs w:val="24"/>
        </w:rPr>
      </w:pPr>
    </w:p>
    <w:p w14:paraId="31483EB4">
      <w:pPr>
        <w:topLinePunct/>
        <w:spacing w:line="440" w:lineRule="exact"/>
        <w:rPr>
          <w:rFonts w:ascii="宋体" w:hAnsi="宋体"/>
          <w:color w:val="000000"/>
          <w:sz w:val="24"/>
          <w:szCs w:val="24"/>
        </w:rPr>
      </w:pPr>
      <w:r>
        <w:rPr>
          <w:rFonts w:hint="eastAsia" w:ascii="宋体" w:hAnsi="宋体"/>
          <w:color w:val="000000"/>
          <w:sz w:val="24"/>
          <w:szCs w:val="24"/>
        </w:rPr>
        <w:t>牵头人名称：</w:t>
      </w:r>
      <w:r>
        <w:rPr>
          <w:rFonts w:hint="eastAsia" w:ascii="宋体" w:hAnsi="宋体"/>
          <w:color w:val="000000"/>
          <w:sz w:val="24"/>
          <w:szCs w:val="24"/>
          <w:u w:val="single"/>
        </w:rPr>
        <w:t xml:space="preserve">                                 </w:t>
      </w:r>
      <w:r>
        <w:rPr>
          <w:rFonts w:hint="eastAsia" w:ascii="宋体" w:hAnsi="宋体"/>
          <w:color w:val="000000"/>
          <w:sz w:val="24"/>
          <w:szCs w:val="24"/>
        </w:rPr>
        <w:t>（盖单位章）</w:t>
      </w:r>
    </w:p>
    <w:p w14:paraId="53A82B2A">
      <w:pPr>
        <w:topLinePunct/>
        <w:spacing w:line="440" w:lineRule="exact"/>
        <w:rPr>
          <w:rFonts w:ascii="宋体" w:hAnsi="宋体"/>
          <w:color w:val="000000"/>
          <w:sz w:val="24"/>
          <w:szCs w:val="24"/>
        </w:rPr>
      </w:pPr>
      <w:r>
        <w:rPr>
          <w:rFonts w:hint="eastAsia" w:ascii="宋体" w:hAnsi="宋体"/>
          <w:color w:val="000000"/>
          <w:sz w:val="24"/>
          <w:szCs w:val="24"/>
        </w:rPr>
        <w:t>法定代表人或其委托代理人：</w:t>
      </w:r>
      <w:r>
        <w:rPr>
          <w:rFonts w:hint="eastAsia" w:ascii="宋体" w:hAnsi="宋体"/>
          <w:color w:val="000000"/>
          <w:sz w:val="24"/>
          <w:szCs w:val="24"/>
          <w:u w:val="single"/>
        </w:rPr>
        <w:t xml:space="preserve">                       </w:t>
      </w:r>
      <w:r>
        <w:rPr>
          <w:rFonts w:hint="eastAsia" w:ascii="宋体" w:hAnsi="宋体"/>
          <w:color w:val="000000"/>
          <w:sz w:val="24"/>
          <w:szCs w:val="24"/>
        </w:rPr>
        <w:t>（签字</w:t>
      </w:r>
      <w:r>
        <w:rPr>
          <w:rFonts w:hint="eastAsia" w:ascii="宋体" w:hAnsi="宋体"/>
          <w:color w:val="000000"/>
          <w:sz w:val="24"/>
          <w:szCs w:val="24"/>
          <w:lang w:eastAsia="zh-CN"/>
        </w:rPr>
        <w:t>或盖章</w:t>
      </w:r>
      <w:r>
        <w:rPr>
          <w:rFonts w:hint="eastAsia" w:ascii="宋体" w:hAnsi="宋体"/>
          <w:color w:val="000000"/>
          <w:sz w:val="24"/>
          <w:szCs w:val="24"/>
        </w:rPr>
        <w:t>）</w:t>
      </w:r>
    </w:p>
    <w:p w14:paraId="2AF70533">
      <w:pPr>
        <w:topLinePunct/>
        <w:spacing w:line="440" w:lineRule="exact"/>
        <w:rPr>
          <w:rFonts w:ascii="宋体" w:hAnsi="宋体"/>
          <w:color w:val="000000"/>
          <w:sz w:val="24"/>
          <w:szCs w:val="24"/>
        </w:rPr>
      </w:pPr>
    </w:p>
    <w:p w14:paraId="19C33396">
      <w:pPr>
        <w:topLinePunct/>
        <w:spacing w:line="440" w:lineRule="exact"/>
        <w:rPr>
          <w:rFonts w:ascii="宋体" w:hAnsi="宋体"/>
          <w:color w:val="000000"/>
          <w:sz w:val="24"/>
          <w:szCs w:val="24"/>
        </w:rPr>
      </w:pPr>
      <w:r>
        <w:rPr>
          <w:rFonts w:hint="eastAsia" w:ascii="宋体" w:hAnsi="宋体"/>
          <w:color w:val="000000"/>
          <w:sz w:val="24"/>
          <w:szCs w:val="24"/>
        </w:rPr>
        <w:t>成员名称：</w:t>
      </w:r>
      <w:r>
        <w:rPr>
          <w:rFonts w:hint="eastAsia" w:ascii="宋体" w:hAnsi="宋体"/>
          <w:color w:val="000000"/>
          <w:sz w:val="24"/>
          <w:szCs w:val="24"/>
          <w:u w:val="single"/>
        </w:rPr>
        <w:t xml:space="preserve">                                 </w:t>
      </w:r>
      <w:r>
        <w:rPr>
          <w:rFonts w:hint="eastAsia" w:ascii="宋体" w:hAnsi="宋体"/>
          <w:color w:val="000000"/>
          <w:sz w:val="24"/>
          <w:szCs w:val="24"/>
        </w:rPr>
        <w:t>（盖单位章）</w:t>
      </w:r>
    </w:p>
    <w:p w14:paraId="2EF4C42B">
      <w:pPr>
        <w:topLinePunct/>
        <w:spacing w:line="440" w:lineRule="exact"/>
        <w:rPr>
          <w:rFonts w:ascii="宋体" w:hAnsi="宋体"/>
          <w:color w:val="000000"/>
          <w:sz w:val="24"/>
          <w:szCs w:val="24"/>
        </w:rPr>
      </w:pPr>
      <w:r>
        <w:rPr>
          <w:rFonts w:hint="eastAsia" w:ascii="宋体" w:hAnsi="宋体"/>
          <w:color w:val="000000"/>
          <w:sz w:val="24"/>
          <w:szCs w:val="24"/>
        </w:rPr>
        <w:t>法定代表人或其委托代理人：</w:t>
      </w:r>
      <w:r>
        <w:rPr>
          <w:rFonts w:hint="eastAsia" w:ascii="宋体" w:hAnsi="宋体"/>
          <w:color w:val="000000"/>
          <w:sz w:val="24"/>
          <w:szCs w:val="24"/>
          <w:u w:val="single"/>
        </w:rPr>
        <w:t xml:space="preserve">                       </w:t>
      </w:r>
      <w:r>
        <w:rPr>
          <w:rFonts w:hint="eastAsia" w:ascii="宋体" w:hAnsi="宋体"/>
          <w:color w:val="000000"/>
          <w:sz w:val="24"/>
          <w:szCs w:val="24"/>
        </w:rPr>
        <w:t>（签字</w:t>
      </w:r>
      <w:r>
        <w:rPr>
          <w:rFonts w:hint="eastAsia" w:ascii="宋体" w:hAnsi="宋体"/>
          <w:color w:val="000000"/>
          <w:sz w:val="24"/>
          <w:szCs w:val="24"/>
          <w:lang w:eastAsia="zh-CN"/>
        </w:rPr>
        <w:t>或盖章</w:t>
      </w:r>
      <w:r>
        <w:rPr>
          <w:rFonts w:hint="eastAsia" w:ascii="宋体" w:hAnsi="宋体"/>
          <w:color w:val="000000"/>
          <w:sz w:val="24"/>
          <w:szCs w:val="24"/>
        </w:rPr>
        <w:t>）</w:t>
      </w:r>
    </w:p>
    <w:p w14:paraId="2360E637">
      <w:pPr>
        <w:topLinePunct/>
        <w:spacing w:line="440" w:lineRule="exact"/>
        <w:rPr>
          <w:rFonts w:ascii="宋体" w:hAnsi="宋体"/>
          <w:color w:val="000000"/>
          <w:sz w:val="24"/>
          <w:szCs w:val="24"/>
        </w:rPr>
      </w:pPr>
      <w:r>
        <w:rPr>
          <w:rFonts w:hint="eastAsia" w:ascii="宋体" w:hAnsi="宋体"/>
          <w:color w:val="000000"/>
          <w:sz w:val="24"/>
          <w:szCs w:val="24"/>
        </w:rPr>
        <w:t xml:space="preserve"> </w:t>
      </w:r>
    </w:p>
    <w:p w14:paraId="4D036892">
      <w:pPr>
        <w:topLinePunct/>
        <w:spacing w:line="440" w:lineRule="exact"/>
        <w:rPr>
          <w:rFonts w:ascii="宋体" w:hAnsi="宋体"/>
          <w:color w:val="000000"/>
          <w:sz w:val="24"/>
          <w:szCs w:val="24"/>
        </w:rPr>
      </w:pPr>
    </w:p>
    <w:p w14:paraId="51143175">
      <w:pPr>
        <w:topLinePunct/>
        <w:spacing w:line="440" w:lineRule="exact"/>
        <w:rPr>
          <w:rFonts w:hint="eastAsia" w:ascii="宋体" w:hAnsi="宋体"/>
          <w:color w:val="000000"/>
          <w:sz w:val="24"/>
          <w:szCs w:val="24"/>
        </w:rPr>
      </w:pPr>
      <w:r>
        <w:rPr>
          <w:rFonts w:hint="eastAsia" w:ascii="宋体" w:hAnsi="宋体"/>
          <w:color w:val="000000"/>
          <w:sz w:val="24"/>
          <w:szCs w:val="24"/>
        </w:rPr>
        <w:t xml:space="preserve">        年       月       日</w:t>
      </w:r>
    </w:p>
    <w:p w14:paraId="5DC7B9C2">
      <w:pPr>
        <w:topLinePunct/>
        <w:spacing w:line="440" w:lineRule="exact"/>
        <w:rPr>
          <w:rFonts w:hint="eastAsia" w:ascii="宋体" w:hAnsi="宋体"/>
          <w:b/>
          <w:bCs/>
          <w:color w:val="000000"/>
          <w:sz w:val="24"/>
          <w:szCs w:val="18"/>
          <w:lang w:val="en-US" w:eastAsia="zh-CN"/>
        </w:rPr>
      </w:pPr>
      <w:r>
        <w:rPr>
          <w:rFonts w:hint="eastAsia" w:ascii="宋体" w:hAnsi="宋体"/>
          <w:b/>
          <w:bCs/>
          <w:color w:val="000000"/>
          <w:sz w:val="24"/>
          <w:szCs w:val="18"/>
          <w:lang w:val="en-US" w:eastAsia="zh-CN"/>
        </w:rPr>
        <w:t>注：如是填写。</w:t>
      </w:r>
    </w:p>
    <w:p w14:paraId="57B2F48C">
      <w:pPr>
        <w:spacing w:line="400" w:lineRule="exact"/>
        <w:rPr>
          <w:rFonts w:ascii="宋体" w:hAnsi="宋体" w:cs="宋体"/>
        </w:rPr>
      </w:pPr>
    </w:p>
    <w:p w14:paraId="306311FC">
      <w:pPr>
        <w:rPr>
          <w:rFonts w:ascii="宋体" w:hAnsi="宋体" w:cs="宋体"/>
          <w:sz w:val="28"/>
          <w:szCs w:val="28"/>
        </w:rPr>
      </w:pPr>
      <w:r>
        <w:rPr>
          <w:rFonts w:hint="eastAsia" w:ascii="宋体" w:hAnsi="宋体" w:cs="宋体"/>
          <w:sz w:val="28"/>
          <w:szCs w:val="28"/>
        </w:rPr>
        <w:br w:type="page"/>
      </w:r>
    </w:p>
    <w:p w14:paraId="33E634E8">
      <w:pPr>
        <w:pStyle w:val="3"/>
        <w:jc w:val="center"/>
        <w:rPr>
          <w:rFonts w:ascii="宋体" w:hAnsi="宋体" w:cs="宋体"/>
          <w:sz w:val="28"/>
          <w:szCs w:val="28"/>
        </w:rPr>
      </w:pPr>
      <w:bookmarkStart w:id="1697" w:name="_Toc10136"/>
      <w:r>
        <w:rPr>
          <w:rFonts w:hint="eastAsia" w:ascii="宋体" w:hAnsi="宋体" w:cs="宋体"/>
          <w:sz w:val="28"/>
          <w:szCs w:val="28"/>
        </w:rPr>
        <w:t>五、投标保证金</w:t>
      </w:r>
      <w:bookmarkEnd w:id="1697"/>
    </w:p>
    <w:p w14:paraId="2A8276A0">
      <w:pPr>
        <w:spacing w:line="360" w:lineRule="auto"/>
        <w:rPr>
          <w:rFonts w:ascii="宋体" w:hAnsi="宋体" w:cs="宋体"/>
          <w:sz w:val="24"/>
          <w:szCs w:val="24"/>
          <w:u w:val="single"/>
        </w:rPr>
      </w:pPr>
      <w:r>
        <w:rPr>
          <w:rFonts w:hint="eastAsia" w:ascii="宋体" w:hAnsi="宋体" w:cs="宋体"/>
          <w:sz w:val="24"/>
          <w:szCs w:val="24"/>
        </w:rPr>
        <w:t>（招标人名称）：</w:t>
      </w:r>
      <w:r>
        <w:rPr>
          <w:rFonts w:hint="eastAsia" w:ascii="宋体" w:hAnsi="宋体" w:cs="宋体"/>
          <w:sz w:val="24"/>
          <w:szCs w:val="24"/>
          <w:u w:val="single"/>
        </w:rPr>
        <w:t xml:space="preserve">               </w:t>
      </w:r>
    </w:p>
    <w:p w14:paraId="541C8D6D">
      <w:pPr>
        <w:spacing w:line="360" w:lineRule="auto"/>
        <w:rPr>
          <w:rFonts w:ascii="宋体" w:hAnsi="宋体" w:cs="宋体"/>
          <w:sz w:val="24"/>
          <w:szCs w:val="24"/>
          <w:u w:val="single"/>
        </w:rPr>
      </w:pPr>
    </w:p>
    <w:p w14:paraId="321EBBA1">
      <w:pPr>
        <w:spacing w:line="360" w:lineRule="auto"/>
        <w:ind w:firstLine="480" w:firstLineChars="200"/>
        <w:rPr>
          <w:rFonts w:ascii="宋体" w:hAnsi="宋体" w:cs="宋体"/>
          <w:sz w:val="24"/>
          <w:szCs w:val="24"/>
        </w:rPr>
      </w:pPr>
      <w:r>
        <w:rPr>
          <w:rFonts w:hint="eastAsia" w:ascii="宋体" w:hAnsi="宋体" w:cs="宋体"/>
          <w:sz w:val="24"/>
          <w:szCs w:val="24"/>
        </w:rPr>
        <w:t>鉴于</w:t>
      </w:r>
      <w:r>
        <w:rPr>
          <w:rFonts w:hint="eastAsia" w:ascii="宋体" w:hAnsi="宋体" w:cs="宋体"/>
          <w:sz w:val="24"/>
          <w:szCs w:val="24"/>
          <w:u w:val="single"/>
        </w:rPr>
        <w:t xml:space="preserve">        </w:t>
      </w:r>
      <w:r>
        <w:rPr>
          <w:rFonts w:hint="eastAsia" w:ascii="宋体" w:hAnsi="宋体" w:cs="宋体"/>
          <w:sz w:val="24"/>
          <w:szCs w:val="24"/>
        </w:rPr>
        <w:t>（投标人名称）（以下称“投标人”）于</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日参加</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项目</w:t>
      </w:r>
      <w:r>
        <w:rPr>
          <w:rFonts w:hint="eastAsia" w:ascii="宋体" w:hAnsi="宋体" w:cs="宋体"/>
          <w:sz w:val="24"/>
          <w:szCs w:val="24"/>
        </w:rPr>
        <w:t>名称）的投标，我方无条件地、不可撤销地保证：按照招标文件第二章第3.4.3条我方承担保证责任。收到你方书面通知后，递交投标保证金人民币</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w:t>
      </w:r>
    </w:p>
    <w:p w14:paraId="70D0E3DE">
      <w:pPr>
        <w:spacing w:line="360" w:lineRule="auto"/>
        <w:rPr>
          <w:rFonts w:ascii="宋体" w:hAnsi="宋体" w:cs="宋体"/>
          <w:sz w:val="24"/>
          <w:szCs w:val="24"/>
        </w:rPr>
      </w:pPr>
    </w:p>
    <w:p w14:paraId="5BE64C78">
      <w:pPr>
        <w:spacing w:line="360" w:lineRule="auto"/>
        <w:rPr>
          <w:rFonts w:ascii="宋体" w:hAnsi="宋体" w:cs="宋体"/>
          <w:sz w:val="24"/>
          <w:szCs w:val="24"/>
        </w:rPr>
      </w:pPr>
    </w:p>
    <w:p w14:paraId="0C55B1CA">
      <w:pPr>
        <w:spacing w:line="360" w:lineRule="auto"/>
        <w:rPr>
          <w:rFonts w:ascii="宋体" w:hAnsi="宋体" w:cs="宋体"/>
          <w:sz w:val="24"/>
          <w:szCs w:val="24"/>
        </w:rPr>
      </w:pPr>
    </w:p>
    <w:p w14:paraId="1A329370">
      <w:pPr>
        <w:spacing w:line="360" w:lineRule="auto"/>
        <w:rPr>
          <w:rFonts w:ascii="宋体" w:hAnsi="宋体" w:cs="宋体"/>
          <w:sz w:val="24"/>
          <w:szCs w:val="24"/>
        </w:rPr>
      </w:pPr>
    </w:p>
    <w:p w14:paraId="7CAB87F2">
      <w:pPr>
        <w:spacing w:line="360" w:lineRule="auto"/>
        <w:ind w:firstLine="2467" w:firstLineChars="1028"/>
        <w:rPr>
          <w:rFonts w:ascii="宋体" w:hAnsi="宋体" w:cs="宋体"/>
          <w:sz w:val="24"/>
          <w:szCs w:val="24"/>
        </w:rPr>
      </w:pPr>
    </w:p>
    <w:p w14:paraId="3E0CD11F">
      <w:pPr>
        <w:spacing w:line="360" w:lineRule="auto"/>
        <w:ind w:firstLine="2467" w:firstLineChars="1028"/>
        <w:rPr>
          <w:rFonts w:ascii="宋体" w:hAnsi="宋体" w:cs="宋体"/>
          <w:sz w:val="24"/>
          <w:szCs w:val="24"/>
        </w:rPr>
      </w:pPr>
    </w:p>
    <w:p w14:paraId="007F650C">
      <w:pPr>
        <w:spacing w:line="360" w:lineRule="auto"/>
        <w:ind w:firstLine="2467" w:firstLineChars="1028"/>
        <w:rPr>
          <w:rFonts w:ascii="宋体" w:hAnsi="宋体" w:cs="宋体"/>
          <w:sz w:val="24"/>
          <w:szCs w:val="24"/>
        </w:rPr>
      </w:pPr>
    </w:p>
    <w:p w14:paraId="53841570">
      <w:pPr>
        <w:spacing w:line="360" w:lineRule="auto"/>
        <w:ind w:firstLine="2467" w:firstLineChars="1028"/>
        <w:rPr>
          <w:rFonts w:ascii="宋体" w:hAnsi="宋体" w:cs="宋体"/>
          <w:sz w:val="24"/>
          <w:szCs w:val="24"/>
        </w:rPr>
      </w:pPr>
    </w:p>
    <w:p w14:paraId="17B9A915">
      <w:pPr>
        <w:spacing w:line="360" w:lineRule="auto"/>
        <w:ind w:firstLine="2467" w:firstLineChars="1028"/>
        <w:rPr>
          <w:rFonts w:ascii="宋体" w:hAnsi="宋体" w:cs="宋体"/>
          <w:sz w:val="24"/>
          <w:szCs w:val="24"/>
        </w:rPr>
      </w:pPr>
    </w:p>
    <w:p w14:paraId="1F548D8C">
      <w:pPr>
        <w:spacing w:line="360" w:lineRule="auto"/>
        <w:ind w:firstLine="2467" w:firstLineChars="1028"/>
        <w:rPr>
          <w:rFonts w:ascii="宋体" w:hAnsi="宋体" w:cs="宋体"/>
          <w:sz w:val="24"/>
          <w:szCs w:val="24"/>
        </w:rPr>
      </w:pPr>
    </w:p>
    <w:p w14:paraId="6806C6CB">
      <w:pPr>
        <w:spacing w:line="360" w:lineRule="auto"/>
        <w:ind w:firstLine="2467" w:firstLineChars="1028"/>
        <w:rPr>
          <w:rFonts w:ascii="宋体" w:hAnsi="宋体" w:cs="宋体"/>
          <w:sz w:val="24"/>
          <w:szCs w:val="24"/>
        </w:rPr>
      </w:pPr>
    </w:p>
    <w:p w14:paraId="3E795574">
      <w:pPr>
        <w:spacing w:line="360" w:lineRule="auto"/>
        <w:ind w:firstLine="2467" w:firstLineChars="1028"/>
        <w:rPr>
          <w:rFonts w:ascii="宋体" w:hAnsi="宋体" w:cs="宋体"/>
          <w:sz w:val="24"/>
          <w:szCs w:val="24"/>
        </w:rPr>
      </w:pPr>
    </w:p>
    <w:p w14:paraId="2B5CF077">
      <w:pPr>
        <w:spacing w:line="360" w:lineRule="auto"/>
        <w:ind w:firstLine="2400" w:firstLineChars="1000"/>
        <w:rPr>
          <w:rFonts w:ascii="宋体" w:hAnsi="宋体" w:cs="宋体"/>
          <w:sz w:val="24"/>
          <w:szCs w:val="24"/>
        </w:rPr>
      </w:pPr>
      <w:r>
        <w:rPr>
          <w:rFonts w:hint="eastAsia" w:ascii="宋体" w:hAnsi="宋体" w:cs="宋体"/>
          <w:sz w:val="24"/>
          <w:szCs w:val="24"/>
        </w:rPr>
        <w:t>投标单位：</w:t>
      </w:r>
      <w:r>
        <w:rPr>
          <w:rFonts w:hint="eastAsia" w:ascii="宋体" w:hAnsi="宋体" w:cs="宋体"/>
          <w:sz w:val="24"/>
          <w:szCs w:val="24"/>
          <w:u w:val="single"/>
        </w:rPr>
        <w:t xml:space="preserve">                          </w:t>
      </w:r>
      <w:r>
        <w:rPr>
          <w:rFonts w:hint="eastAsia" w:ascii="宋体" w:hAnsi="宋体" w:cs="宋体"/>
          <w:sz w:val="24"/>
          <w:szCs w:val="24"/>
        </w:rPr>
        <w:t>（盖单位章）</w:t>
      </w:r>
    </w:p>
    <w:p w14:paraId="1850DE12">
      <w:pPr>
        <w:spacing w:line="360" w:lineRule="auto"/>
        <w:ind w:firstLine="2467" w:firstLineChars="1028"/>
        <w:rPr>
          <w:rFonts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14:paraId="2DFBB092">
      <w:pPr>
        <w:spacing w:line="360" w:lineRule="auto"/>
        <w:ind w:firstLine="2467" w:firstLineChars="1028"/>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p>
    <w:p w14:paraId="7ABE2E10">
      <w:pPr>
        <w:spacing w:line="360" w:lineRule="auto"/>
        <w:ind w:firstLine="2467" w:firstLineChars="1028"/>
        <w:rPr>
          <w:rFonts w:ascii="宋体" w:hAnsi="宋体" w:cs="宋体"/>
          <w:sz w:val="24"/>
          <w:szCs w:val="24"/>
          <w:u w:val="single"/>
        </w:rPr>
      </w:pPr>
      <w:r>
        <w:rPr>
          <w:rFonts w:hint="eastAsia" w:ascii="宋体" w:hAnsi="宋体" w:cs="宋体"/>
          <w:sz w:val="24"/>
          <w:szCs w:val="24"/>
        </w:rPr>
        <w:t>邮政编码：</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p>
    <w:p w14:paraId="210771BB">
      <w:pPr>
        <w:spacing w:line="360" w:lineRule="auto"/>
        <w:ind w:firstLine="2467" w:firstLineChars="1028"/>
        <w:rPr>
          <w:rFonts w:ascii="宋体" w:hAnsi="宋体" w:cs="宋体"/>
          <w:sz w:val="24"/>
          <w:szCs w:val="24"/>
          <w:u w:val="single"/>
        </w:rPr>
      </w:pPr>
      <w:r>
        <w:rPr>
          <w:rFonts w:hint="eastAsia" w:ascii="宋体" w:hAnsi="宋体" w:cs="宋体"/>
          <w:sz w:val="24"/>
          <w:szCs w:val="24"/>
        </w:rPr>
        <w:t>电话：</w:t>
      </w:r>
      <w:r>
        <w:rPr>
          <w:rFonts w:hint="eastAsia" w:ascii="宋体" w:hAnsi="宋体" w:cs="宋体"/>
          <w:sz w:val="24"/>
          <w:szCs w:val="24"/>
          <w:u w:val="single"/>
        </w:rPr>
        <w:t xml:space="preserve">                              </w:t>
      </w:r>
    </w:p>
    <w:p w14:paraId="39E370DC">
      <w:pPr>
        <w:spacing w:line="360" w:lineRule="auto"/>
        <w:ind w:firstLine="2467" w:firstLineChars="1028"/>
        <w:rPr>
          <w:rFonts w:ascii="宋体" w:hAnsi="宋体" w:cs="宋体"/>
          <w:sz w:val="24"/>
          <w:szCs w:val="24"/>
        </w:rPr>
      </w:pPr>
    </w:p>
    <w:p w14:paraId="21202035">
      <w:pPr>
        <w:spacing w:line="360" w:lineRule="auto"/>
        <w:jc w:val="center"/>
        <w:rPr>
          <w:rFonts w:hint="eastAsia" w:ascii="宋体" w:hAnsi="宋体" w:cs="宋体"/>
          <w:sz w:val="28"/>
          <w:szCs w:val="28"/>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bookmarkStart w:id="1698" w:name="_Toc4079"/>
      <w:r>
        <w:rPr>
          <w:rFonts w:hint="eastAsia" w:ascii="宋体" w:hAnsi="宋体" w:cs="宋体"/>
          <w:sz w:val="24"/>
          <w:szCs w:val="24"/>
        </w:rPr>
        <w:br w:type="textWrapping"/>
      </w:r>
    </w:p>
    <w:p w14:paraId="1F165885">
      <w:pPr>
        <w:rPr>
          <w:rFonts w:hint="eastAsia" w:ascii="宋体" w:hAnsi="宋体" w:cs="宋体"/>
          <w:sz w:val="28"/>
          <w:szCs w:val="28"/>
        </w:rPr>
      </w:pPr>
      <w:r>
        <w:rPr>
          <w:rFonts w:hint="eastAsia" w:ascii="宋体" w:hAnsi="宋体" w:cs="宋体"/>
          <w:sz w:val="28"/>
          <w:szCs w:val="28"/>
        </w:rPr>
        <w:br w:type="page"/>
      </w:r>
    </w:p>
    <w:p w14:paraId="20DD21CE">
      <w:pPr>
        <w:pStyle w:val="3"/>
        <w:jc w:val="center"/>
        <w:rPr>
          <w:rFonts w:ascii="宋体" w:hAnsi="宋体" w:cs="宋体"/>
          <w:sz w:val="28"/>
          <w:szCs w:val="28"/>
        </w:rPr>
      </w:pPr>
      <w:r>
        <w:rPr>
          <w:rFonts w:hint="eastAsia" w:ascii="宋体" w:hAnsi="宋体" w:cs="宋体"/>
          <w:sz w:val="28"/>
          <w:szCs w:val="28"/>
        </w:rPr>
        <w:t>六、已标价工程量清单</w:t>
      </w:r>
      <w:bookmarkEnd w:id="1698"/>
    </w:p>
    <w:p w14:paraId="6C17F2AC">
      <w:pPr>
        <w:spacing w:line="360" w:lineRule="auto"/>
        <w:ind w:firstLine="600" w:firstLineChars="250"/>
        <w:jc w:val="left"/>
        <w:rPr>
          <w:rFonts w:ascii="宋体" w:hAnsi="宋体" w:cs="宋体"/>
          <w:sz w:val="24"/>
          <w:szCs w:val="28"/>
        </w:rPr>
        <w:sectPr>
          <w:footerReference r:id="rId6" w:type="default"/>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r>
        <w:rPr>
          <w:rFonts w:hint="eastAsia" w:ascii="宋体" w:hAnsi="宋体" w:cs="宋体"/>
          <w:sz w:val="24"/>
          <w:szCs w:val="28"/>
        </w:rPr>
        <w:t>说明：已标价工程量清单</w:t>
      </w:r>
      <w:r>
        <w:rPr>
          <w:rFonts w:hint="eastAsia" w:ascii="宋体" w:hAnsi="宋体" w:cs="宋体"/>
          <w:sz w:val="24"/>
          <w:szCs w:val="28"/>
          <w:lang w:val="en-US" w:eastAsia="zh-CN"/>
        </w:rPr>
        <w:t>严格按照</w:t>
      </w:r>
      <w:r>
        <w:rPr>
          <w:rFonts w:hint="eastAsia" w:ascii="宋体" w:hAnsi="宋体" w:cs="宋体"/>
          <w:sz w:val="24"/>
          <w:szCs w:val="28"/>
        </w:rPr>
        <w:t>第六章“工程量清单”中的相关清单内容</w:t>
      </w:r>
      <w:r>
        <w:rPr>
          <w:rFonts w:hint="eastAsia" w:ascii="宋体" w:hAnsi="宋体" w:cs="宋体"/>
          <w:sz w:val="24"/>
          <w:szCs w:val="28"/>
          <w:lang w:val="en-US" w:eastAsia="zh-CN"/>
        </w:rPr>
        <w:t>及格式</w:t>
      </w:r>
      <w:r>
        <w:rPr>
          <w:rFonts w:hint="eastAsia" w:ascii="宋体" w:hAnsi="宋体" w:cs="宋体"/>
          <w:sz w:val="24"/>
          <w:szCs w:val="28"/>
        </w:rPr>
        <w:t>要求填写。</w:t>
      </w:r>
    </w:p>
    <w:p w14:paraId="4F43D304">
      <w:pPr>
        <w:pStyle w:val="3"/>
        <w:jc w:val="center"/>
        <w:rPr>
          <w:rFonts w:ascii="宋体" w:hAnsi="宋体" w:cs="宋体"/>
          <w:sz w:val="28"/>
          <w:szCs w:val="28"/>
        </w:rPr>
      </w:pPr>
      <w:bookmarkStart w:id="1699" w:name="_Toc9669"/>
      <w:r>
        <w:rPr>
          <w:rFonts w:hint="eastAsia" w:ascii="宋体" w:hAnsi="宋体" w:cs="宋体"/>
          <w:sz w:val="28"/>
          <w:szCs w:val="28"/>
        </w:rPr>
        <w:t>七、施工组织设计</w:t>
      </w:r>
      <w:bookmarkEnd w:id="1699"/>
    </w:p>
    <w:p w14:paraId="610ADB15">
      <w:pPr>
        <w:tabs>
          <w:tab w:val="left" w:pos="720"/>
        </w:tabs>
        <w:spacing w:line="360" w:lineRule="auto"/>
        <w:ind w:firstLine="480" w:firstLineChars="200"/>
        <w:rPr>
          <w:rFonts w:hint="eastAsia" w:ascii="宋体" w:hAnsi="宋体" w:cs="宋体"/>
          <w:sz w:val="24"/>
          <w:szCs w:val="24"/>
        </w:rPr>
      </w:pPr>
      <w:r>
        <w:rPr>
          <w:rFonts w:hint="eastAsia" w:ascii="宋体" w:hAnsi="宋体" w:cs="宋体"/>
          <w:sz w:val="24"/>
          <w:szCs w:val="24"/>
        </w:rPr>
        <w:t>1、投标人编制施工组织设计的要求：编制时应简明扼要地说明施工方法，工程质量、安全生产、文明施工、环境保护、冬雨季施工、工程进度、技术组织等主要措施，同时应对关键工序、复杂环节重点提出相应技术措施，如冬雨季施工技术、减少噪音、降低环境污染、地下管线及其他地上地下设施的保护加固措施等。用图表形式阐明本项目的施工总平面、进度计划以及拟投入</w:t>
      </w:r>
      <w:r>
        <w:rPr>
          <w:rFonts w:hint="eastAsia" w:ascii="宋体" w:hAnsi="宋体" w:cs="宋体"/>
          <w:sz w:val="24"/>
          <w:szCs w:val="24"/>
          <w:lang w:val="en-US" w:eastAsia="zh-CN"/>
        </w:rPr>
        <w:t>本项目的</w:t>
      </w:r>
      <w:r>
        <w:rPr>
          <w:rFonts w:hint="eastAsia" w:ascii="宋体" w:hAnsi="宋体" w:cs="宋体"/>
          <w:sz w:val="24"/>
          <w:szCs w:val="24"/>
        </w:rPr>
        <w:t>主要施工设备、劳动力</w:t>
      </w:r>
      <w:r>
        <w:rPr>
          <w:rFonts w:hint="eastAsia" w:ascii="宋体" w:hAnsi="宋体" w:cs="宋体"/>
          <w:sz w:val="24"/>
          <w:szCs w:val="24"/>
          <w:lang w:val="en-US" w:eastAsia="zh-CN"/>
        </w:rPr>
        <w:t>计划</w:t>
      </w:r>
      <w:r>
        <w:rPr>
          <w:rFonts w:hint="eastAsia" w:ascii="宋体" w:hAnsi="宋体" w:cs="宋体"/>
          <w:sz w:val="24"/>
          <w:szCs w:val="24"/>
        </w:rPr>
        <w:t>、项目管理机构</w:t>
      </w:r>
      <w:r>
        <w:rPr>
          <w:rFonts w:hint="eastAsia" w:ascii="宋体" w:hAnsi="宋体" w:cs="宋体"/>
          <w:sz w:val="24"/>
          <w:szCs w:val="24"/>
          <w:lang w:eastAsia="zh-CN"/>
        </w:rPr>
        <w:t>（</w:t>
      </w:r>
      <w:r>
        <w:rPr>
          <w:rFonts w:hint="eastAsia" w:ascii="宋体" w:hAnsi="宋体" w:cs="宋体"/>
          <w:sz w:val="24"/>
          <w:szCs w:val="24"/>
          <w:lang w:val="en-US" w:eastAsia="zh-CN"/>
        </w:rPr>
        <w:t>本项目为“暗标”评审方式，“</w:t>
      </w:r>
      <w:r>
        <w:rPr>
          <w:rFonts w:hint="eastAsia" w:ascii="宋体" w:hAnsi="宋体" w:eastAsia="宋体" w:cs="宋体"/>
          <w:sz w:val="24"/>
          <w:szCs w:val="24"/>
        </w:rPr>
        <w:t>项目管理机构</w:t>
      </w:r>
      <w:r>
        <w:rPr>
          <w:rFonts w:hint="eastAsia" w:ascii="宋体" w:hAnsi="宋体" w:cs="宋体"/>
          <w:sz w:val="24"/>
          <w:szCs w:val="24"/>
          <w:lang w:val="en-US" w:eastAsia="zh-CN"/>
        </w:rPr>
        <w:t>”不得涉及人员姓名、简历、公司名称等暴露投标人身份的内容</w:t>
      </w:r>
      <w:r>
        <w:rPr>
          <w:rFonts w:hint="eastAsia" w:ascii="宋体" w:hAnsi="宋体" w:cs="宋体"/>
          <w:sz w:val="24"/>
          <w:szCs w:val="24"/>
          <w:lang w:eastAsia="zh-CN"/>
        </w:rPr>
        <w:t>）</w:t>
      </w:r>
      <w:r>
        <w:rPr>
          <w:rFonts w:hint="eastAsia" w:ascii="宋体" w:hAnsi="宋体" w:cs="宋体"/>
          <w:sz w:val="24"/>
          <w:szCs w:val="24"/>
        </w:rPr>
        <w:t>等。</w:t>
      </w:r>
    </w:p>
    <w:p w14:paraId="3FEDAE45">
      <w:pPr>
        <w:tabs>
          <w:tab w:val="left" w:pos="720"/>
        </w:tabs>
        <w:spacing w:line="440" w:lineRule="exact"/>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2、若投标人须知前附表规定施工组织设计采用技术“暗标”方式评审，则施工组织设计的编制应按附表六“施工组织设计（技术暗标部分）编制要求”编制施工组织设计。 </w:t>
      </w:r>
    </w:p>
    <w:p w14:paraId="1CF4CF77">
      <w:pPr>
        <w:tabs>
          <w:tab w:val="left" w:pos="720"/>
        </w:tabs>
        <w:spacing w:line="440" w:lineRule="exact"/>
        <w:ind w:firstLine="480" w:firstLineChars="200"/>
        <w:rPr>
          <w:rFonts w:hint="eastAsia" w:ascii="宋体" w:hAnsi="宋体" w:cs="宋体"/>
          <w:sz w:val="24"/>
          <w:szCs w:val="24"/>
        </w:rPr>
      </w:pPr>
      <w:r>
        <w:rPr>
          <w:rFonts w:hint="eastAsia" w:ascii="宋体" w:hAnsi="宋体" w:cs="宋体"/>
          <w:sz w:val="24"/>
          <w:szCs w:val="24"/>
          <w:lang w:val="en-US" w:eastAsia="zh-CN"/>
        </w:rPr>
        <w:t>3、施工组织设计除采用文字表述外可附下列图表，图表及格式要求详见暗标编制要求。若采用技术暗标评审，则下述表格（</w:t>
      </w:r>
      <w:r>
        <w:rPr>
          <w:rFonts w:hint="eastAsia" w:ascii="宋体" w:hAnsi="宋体" w:eastAsia="宋体" w:cs="宋体"/>
          <w:sz w:val="24"/>
          <w:szCs w:val="24"/>
        </w:rPr>
        <w:t>附表一</w:t>
      </w:r>
      <w:r>
        <w:rPr>
          <w:rFonts w:hint="eastAsia" w:ascii="宋体" w:hAnsi="宋体" w:cs="宋体"/>
          <w:sz w:val="24"/>
          <w:szCs w:val="24"/>
          <w:lang w:eastAsia="zh-CN"/>
        </w:rPr>
        <w:t>至</w:t>
      </w:r>
      <w:r>
        <w:rPr>
          <w:rFonts w:hint="eastAsia" w:ascii="宋体" w:hAnsi="宋体" w:eastAsia="宋体" w:cs="宋体"/>
          <w:sz w:val="24"/>
          <w:szCs w:val="24"/>
        </w:rPr>
        <w:t>附表五</w:t>
      </w:r>
      <w:r>
        <w:rPr>
          <w:rFonts w:hint="eastAsia" w:ascii="宋体" w:hAnsi="宋体" w:cs="宋体"/>
          <w:sz w:val="24"/>
          <w:szCs w:val="24"/>
          <w:lang w:val="en-US" w:eastAsia="zh-CN"/>
        </w:rPr>
        <w:t>）应按照暗标编制要求，附在施工组织设计正文最后。</w:t>
      </w:r>
    </w:p>
    <w:p w14:paraId="2DBEFB06">
      <w:pPr>
        <w:tabs>
          <w:tab w:val="left" w:pos="720"/>
        </w:tabs>
        <w:spacing w:line="360" w:lineRule="auto"/>
        <w:ind w:firstLine="864" w:firstLineChars="360"/>
        <w:rPr>
          <w:rFonts w:hint="eastAsia" w:ascii="宋体" w:hAnsi="宋体" w:cs="宋体"/>
          <w:sz w:val="24"/>
          <w:szCs w:val="24"/>
        </w:rPr>
      </w:pPr>
    </w:p>
    <w:p w14:paraId="5F08CDEF">
      <w:pPr>
        <w:tabs>
          <w:tab w:val="left" w:pos="720"/>
        </w:tabs>
        <w:spacing w:line="360" w:lineRule="auto"/>
        <w:ind w:firstLine="864" w:firstLineChars="360"/>
        <w:rPr>
          <w:rFonts w:ascii="宋体" w:hAnsi="宋体" w:cs="宋体"/>
          <w:sz w:val="24"/>
          <w:szCs w:val="24"/>
        </w:rPr>
      </w:pPr>
      <w:r>
        <w:rPr>
          <w:rFonts w:hint="eastAsia" w:ascii="宋体" w:hAnsi="宋体" w:cs="宋体"/>
          <w:sz w:val="24"/>
          <w:szCs w:val="24"/>
        </w:rPr>
        <w:t>附表一</w:t>
      </w:r>
      <w:r>
        <w:rPr>
          <w:rFonts w:hint="eastAsia" w:ascii="宋体" w:hAnsi="宋体" w:cs="宋体"/>
          <w:sz w:val="24"/>
          <w:szCs w:val="24"/>
          <w:lang w:val="en-US" w:eastAsia="zh-CN"/>
        </w:rPr>
        <w:t xml:space="preserve"> </w:t>
      </w:r>
      <w:r>
        <w:rPr>
          <w:rFonts w:hint="eastAsia" w:ascii="宋体" w:hAnsi="宋体" w:cs="宋体"/>
          <w:sz w:val="24"/>
          <w:szCs w:val="24"/>
        </w:rPr>
        <w:t>拟投入</w:t>
      </w:r>
      <w:r>
        <w:rPr>
          <w:rFonts w:hint="eastAsia" w:ascii="宋体" w:hAnsi="宋体" w:cs="宋体"/>
          <w:sz w:val="24"/>
          <w:szCs w:val="24"/>
          <w:lang w:val="en-US" w:eastAsia="zh-CN"/>
        </w:rPr>
        <w:t>本项目</w:t>
      </w:r>
      <w:r>
        <w:rPr>
          <w:rFonts w:hint="eastAsia" w:ascii="宋体" w:hAnsi="宋体" w:cs="宋体"/>
          <w:sz w:val="24"/>
          <w:szCs w:val="24"/>
        </w:rPr>
        <w:t>的主要施工设备表</w:t>
      </w:r>
    </w:p>
    <w:p w14:paraId="2378C163">
      <w:pPr>
        <w:tabs>
          <w:tab w:val="left" w:pos="720"/>
        </w:tabs>
        <w:spacing w:line="360" w:lineRule="auto"/>
        <w:ind w:firstLine="864" w:firstLineChars="360"/>
        <w:rPr>
          <w:rFonts w:ascii="宋体" w:hAnsi="宋体" w:cs="宋体"/>
          <w:sz w:val="24"/>
          <w:szCs w:val="24"/>
        </w:rPr>
      </w:pPr>
      <w:r>
        <w:rPr>
          <w:rFonts w:hint="eastAsia" w:ascii="宋体" w:hAnsi="宋体" w:cs="宋体"/>
          <w:sz w:val="24"/>
          <w:szCs w:val="24"/>
        </w:rPr>
        <w:t>附表二</w:t>
      </w:r>
      <w:r>
        <w:rPr>
          <w:rFonts w:hint="eastAsia" w:ascii="宋体" w:hAnsi="宋体" w:cs="宋体"/>
          <w:sz w:val="24"/>
          <w:szCs w:val="24"/>
          <w:lang w:val="en-US" w:eastAsia="zh-CN"/>
        </w:rPr>
        <w:t xml:space="preserve"> </w:t>
      </w:r>
      <w:r>
        <w:rPr>
          <w:rFonts w:hint="eastAsia" w:ascii="宋体" w:hAnsi="宋体" w:cs="宋体"/>
          <w:sz w:val="24"/>
          <w:szCs w:val="24"/>
        </w:rPr>
        <w:t>劳动力计划表</w:t>
      </w:r>
    </w:p>
    <w:p w14:paraId="2D8EC299">
      <w:pPr>
        <w:tabs>
          <w:tab w:val="left" w:pos="720"/>
        </w:tabs>
        <w:spacing w:line="360" w:lineRule="auto"/>
        <w:ind w:firstLine="864" w:firstLineChars="360"/>
        <w:rPr>
          <w:rFonts w:ascii="宋体" w:hAnsi="宋体" w:cs="宋体"/>
          <w:sz w:val="24"/>
          <w:szCs w:val="24"/>
        </w:rPr>
      </w:pPr>
      <w:r>
        <w:rPr>
          <w:rFonts w:hint="eastAsia" w:ascii="宋体" w:hAnsi="宋体" w:cs="宋体"/>
          <w:sz w:val="24"/>
          <w:szCs w:val="24"/>
        </w:rPr>
        <w:t>附表三</w:t>
      </w:r>
      <w:r>
        <w:rPr>
          <w:rFonts w:hint="eastAsia" w:ascii="宋体" w:hAnsi="宋体" w:cs="宋体"/>
          <w:sz w:val="24"/>
          <w:szCs w:val="24"/>
          <w:lang w:val="en-US" w:eastAsia="zh-CN"/>
        </w:rPr>
        <w:t xml:space="preserve"> </w:t>
      </w:r>
      <w:r>
        <w:rPr>
          <w:rFonts w:hint="eastAsia" w:ascii="宋体" w:hAnsi="宋体" w:cs="宋体"/>
          <w:sz w:val="24"/>
          <w:szCs w:val="24"/>
        </w:rPr>
        <w:t>进度计划</w:t>
      </w:r>
    </w:p>
    <w:p w14:paraId="344D4256">
      <w:pPr>
        <w:tabs>
          <w:tab w:val="left" w:pos="720"/>
        </w:tabs>
        <w:spacing w:line="360" w:lineRule="auto"/>
        <w:ind w:firstLine="864" w:firstLineChars="360"/>
        <w:rPr>
          <w:rFonts w:hint="eastAsia" w:ascii="宋体" w:hAnsi="宋体" w:cs="宋体"/>
          <w:sz w:val="24"/>
          <w:szCs w:val="24"/>
        </w:rPr>
      </w:pPr>
      <w:r>
        <w:rPr>
          <w:rFonts w:hint="eastAsia" w:ascii="宋体" w:hAnsi="宋体" w:cs="宋体"/>
          <w:sz w:val="24"/>
          <w:szCs w:val="24"/>
        </w:rPr>
        <w:t>附表四</w:t>
      </w:r>
      <w:r>
        <w:rPr>
          <w:rFonts w:hint="eastAsia" w:ascii="宋体" w:hAnsi="宋体" w:cs="宋体"/>
          <w:sz w:val="24"/>
          <w:szCs w:val="24"/>
          <w:lang w:val="en-US" w:eastAsia="zh-CN"/>
        </w:rPr>
        <w:t xml:space="preserve"> </w:t>
      </w:r>
      <w:r>
        <w:rPr>
          <w:rFonts w:hint="eastAsia" w:ascii="宋体" w:hAnsi="宋体" w:cs="宋体"/>
          <w:sz w:val="24"/>
          <w:szCs w:val="24"/>
        </w:rPr>
        <w:t>施工总平面图</w:t>
      </w:r>
    </w:p>
    <w:p w14:paraId="62609D10">
      <w:pPr>
        <w:tabs>
          <w:tab w:val="left" w:pos="720"/>
        </w:tabs>
        <w:spacing w:line="360" w:lineRule="auto"/>
        <w:ind w:firstLine="864" w:firstLineChars="360"/>
        <w:rPr>
          <w:rFonts w:hint="eastAsia" w:ascii="宋体" w:hAnsi="宋体" w:cs="宋体"/>
          <w:sz w:val="24"/>
          <w:szCs w:val="24"/>
        </w:rPr>
      </w:pPr>
      <w:r>
        <w:rPr>
          <w:rFonts w:hint="eastAsia" w:ascii="宋体" w:hAnsi="宋体" w:cs="宋体"/>
          <w:sz w:val="24"/>
          <w:szCs w:val="24"/>
        </w:rPr>
        <w:t>附表五</w:t>
      </w:r>
      <w:r>
        <w:rPr>
          <w:rFonts w:hint="eastAsia" w:ascii="宋体" w:hAnsi="宋体" w:cs="宋体"/>
          <w:sz w:val="24"/>
          <w:szCs w:val="24"/>
          <w:lang w:val="en-US" w:eastAsia="zh-CN"/>
        </w:rPr>
        <w:t xml:space="preserve"> </w:t>
      </w:r>
      <w:r>
        <w:rPr>
          <w:rFonts w:hint="eastAsia" w:ascii="宋体" w:hAnsi="宋体" w:cs="宋体"/>
          <w:sz w:val="24"/>
          <w:szCs w:val="24"/>
        </w:rPr>
        <w:t>临时用地表</w:t>
      </w:r>
    </w:p>
    <w:p w14:paraId="3424D24F">
      <w:pPr>
        <w:tabs>
          <w:tab w:val="left" w:pos="720"/>
        </w:tabs>
        <w:spacing w:line="360" w:lineRule="auto"/>
        <w:ind w:firstLine="864" w:firstLineChars="360"/>
        <w:rPr>
          <w:rFonts w:hint="eastAsia" w:ascii="宋体" w:hAnsi="宋体" w:cs="宋体"/>
          <w:sz w:val="24"/>
          <w:szCs w:val="24"/>
          <w:lang w:val="en-US" w:eastAsia="zh-CN"/>
        </w:rPr>
      </w:pPr>
      <w:r>
        <w:rPr>
          <w:rFonts w:hint="eastAsia" w:ascii="宋体" w:hAnsi="宋体" w:cs="宋体"/>
          <w:sz w:val="24"/>
          <w:szCs w:val="24"/>
        </w:rPr>
        <w:t>附表</w:t>
      </w:r>
      <w:r>
        <w:rPr>
          <w:rFonts w:hint="eastAsia" w:ascii="宋体" w:hAnsi="宋体" w:cs="宋体"/>
          <w:sz w:val="24"/>
          <w:szCs w:val="24"/>
          <w:lang w:val="en-US" w:eastAsia="zh-CN"/>
        </w:rPr>
        <w:t>六 施工组织设计（技术暗标部分）编制要求</w:t>
      </w:r>
    </w:p>
    <w:p w14:paraId="5249DAD9">
      <w:pPr>
        <w:tabs>
          <w:tab w:val="left" w:pos="720"/>
        </w:tabs>
        <w:spacing w:line="360" w:lineRule="auto"/>
        <w:ind w:firstLine="864" w:firstLineChars="360"/>
        <w:rPr>
          <w:rFonts w:hint="default" w:ascii="宋体" w:hAnsi="宋体" w:cs="宋体"/>
          <w:sz w:val="24"/>
          <w:szCs w:val="24"/>
          <w:lang w:val="en-US" w:eastAsia="zh-CN"/>
        </w:rPr>
      </w:pPr>
      <w:r>
        <w:rPr>
          <w:rFonts w:hint="eastAsia" w:ascii="宋体" w:hAnsi="宋体" w:cs="宋体"/>
          <w:sz w:val="24"/>
          <w:szCs w:val="24"/>
        </w:rPr>
        <w:t>附表</w:t>
      </w:r>
      <w:r>
        <w:rPr>
          <w:rFonts w:hint="eastAsia" w:ascii="宋体" w:hAnsi="宋体" w:cs="宋体"/>
          <w:sz w:val="24"/>
          <w:szCs w:val="24"/>
          <w:lang w:val="en-US" w:eastAsia="zh-CN"/>
        </w:rPr>
        <w:t xml:space="preserve">七 </w:t>
      </w:r>
      <w:r>
        <w:rPr>
          <w:rFonts w:hint="eastAsia" w:ascii="宋体" w:hAnsi="宋体" w:eastAsia="宋体" w:cs="宋体"/>
          <w:sz w:val="24"/>
          <w:szCs w:val="24"/>
          <w:lang w:val="en-US" w:eastAsia="zh-CN"/>
        </w:rPr>
        <w:t>封面</w:t>
      </w:r>
    </w:p>
    <w:p w14:paraId="0195F6A0">
      <w:pPr>
        <w:tabs>
          <w:tab w:val="left" w:pos="720"/>
        </w:tabs>
        <w:spacing w:line="440" w:lineRule="exact"/>
        <w:ind w:firstLine="756" w:firstLineChars="360"/>
        <w:rPr>
          <w:rFonts w:ascii="宋体" w:hAnsi="宋体" w:cs="宋体"/>
          <w:szCs w:val="21"/>
        </w:rPr>
      </w:pPr>
    </w:p>
    <w:p w14:paraId="2D79D106">
      <w:pPr>
        <w:tabs>
          <w:tab w:val="left" w:pos="720"/>
        </w:tabs>
        <w:spacing w:line="440" w:lineRule="exact"/>
        <w:ind w:firstLine="756" w:firstLineChars="360"/>
        <w:rPr>
          <w:rFonts w:ascii="宋体" w:hAnsi="宋体" w:cs="宋体"/>
          <w:szCs w:val="21"/>
        </w:rPr>
      </w:pPr>
    </w:p>
    <w:p w14:paraId="473FAE10">
      <w:pPr>
        <w:tabs>
          <w:tab w:val="left" w:pos="720"/>
        </w:tabs>
        <w:spacing w:line="440" w:lineRule="exact"/>
        <w:ind w:firstLine="756" w:firstLineChars="360"/>
        <w:rPr>
          <w:rFonts w:ascii="宋体" w:hAnsi="宋体" w:cs="宋体"/>
          <w:szCs w:val="21"/>
        </w:rPr>
      </w:pPr>
    </w:p>
    <w:p w14:paraId="3DF9546C">
      <w:pPr>
        <w:tabs>
          <w:tab w:val="left" w:pos="720"/>
        </w:tabs>
        <w:spacing w:line="440" w:lineRule="exact"/>
        <w:ind w:firstLine="756" w:firstLineChars="360"/>
        <w:rPr>
          <w:rFonts w:ascii="宋体" w:hAnsi="宋体" w:cs="宋体"/>
          <w:szCs w:val="21"/>
        </w:rPr>
      </w:pPr>
    </w:p>
    <w:p w14:paraId="6B87F4D5">
      <w:pPr>
        <w:tabs>
          <w:tab w:val="left" w:pos="720"/>
        </w:tabs>
        <w:spacing w:line="440" w:lineRule="exact"/>
        <w:ind w:firstLine="756" w:firstLineChars="360"/>
        <w:rPr>
          <w:rFonts w:ascii="宋体" w:hAnsi="宋体" w:cs="宋体"/>
          <w:szCs w:val="21"/>
        </w:rPr>
      </w:pPr>
    </w:p>
    <w:p w14:paraId="5115C839">
      <w:pPr>
        <w:tabs>
          <w:tab w:val="left" w:pos="720"/>
        </w:tabs>
        <w:spacing w:line="440" w:lineRule="exact"/>
        <w:ind w:firstLine="756" w:firstLineChars="360"/>
        <w:rPr>
          <w:rFonts w:ascii="宋体" w:hAnsi="宋体" w:cs="宋体"/>
          <w:szCs w:val="21"/>
        </w:rPr>
      </w:pPr>
    </w:p>
    <w:p w14:paraId="6F74E430">
      <w:pPr>
        <w:jc w:val="center"/>
        <w:rPr>
          <w:rFonts w:ascii="宋体" w:hAnsi="宋体" w:cs="宋体"/>
        </w:rPr>
      </w:pPr>
    </w:p>
    <w:p w14:paraId="6A419D9B">
      <w:pPr>
        <w:rPr>
          <w:rFonts w:ascii="宋体" w:hAnsi="宋体" w:cs="宋体"/>
          <w:sz w:val="24"/>
          <w:szCs w:val="24"/>
        </w:rPr>
      </w:pPr>
      <w:r>
        <w:rPr>
          <w:rFonts w:ascii="宋体" w:hAnsi="宋体" w:cs="宋体"/>
          <w:sz w:val="24"/>
          <w:szCs w:val="24"/>
        </w:rPr>
        <w:br w:type="page"/>
      </w:r>
    </w:p>
    <w:p w14:paraId="7372E89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宋体" w:hAnsi="宋体" w:cs="宋体"/>
          <w:b w:val="0"/>
          <w:bCs/>
          <w:sz w:val="28"/>
          <w:szCs w:val="28"/>
        </w:rPr>
      </w:pPr>
      <w:r>
        <w:rPr>
          <w:rFonts w:hint="eastAsia" w:ascii="宋体" w:hAnsi="宋体" w:cs="宋体"/>
          <w:b w:val="0"/>
          <w:bCs/>
          <w:sz w:val="28"/>
          <w:szCs w:val="28"/>
        </w:rPr>
        <w:t>附表一：拟投入本项目的主要施工设备表</w:t>
      </w:r>
    </w:p>
    <w:tbl>
      <w:tblPr>
        <w:tblStyle w:val="34"/>
        <w:tblpPr w:leftFromText="180" w:rightFromText="180" w:vertAnchor="text" w:horzAnchor="page" w:tblpXSpec="center" w:tblpY="260"/>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959"/>
        <w:gridCol w:w="959"/>
        <w:gridCol w:w="959"/>
        <w:gridCol w:w="959"/>
        <w:gridCol w:w="959"/>
        <w:gridCol w:w="959"/>
        <w:gridCol w:w="959"/>
        <w:gridCol w:w="959"/>
        <w:gridCol w:w="966"/>
      </w:tblGrid>
      <w:tr w14:paraId="372D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586618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959" w:type="dxa"/>
            <w:tcBorders>
              <w:tl2br w:val="nil"/>
              <w:tr2bl w:val="nil"/>
            </w:tcBorders>
            <w:vAlign w:val="center"/>
          </w:tcPr>
          <w:p w14:paraId="6AF25BD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设备名称</w:t>
            </w:r>
          </w:p>
        </w:tc>
        <w:tc>
          <w:tcPr>
            <w:tcW w:w="959" w:type="dxa"/>
            <w:tcBorders>
              <w:tl2br w:val="nil"/>
              <w:tr2bl w:val="nil"/>
            </w:tcBorders>
            <w:vAlign w:val="center"/>
          </w:tcPr>
          <w:p w14:paraId="26DE68B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型号</w:t>
            </w:r>
          </w:p>
          <w:p w14:paraId="1F3304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规格</w:t>
            </w:r>
          </w:p>
        </w:tc>
        <w:tc>
          <w:tcPr>
            <w:tcW w:w="959" w:type="dxa"/>
            <w:tcBorders>
              <w:tl2br w:val="nil"/>
              <w:tr2bl w:val="nil"/>
            </w:tcBorders>
            <w:vAlign w:val="center"/>
          </w:tcPr>
          <w:p w14:paraId="2CD05E0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959" w:type="dxa"/>
            <w:tcBorders>
              <w:tl2br w:val="nil"/>
              <w:tr2bl w:val="nil"/>
            </w:tcBorders>
            <w:vAlign w:val="center"/>
          </w:tcPr>
          <w:p w14:paraId="1AB24E3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国别</w:t>
            </w:r>
          </w:p>
          <w:p w14:paraId="26CB20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产地</w:t>
            </w:r>
          </w:p>
        </w:tc>
        <w:tc>
          <w:tcPr>
            <w:tcW w:w="959" w:type="dxa"/>
            <w:tcBorders>
              <w:tl2br w:val="nil"/>
              <w:tr2bl w:val="nil"/>
            </w:tcBorders>
            <w:vAlign w:val="center"/>
          </w:tcPr>
          <w:p w14:paraId="3BE753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制造</w:t>
            </w:r>
          </w:p>
          <w:p w14:paraId="3790B5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年份</w:t>
            </w:r>
          </w:p>
        </w:tc>
        <w:tc>
          <w:tcPr>
            <w:tcW w:w="959" w:type="dxa"/>
            <w:tcBorders>
              <w:tl2br w:val="nil"/>
              <w:tr2bl w:val="nil"/>
            </w:tcBorders>
            <w:vAlign w:val="center"/>
          </w:tcPr>
          <w:p w14:paraId="49B074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额定功率（kW）</w:t>
            </w:r>
          </w:p>
        </w:tc>
        <w:tc>
          <w:tcPr>
            <w:tcW w:w="959" w:type="dxa"/>
            <w:tcBorders>
              <w:tl2br w:val="nil"/>
              <w:tr2bl w:val="nil"/>
            </w:tcBorders>
            <w:vAlign w:val="center"/>
          </w:tcPr>
          <w:p w14:paraId="2B80DB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生产</w:t>
            </w:r>
          </w:p>
          <w:p w14:paraId="676A0C4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能力</w:t>
            </w:r>
          </w:p>
        </w:tc>
        <w:tc>
          <w:tcPr>
            <w:tcW w:w="959" w:type="dxa"/>
            <w:tcBorders>
              <w:tl2br w:val="nil"/>
              <w:tr2bl w:val="nil"/>
            </w:tcBorders>
            <w:vAlign w:val="center"/>
          </w:tcPr>
          <w:p w14:paraId="26A785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用于施工部位</w:t>
            </w:r>
          </w:p>
        </w:tc>
        <w:tc>
          <w:tcPr>
            <w:tcW w:w="966" w:type="dxa"/>
            <w:tcBorders>
              <w:tl2br w:val="nil"/>
              <w:tr2bl w:val="nil"/>
            </w:tcBorders>
            <w:vAlign w:val="center"/>
          </w:tcPr>
          <w:p w14:paraId="6FD60B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备注</w:t>
            </w:r>
          </w:p>
        </w:tc>
      </w:tr>
      <w:tr w14:paraId="59419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0E88F3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50ED2F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2FA24A2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DADEA0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136E8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E25C56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E374E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54613F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FBD77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37C289A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373C8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58E05B4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7D629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4322F7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4C6F0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BCBECB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4696FB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C4A548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1436B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F0969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4457E2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47F1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343617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C2485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D8A89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52F86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A680E5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23EF3FA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10AEF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5DA069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3CB1CA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2F1927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54F3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3B86549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6A3D8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2A59F6E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5DBFD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0E8223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968C1E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8F1E94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DF234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CB679F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100580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295FF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959" w:type="dxa"/>
            <w:tcBorders>
              <w:tl2br w:val="nil"/>
              <w:tr2bl w:val="nil"/>
            </w:tcBorders>
            <w:vAlign w:val="center"/>
          </w:tcPr>
          <w:p w14:paraId="197AC3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484A1B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EFBEC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2F4D88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1A8D9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349A9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51BD1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86D032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5B3EC4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5C7498E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15CA3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4ADF195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421913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6A8F55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8AD85A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A9DCFE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D8402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F981B0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lang w:val="en-US" w:eastAsia="zh-CN"/>
              </w:rPr>
            </w:pPr>
          </w:p>
        </w:tc>
        <w:tc>
          <w:tcPr>
            <w:tcW w:w="959" w:type="dxa"/>
            <w:tcBorders>
              <w:tl2br w:val="nil"/>
              <w:tr2bl w:val="nil"/>
            </w:tcBorders>
            <w:vAlign w:val="center"/>
          </w:tcPr>
          <w:p w14:paraId="0548C2B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D802CE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07997CA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28264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21D908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F174AB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D7DB1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CF58F1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26E73B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7A9AD5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4AD12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lang w:val="en-US" w:eastAsia="zh-CN"/>
              </w:rPr>
            </w:pPr>
          </w:p>
        </w:tc>
        <w:tc>
          <w:tcPr>
            <w:tcW w:w="959" w:type="dxa"/>
            <w:tcBorders>
              <w:tl2br w:val="nil"/>
              <w:tr2bl w:val="nil"/>
            </w:tcBorders>
            <w:vAlign w:val="center"/>
          </w:tcPr>
          <w:p w14:paraId="4D5EFD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5560E3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53ADEE7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30B8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32E9D1C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65443F0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D6462A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F512CA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9BC1A7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9C403F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lang w:val="en-US" w:eastAsia="zh-CN"/>
              </w:rPr>
            </w:pPr>
          </w:p>
        </w:tc>
        <w:tc>
          <w:tcPr>
            <w:tcW w:w="959" w:type="dxa"/>
            <w:tcBorders>
              <w:tl2br w:val="nil"/>
              <w:tr2bl w:val="nil"/>
            </w:tcBorders>
            <w:vAlign w:val="center"/>
          </w:tcPr>
          <w:p w14:paraId="46E3BB4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lang w:val="en-US" w:eastAsia="zh-CN"/>
              </w:rPr>
            </w:pPr>
          </w:p>
        </w:tc>
        <w:tc>
          <w:tcPr>
            <w:tcW w:w="959" w:type="dxa"/>
            <w:tcBorders>
              <w:tl2br w:val="nil"/>
              <w:tr2bl w:val="nil"/>
            </w:tcBorders>
            <w:vAlign w:val="center"/>
          </w:tcPr>
          <w:p w14:paraId="2B62224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EE8083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6C20E5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0562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0C1E8A8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90421C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20FA5E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0824AB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F78B5F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3F8FD5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6312CB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2E8724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864EF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369BB5F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0FDEF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44032B2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205A7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2D2030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C5436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726BA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AA595D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2DB83BC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721B190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49AFA3C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031A66F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r w14:paraId="6E68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59" w:type="dxa"/>
            <w:tcBorders>
              <w:tl2br w:val="nil"/>
              <w:tr2bl w:val="nil"/>
            </w:tcBorders>
            <w:vAlign w:val="center"/>
          </w:tcPr>
          <w:p w14:paraId="752C3E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F146F8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5D2C9DD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3E38ABB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6AECE69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67C6673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72292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0FB6B44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59" w:type="dxa"/>
            <w:tcBorders>
              <w:tl2br w:val="nil"/>
              <w:tr2bl w:val="nil"/>
            </w:tcBorders>
            <w:vAlign w:val="center"/>
          </w:tcPr>
          <w:p w14:paraId="1773222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c>
          <w:tcPr>
            <w:tcW w:w="966" w:type="dxa"/>
            <w:tcBorders>
              <w:tl2br w:val="nil"/>
              <w:tr2bl w:val="nil"/>
            </w:tcBorders>
            <w:vAlign w:val="center"/>
          </w:tcPr>
          <w:p w14:paraId="42B7CB4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1"/>
                <w:szCs w:val="21"/>
              </w:rPr>
            </w:pPr>
          </w:p>
        </w:tc>
      </w:tr>
    </w:tbl>
    <w:p w14:paraId="2F191EB3">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cs="宋体"/>
          <w:sz w:val="24"/>
          <w:szCs w:val="24"/>
        </w:rPr>
      </w:pPr>
      <w:r>
        <w:rPr>
          <w:rFonts w:ascii="宋体" w:hAnsi="宋体" w:cs="宋体"/>
          <w:sz w:val="24"/>
          <w:szCs w:val="24"/>
        </w:rPr>
        <w:br w:type="page"/>
      </w:r>
    </w:p>
    <w:p w14:paraId="0D072CF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宋体" w:hAnsi="宋体" w:cs="宋体"/>
          <w:b w:val="0"/>
          <w:bCs/>
          <w:sz w:val="28"/>
          <w:szCs w:val="28"/>
        </w:rPr>
      </w:pPr>
      <w:r>
        <w:rPr>
          <w:rFonts w:hint="eastAsia" w:ascii="宋体" w:hAnsi="宋体" w:cs="宋体"/>
          <w:b w:val="0"/>
          <w:bCs/>
          <w:sz w:val="28"/>
          <w:szCs w:val="28"/>
        </w:rPr>
        <w:t>附表二：劳动力计划表</w:t>
      </w:r>
    </w:p>
    <w:p w14:paraId="44DA6133">
      <w:pPr>
        <w:keepNext w:val="0"/>
        <w:keepLines w:val="0"/>
        <w:pageBreakBefore w:val="0"/>
        <w:widowControl w:val="0"/>
        <w:kinsoku/>
        <w:wordWrap/>
        <w:overflowPunct/>
        <w:topLinePunct w:val="0"/>
        <w:autoSpaceDE/>
        <w:autoSpaceDN/>
        <w:bidi/>
        <w:adjustRightInd/>
        <w:snapToGrid/>
        <w:spacing w:line="560" w:lineRule="exact"/>
        <w:ind w:firstLine="420" w:firstLineChars="200"/>
        <w:jc w:val="both"/>
        <w:textAlignment w:val="auto"/>
        <w:rPr>
          <w:rFonts w:hint="eastAsia" w:ascii="宋体" w:hAnsi="宋体" w:eastAsia="宋体" w:cs="宋体"/>
          <w:sz w:val="21"/>
          <w:szCs w:val="21"/>
        </w:rPr>
      </w:pPr>
      <w:r>
        <w:rPr>
          <w:rFonts w:hint="eastAsia" w:ascii="宋体" w:hAnsi="宋体" w:cs="宋体"/>
          <w:sz w:val="21"/>
          <w:szCs w:val="21"/>
          <w:lang w:val="en-US" w:eastAsia="zh-CN"/>
        </w:rPr>
        <w:t xml:space="preserve">                                                                         </w:t>
      </w:r>
      <w:r>
        <w:rPr>
          <w:rFonts w:hint="eastAsia" w:ascii="宋体" w:hAnsi="宋体" w:eastAsia="宋体" w:cs="宋体"/>
          <w:sz w:val="28"/>
          <w:szCs w:val="28"/>
        </w:rPr>
        <w:t>单位：人</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1218"/>
        <w:gridCol w:w="1218"/>
        <w:gridCol w:w="1218"/>
        <w:gridCol w:w="1218"/>
        <w:gridCol w:w="1218"/>
        <w:gridCol w:w="1218"/>
        <w:gridCol w:w="1222"/>
      </w:tblGrid>
      <w:tr w14:paraId="00406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218" w:type="dxa"/>
            <w:vMerge w:val="restart"/>
            <w:tcBorders>
              <w:tl2br w:val="nil"/>
              <w:tr2bl w:val="nil"/>
            </w:tcBorders>
            <w:vAlign w:val="center"/>
          </w:tcPr>
          <w:p w14:paraId="01D59A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工种</w:t>
            </w:r>
          </w:p>
        </w:tc>
        <w:tc>
          <w:tcPr>
            <w:tcW w:w="8530" w:type="dxa"/>
            <w:gridSpan w:val="7"/>
            <w:tcBorders>
              <w:tl2br w:val="nil"/>
              <w:tr2bl w:val="nil"/>
            </w:tcBorders>
            <w:vAlign w:val="center"/>
          </w:tcPr>
          <w:p w14:paraId="4FFDC6C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按工程施工阶段投入劳动力情况</w:t>
            </w:r>
          </w:p>
        </w:tc>
      </w:tr>
      <w:tr w14:paraId="3D5B5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218" w:type="dxa"/>
            <w:vMerge w:val="continue"/>
            <w:tcBorders>
              <w:tl2br w:val="nil"/>
              <w:tr2bl w:val="nil"/>
            </w:tcBorders>
            <w:vAlign w:val="center"/>
          </w:tcPr>
          <w:p w14:paraId="277A399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647408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588C79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7EB1797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26DD99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2ACE24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2CA2C0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077B5C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694D2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7B8FB17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2A25F94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10A84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7A5FCA8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38C5084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945FC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08CCBF4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61EBE64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28E7D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2655AB5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8AF2C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C4841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BFC596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65320BB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58585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A4725F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144658D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794F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74ADA6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3DBC5B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6E2A68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36C5B39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3B40ACE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03AEFE8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F4419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04C9B63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4776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0EF37D9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CB00BD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0F13CFE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B4179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2F3D237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71DB955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3B0AB12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560F500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4D3FE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000F0A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DA35C9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8897B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EF7AA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0EA2026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40A623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4E8A78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01FFAF1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375A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00DF655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4658EB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208A25A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607B707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750E1C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559A8C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28827F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1517D8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7F8F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53095C7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03ABA2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2C1AB3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EF0F76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FAE5B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2A69F2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2A0AF2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76026C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4215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3AED43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9E4AAA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01AB810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6A207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lang w:val="en-US" w:eastAsia="zh-CN"/>
              </w:rPr>
            </w:pPr>
          </w:p>
        </w:tc>
        <w:tc>
          <w:tcPr>
            <w:tcW w:w="1218" w:type="dxa"/>
            <w:tcBorders>
              <w:tl2br w:val="nil"/>
              <w:tr2bl w:val="nil"/>
            </w:tcBorders>
            <w:vAlign w:val="center"/>
          </w:tcPr>
          <w:p w14:paraId="60AF1C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0CACD84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24F4790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0AEFDA3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09D8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71C3CDE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2EBF097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70C1F22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6620FA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475E34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0B25A76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A607A6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1D24165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r w14:paraId="3928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218" w:type="dxa"/>
            <w:tcBorders>
              <w:tl2br w:val="nil"/>
              <w:tr2bl w:val="nil"/>
            </w:tcBorders>
            <w:vAlign w:val="center"/>
          </w:tcPr>
          <w:p w14:paraId="0D38194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753E62B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70088F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326D467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5BE9DC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32C549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18" w:type="dxa"/>
            <w:tcBorders>
              <w:tl2br w:val="nil"/>
              <w:tr2bl w:val="nil"/>
            </w:tcBorders>
            <w:vAlign w:val="center"/>
          </w:tcPr>
          <w:p w14:paraId="1EAACAE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c>
          <w:tcPr>
            <w:tcW w:w="1222" w:type="dxa"/>
            <w:tcBorders>
              <w:tl2br w:val="nil"/>
              <w:tr2bl w:val="nil"/>
            </w:tcBorders>
            <w:vAlign w:val="center"/>
          </w:tcPr>
          <w:p w14:paraId="3E3DD3A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1"/>
                <w:szCs w:val="21"/>
              </w:rPr>
            </w:pPr>
          </w:p>
        </w:tc>
      </w:tr>
    </w:tbl>
    <w:p w14:paraId="4869D854">
      <w:pPr>
        <w:keepNext w:val="0"/>
        <w:keepLines w:val="0"/>
        <w:pageBreakBefore w:val="0"/>
        <w:widowControl w:val="0"/>
        <w:kinsoku/>
        <w:wordWrap/>
        <w:overflowPunct/>
        <w:topLinePunct w:val="0"/>
        <w:autoSpaceDE/>
        <w:autoSpaceDN/>
        <w:adjustRightInd/>
        <w:snapToGrid/>
        <w:spacing w:line="560" w:lineRule="exact"/>
        <w:textAlignment w:val="auto"/>
      </w:pPr>
      <w:r>
        <w:br w:type="page"/>
      </w:r>
    </w:p>
    <w:p w14:paraId="47A1A26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宋体" w:hAnsi="宋体" w:cs="宋体"/>
          <w:b w:val="0"/>
          <w:bCs/>
          <w:sz w:val="28"/>
          <w:szCs w:val="28"/>
        </w:rPr>
      </w:pPr>
      <w:r>
        <w:rPr>
          <w:rFonts w:hint="eastAsia" w:ascii="宋体" w:hAnsi="宋体" w:cs="宋体"/>
          <w:b w:val="0"/>
          <w:bCs/>
          <w:sz w:val="28"/>
          <w:szCs w:val="28"/>
        </w:rPr>
        <w:t>附表三：进度计划</w:t>
      </w:r>
    </w:p>
    <w:p w14:paraId="4964EFC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1.投标人应递交施工进度网络图或施工进度表，说明按招标文件要求的计划工期进行施工的各个关键日期。</w:t>
      </w:r>
    </w:p>
    <w:p w14:paraId="7879FC49">
      <w:pPr>
        <w:spacing w:line="44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2.施工进度表可采用网络图或横道图表示。</w:t>
      </w:r>
      <w:r>
        <w:rPr>
          <w:rFonts w:hint="eastAsia" w:ascii="宋体" w:hAnsi="宋体" w:cs="宋体"/>
          <w:sz w:val="24"/>
          <w:szCs w:val="24"/>
          <w:lang w:eastAsia="zh-CN"/>
        </w:rPr>
        <w:t>（</w:t>
      </w:r>
      <w:r>
        <w:rPr>
          <w:rFonts w:hint="eastAsia" w:ascii="宋体" w:hAnsi="宋体" w:cs="宋体"/>
          <w:sz w:val="24"/>
          <w:szCs w:val="24"/>
          <w:lang w:val="en-US" w:eastAsia="zh-CN"/>
        </w:rPr>
        <w:t>以上2条内容编制时须删除</w:t>
      </w:r>
      <w:r>
        <w:rPr>
          <w:rFonts w:hint="eastAsia" w:ascii="宋体" w:hAnsi="宋体" w:cs="宋体"/>
          <w:sz w:val="24"/>
          <w:szCs w:val="24"/>
          <w:lang w:eastAsia="zh-CN"/>
        </w:rPr>
        <w:t>）</w:t>
      </w:r>
    </w:p>
    <w:p w14:paraId="32C5AC3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sz w:val="28"/>
          <w:szCs w:val="28"/>
        </w:rPr>
      </w:pPr>
    </w:p>
    <w:p w14:paraId="0AC6B6E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sz w:val="28"/>
          <w:szCs w:val="28"/>
        </w:rPr>
      </w:pPr>
    </w:p>
    <w:p w14:paraId="074C00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附表四：施工总平面图</w:t>
      </w:r>
    </w:p>
    <w:p w14:paraId="34CC337A">
      <w:pPr>
        <w:spacing w:line="44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投标人应递交一份施工总平面图，绘出现场临时设施布置图表，并注明临时设施、加工车间、现场办公、设备及仓储、供电、供水、卫生、生活、道路、消防等设施的情况和布置。</w:t>
      </w:r>
      <w:r>
        <w:rPr>
          <w:rFonts w:hint="eastAsia" w:ascii="宋体" w:hAnsi="宋体" w:cs="宋体"/>
          <w:sz w:val="24"/>
          <w:szCs w:val="24"/>
          <w:lang w:eastAsia="zh-CN"/>
        </w:rPr>
        <w:t>（</w:t>
      </w:r>
      <w:r>
        <w:rPr>
          <w:rFonts w:hint="eastAsia" w:ascii="宋体" w:hAnsi="宋体" w:cs="宋体"/>
          <w:sz w:val="24"/>
          <w:szCs w:val="24"/>
          <w:lang w:val="en-US" w:eastAsia="zh-CN"/>
        </w:rPr>
        <w:t>以上内容编制时须删除</w:t>
      </w:r>
      <w:r>
        <w:rPr>
          <w:rFonts w:hint="eastAsia" w:ascii="宋体" w:hAnsi="宋体" w:cs="宋体"/>
          <w:sz w:val="24"/>
          <w:szCs w:val="24"/>
          <w:lang w:eastAsia="zh-CN"/>
        </w:rPr>
        <w:t>）</w:t>
      </w:r>
    </w:p>
    <w:p w14:paraId="557D886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sz w:val="28"/>
          <w:szCs w:val="28"/>
        </w:rPr>
      </w:pPr>
    </w:p>
    <w:p w14:paraId="5C49F7A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sz w:val="28"/>
          <w:szCs w:val="28"/>
        </w:rPr>
      </w:pPr>
    </w:p>
    <w:p w14:paraId="6CFEEE4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sz w:val="28"/>
          <w:szCs w:val="28"/>
        </w:rPr>
      </w:pPr>
      <w:r>
        <w:rPr>
          <w:rFonts w:hint="eastAsia" w:ascii="宋体" w:hAnsi="宋体" w:eastAsia="宋体" w:cs="宋体"/>
          <w:b w:val="0"/>
          <w:bCs/>
          <w:sz w:val="28"/>
          <w:szCs w:val="28"/>
        </w:rPr>
        <w:t>附表五：临时用地表</w:t>
      </w:r>
    </w:p>
    <w:tbl>
      <w:tblPr>
        <w:tblStyle w:val="34"/>
        <w:tblpPr w:leftFromText="180" w:rightFromText="180" w:vertAnchor="text" w:horzAnchor="page" w:tblpXSpec="center" w:tblpY="250"/>
        <w:tblOverlap w:val="never"/>
        <w:tblW w:w="9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2"/>
        <w:gridCol w:w="2352"/>
        <w:gridCol w:w="2352"/>
        <w:gridCol w:w="2353"/>
      </w:tblGrid>
      <w:tr w14:paraId="10A4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52" w:type="dxa"/>
            <w:tcBorders>
              <w:tl2br w:val="nil"/>
              <w:tr2bl w:val="nil"/>
            </w:tcBorders>
            <w:vAlign w:val="center"/>
          </w:tcPr>
          <w:p w14:paraId="164BB43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用途</w:t>
            </w:r>
          </w:p>
        </w:tc>
        <w:tc>
          <w:tcPr>
            <w:tcW w:w="2352" w:type="dxa"/>
            <w:tcBorders>
              <w:tl2br w:val="nil"/>
              <w:tr2bl w:val="nil"/>
            </w:tcBorders>
            <w:vAlign w:val="center"/>
          </w:tcPr>
          <w:p w14:paraId="7469787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面积（平方米）</w:t>
            </w:r>
          </w:p>
        </w:tc>
        <w:tc>
          <w:tcPr>
            <w:tcW w:w="2352" w:type="dxa"/>
            <w:tcBorders>
              <w:tl2br w:val="nil"/>
              <w:tr2bl w:val="nil"/>
            </w:tcBorders>
            <w:vAlign w:val="center"/>
          </w:tcPr>
          <w:p w14:paraId="4787B6B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位置</w:t>
            </w:r>
          </w:p>
        </w:tc>
        <w:tc>
          <w:tcPr>
            <w:tcW w:w="2353" w:type="dxa"/>
            <w:tcBorders>
              <w:tl2br w:val="nil"/>
              <w:tr2bl w:val="nil"/>
            </w:tcBorders>
            <w:vAlign w:val="center"/>
          </w:tcPr>
          <w:p w14:paraId="71299DD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需用时间</w:t>
            </w:r>
          </w:p>
        </w:tc>
      </w:tr>
      <w:tr w14:paraId="5AD6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52" w:type="dxa"/>
            <w:tcBorders>
              <w:tl2br w:val="nil"/>
              <w:tr2bl w:val="nil"/>
            </w:tcBorders>
            <w:vAlign w:val="center"/>
          </w:tcPr>
          <w:p w14:paraId="3FAB42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val="0"/>
                <w:bCs/>
                <w:sz w:val="21"/>
                <w:szCs w:val="21"/>
                <w:lang w:val="en-US" w:eastAsia="zh-CN"/>
              </w:rPr>
            </w:pPr>
          </w:p>
        </w:tc>
        <w:tc>
          <w:tcPr>
            <w:tcW w:w="2352" w:type="dxa"/>
            <w:tcBorders>
              <w:tl2br w:val="nil"/>
              <w:tr2bl w:val="nil"/>
            </w:tcBorders>
            <w:vAlign w:val="center"/>
          </w:tcPr>
          <w:p w14:paraId="4E9455E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val="0"/>
                <w:bCs/>
                <w:sz w:val="21"/>
                <w:szCs w:val="21"/>
                <w:lang w:val="en-US" w:eastAsia="zh-CN"/>
              </w:rPr>
            </w:pPr>
          </w:p>
        </w:tc>
        <w:tc>
          <w:tcPr>
            <w:tcW w:w="2352" w:type="dxa"/>
            <w:tcBorders>
              <w:tl2br w:val="nil"/>
              <w:tr2bl w:val="nil"/>
            </w:tcBorders>
            <w:vAlign w:val="center"/>
          </w:tcPr>
          <w:p w14:paraId="3B1565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c>
          <w:tcPr>
            <w:tcW w:w="2353" w:type="dxa"/>
            <w:tcBorders>
              <w:tl2br w:val="nil"/>
              <w:tr2bl w:val="nil"/>
            </w:tcBorders>
            <w:vAlign w:val="center"/>
          </w:tcPr>
          <w:p w14:paraId="19BC76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r>
      <w:tr w14:paraId="66481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52" w:type="dxa"/>
            <w:tcBorders>
              <w:tl2br w:val="nil"/>
              <w:tr2bl w:val="nil"/>
            </w:tcBorders>
            <w:vAlign w:val="center"/>
          </w:tcPr>
          <w:p w14:paraId="572322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val="0"/>
                <w:bCs/>
                <w:sz w:val="21"/>
                <w:szCs w:val="21"/>
                <w:lang w:val="en-US" w:eastAsia="zh-CN"/>
              </w:rPr>
            </w:pPr>
          </w:p>
        </w:tc>
        <w:tc>
          <w:tcPr>
            <w:tcW w:w="2352" w:type="dxa"/>
            <w:tcBorders>
              <w:tl2br w:val="nil"/>
              <w:tr2bl w:val="nil"/>
            </w:tcBorders>
            <w:vAlign w:val="center"/>
          </w:tcPr>
          <w:p w14:paraId="094622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lang w:val="en-US" w:eastAsia="zh-CN"/>
              </w:rPr>
            </w:pPr>
          </w:p>
        </w:tc>
        <w:tc>
          <w:tcPr>
            <w:tcW w:w="2352" w:type="dxa"/>
            <w:tcBorders>
              <w:tl2br w:val="nil"/>
              <w:tr2bl w:val="nil"/>
            </w:tcBorders>
            <w:vAlign w:val="center"/>
          </w:tcPr>
          <w:p w14:paraId="121640A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c>
          <w:tcPr>
            <w:tcW w:w="2353" w:type="dxa"/>
            <w:tcBorders>
              <w:tl2br w:val="nil"/>
              <w:tr2bl w:val="nil"/>
            </w:tcBorders>
            <w:vAlign w:val="center"/>
          </w:tcPr>
          <w:p w14:paraId="4B47123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r>
      <w:tr w14:paraId="4D45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52" w:type="dxa"/>
            <w:tcBorders>
              <w:tl2br w:val="nil"/>
              <w:tr2bl w:val="nil"/>
            </w:tcBorders>
            <w:vAlign w:val="center"/>
          </w:tcPr>
          <w:p w14:paraId="25F7ED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val="0"/>
                <w:bCs/>
                <w:sz w:val="21"/>
                <w:szCs w:val="21"/>
                <w:lang w:val="en-US" w:eastAsia="zh-CN"/>
              </w:rPr>
            </w:pPr>
          </w:p>
        </w:tc>
        <w:tc>
          <w:tcPr>
            <w:tcW w:w="2352" w:type="dxa"/>
            <w:tcBorders>
              <w:tl2br w:val="nil"/>
              <w:tr2bl w:val="nil"/>
            </w:tcBorders>
            <w:vAlign w:val="center"/>
          </w:tcPr>
          <w:p w14:paraId="64381E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lang w:val="en-US" w:eastAsia="zh-CN"/>
              </w:rPr>
            </w:pPr>
          </w:p>
        </w:tc>
        <w:tc>
          <w:tcPr>
            <w:tcW w:w="2352" w:type="dxa"/>
            <w:tcBorders>
              <w:tl2br w:val="nil"/>
              <w:tr2bl w:val="nil"/>
            </w:tcBorders>
            <w:vAlign w:val="center"/>
          </w:tcPr>
          <w:p w14:paraId="5D0E64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c>
          <w:tcPr>
            <w:tcW w:w="2353" w:type="dxa"/>
            <w:tcBorders>
              <w:tl2br w:val="nil"/>
              <w:tr2bl w:val="nil"/>
            </w:tcBorders>
            <w:vAlign w:val="center"/>
          </w:tcPr>
          <w:p w14:paraId="46620CD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r>
      <w:tr w14:paraId="1052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52" w:type="dxa"/>
            <w:tcBorders>
              <w:tl2br w:val="nil"/>
              <w:tr2bl w:val="nil"/>
            </w:tcBorders>
            <w:vAlign w:val="center"/>
          </w:tcPr>
          <w:p w14:paraId="376C86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val="0"/>
                <w:bCs/>
                <w:sz w:val="21"/>
                <w:szCs w:val="21"/>
                <w:lang w:val="en-US" w:eastAsia="zh-CN"/>
              </w:rPr>
            </w:pPr>
          </w:p>
        </w:tc>
        <w:tc>
          <w:tcPr>
            <w:tcW w:w="2352" w:type="dxa"/>
            <w:tcBorders>
              <w:tl2br w:val="nil"/>
              <w:tr2bl w:val="nil"/>
            </w:tcBorders>
            <w:vAlign w:val="center"/>
          </w:tcPr>
          <w:p w14:paraId="7D31C0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lang w:val="en-US" w:eastAsia="zh-CN"/>
              </w:rPr>
            </w:pPr>
          </w:p>
        </w:tc>
        <w:tc>
          <w:tcPr>
            <w:tcW w:w="2352" w:type="dxa"/>
            <w:tcBorders>
              <w:tl2br w:val="nil"/>
              <w:tr2bl w:val="nil"/>
            </w:tcBorders>
            <w:vAlign w:val="center"/>
          </w:tcPr>
          <w:p w14:paraId="5322E58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c>
          <w:tcPr>
            <w:tcW w:w="2353" w:type="dxa"/>
            <w:tcBorders>
              <w:tl2br w:val="nil"/>
              <w:tr2bl w:val="nil"/>
            </w:tcBorders>
            <w:vAlign w:val="center"/>
          </w:tcPr>
          <w:p w14:paraId="3B34D43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r>
      <w:tr w14:paraId="6E37D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52" w:type="dxa"/>
            <w:tcBorders>
              <w:tl2br w:val="nil"/>
              <w:tr2bl w:val="nil"/>
            </w:tcBorders>
            <w:vAlign w:val="center"/>
          </w:tcPr>
          <w:p w14:paraId="4D51E9B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val="0"/>
                <w:bCs/>
                <w:sz w:val="21"/>
                <w:szCs w:val="21"/>
                <w:lang w:val="en-US" w:eastAsia="zh-CN"/>
              </w:rPr>
            </w:pPr>
          </w:p>
        </w:tc>
        <w:tc>
          <w:tcPr>
            <w:tcW w:w="2352" w:type="dxa"/>
            <w:tcBorders>
              <w:tl2br w:val="nil"/>
              <w:tr2bl w:val="nil"/>
            </w:tcBorders>
            <w:vAlign w:val="center"/>
          </w:tcPr>
          <w:p w14:paraId="43134A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lang w:val="en-US" w:eastAsia="zh-CN"/>
              </w:rPr>
            </w:pPr>
          </w:p>
        </w:tc>
        <w:tc>
          <w:tcPr>
            <w:tcW w:w="2352" w:type="dxa"/>
            <w:tcBorders>
              <w:tl2br w:val="nil"/>
              <w:tr2bl w:val="nil"/>
            </w:tcBorders>
            <w:vAlign w:val="center"/>
          </w:tcPr>
          <w:p w14:paraId="5F8A3C0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c>
          <w:tcPr>
            <w:tcW w:w="2353" w:type="dxa"/>
            <w:tcBorders>
              <w:tl2br w:val="nil"/>
              <w:tr2bl w:val="nil"/>
            </w:tcBorders>
            <w:vAlign w:val="center"/>
          </w:tcPr>
          <w:p w14:paraId="2886D56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r>
      <w:tr w14:paraId="0EFE9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52" w:type="dxa"/>
            <w:tcBorders>
              <w:tl2br w:val="nil"/>
              <w:tr2bl w:val="nil"/>
            </w:tcBorders>
            <w:vAlign w:val="center"/>
          </w:tcPr>
          <w:p w14:paraId="0BE4DFF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val="0"/>
                <w:bCs/>
                <w:sz w:val="21"/>
                <w:szCs w:val="21"/>
                <w:lang w:val="en-US" w:eastAsia="zh-CN"/>
              </w:rPr>
            </w:pPr>
          </w:p>
        </w:tc>
        <w:tc>
          <w:tcPr>
            <w:tcW w:w="2352" w:type="dxa"/>
            <w:tcBorders>
              <w:tl2br w:val="nil"/>
              <w:tr2bl w:val="nil"/>
            </w:tcBorders>
            <w:vAlign w:val="center"/>
          </w:tcPr>
          <w:p w14:paraId="04187B7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lang w:val="en-US" w:eastAsia="zh-CN"/>
              </w:rPr>
            </w:pPr>
          </w:p>
        </w:tc>
        <w:tc>
          <w:tcPr>
            <w:tcW w:w="2352" w:type="dxa"/>
            <w:tcBorders>
              <w:tl2br w:val="nil"/>
              <w:tr2bl w:val="nil"/>
            </w:tcBorders>
            <w:vAlign w:val="center"/>
          </w:tcPr>
          <w:p w14:paraId="43DAC8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c>
          <w:tcPr>
            <w:tcW w:w="2353" w:type="dxa"/>
            <w:tcBorders>
              <w:tl2br w:val="nil"/>
              <w:tr2bl w:val="nil"/>
            </w:tcBorders>
            <w:vAlign w:val="center"/>
          </w:tcPr>
          <w:p w14:paraId="31E5D54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1"/>
                <w:szCs w:val="21"/>
              </w:rPr>
            </w:pPr>
          </w:p>
        </w:tc>
      </w:tr>
    </w:tbl>
    <w:p w14:paraId="02D3329E">
      <w:pPr>
        <w:keepNext w:val="0"/>
        <w:keepLines w:val="0"/>
        <w:pageBreakBefore w:val="0"/>
        <w:widowControl w:val="0"/>
        <w:kinsoku/>
        <w:wordWrap/>
        <w:overflowPunct/>
        <w:topLinePunct w:val="0"/>
        <w:autoSpaceDE/>
        <w:autoSpaceDN/>
        <w:bidi w:val="0"/>
        <w:adjustRightInd/>
        <w:snapToGrid/>
        <w:spacing w:line="560" w:lineRule="exact"/>
        <w:textAlignment w:val="auto"/>
      </w:pPr>
    </w:p>
    <w:p w14:paraId="788686E4">
      <w:pPr>
        <w:rPr>
          <w:rFonts w:hint="eastAsia" w:ascii="宋体" w:hAnsi="宋体" w:eastAsia="宋体" w:cs="宋体"/>
          <w:b/>
          <w:sz w:val="24"/>
          <w:szCs w:val="24"/>
        </w:rPr>
      </w:pPr>
      <w:r>
        <w:rPr>
          <w:rFonts w:hint="eastAsia" w:ascii="宋体" w:hAnsi="宋体" w:eastAsia="宋体" w:cs="宋体"/>
          <w:b/>
          <w:sz w:val="24"/>
          <w:szCs w:val="24"/>
        </w:rPr>
        <w:br w:type="page"/>
      </w:r>
    </w:p>
    <w:p w14:paraId="74D673F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rPr>
        <w:t>附表</w:t>
      </w:r>
      <w:r>
        <w:rPr>
          <w:rFonts w:hint="eastAsia" w:ascii="宋体" w:hAnsi="宋体" w:eastAsia="宋体" w:cs="宋体"/>
          <w:b/>
          <w:sz w:val="24"/>
          <w:szCs w:val="24"/>
          <w:lang w:val="en-US" w:eastAsia="zh-CN"/>
        </w:rPr>
        <w:t>六</w:t>
      </w:r>
      <w:r>
        <w:rPr>
          <w:rFonts w:hint="eastAsia" w:ascii="宋体" w:hAnsi="宋体" w:eastAsia="宋体" w:cs="宋体"/>
          <w:b/>
          <w:sz w:val="24"/>
          <w:szCs w:val="24"/>
        </w:rPr>
        <w:t>：</w:t>
      </w:r>
      <w:r>
        <w:rPr>
          <w:rFonts w:hint="eastAsia" w:ascii="宋体" w:hAnsi="宋体" w:eastAsia="宋体" w:cs="宋体"/>
          <w:b/>
          <w:sz w:val="24"/>
          <w:szCs w:val="24"/>
          <w:lang w:val="en-US" w:eastAsia="zh-CN"/>
        </w:rPr>
        <w:t>施工组织设计(技术暗标部分)编制要求</w:t>
      </w:r>
    </w:p>
    <w:p w14:paraId="1613C7C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宋体" w:hAnsi="宋体" w:cs="宋体"/>
          <w:b w:val="0"/>
          <w:bCs/>
          <w:sz w:val="24"/>
          <w:szCs w:val="24"/>
          <w:lang w:eastAsia="zh-CN"/>
        </w:rPr>
      </w:pPr>
      <w:r>
        <w:rPr>
          <w:rFonts w:hint="eastAsia" w:ascii="宋体" w:hAnsi="宋体" w:eastAsia="宋体" w:cs="宋体"/>
          <w:b w:val="0"/>
          <w:bCs/>
          <w:kern w:val="2"/>
          <w:sz w:val="24"/>
          <w:szCs w:val="24"/>
          <w:lang w:val="en-US" w:eastAsia="zh-CN" w:bidi="ar-SA"/>
        </w:rPr>
        <w:t>1、</w:t>
      </w:r>
      <w:r>
        <w:rPr>
          <w:rFonts w:hint="eastAsia" w:ascii="宋体" w:hAnsi="宋体" w:eastAsia="宋体" w:cs="宋体"/>
          <w:b w:val="0"/>
          <w:bCs/>
          <w:sz w:val="24"/>
          <w:szCs w:val="24"/>
        </w:rPr>
        <w:t>纸张要求</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标准 A4 纸张。</w:t>
      </w:r>
    </w:p>
    <w:p w14:paraId="2832054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2、封面要求：封面采用招标文件规定的统一封面，括号内填入“正本”，不得加入空格。</w:t>
      </w:r>
      <w:r>
        <w:rPr>
          <w:rFonts w:hint="eastAsia" w:ascii="宋体" w:hAnsi="宋体" w:eastAsia="宋体" w:cs="宋体"/>
          <w:b w:val="0"/>
          <w:bCs/>
          <w:sz w:val="24"/>
          <w:szCs w:val="24"/>
        </w:rPr>
        <w:br w:type="textWrapping"/>
      </w:r>
      <w:r>
        <w:rPr>
          <w:rFonts w:hint="eastAsia" w:ascii="宋体" w:hAnsi="宋体" w:eastAsia="宋体" w:cs="宋体"/>
          <w:b w:val="0"/>
          <w:bCs/>
          <w:sz w:val="24"/>
          <w:szCs w:val="24"/>
        </w:rPr>
        <w:t>3、标题排版要求：暗标文件页面行距为固定值28磅，页边距四边均为2厘米。不编制页码、页眉、页脚。暗标文件一级标题（“一、” “二、”“三、”…）采用三号宋体加粗字体，对齐方式为左对齐，不缩进，大纲级别选择为1级，其余均为正文部分。二级标题为 1、2、3、...，三级为 1.1、1.2、...2.1、2.2、...，四级标题为1.1.1、1.1.2、...2.1.1、2.1.2、...以此类推。正文标题阿拉伯数字后应加入顿号，例如“1、”。</w:t>
      </w:r>
      <w:r>
        <w:rPr>
          <w:rFonts w:hint="eastAsia" w:ascii="宋体" w:hAnsi="宋体" w:eastAsia="宋体" w:cs="宋体"/>
          <w:b w:val="0"/>
          <w:bCs/>
          <w:sz w:val="24"/>
          <w:szCs w:val="24"/>
        </w:rPr>
        <w:br w:type="textWrapping"/>
      </w:r>
      <w:r>
        <w:rPr>
          <w:rFonts w:hint="eastAsia" w:ascii="宋体" w:hAnsi="宋体" w:eastAsia="宋体" w:cs="宋体"/>
          <w:b w:val="0"/>
          <w:bCs/>
          <w:sz w:val="24"/>
          <w:szCs w:val="24"/>
        </w:rPr>
        <w:t>4、正文排版要求：正文部分（包含二级及以下标题）字体采用四号宋体，不得做加粗、倾斜等处理，不允许字符间距缩放，对齐方式为两端对齐。正文部分标题及段落首行缩进2个中文字符，段落其他各行不作缩进处理。正文中各段落、图表间不允许留有空行、各章节间不允许留有空面、空页，不允许出现空格</w:t>
      </w:r>
      <w:r>
        <w:rPr>
          <w:rFonts w:hint="eastAsia" w:ascii="宋体" w:hAnsi="宋体" w:cs="宋体"/>
          <w:b w:val="0"/>
          <w:bCs/>
          <w:sz w:val="24"/>
          <w:szCs w:val="24"/>
          <w:lang w:eastAsia="zh-CN"/>
        </w:rPr>
        <w:t>。</w:t>
      </w:r>
      <w:r>
        <w:rPr>
          <w:rFonts w:hint="eastAsia" w:ascii="宋体" w:hAnsi="宋体" w:eastAsia="宋体" w:cs="宋体"/>
          <w:b w:val="0"/>
          <w:bCs/>
          <w:sz w:val="24"/>
          <w:szCs w:val="24"/>
        </w:rPr>
        <w:br w:type="textWrapping"/>
      </w:r>
      <w:r>
        <w:rPr>
          <w:rFonts w:hint="eastAsia" w:ascii="宋体" w:hAnsi="宋体" w:eastAsia="宋体" w:cs="宋体"/>
          <w:b w:val="0"/>
          <w:bCs/>
          <w:sz w:val="24"/>
          <w:szCs w:val="24"/>
        </w:rPr>
        <w:t>5、图表排版要求：图表大小、字体要求：图表均采用WPS Word文字处理软件黑白绘制，不得手写、手绘。图表居中放置，所有边框采用0.5磅黑色单实直线，图表标题（名称）文字采用黑色四号宋体，两端对齐，缩进两个字符，图表单位</w:t>
      </w:r>
      <w:r>
        <w:rPr>
          <w:rFonts w:hint="eastAsia" w:ascii="宋体" w:hAnsi="宋体" w:eastAsia="宋体" w:cs="宋体"/>
          <w:b w:val="0"/>
          <w:bCs/>
          <w:sz w:val="24"/>
          <w:szCs w:val="24"/>
          <w:lang w:val="en-US" w:eastAsia="zh-CN"/>
        </w:rPr>
        <w:t>文字</w:t>
      </w:r>
      <w:r>
        <w:rPr>
          <w:rFonts w:hint="eastAsia" w:ascii="宋体" w:hAnsi="宋体" w:eastAsia="宋体" w:cs="宋体"/>
          <w:b w:val="0"/>
          <w:bCs/>
          <w:sz w:val="24"/>
          <w:szCs w:val="24"/>
        </w:rPr>
        <w:t>采用黑色四号宋体</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两端对齐</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从右向左</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缩进两个字符</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放在表格右上角。图表内文字采用黑色五号宋体，进度图横道线使用2磅黑实直线。</w:t>
      </w:r>
      <w:r>
        <w:rPr>
          <w:rFonts w:hint="eastAsia" w:ascii="宋体" w:hAnsi="宋体" w:eastAsia="宋体" w:cs="宋体"/>
          <w:b w:val="0"/>
          <w:bCs/>
          <w:sz w:val="24"/>
          <w:szCs w:val="24"/>
        </w:rPr>
        <w:br w:type="textWrapping"/>
      </w:r>
      <w:r>
        <w:rPr>
          <w:rFonts w:hint="eastAsia" w:ascii="宋体" w:hAnsi="宋体" w:eastAsia="宋体" w:cs="宋体"/>
          <w:b w:val="0"/>
          <w:bCs/>
          <w:sz w:val="24"/>
          <w:szCs w:val="24"/>
        </w:rPr>
        <w:t>6、其他排版要求：编写软件及版本要求：使用WPS办公软件编制；施工组织设计页数：不得超过1000页；除满足上述各项要求外，构成投标文件的“技术暗标”的正文中均不得出现投标人的名称和其它可识别投标人身份的字符、徽标、人员名称以及其他特殊标记等。</w:t>
      </w:r>
    </w:p>
    <w:p w14:paraId="3DDCFE44">
      <w:pPr>
        <w:spacing w:line="460" w:lineRule="exact"/>
        <w:jc w:val="left"/>
        <w:rPr>
          <w:rFonts w:hint="eastAsia" w:ascii="宋体" w:hAnsi="宋体" w:eastAsia="宋体" w:cs="宋体"/>
          <w:b/>
          <w:sz w:val="24"/>
          <w:szCs w:val="24"/>
        </w:rPr>
      </w:pPr>
    </w:p>
    <w:p w14:paraId="018024E6">
      <w:pPr>
        <w:spacing w:line="460" w:lineRule="exact"/>
        <w:jc w:val="left"/>
        <w:rPr>
          <w:rFonts w:hint="eastAsia" w:ascii="宋体" w:hAnsi="宋体" w:eastAsia="宋体" w:cs="宋体"/>
          <w:b/>
          <w:sz w:val="24"/>
          <w:szCs w:val="24"/>
        </w:rPr>
      </w:pPr>
    </w:p>
    <w:p w14:paraId="762FA6AD">
      <w:pPr>
        <w:spacing w:line="460" w:lineRule="exact"/>
        <w:jc w:val="left"/>
        <w:rPr>
          <w:rFonts w:hint="eastAsia" w:ascii="宋体" w:hAnsi="宋体" w:eastAsia="宋体" w:cs="宋体"/>
          <w:b/>
          <w:sz w:val="24"/>
          <w:szCs w:val="24"/>
        </w:rPr>
      </w:pPr>
    </w:p>
    <w:p w14:paraId="0943A0F2">
      <w:pPr>
        <w:spacing w:line="460" w:lineRule="exact"/>
        <w:jc w:val="left"/>
        <w:rPr>
          <w:rFonts w:hint="eastAsia" w:ascii="宋体" w:hAnsi="宋体" w:eastAsia="宋体" w:cs="宋体"/>
          <w:b/>
          <w:sz w:val="24"/>
          <w:szCs w:val="24"/>
        </w:rPr>
      </w:pPr>
    </w:p>
    <w:p w14:paraId="550978B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br w:type="textWrapping"/>
      </w:r>
    </w:p>
    <w:p w14:paraId="2CE987C6">
      <w:pPr>
        <w:rPr>
          <w:rFonts w:hint="eastAsia" w:ascii="宋体" w:hAnsi="宋体" w:eastAsia="宋体" w:cs="宋体"/>
          <w:b w:val="0"/>
          <w:bCs/>
          <w:sz w:val="28"/>
          <w:szCs w:val="28"/>
        </w:rPr>
      </w:pPr>
      <w:r>
        <w:rPr>
          <w:rFonts w:hint="eastAsia" w:ascii="宋体" w:hAnsi="宋体" w:eastAsia="宋体" w:cs="宋体"/>
          <w:b w:val="0"/>
          <w:bCs/>
          <w:sz w:val="28"/>
          <w:szCs w:val="28"/>
        </w:rPr>
        <w:br w:type="page"/>
      </w:r>
    </w:p>
    <w:p w14:paraId="584B9D02">
      <w:pPr>
        <w:numPr>
          <w:ilvl w:val="0"/>
          <w:numId w:val="0"/>
        </w:numPr>
        <w:spacing w:line="460" w:lineRule="exact"/>
        <w:jc w:val="left"/>
        <w:rPr>
          <w:rFonts w:hint="eastAsia" w:ascii="宋体" w:hAnsi="宋体" w:cs="宋体"/>
          <w:b/>
          <w:bCs w:val="0"/>
          <w:sz w:val="24"/>
          <w:szCs w:val="24"/>
          <w:lang w:eastAsia="zh-CN"/>
        </w:rPr>
      </w:pPr>
      <w:bookmarkStart w:id="1700" w:name="_Toc30503"/>
      <w:r>
        <w:rPr>
          <w:rFonts w:hint="eastAsia" w:ascii="宋体" w:hAnsi="宋体" w:eastAsia="宋体" w:cs="宋体"/>
          <w:b/>
          <w:bCs w:val="0"/>
          <w:sz w:val="24"/>
          <w:szCs w:val="24"/>
        </w:rPr>
        <w:t>附表</w:t>
      </w:r>
      <w:r>
        <w:rPr>
          <w:rFonts w:hint="eastAsia" w:ascii="宋体" w:hAnsi="宋体" w:cs="宋体"/>
          <w:b/>
          <w:bCs w:val="0"/>
          <w:sz w:val="24"/>
          <w:szCs w:val="24"/>
          <w:lang w:eastAsia="zh-CN"/>
        </w:rPr>
        <w:t>七</w:t>
      </w:r>
      <w:r>
        <w:rPr>
          <w:rFonts w:hint="eastAsia" w:ascii="宋体" w:hAnsi="宋体" w:eastAsia="宋体" w:cs="宋体"/>
          <w:b/>
          <w:bCs w:val="0"/>
          <w:sz w:val="24"/>
          <w:szCs w:val="24"/>
        </w:rPr>
        <w:t>：</w:t>
      </w:r>
      <w:r>
        <w:rPr>
          <w:rFonts w:hint="eastAsia" w:ascii="宋体" w:hAnsi="宋体" w:cs="宋体"/>
          <w:b/>
          <w:bCs w:val="0"/>
          <w:sz w:val="24"/>
          <w:szCs w:val="24"/>
          <w:lang w:eastAsia="zh-CN"/>
        </w:rPr>
        <w:t>封面</w:t>
      </w:r>
      <w:r>
        <w:rPr>
          <w:rFonts w:hint="eastAsia" w:ascii="宋体" w:hAnsi="宋体" w:eastAsia="宋体" w:cs="宋体"/>
          <w:b/>
          <w:bCs w:val="0"/>
          <w:sz w:val="24"/>
          <w:szCs w:val="24"/>
        </w:rPr>
        <w:t>(编制投标文件时须去掉本行)</w:t>
      </w:r>
    </w:p>
    <w:p w14:paraId="23B11557">
      <w:pPr>
        <w:pStyle w:val="29"/>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 xml:space="preserve">    </w:t>
      </w:r>
    </w:p>
    <w:p w14:paraId="1F70570D">
      <w:pPr>
        <w:pStyle w:val="29"/>
        <w:rPr>
          <w:rFonts w:hint="eastAsia" w:ascii="宋体" w:hAnsi="宋体" w:cs="宋体"/>
          <w:b/>
          <w:bCs w:val="0"/>
          <w:sz w:val="24"/>
          <w:szCs w:val="24"/>
          <w:lang w:val="en-US" w:eastAsia="zh-CN"/>
        </w:rPr>
      </w:pPr>
    </w:p>
    <w:p w14:paraId="40D62530">
      <w:pPr>
        <w:pStyle w:val="29"/>
        <w:rPr>
          <w:rFonts w:hint="eastAsia" w:ascii="宋体" w:hAnsi="宋体" w:cs="宋体"/>
          <w:b/>
          <w:bCs w:val="0"/>
          <w:sz w:val="24"/>
          <w:szCs w:val="24"/>
          <w:lang w:val="en-US" w:eastAsia="zh-CN"/>
        </w:rPr>
      </w:pPr>
    </w:p>
    <w:p w14:paraId="53BF613A">
      <w:pPr>
        <w:pStyle w:val="2"/>
        <w:pageBreakBefore w:val="0"/>
        <w:widowControl w:val="0"/>
        <w:kinsoku/>
        <w:wordWrap/>
        <w:overflowPunct/>
        <w:topLinePunct w:val="0"/>
        <w:autoSpaceDE/>
        <w:autoSpaceDN/>
        <w:bidi w:val="0"/>
        <w:adjustRightInd/>
        <w:snapToGrid/>
        <w:spacing w:line="560" w:lineRule="exact"/>
        <w:jc w:val="center"/>
        <w:textAlignment w:val="auto"/>
        <w:rPr>
          <w:rFonts w:hint="default"/>
          <w:sz w:val="40"/>
          <w:szCs w:val="52"/>
          <w:lang w:val="en-US" w:eastAsia="zh-CN"/>
        </w:rPr>
      </w:pPr>
    </w:p>
    <w:p w14:paraId="48FE1261">
      <w:pPr>
        <w:pStyle w:val="2"/>
        <w:pageBreakBefore w:val="0"/>
        <w:widowControl w:val="0"/>
        <w:kinsoku/>
        <w:wordWrap/>
        <w:overflowPunct/>
        <w:topLinePunct w:val="0"/>
        <w:autoSpaceDE/>
        <w:autoSpaceDN/>
        <w:bidi w:val="0"/>
        <w:adjustRightInd/>
        <w:snapToGrid/>
        <w:spacing w:line="560" w:lineRule="exact"/>
        <w:jc w:val="center"/>
        <w:textAlignment w:val="auto"/>
        <w:rPr>
          <w:rFonts w:hint="default"/>
          <w:sz w:val="40"/>
          <w:szCs w:val="52"/>
          <w:lang w:val="en-US" w:eastAsia="zh-CN"/>
        </w:rPr>
      </w:pPr>
    </w:p>
    <w:p w14:paraId="57EF9151">
      <w:pPr>
        <w:pStyle w:val="2"/>
        <w:pageBreakBefore w:val="0"/>
        <w:widowControl w:val="0"/>
        <w:kinsoku/>
        <w:wordWrap/>
        <w:overflowPunct/>
        <w:topLinePunct w:val="0"/>
        <w:autoSpaceDE/>
        <w:autoSpaceDN/>
        <w:bidi w:val="0"/>
        <w:adjustRightInd/>
        <w:snapToGrid/>
        <w:spacing w:line="560" w:lineRule="exact"/>
        <w:jc w:val="center"/>
        <w:textAlignment w:val="auto"/>
        <w:rPr>
          <w:rFonts w:hint="default"/>
          <w:b w:val="0"/>
          <w:bCs w:val="0"/>
          <w:sz w:val="40"/>
          <w:szCs w:val="52"/>
          <w:lang w:val="en-US" w:eastAsia="zh-CN"/>
        </w:rPr>
      </w:pPr>
      <w:r>
        <w:rPr>
          <w:rFonts w:hint="default"/>
          <w:b w:val="0"/>
          <w:bCs w:val="0"/>
          <w:sz w:val="40"/>
          <w:szCs w:val="52"/>
          <w:lang w:val="en-US" w:eastAsia="zh-CN"/>
        </w:rPr>
        <w:t>施工组织设计</w:t>
      </w:r>
    </w:p>
    <w:p w14:paraId="6D769304">
      <w:pPr>
        <w:pageBreakBefore w:val="0"/>
        <w:widowControl w:val="0"/>
        <w:kinsoku/>
        <w:wordWrap/>
        <w:overflowPunct/>
        <w:topLinePunct w:val="0"/>
        <w:autoSpaceDE/>
        <w:autoSpaceDN/>
        <w:bidi w:val="0"/>
        <w:adjustRightInd/>
        <w:snapToGrid/>
        <w:spacing w:line="560" w:lineRule="exact"/>
        <w:jc w:val="center"/>
        <w:textAlignment w:val="auto"/>
        <w:rPr>
          <w:rFonts w:hint="eastAsia"/>
          <w:sz w:val="40"/>
          <w:szCs w:val="52"/>
          <w:lang w:val="en-US" w:eastAsia="zh-CN"/>
        </w:rPr>
      </w:pPr>
    </w:p>
    <w:p w14:paraId="4873227B">
      <w:pPr>
        <w:pageBreakBefore w:val="0"/>
        <w:widowControl w:val="0"/>
        <w:kinsoku/>
        <w:wordWrap/>
        <w:overflowPunct/>
        <w:topLinePunct w:val="0"/>
        <w:autoSpaceDE/>
        <w:autoSpaceDN/>
        <w:bidi w:val="0"/>
        <w:adjustRightInd/>
        <w:snapToGrid/>
        <w:spacing w:line="560" w:lineRule="exact"/>
        <w:jc w:val="center"/>
        <w:textAlignment w:val="auto"/>
        <w:rPr>
          <w:rFonts w:hint="eastAsia"/>
          <w:sz w:val="40"/>
          <w:szCs w:val="52"/>
          <w:lang w:val="en-US" w:eastAsia="zh-CN"/>
        </w:rPr>
      </w:pPr>
    </w:p>
    <w:p w14:paraId="78E91C70">
      <w:pPr>
        <w:pageBreakBefore w:val="0"/>
        <w:widowControl w:val="0"/>
        <w:kinsoku/>
        <w:wordWrap/>
        <w:overflowPunct/>
        <w:topLinePunct w:val="0"/>
        <w:autoSpaceDE/>
        <w:autoSpaceDN/>
        <w:bidi w:val="0"/>
        <w:adjustRightInd/>
        <w:snapToGrid/>
        <w:spacing w:line="560" w:lineRule="exact"/>
        <w:jc w:val="center"/>
        <w:textAlignment w:val="auto"/>
        <w:rPr>
          <w:rFonts w:hint="eastAsia"/>
          <w:sz w:val="40"/>
          <w:szCs w:val="52"/>
          <w:lang w:val="en-US" w:eastAsia="zh-CN"/>
        </w:rPr>
      </w:pPr>
    </w:p>
    <w:p w14:paraId="40485F51">
      <w:pPr>
        <w:pageBreakBefore w:val="0"/>
        <w:widowControl w:val="0"/>
        <w:kinsoku/>
        <w:wordWrap/>
        <w:overflowPunct/>
        <w:topLinePunct w:val="0"/>
        <w:autoSpaceDE/>
        <w:autoSpaceDN/>
        <w:bidi w:val="0"/>
        <w:adjustRightInd/>
        <w:snapToGrid/>
        <w:spacing w:line="560" w:lineRule="exact"/>
        <w:jc w:val="center"/>
        <w:textAlignment w:val="auto"/>
        <w:rPr>
          <w:rFonts w:hint="default"/>
          <w:lang w:val="en-US" w:eastAsia="zh-CN"/>
        </w:rPr>
      </w:pPr>
      <w:r>
        <w:rPr>
          <w:rFonts w:hint="eastAsia"/>
          <w:sz w:val="40"/>
          <w:szCs w:val="52"/>
          <w:lang w:val="en-US" w:eastAsia="zh-CN"/>
        </w:rPr>
        <w:t>（正本）</w:t>
      </w:r>
    </w:p>
    <w:p w14:paraId="4BE0EB22">
      <w:pPr>
        <w:pStyle w:val="29"/>
        <w:rPr>
          <w:rFonts w:hint="default" w:ascii="宋体" w:hAnsi="宋体" w:cs="宋体"/>
          <w:b/>
          <w:bCs w:val="0"/>
          <w:sz w:val="24"/>
          <w:szCs w:val="24"/>
          <w:lang w:val="en-US" w:eastAsia="zh-CN"/>
        </w:rPr>
      </w:pPr>
    </w:p>
    <w:p w14:paraId="65D46197">
      <w:pPr>
        <w:numPr>
          <w:ilvl w:val="0"/>
          <w:numId w:val="0"/>
        </w:numPr>
        <w:spacing w:line="460" w:lineRule="exact"/>
        <w:jc w:val="left"/>
        <w:rPr>
          <w:rFonts w:hint="eastAsia" w:ascii="宋体" w:hAnsi="宋体" w:eastAsia="宋体" w:cs="宋体"/>
          <w:b/>
          <w:bCs w:val="0"/>
          <w:sz w:val="24"/>
          <w:szCs w:val="24"/>
        </w:rPr>
      </w:pPr>
    </w:p>
    <w:p w14:paraId="605644F5">
      <w:pPr>
        <w:numPr>
          <w:ilvl w:val="0"/>
          <w:numId w:val="0"/>
        </w:numPr>
        <w:spacing w:line="460" w:lineRule="exact"/>
        <w:jc w:val="left"/>
        <w:rPr>
          <w:rFonts w:hint="eastAsia" w:ascii="宋体" w:hAnsi="宋体" w:eastAsia="宋体" w:cs="宋体"/>
          <w:b/>
          <w:bCs w:val="0"/>
          <w:sz w:val="24"/>
          <w:szCs w:val="24"/>
        </w:rPr>
      </w:pPr>
    </w:p>
    <w:p w14:paraId="7D358AE9">
      <w:pPr>
        <w:numPr>
          <w:ilvl w:val="0"/>
          <w:numId w:val="0"/>
        </w:numPr>
        <w:spacing w:line="460" w:lineRule="exact"/>
        <w:jc w:val="left"/>
        <w:rPr>
          <w:rFonts w:hint="eastAsia" w:ascii="宋体" w:hAnsi="宋体" w:eastAsia="宋体" w:cs="宋体"/>
          <w:b/>
          <w:bCs w:val="0"/>
          <w:sz w:val="24"/>
          <w:szCs w:val="24"/>
        </w:rPr>
      </w:pPr>
    </w:p>
    <w:p w14:paraId="65E61E4D">
      <w:pPr>
        <w:numPr>
          <w:ilvl w:val="0"/>
          <w:numId w:val="0"/>
        </w:numPr>
        <w:spacing w:line="460" w:lineRule="exact"/>
        <w:jc w:val="left"/>
        <w:rPr>
          <w:rFonts w:hint="eastAsia" w:ascii="宋体" w:hAnsi="宋体" w:eastAsia="宋体" w:cs="宋体"/>
          <w:b/>
          <w:bCs w:val="0"/>
          <w:sz w:val="24"/>
          <w:szCs w:val="24"/>
        </w:rPr>
      </w:pPr>
    </w:p>
    <w:p w14:paraId="264700F6">
      <w:pPr>
        <w:numPr>
          <w:ilvl w:val="0"/>
          <w:numId w:val="0"/>
        </w:numPr>
        <w:spacing w:line="460" w:lineRule="exact"/>
        <w:jc w:val="left"/>
        <w:rPr>
          <w:rFonts w:hint="eastAsia" w:ascii="宋体" w:hAnsi="宋体" w:eastAsia="宋体" w:cs="宋体"/>
          <w:b/>
          <w:bCs w:val="0"/>
          <w:sz w:val="24"/>
          <w:szCs w:val="24"/>
        </w:rPr>
      </w:pPr>
    </w:p>
    <w:p w14:paraId="42B9E39A">
      <w:pPr>
        <w:numPr>
          <w:ilvl w:val="0"/>
          <w:numId w:val="0"/>
        </w:numPr>
        <w:spacing w:line="460" w:lineRule="exact"/>
        <w:jc w:val="left"/>
        <w:rPr>
          <w:rFonts w:hint="eastAsia" w:ascii="宋体" w:hAnsi="宋体" w:eastAsia="宋体" w:cs="宋体"/>
          <w:b/>
          <w:bCs w:val="0"/>
          <w:sz w:val="24"/>
          <w:szCs w:val="24"/>
        </w:rPr>
      </w:pPr>
    </w:p>
    <w:p w14:paraId="46A39BD1">
      <w:pPr>
        <w:numPr>
          <w:ilvl w:val="0"/>
          <w:numId w:val="0"/>
        </w:numPr>
        <w:spacing w:line="460" w:lineRule="exact"/>
        <w:jc w:val="left"/>
        <w:rPr>
          <w:rFonts w:hint="eastAsia" w:ascii="宋体" w:hAnsi="宋体" w:eastAsia="宋体" w:cs="宋体"/>
          <w:b/>
          <w:bCs w:val="0"/>
          <w:sz w:val="24"/>
          <w:szCs w:val="24"/>
        </w:rPr>
      </w:pPr>
    </w:p>
    <w:p w14:paraId="7EE1FA8F">
      <w:pPr>
        <w:numPr>
          <w:ilvl w:val="0"/>
          <w:numId w:val="0"/>
        </w:numPr>
        <w:spacing w:line="460" w:lineRule="exact"/>
        <w:jc w:val="left"/>
        <w:rPr>
          <w:rFonts w:hint="eastAsia" w:ascii="宋体" w:hAnsi="宋体" w:eastAsia="宋体" w:cs="宋体"/>
          <w:b/>
          <w:bCs w:val="0"/>
          <w:sz w:val="24"/>
          <w:szCs w:val="24"/>
        </w:rPr>
      </w:pPr>
    </w:p>
    <w:p w14:paraId="525A4D1B">
      <w:pPr>
        <w:numPr>
          <w:ilvl w:val="0"/>
          <w:numId w:val="0"/>
        </w:numPr>
        <w:spacing w:line="460" w:lineRule="exact"/>
        <w:jc w:val="left"/>
        <w:rPr>
          <w:rFonts w:hint="eastAsia" w:ascii="宋体" w:hAnsi="宋体" w:eastAsia="宋体" w:cs="宋体"/>
          <w:b/>
          <w:bCs w:val="0"/>
          <w:sz w:val="24"/>
          <w:szCs w:val="24"/>
        </w:rPr>
      </w:pPr>
    </w:p>
    <w:p w14:paraId="355A910A">
      <w:pPr>
        <w:numPr>
          <w:ilvl w:val="0"/>
          <w:numId w:val="0"/>
        </w:numPr>
        <w:spacing w:line="460" w:lineRule="exact"/>
        <w:jc w:val="left"/>
        <w:rPr>
          <w:rFonts w:hint="eastAsia" w:ascii="宋体" w:hAnsi="宋体" w:eastAsia="宋体" w:cs="宋体"/>
          <w:b/>
          <w:bCs w:val="0"/>
          <w:sz w:val="24"/>
          <w:szCs w:val="24"/>
        </w:rPr>
      </w:pPr>
    </w:p>
    <w:p w14:paraId="3A7524A3">
      <w:pPr>
        <w:numPr>
          <w:ilvl w:val="0"/>
          <w:numId w:val="0"/>
        </w:numPr>
        <w:spacing w:line="460" w:lineRule="exact"/>
        <w:jc w:val="left"/>
        <w:rPr>
          <w:rFonts w:hint="eastAsia" w:ascii="宋体" w:hAnsi="宋体" w:eastAsia="宋体" w:cs="宋体"/>
          <w:b/>
          <w:bCs w:val="0"/>
          <w:sz w:val="24"/>
          <w:szCs w:val="24"/>
        </w:rPr>
      </w:pPr>
    </w:p>
    <w:p w14:paraId="65BC42BA">
      <w:pPr>
        <w:numPr>
          <w:ilvl w:val="0"/>
          <w:numId w:val="0"/>
        </w:numPr>
        <w:spacing w:line="460" w:lineRule="exact"/>
        <w:jc w:val="left"/>
        <w:rPr>
          <w:rFonts w:hint="eastAsia" w:ascii="宋体" w:hAnsi="宋体" w:eastAsia="宋体" w:cs="宋体"/>
          <w:b/>
          <w:bCs w:val="0"/>
          <w:sz w:val="24"/>
          <w:szCs w:val="24"/>
        </w:rPr>
      </w:pPr>
    </w:p>
    <w:p w14:paraId="4FC9CD4F">
      <w:pPr>
        <w:numPr>
          <w:ilvl w:val="0"/>
          <w:numId w:val="0"/>
        </w:numPr>
        <w:spacing w:line="460" w:lineRule="exact"/>
        <w:jc w:val="left"/>
        <w:rPr>
          <w:rFonts w:hint="eastAsia" w:ascii="宋体" w:hAnsi="宋体" w:eastAsia="宋体" w:cs="宋体"/>
          <w:b/>
          <w:bCs w:val="0"/>
          <w:sz w:val="24"/>
          <w:szCs w:val="24"/>
        </w:rPr>
      </w:pPr>
    </w:p>
    <w:p w14:paraId="636721A8">
      <w:pPr>
        <w:numPr>
          <w:ilvl w:val="0"/>
          <w:numId w:val="0"/>
        </w:numPr>
        <w:spacing w:line="460" w:lineRule="exact"/>
        <w:jc w:val="left"/>
        <w:rPr>
          <w:rFonts w:hint="eastAsia" w:ascii="宋体" w:hAnsi="宋体" w:eastAsia="宋体" w:cs="宋体"/>
          <w:b/>
          <w:bCs w:val="0"/>
          <w:sz w:val="24"/>
          <w:szCs w:val="24"/>
        </w:rPr>
      </w:pPr>
    </w:p>
    <w:p w14:paraId="4BEC1F76">
      <w:pPr>
        <w:numPr>
          <w:ilvl w:val="0"/>
          <w:numId w:val="0"/>
        </w:numPr>
        <w:spacing w:line="460" w:lineRule="exact"/>
        <w:jc w:val="left"/>
        <w:rPr>
          <w:rFonts w:hint="eastAsia" w:ascii="宋体" w:hAnsi="宋体" w:eastAsia="宋体" w:cs="宋体"/>
          <w:b/>
          <w:bCs w:val="0"/>
          <w:sz w:val="24"/>
          <w:szCs w:val="24"/>
        </w:rPr>
      </w:pPr>
    </w:p>
    <w:p w14:paraId="1B9513FA">
      <w:pPr>
        <w:jc w:val="center"/>
        <w:rPr>
          <w:rStyle w:val="53"/>
        </w:rPr>
      </w:pPr>
      <w:r>
        <w:rPr>
          <w:rStyle w:val="53"/>
          <w:rFonts w:hint="eastAsia"/>
          <w:sz w:val="28"/>
          <w:szCs w:val="28"/>
        </w:rPr>
        <w:t>八、项目管理机构</w:t>
      </w:r>
    </w:p>
    <w:bookmarkEnd w:id="1700"/>
    <w:p w14:paraId="5EBA6CE1">
      <w:pPr>
        <w:pStyle w:val="66"/>
        <w:rPr>
          <w:rFonts w:ascii="宋体" w:cs="宋体"/>
          <w:szCs w:val="24"/>
        </w:rPr>
      </w:pPr>
      <w:bookmarkStart w:id="1701" w:name="_Toc3075"/>
      <w:r>
        <w:rPr>
          <w:rFonts w:hint="eastAsia" w:ascii="宋体" w:cs="宋体"/>
          <w:szCs w:val="24"/>
        </w:rPr>
        <w:t>（一）项目管理机构组成表</w:t>
      </w:r>
      <w:bookmarkEnd w:id="1701"/>
    </w:p>
    <w:tbl>
      <w:tblPr>
        <w:tblStyle w:val="34"/>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721"/>
        <w:gridCol w:w="693"/>
        <w:gridCol w:w="1273"/>
        <w:gridCol w:w="721"/>
        <w:gridCol w:w="1529"/>
        <w:gridCol w:w="911"/>
        <w:gridCol w:w="1340"/>
        <w:gridCol w:w="1473"/>
      </w:tblGrid>
      <w:tr w14:paraId="2CA3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6" w:type="dxa"/>
            <w:vMerge w:val="restart"/>
            <w:tcBorders>
              <w:top w:val="single" w:color="auto" w:sz="4" w:space="0"/>
              <w:left w:val="single" w:color="auto" w:sz="4" w:space="0"/>
              <w:bottom w:val="single" w:color="auto" w:sz="4" w:space="0"/>
              <w:right w:val="single" w:color="auto" w:sz="4" w:space="0"/>
            </w:tcBorders>
            <w:vAlign w:val="center"/>
          </w:tcPr>
          <w:p w14:paraId="0FCDB1F4">
            <w:pPr>
              <w:jc w:val="center"/>
              <w:rPr>
                <w:rFonts w:ascii="宋体" w:hAnsi="宋体" w:cs="宋体"/>
                <w:b/>
                <w:sz w:val="24"/>
                <w:szCs w:val="24"/>
              </w:rPr>
            </w:pPr>
            <w:r>
              <w:rPr>
                <w:rFonts w:hint="eastAsia" w:ascii="宋体" w:hAnsi="宋体" w:cs="宋体"/>
                <w:b/>
                <w:sz w:val="24"/>
                <w:szCs w:val="24"/>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14:paraId="0011B3AB">
            <w:pPr>
              <w:jc w:val="center"/>
              <w:rPr>
                <w:rFonts w:ascii="宋体" w:hAnsi="宋体" w:cs="宋体"/>
                <w:b/>
                <w:sz w:val="24"/>
                <w:szCs w:val="24"/>
              </w:rPr>
            </w:pPr>
            <w:r>
              <w:rPr>
                <w:rFonts w:hint="eastAsia" w:ascii="宋体" w:hAnsi="宋体" w:cs="宋体"/>
                <w:b/>
                <w:sz w:val="24"/>
                <w:szCs w:val="24"/>
              </w:rPr>
              <w:t>姓名</w:t>
            </w:r>
          </w:p>
        </w:tc>
        <w:tc>
          <w:tcPr>
            <w:tcW w:w="693" w:type="dxa"/>
            <w:vMerge w:val="restart"/>
            <w:tcBorders>
              <w:top w:val="single" w:color="auto" w:sz="4" w:space="0"/>
              <w:left w:val="single" w:color="auto" w:sz="4" w:space="0"/>
              <w:bottom w:val="single" w:color="auto" w:sz="4" w:space="0"/>
              <w:right w:val="single" w:color="auto" w:sz="4" w:space="0"/>
            </w:tcBorders>
            <w:vAlign w:val="center"/>
          </w:tcPr>
          <w:p w14:paraId="428E91E5">
            <w:pPr>
              <w:jc w:val="center"/>
              <w:rPr>
                <w:rFonts w:ascii="宋体" w:hAnsi="宋体" w:cs="宋体"/>
                <w:b/>
                <w:sz w:val="24"/>
                <w:szCs w:val="24"/>
              </w:rPr>
            </w:pPr>
            <w:r>
              <w:rPr>
                <w:rFonts w:hint="eastAsia" w:ascii="宋体" w:hAnsi="宋体" w:cs="宋体"/>
                <w:b/>
                <w:sz w:val="24"/>
                <w:szCs w:val="24"/>
              </w:rPr>
              <w:t>职称</w:t>
            </w:r>
          </w:p>
        </w:tc>
        <w:tc>
          <w:tcPr>
            <w:tcW w:w="5774" w:type="dxa"/>
            <w:gridSpan w:val="5"/>
            <w:tcBorders>
              <w:top w:val="single" w:color="auto" w:sz="4" w:space="0"/>
              <w:left w:val="single" w:color="auto" w:sz="4" w:space="0"/>
              <w:bottom w:val="single" w:color="auto" w:sz="4" w:space="0"/>
              <w:right w:val="single" w:color="auto" w:sz="4" w:space="0"/>
            </w:tcBorders>
            <w:vAlign w:val="center"/>
          </w:tcPr>
          <w:p w14:paraId="1FF0EED6">
            <w:pPr>
              <w:jc w:val="center"/>
              <w:rPr>
                <w:rFonts w:ascii="宋体" w:hAnsi="宋体" w:cs="宋体"/>
                <w:b/>
                <w:sz w:val="24"/>
                <w:szCs w:val="24"/>
              </w:rPr>
            </w:pPr>
            <w:r>
              <w:rPr>
                <w:rFonts w:hint="eastAsia" w:ascii="宋体" w:hAnsi="宋体" w:cs="宋体"/>
                <w:b/>
                <w:sz w:val="24"/>
                <w:szCs w:val="24"/>
              </w:rPr>
              <w:t>执业或职业资格证明</w:t>
            </w:r>
          </w:p>
        </w:tc>
        <w:tc>
          <w:tcPr>
            <w:tcW w:w="1473" w:type="dxa"/>
            <w:vMerge w:val="restart"/>
            <w:tcBorders>
              <w:top w:val="single" w:color="auto" w:sz="4" w:space="0"/>
              <w:left w:val="single" w:color="auto" w:sz="4" w:space="0"/>
              <w:bottom w:val="single" w:color="auto" w:sz="4" w:space="0"/>
              <w:right w:val="single" w:color="auto" w:sz="4" w:space="0"/>
            </w:tcBorders>
            <w:vAlign w:val="center"/>
          </w:tcPr>
          <w:p w14:paraId="2A21A120">
            <w:pPr>
              <w:jc w:val="center"/>
              <w:rPr>
                <w:rFonts w:ascii="宋体" w:hAnsi="宋体" w:cs="宋体"/>
                <w:b/>
                <w:sz w:val="24"/>
                <w:szCs w:val="24"/>
              </w:rPr>
            </w:pPr>
            <w:r>
              <w:rPr>
                <w:rFonts w:hint="eastAsia" w:ascii="宋体" w:hAnsi="宋体" w:cs="宋体"/>
                <w:b/>
                <w:sz w:val="24"/>
                <w:szCs w:val="24"/>
              </w:rPr>
              <w:t>备注</w:t>
            </w:r>
          </w:p>
        </w:tc>
      </w:tr>
      <w:tr w14:paraId="67EF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6" w:type="dxa"/>
            <w:vMerge w:val="continue"/>
            <w:tcBorders>
              <w:top w:val="single" w:color="auto" w:sz="4" w:space="0"/>
              <w:left w:val="single" w:color="auto" w:sz="4" w:space="0"/>
              <w:bottom w:val="single" w:color="auto" w:sz="4" w:space="0"/>
              <w:right w:val="single" w:color="auto" w:sz="4" w:space="0"/>
            </w:tcBorders>
            <w:vAlign w:val="center"/>
          </w:tcPr>
          <w:p w14:paraId="644E5716">
            <w:pPr>
              <w:widowControl/>
              <w:jc w:val="left"/>
              <w:rPr>
                <w:rFonts w:ascii="宋体" w:hAnsi="宋体" w:cs="宋体"/>
                <w:b/>
                <w:sz w:val="24"/>
                <w:szCs w:val="24"/>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14:paraId="14D58274">
            <w:pPr>
              <w:widowControl/>
              <w:jc w:val="left"/>
              <w:rPr>
                <w:rFonts w:ascii="宋体" w:hAnsi="宋体" w:cs="宋体"/>
                <w:b/>
                <w:sz w:val="24"/>
                <w:szCs w:val="24"/>
              </w:rPr>
            </w:pPr>
          </w:p>
        </w:tc>
        <w:tc>
          <w:tcPr>
            <w:tcW w:w="693" w:type="dxa"/>
            <w:vMerge w:val="continue"/>
            <w:tcBorders>
              <w:top w:val="single" w:color="auto" w:sz="4" w:space="0"/>
              <w:left w:val="single" w:color="auto" w:sz="4" w:space="0"/>
              <w:bottom w:val="single" w:color="auto" w:sz="4" w:space="0"/>
              <w:right w:val="single" w:color="auto" w:sz="4" w:space="0"/>
            </w:tcBorders>
            <w:vAlign w:val="center"/>
          </w:tcPr>
          <w:p w14:paraId="08B1775D">
            <w:pPr>
              <w:widowControl/>
              <w:jc w:val="left"/>
              <w:rPr>
                <w:rFonts w:ascii="宋体" w:hAnsi="宋体" w:cs="宋体"/>
                <w:b/>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55CF93D1">
            <w:pPr>
              <w:jc w:val="center"/>
              <w:rPr>
                <w:rFonts w:ascii="宋体" w:hAnsi="宋体" w:cs="宋体"/>
                <w:b/>
                <w:sz w:val="24"/>
                <w:szCs w:val="24"/>
              </w:rPr>
            </w:pPr>
            <w:r>
              <w:rPr>
                <w:rFonts w:hint="eastAsia" w:ascii="宋体" w:hAnsi="宋体" w:cs="宋体"/>
                <w:b/>
                <w:sz w:val="24"/>
                <w:szCs w:val="24"/>
              </w:rPr>
              <w:t>证书名称</w:t>
            </w:r>
          </w:p>
        </w:tc>
        <w:tc>
          <w:tcPr>
            <w:tcW w:w="721" w:type="dxa"/>
            <w:tcBorders>
              <w:top w:val="single" w:color="auto" w:sz="4" w:space="0"/>
              <w:left w:val="single" w:color="auto" w:sz="4" w:space="0"/>
              <w:bottom w:val="single" w:color="auto" w:sz="4" w:space="0"/>
              <w:right w:val="single" w:color="auto" w:sz="4" w:space="0"/>
            </w:tcBorders>
            <w:vAlign w:val="center"/>
          </w:tcPr>
          <w:p w14:paraId="2F6E4D19">
            <w:pPr>
              <w:jc w:val="center"/>
              <w:rPr>
                <w:rFonts w:ascii="宋体" w:hAnsi="宋体" w:cs="宋体"/>
                <w:b/>
                <w:sz w:val="24"/>
                <w:szCs w:val="24"/>
              </w:rPr>
            </w:pPr>
            <w:r>
              <w:rPr>
                <w:rFonts w:hint="eastAsia" w:ascii="宋体" w:hAnsi="宋体" w:cs="宋体"/>
                <w:b/>
                <w:sz w:val="24"/>
                <w:szCs w:val="24"/>
              </w:rPr>
              <w:t>级别</w:t>
            </w:r>
          </w:p>
        </w:tc>
        <w:tc>
          <w:tcPr>
            <w:tcW w:w="1529" w:type="dxa"/>
            <w:tcBorders>
              <w:top w:val="single" w:color="auto" w:sz="4" w:space="0"/>
              <w:left w:val="single" w:color="auto" w:sz="4" w:space="0"/>
              <w:bottom w:val="single" w:color="auto" w:sz="4" w:space="0"/>
              <w:right w:val="single" w:color="auto" w:sz="4" w:space="0"/>
            </w:tcBorders>
            <w:vAlign w:val="center"/>
          </w:tcPr>
          <w:p w14:paraId="45ED9B6D">
            <w:pPr>
              <w:jc w:val="center"/>
              <w:rPr>
                <w:rFonts w:ascii="宋体" w:hAnsi="宋体" w:cs="宋体"/>
                <w:b/>
                <w:sz w:val="24"/>
                <w:szCs w:val="24"/>
              </w:rPr>
            </w:pPr>
            <w:r>
              <w:rPr>
                <w:rFonts w:hint="eastAsia" w:ascii="宋体" w:hAnsi="宋体" w:cs="宋体"/>
                <w:b/>
                <w:sz w:val="24"/>
                <w:szCs w:val="24"/>
              </w:rPr>
              <w:t>岗位证书号</w:t>
            </w:r>
          </w:p>
        </w:tc>
        <w:tc>
          <w:tcPr>
            <w:tcW w:w="911" w:type="dxa"/>
            <w:tcBorders>
              <w:top w:val="single" w:color="auto" w:sz="4" w:space="0"/>
              <w:left w:val="single" w:color="auto" w:sz="4" w:space="0"/>
              <w:bottom w:val="single" w:color="auto" w:sz="4" w:space="0"/>
              <w:right w:val="single" w:color="auto" w:sz="4" w:space="0"/>
            </w:tcBorders>
            <w:vAlign w:val="center"/>
          </w:tcPr>
          <w:p w14:paraId="2DBC8BA6">
            <w:pPr>
              <w:jc w:val="center"/>
              <w:rPr>
                <w:rFonts w:ascii="宋体" w:hAnsi="宋体" w:cs="宋体"/>
                <w:b/>
                <w:sz w:val="24"/>
                <w:szCs w:val="24"/>
              </w:rPr>
            </w:pPr>
            <w:r>
              <w:rPr>
                <w:rFonts w:hint="eastAsia" w:ascii="宋体" w:hAnsi="宋体" w:cs="宋体"/>
                <w:b/>
                <w:sz w:val="24"/>
                <w:szCs w:val="24"/>
              </w:rPr>
              <w:t>专业</w:t>
            </w:r>
          </w:p>
        </w:tc>
        <w:tc>
          <w:tcPr>
            <w:tcW w:w="1340" w:type="dxa"/>
            <w:tcBorders>
              <w:top w:val="single" w:color="auto" w:sz="4" w:space="0"/>
              <w:left w:val="single" w:color="auto" w:sz="4" w:space="0"/>
              <w:bottom w:val="single" w:color="auto" w:sz="4" w:space="0"/>
              <w:right w:val="single" w:color="auto" w:sz="4" w:space="0"/>
            </w:tcBorders>
            <w:vAlign w:val="center"/>
          </w:tcPr>
          <w:p w14:paraId="06C72EB0">
            <w:pPr>
              <w:jc w:val="center"/>
              <w:rPr>
                <w:rFonts w:ascii="宋体" w:hAnsi="宋体" w:cs="宋体"/>
                <w:b/>
                <w:sz w:val="24"/>
                <w:szCs w:val="24"/>
              </w:rPr>
            </w:pPr>
            <w:r>
              <w:rPr>
                <w:rFonts w:hint="eastAsia" w:ascii="宋体" w:hAnsi="宋体" w:cs="宋体"/>
                <w:b/>
                <w:sz w:val="24"/>
                <w:szCs w:val="24"/>
              </w:rPr>
              <w:t>养老保险</w:t>
            </w:r>
          </w:p>
        </w:tc>
        <w:tc>
          <w:tcPr>
            <w:tcW w:w="1473" w:type="dxa"/>
            <w:vMerge w:val="continue"/>
            <w:tcBorders>
              <w:top w:val="single" w:color="auto" w:sz="4" w:space="0"/>
              <w:left w:val="single" w:color="auto" w:sz="4" w:space="0"/>
              <w:bottom w:val="single" w:color="auto" w:sz="4" w:space="0"/>
              <w:right w:val="single" w:color="auto" w:sz="4" w:space="0"/>
            </w:tcBorders>
            <w:vAlign w:val="center"/>
          </w:tcPr>
          <w:p w14:paraId="34D70F24">
            <w:pPr>
              <w:widowControl/>
              <w:jc w:val="left"/>
              <w:rPr>
                <w:rFonts w:ascii="宋体" w:hAnsi="宋体" w:cs="宋体"/>
                <w:b/>
                <w:sz w:val="24"/>
                <w:szCs w:val="24"/>
              </w:rPr>
            </w:pPr>
          </w:p>
        </w:tc>
      </w:tr>
      <w:tr w14:paraId="6F45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6AEDA3BC">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370396D6">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3015C318">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31FC883F">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2C4E0F39">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75AD1DF6">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2B625A22">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2605B152">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36336DB4">
            <w:pPr>
              <w:spacing w:line="400" w:lineRule="exact"/>
              <w:jc w:val="center"/>
              <w:rPr>
                <w:rFonts w:ascii="宋体" w:hAnsi="宋体" w:cs="宋体"/>
                <w:sz w:val="24"/>
                <w:szCs w:val="24"/>
              </w:rPr>
            </w:pPr>
          </w:p>
        </w:tc>
      </w:tr>
      <w:tr w14:paraId="738CB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3474764F">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3AF9F9BC">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26D6F9D1">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1D5863A2">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78F6A4EC">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02EB5C3D">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77F0C583">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558453B8">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180A4896">
            <w:pPr>
              <w:spacing w:line="400" w:lineRule="exact"/>
              <w:jc w:val="center"/>
              <w:rPr>
                <w:rFonts w:ascii="宋体" w:hAnsi="宋体" w:cs="宋体"/>
                <w:sz w:val="24"/>
                <w:szCs w:val="24"/>
              </w:rPr>
            </w:pPr>
          </w:p>
        </w:tc>
      </w:tr>
      <w:tr w14:paraId="3F3D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11879664">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71AF8315">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7281CAE8">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20772133">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3C7940F5">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762A2CCD">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6B359DE2">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56E942E1">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660F5A42">
            <w:pPr>
              <w:spacing w:line="400" w:lineRule="exact"/>
              <w:jc w:val="center"/>
              <w:rPr>
                <w:rFonts w:ascii="宋体" w:hAnsi="宋体" w:cs="宋体"/>
                <w:sz w:val="24"/>
                <w:szCs w:val="24"/>
              </w:rPr>
            </w:pPr>
          </w:p>
        </w:tc>
      </w:tr>
      <w:tr w14:paraId="4ECE2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005F688F">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087D5792">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613146D9">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5C59603C">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762C1E4D">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2D0E211B">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4A94F4B4">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36FC869C">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22BB9F87">
            <w:pPr>
              <w:spacing w:line="400" w:lineRule="exact"/>
              <w:jc w:val="center"/>
              <w:rPr>
                <w:rFonts w:ascii="宋体" w:hAnsi="宋体" w:cs="宋体"/>
                <w:sz w:val="24"/>
                <w:szCs w:val="24"/>
              </w:rPr>
            </w:pPr>
          </w:p>
        </w:tc>
      </w:tr>
      <w:tr w14:paraId="3615F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7D819CAE">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7F21D553">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5A129516">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57F063FB">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247404B3">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1247D68C">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1516BF99">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29B7F6CA">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034D0A22">
            <w:pPr>
              <w:spacing w:line="400" w:lineRule="exact"/>
              <w:jc w:val="center"/>
              <w:rPr>
                <w:rFonts w:ascii="宋体" w:hAnsi="宋体" w:cs="宋体"/>
                <w:sz w:val="24"/>
                <w:szCs w:val="24"/>
              </w:rPr>
            </w:pPr>
          </w:p>
        </w:tc>
      </w:tr>
      <w:tr w14:paraId="7FB8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6FFCF6EA">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2174BFE1">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1DDCE158">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62C08EE2">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2B09BFCC">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5151BF45">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00E8324D">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71C926F5">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008EC9D6">
            <w:pPr>
              <w:spacing w:line="400" w:lineRule="exact"/>
              <w:jc w:val="center"/>
              <w:rPr>
                <w:rFonts w:ascii="宋体" w:hAnsi="宋体" w:cs="宋体"/>
                <w:sz w:val="24"/>
                <w:szCs w:val="24"/>
              </w:rPr>
            </w:pPr>
          </w:p>
        </w:tc>
      </w:tr>
      <w:tr w14:paraId="758A0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4BD7465E">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1C57DDF2">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3D0AB861">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73F390E3">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66712481">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76321D43">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2805024F">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735B6B63">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7E917ADA">
            <w:pPr>
              <w:spacing w:line="400" w:lineRule="exact"/>
              <w:jc w:val="center"/>
              <w:rPr>
                <w:rFonts w:ascii="宋体" w:hAnsi="宋体" w:cs="宋体"/>
                <w:sz w:val="24"/>
                <w:szCs w:val="24"/>
              </w:rPr>
            </w:pPr>
          </w:p>
        </w:tc>
      </w:tr>
      <w:tr w14:paraId="695CB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61F1FA10">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238A3EA1">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3D21B741">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6B0B5D74">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14C6D447">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7092B902">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2FAF9283">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688F38F8">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4232E025">
            <w:pPr>
              <w:spacing w:line="400" w:lineRule="exact"/>
              <w:jc w:val="center"/>
              <w:rPr>
                <w:rFonts w:ascii="宋体" w:hAnsi="宋体" w:cs="宋体"/>
                <w:sz w:val="24"/>
                <w:szCs w:val="24"/>
              </w:rPr>
            </w:pPr>
          </w:p>
        </w:tc>
      </w:tr>
      <w:tr w14:paraId="4912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2BBA9B22">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56C2E35C">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06AB7CFB">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7FA5EA5A">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1EE4C920">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614A5630">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63A2E1BF">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36316090">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3365E76E">
            <w:pPr>
              <w:spacing w:line="400" w:lineRule="exact"/>
              <w:jc w:val="center"/>
              <w:rPr>
                <w:rFonts w:ascii="宋体" w:hAnsi="宋体" w:cs="宋体"/>
                <w:sz w:val="24"/>
                <w:szCs w:val="24"/>
              </w:rPr>
            </w:pPr>
          </w:p>
        </w:tc>
      </w:tr>
      <w:tr w14:paraId="1F0B0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6B1B54B9">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75C389B5">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359788F7">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52D506BD">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0BCC56CA">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473900E2">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79EE46ED">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487ADA02">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300CCD5F">
            <w:pPr>
              <w:spacing w:line="400" w:lineRule="exact"/>
              <w:jc w:val="center"/>
              <w:rPr>
                <w:rFonts w:ascii="宋体" w:hAnsi="宋体" w:cs="宋体"/>
                <w:sz w:val="24"/>
                <w:szCs w:val="24"/>
              </w:rPr>
            </w:pPr>
          </w:p>
        </w:tc>
      </w:tr>
      <w:tr w14:paraId="11D0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2E9D2965">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54AAA058">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1A4216CA">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6E0436AE">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5DE38531">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137FCFD7">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4E99A0CF">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3D23478F">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6EA1A469">
            <w:pPr>
              <w:spacing w:line="400" w:lineRule="exact"/>
              <w:jc w:val="center"/>
              <w:rPr>
                <w:rFonts w:ascii="宋体" w:hAnsi="宋体" w:cs="宋体"/>
                <w:sz w:val="24"/>
                <w:szCs w:val="24"/>
              </w:rPr>
            </w:pPr>
          </w:p>
        </w:tc>
      </w:tr>
      <w:tr w14:paraId="7828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35207F98">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60360849">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6FD17DA1">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5C42E3EC">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591EA685">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4C0717D1">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4FDD5162">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54DDAB01">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6F4D9C81">
            <w:pPr>
              <w:spacing w:line="400" w:lineRule="exact"/>
              <w:jc w:val="center"/>
              <w:rPr>
                <w:rFonts w:ascii="宋体" w:hAnsi="宋体" w:cs="宋体"/>
                <w:sz w:val="24"/>
                <w:szCs w:val="24"/>
              </w:rPr>
            </w:pPr>
          </w:p>
        </w:tc>
      </w:tr>
      <w:tr w14:paraId="531E8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2C65A00F">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4D35B276">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78014F85">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35A3C854">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738E7D09">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04B500E0">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342D36B3">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1DAE6667">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05F63CAB">
            <w:pPr>
              <w:spacing w:line="400" w:lineRule="exact"/>
              <w:jc w:val="center"/>
              <w:rPr>
                <w:rFonts w:ascii="宋体" w:hAnsi="宋体" w:cs="宋体"/>
                <w:sz w:val="24"/>
                <w:szCs w:val="24"/>
              </w:rPr>
            </w:pPr>
          </w:p>
        </w:tc>
      </w:tr>
      <w:tr w14:paraId="5ED0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146EAD8B">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55C4D8DE">
            <w:pPr>
              <w:jc w:val="center"/>
              <w:rPr>
                <w:rFonts w:ascii="宋体" w:hAnsi="宋体" w:cs="宋体"/>
                <w:sz w:val="24"/>
                <w:szCs w:val="24"/>
              </w:rPr>
            </w:pPr>
          </w:p>
        </w:tc>
        <w:tc>
          <w:tcPr>
            <w:tcW w:w="693" w:type="dxa"/>
            <w:tcBorders>
              <w:top w:val="single" w:color="auto" w:sz="4" w:space="0"/>
              <w:left w:val="single" w:color="auto" w:sz="4" w:space="0"/>
              <w:bottom w:val="single" w:color="auto" w:sz="4" w:space="0"/>
              <w:right w:val="single" w:color="auto" w:sz="4" w:space="0"/>
            </w:tcBorders>
            <w:vAlign w:val="center"/>
          </w:tcPr>
          <w:p w14:paraId="5B809B20">
            <w:pPr>
              <w:jc w:val="center"/>
              <w:rPr>
                <w:rFonts w:ascii="宋体" w:hAnsi="宋体" w:cs="宋体"/>
                <w:sz w:val="24"/>
                <w:szCs w:val="24"/>
              </w:rPr>
            </w:pPr>
          </w:p>
        </w:tc>
        <w:tc>
          <w:tcPr>
            <w:tcW w:w="1273" w:type="dxa"/>
            <w:tcBorders>
              <w:top w:val="single" w:color="auto" w:sz="4" w:space="0"/>
              <w:left w:val="single" w:color="auto" w:sz="4" w:space="0"/>
              <w:bottom w:val="single" w:color="auto" w:sz="4" w:space="0"/>
              <w:right w:val="single" w:color="auto" w:sz="4" w:space="0"/>
            </w:tcBorders>
            <w:vAlign w:val="center"/>
          </w:tcPr>
          <w:p w14:paraId="2A581C28">
            <w:pPr>
              <w:jc w:val="center"/>
              <w:rPr>
                <w:rFonts w:ascii="宋体" w:hAnsi="宋体" w:cs="宋体"/>
                <w:sz w:val="24"/>
                <w:szCs w:val="24"/>
              </w:rPr>
            </w:pPr>
          </w:p>
        </w:tc>
        <w:tc>
          <w:tcPr>
            <w:tcW w:w="721" w:type="dxa"/>
            <w:tcBorders>
              <w:top w:val="single" w:color="auto" w:sz="4" w:space="0"/>
              <w:left w:val="single" w:color="auto" w:sz="4" w:space="0"/>
              <w:bottom w:val="single" w:color="auto" w:sz="4" w:space="0"/>
              <w:right w:val="single" w:color="auto" w:sz="4" w:space="0"/>
            </w:tcBorders>
            <w:vAlign w:val="center"/>
          </w:tcPr>
          <w:p w14:paraId="0FB3A100">
            <w:pPr>
              <w:jc w:val="center"/>
              <w:rPr>
                <w:rFonts w:ascii="宋体" w:hAnsi="宋体" w:cs="宋体"/>
                <w:sz w:val="24"/>
                <w:szCs w:val="24"/>
              </w:rPr>
            </w:pPr>
          </w:p>
        </w:tc>
        <w:tc>
          <w:tcPr>
            <w:tcW w:w="1529" w:type="dxa"/>
            <w:tcBorders>
              <w:top w:val="single" w:color="auto" w:sz="4" w:space="0"/>
              <w:left w:val="single" w:color="auto" w:sz="4" w:space="0"/>
              <w:bottom w:val="single" w:color="auto" w:sz="4" w:space="0"/>
              <w:right w:val="single" w:color="auto" w:sz="4" w:space="0"/>
            </w:tcBorders>
            <w:vAlign w:val="center"/>
          </w:tcPr>
          <w:p w14:paraId="23A2BD61">
            <w:pPr>
              <w:jc w:val="center"/>
              <w:rPr>
                <w:rFonts w:ascii="宋体" w:hAnsi="宋体" w:cs="宋体"/>
                <w:sz w:val="24"/>
                <w:szCs w:val="24"/>
              </w:rPr>
            </w:pPr>
          </w:p>
        </w:tc>
        <w:tc>
          <w:tcPr>
            <w:tcW w:w="911" w:type="dxa"/>
            <w:tcBorders>
              <w:top w:val="single" w:color="auto" w:sz="4" w:space="0"/>
              <w:left w:val="single" w:color="auto" w:sz="4" w:space="0"/>
              <w:bottom w:val="single" w:color="auto" w:sz="4" w:space="0"/>
              <w:right w:val="single" w:color="auto" w:sz="4" w:space="0"/>
            </w:tcBorders>
            <w:vAlign w:val="center"/>
          </w:tcPr>
          <w:p w14:paraId="3F0462AD">
            <w:pPr>
              <w:jc w:val="center"/>
              <w:rPr>
                <w:rFonts w:ascii="宋体" w:hAnsi="宋体" w:cs="宋体"/>
                <w:sz w:val="24"/>
                <w:szCs w:val="24"/>
              </w:rPr>
            </w:pPr>
          </w:p>
        </w:tc>
        <w:tc>
          <w:tcPr>
            <w:tcW w:w="1340" w:type="dxa"/>
            <w:tcBorders>
              <w:top w:val="single" w:color="auto" w:sz="4" w:space="0"/>
              <w:left w:val="single" w:color="auto" w:sz="4" w:space="0"/>
              <w:bottom w:val="single" w:color="auto" w:sz="4" w:space="0"/>
              <w:right w:val="single" w:color="auto" w:sz="4" w:space="0"/>
            </w:tcBorders>
            <w:vAlign w:val="center"/>
          </w:tcPr>
          <w:p w14:paraId="0DED10AD">
            <w:pPr>
              <w:jc w:val="center"/>
              <w:rPr>
                <w:rFonts w:ascii="宋体" w:hAnsi="宋体" w:cs="宋体"/>
                <w:sz w:val="24"/>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2FD3322F">
            <w:pPr>
              <w:spacing w:line="400" w:lineRule="exact"/>
              <w:jc w:val="center"/>
              <w:rPr>
                <w:rFonts w:ascii="宋体" w:hAnsi="宋体" w:cs="宋体"/>
                <w:sz w:val="24"/>
                <w:szCs w:val="24"/>
              </w:rPr>
            </w:pPr>
          </w:p>
        </w:tc>
      </w:tr>
    </w:tbl>
    <w:p w14:paraId="0273EE19">
      <w:pPr>
        <w:spacing w:line="420" w:lineRule="exact"/>
        <w:rPr>
          <w:rFonts w:ascii="宋体" w:hAnsi="宋体" w:cs="宋体"/>
          <w:szCs w:val="21"/>
        </w:rPr>
      </w:pPr>
    </w:p>
    <w:p w14:paraId="1F882C83">
      <w:pPr>
        <w:pStyle w:val="66"/>
        <w:rPr>
          <w:rFonts w:ascii="宋体" w:cs="宋体"/>
          <w:szCs w:val="24"/>
        </w:rPr>
      </w:pPr>
      <w:r>
        <w:rPr>
          <w:rFonts w:hint="eastAsia" w:ascii="宋体" w:cs="宋体"/>
          <w:szCs w:val="21"/>
        </w:rPr>
        <w:br w:type="page"/>
      </w:r>
      <w:bookmarkStart w:id="1702" w:name="_Toc11609"/>
      <w:r>
        <w:rPr>
          <w:rFonts w:hint="eastAsia" w:ascii="宋体" w:cs="宋体"/>
          <w:szCs w:val="24"/>
        </w:rPr>
        <w:t>（二）主要人员简历表</w:t>
      </w:r>
      <w:bookmarkEnd w:id="1702"/>
    </w:p>
    <w:p w14:paraId="47354D3C">
      <w:pPr>
        <w:spacing w:line="420" w:lineRule="exact"/>
        <w:rPr>
          <w:rFonts w:ascii="宋体" w:hAnsi="宋体" w:cs="宋体"/>
          <w:sz w:val="24"/>
          <w:szCs w:val="24"/>
        </w:rPr>
      </w:pPr>
      <w:r>
        <w:rPr>
          <w:rFonts w:hint="eastAsia" w:ascii="宋体" w:hAnsi="宋体" w:cs="宋体"/>
          <w:sz w:val="24"/>
          <w:szCs w:val="24"/>
        </w:rPr>
        <w:t>附1：项目经理简历表</w:t>
      </w:r>
    </w:p>
    <w:p w14:paraId="2D93F12B">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项目经理应附</w:t>
      </w:r>
      <w:r>
        <w:rPr>
          <w:rFonts w:hint="eastAsia" w:ascii="宋体" w:hAnsi="宋体" w:cs="宋体"/>
          <w:sz w:val="24"/>
          <w:szCs w:val="24"/>
          <w:lang w:val="en-US" w:eastAsia="zh-CN"/>
        </w:rPr>
        <w:t>身</w:t>
      </w:r>
      <w:r>
        <w:rPr>
          <w:rFonts w:hint="eastAsia" w:ascii="宋体" w:hAnsi="宋体" w:eastAsia="宋体" w:cs="宋体"/>
          <w:sz w:val="24"/>
          <w:szCs w:val="24"/>
        </w:rPr>
        <w:t>份证、</w:t>
      </w:r>
      <w:r>
        <w:rPr>
          <w:rFonts w:hint="eastAsia" w:ascii="宋体" w:hAnsi="宋体" w:cs="宋体"/>
          <w:sz w:val="24"/>
          <w:szCs w:val="24"/>
          <w:lang w:val="en-US" w:eastAsia="zh-CN"/>
        </w:rPr>
        <w:t>建造注册证、安全生产考核合格证、</w:t>
      </w:r>
      <w:r>
        <w:rPr>
          <w:rFonts w:hint="eastAsia" w:ascii="宋体" w:hAnsi="宋体" w:cs="宋体"/>
          <w:sz w:val="24"/>
          <w:szCs w:val="24"/>
          <w:lang w:eastAsia="zh-CN"/>
        </w:rPr>
        <w:t>学历证、</w:t>
      </w:r>
      <w:r>
        <w:rPr>
          <w:rFonts w:hint="eastAsia" w:ascii="宋体" w:hAnsi="宋体" w:cs="宋体"/>
          <w:sz w:val="24"/>
          <w:szCs w:val="24"/>
          <w:lang w:val="en-US" w:eastAsia="zh-CN"/>
        </w:rPr>
        <w:t>养老保险</w:t>
      </w:r>
      <w:r>
        <w:rPr>
          <w:rFonts w:hint="eastAsia" w:ascii="宋体" w:hAnsi="宋体" w:cs="宋体"/>
          <w:sz w:val="24"/>
          <w:szCs w:val="24"/>
          <w:lang w:eastAsia="zh-CN"/>
        </w:rPr>
        <w:t>等</w:t>
      </w:r>
      <w:r>
        <w:rPr>
          <w:rFonts w:hint="eastAsia" w:ascii="宋体" w:hAnsi="宋体" w:eastAsia="宋体" w:cs="宋体"/>
          <w:sz w:val="24"/>
          <w:szCs w:val="24"/>
        </w:rPr>
        <w:t>复印件</w:t>
      </w:r>
      <w:r>
        <w:rPr>
          <w:rFonts w:hint="eastAsia" w:ascii="宋体" w:hAnsi="宋体" w:cs="宋体"/>
          <w:sz w:val="24"/>
          <w:szCs w:val="24"/>
          <w:lang w:eastAsia="zh-CN"/>
        </w:rPr>
        <w:t>，</w:t>
      </w:r>
      <w:r>
        <w:rPr>
          <w:rFonts w:hint="eastAsia" w:ascii="宋体" w:hAnsi="宋体" w:eastAsia="宋体" w:cs="宋体"/>
          <w:sz w:val="24"/>
          <w:szCs w:val="24"/>
        </w:rPr>
        <w:t>管理过的项目业绩须附</w:t>
      </w:r>
      <w:r>
        <w:rPr>
          <w:rFonts w:hint="eastAsia" w:ascii="宋体" w:hAnsi="宋体" w:cs="宋体"/>
          <w:sz w:val="24"/>
          <w:szCs w:val="24"/>
          <w:lang w:eastAsia="zh-CN"/>
        </w:rPr>
        <w:t>施工</w:t>
      </w:r>
      <w:r>
        <w:rPr>
          <w:rFonts w:hint="eastAsia" w:ascii="宋体" w:hAnsi="宋体" w:eastAsia="宋体" w:cs="宋体"/>
          <w:sz w:val="24"/>
          <w:szCs w:val="24"/>
        </w:rPr>
        <w:t>合同</w:t>
      </w:r>
      <w:r>
        <w:rPr>
          <w:rFonts w:hint="eastAsia" w:ascii="宋体" w:hAnsi="宋体" w:cs="宋体"/>
          <w:sz w:val="24"/>
          <w:szCs w:val="24"/>
          <w:lang w:eastAsia="zh-CN"/>
        </w:rPr>
        <w:t>或</w:t>
      </w:r>
      <w:r>
        <w:rPr>
          <w:rFonts w:hint="eastAsia" w:ascii="宋体" w:hAnsi="宋体" w:eastAsia="宋体" w:cs="宋体"/>
          <w:sz w:val="24"/>
          <w:szCs w:val="24"/>
        </w:rPr>
        <w:t>中标通知书复印件</w:t>
      </w:r>
      <w:r>
        <w:rPr>
          <w:rFonts w:hint="eastAsia" w:ascii="宋体" w:hAnsi="宋体" w:cs="宋体"/>
          <w:sz w:val="24"/>
          <w:szCs w:val="24"/>
          <w:lang w:eastAsia="zh-CN"/>
        </w:rPr>
        <w:t>（</w:t>
      </w:r>
      <w:r>
        <w:rPr>
          <w:rFonts w:hint="eastAsia" w:ascii="宋体" w:hAnsi="宋体" w:cs="宋体"/>
          <w:sz w:val="24"/>
          <w:szCs w:val="24"/>
          <w:lang w:val="en-US" w:eastAsia="zh-CN"/>
        </w:rPr>
        <w:t>如有</w:t>
      </w:r>
      <w:r>
        <w:rPr>
          <w:rFonts w:hint="eastAsia" w:ascii="宋体" w:hAnsi="宋体" w:cs="宋体"/>
          <w:sz w:val="24"/>
          <w:szCs w:val="24"/>
          <w:lang w:eastAsia="zh-CN"/>
        </w:rPr>
        <w:t>）</w:t>
      </w:r>
      <w:r>
        <w:rPr>
          <w:rFonts w:hint="eastAsia" w:ascii="宋体" w:hAnsi="宋体" w:eastAsia="宋体" w:cs="宋体"/>
          <w:sz w:val="24"/>
          <w:szCs w:val="24"/>
        </w:rPr>
        <w:t>。项目</w:t>
      </w:r>
      <w:r>
        <w:rPr>
          <w:rFonts w:hint="eastAsia" w:ascii="宋体" w:hAnsi="宋体" w:cs="宋体"/>
          <w:sz w:val="24"/>
          <w:szCs w:val="24"/>
          <w:lang w:val="en-US" w:eastAsia="zh-CN"/>
        </w:rPr>
        <w:t>经理</w:t>
      </w:r>
      <w:r>
        <w:rPr>
          <w:rFonts w:hint="eastAsia" w:ascii="宋体" w:hAnsi="宋体" w:cs="宋体"/>
          <w:sz w:val="24"/>
          <w:szCs w:val="24"/>
          <w:lang w:eastAsia="zh-CN"/>
        </w:rPr>
        <w:t>业绩仅</w:t>
      </w:r>
      <w:r>
        <w:rPr>
          <w:rFonts w:hint="eastAsia" w:ascii="宋体" w:hAnsi="宋体" w:eastAsia="宋体" w:cs="宋体"/>
          <w:sz w:val="24"/>
          <w:szCs w:val="24"/>
        </w:rPr>
        <w:t>限于以项目经理身份参与的项目。</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1170"/>
        <w:gridCol w:w="1282"/>
        <w:gridCol w:w="1442"/>
        <w:gridCol w:w="2084"/>
        <w:gridCol w:w="2404"/>
      </w:tblGrid>
      <w:tr w14:paraId="2FDF9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Align w:val="center"/>
          </w:tcPr>
          <w:p w14:paraId="37160C3C">
            <w:pPr>
              <w:jc w:val="center"/>
              <w:rPr>
                <w:rFonts w:ascii="宋体" w:hAnsi="宋体" w:cs="宋体"/>
                <w:sz w:val="24"/>
                <w:szCs w:val="24"/>
              </w:rPr>
            </w:pPr>
            <w:r>
              <w:rPr>
                <w:rFonts w:hint="eastAsia" w:ascii="宋体" w:hAnsi="宋体" w:cs="宋体"/>
                <w:sz w:val="24"/>
                <w:szCs w:val="24"/>
              </w:rPr>
              <w:t>姓名</w:t>
            </w:r>
          </w:p>
        </w:tc>
        <w:tc>
          <w:tcPr>
            <w:tcW w:w="1170" w:type="dxa"/>
            <w:vAlign w:val="center"/>
          </w:tcPr>
          <w:p w14:paraId="3828F35E">
            <w:pPr>
              <w:jc w:val="center"/>
              <w:rPr>
                <w:rFonts w:ascii="宋体" w:hAnsi="宋体" w:cs="宋体"/>
                <w:sz w:val="24"/>
                <w:szCs w:val="24"/>
              </w:rPr>
            </w:pPr>
          </w:p>
        </w:tc>
        <w:tc>
          <w:tcPr>
            <w:tcW w:w="1282" w:type="dxa"/>
            <w:vAlign w:val="center"/>
          </w:tcPr>
          <w:p w14:paraId="3DA118BE">
            <w:pPr>
              <w:jc w:val="center"/>
              <w:rPr>
                <w:rFonts w:ascii="宋体" w:hAnsi="宋体" w:cs="宋体"/>
                <w:sz w:val="24"/>
                <w:szCs w:val="24"/>
              </w:rPr>
            </w:pPr>
            <w:r>
              <w:rPr>
                <w:rFonts w:hint="eastAsia" w:ascii="宋体" w:hAnsi="宋体" w:cs="宋体"/>
                <w:sz w:val="24"/>
                <w:szCs w:val="24"/>
              </w:rPr>
              <w:t>年龄</w:t>
            </w:r>
          </w:p>
        </w:tc>
        <w:tc>
          <w:tcPr>
            <w:tcW w:w="1442" w:type="dxa"/>
            <w:vAlign w:val="center"/>
          </w:tcPr>
          <w:p w14:paraId="40C89FD5">
            <w:pPr>
              <w:jc w:val="center"/>
              <w:rPr>
                <w:rFonts w:ascii="宋体" w:hAnsi="宋体" w:cs="宋体"/>
                <w:sz w:val="24"/>
                <w:szCs w:val="24"/>
              </w:rPr>
            </w:pPr>
          </w:p>
        </w:tc>
        <w:tc>
          <w:tcPr>
            <w:tcW w:w="2084" w:type="dxa"/>
            <w:vAlign w:val="center"/>
          </w:tcPr>
          <w:p w14:paraId="7B4A9525">
            <w:pPr>
              <w:jc w:val="center"/>
              <w:rPr>
                <w:rFonts w:ascii="宋体" w:hAnsi="宋体" w:cs="宋体"/>
                <w:sz w:val="24"/>
                <w:szCs w:val="24"/>
              </w:rPr>
            </w:pPr>
            <w:r>
              <w:rPr>
                <w:rFonts w:hint="eastAsia" w:ascii="宋体" w:hAnsi="宋体" w:cs="宋体"/>
                <w:sz w:val="24"/>
                <w:szCs w:val="24"/>
              </w:rPr>
              <w:t>学历</w:t>
            </w:r>
          </w:p>
        </w:tc>
        <w:tc>
          <w:tcPr>
            <w:tcW w:w="2404" w:type="dxa"/>
            <w:vAlign w:val="center"/>
          </w:tcPr>
          <w:p w14:paraId="4865F2C8">
            <w:pPr>
              <w:jc w:val="center"/>
              <w:rPr>
                <w:rFonts w:ascii="宋体" w:hAnsi="宋体" w:cs="宋体"/>
                <w:sz w:val="24"/>
                <w:szCs w:val="24"/>
              </w:rPr>
            </w:pPr>
          </w:p>
        </w:tc>
      </w:tr>
      <w:tr w14:paraId="4905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Align w:val="center"/>
          </w:tcPr>
          <w:p w14:paraId="27C2DF95">
            <w:pPr>
              <w:jc w:val="center"/>
              <w:rPr>
                <w:rFonts w:ascii="宋体" w:hAnsi="宋体" w:cs="宋体"/>
                <w:sz w:val="24"/>
                <w:szCs w:val="24"/>
              </w:rPr>
            </w:pPr>
            <w:r>
              <w:rPr>
                <w:rFonts w:hint="eastAsia" w:ascii="宋体" w:hAnsi="宋体" w:cs="宋体"/>
                <w:sz w:val="24"/>
                <w:szCs w:val="24"/>
              </w:rPr>
              <w:t>职称</w:t>
            </w:r>
          </w:p>
        </w:tc>
        <w:tc>
          <w:tcPr>
            <w:tcW w:w="1170" w:type="dxa"/>
            <w:vAlign w:val="center"/>
          </w:tcPr>
          <w:p w14:paraId="41AC50E8">
            <w:pPr>
              <w:jc w:val="center"/>
              <w:rPr>
                <w:rFonts w:ascii="宋体" w:hAnsi="宋体" w:cs="宋体"/>
                <w:sz w:val="24"/>
                <w:szCs w:val="24"/>
              </w:rPr>
            </w:pPr>
          </w:p>
        </w:tc>
        <w:tc>
          <w:tcPr>
            <w:tcW w:w="1282" w:type="dxa"/>
            <w:vAlign w:val="center"/>
          </w:tcPr>
          <w:p w14:paraId="30F76BD2">
            <w:pPr>
              <w:jc w:val="center"/>
              <w:rPr>
                <w:rFonts w:ascii="宋体" w:hAnsi="宋体" w:cs="宋体"/>
                <w:sz w:val="24"/>
                <w:szCs w:val="24"/>
              </w:rPr>
            </w:pPr>
            <w:r>
              <w:rPr>
                <w:rFonts w:hint="eastAsia" w:ascii="宋体" w:hAnsi="宋体" w:cs="宋体"/>
                <w:sz w:val="24"/>
                <w:szCs w:val="24"/>
              </w:rPr>
              <w:t>职务</w:t>
            </w:r>
          </w:p>
        </w:tc>
        <w:tc>
          <w:tcPr>
            <w:tcW w:w="1442" w:type="dxa"/>
            <w:vAlign w:val="center"/>
          </w:tcPr>
          <w:p w14:paraId="64F0E81E">
            <w:pPr>
              <w:jc w:val="center"/>
              <w:rPr>
                <w:rFonts w:ascii="宋体" w:hAnsi="宋体" w:cs="宋体"/>
                <w:sz w:val="24"/>
                <w:szCs w:val="24"/>
              </w:rPr>
            </w:pPr>
          </w:p>
        </w:tc>
        <w:tc>
          <w:tcPr>
            <w:tcW w:w="2084" w:type="dxa"/>
            <w:vAlign w:val="center"/>
          </w:tcPr>
          <w:p w14:paraId="3F5F5D88">
            <w:pPr>
              <w:jc w:val="center"/>
              <w:rPr>
                <w:rFonts w:ascii="宋体" w:hAnsi="宋体" w:cs="宋体"/>
                <w:sz w:val="24"/>
                <w:szCs w:val="24"/>
              </w:rPr>
            </w:pPr>
            <w:r>
              <w:rPr>
                <w:rFonts w:hint="eastAsia" w:ascii="宋体" w:hAnsi="宋体" w:cs="宋体"/>
                <w:sz w:val="24"/>
                <w:szCs w:val="24"/>
              </w:rPr>
              <w:t>拟在本工程</w:t>
            </w:r>
          </w:p>
          <w:p w14:paraId="23673E84">
            <w:pPr>
              <w:jc w:val="center"/>
              <w:rPr>
                <w:rFonts w:ascii="宋体" w:hAnsi="宋体" w:cs="宋体"/>
                <w:sz w:val="24"/>
                <w:szCs w:val="24"/>
              </w:rPr>
            </w:pPr>
            <w:r>
              <w:rPr>
                <w:rFonts w:hint="eastAsia" w:ascii="宋体" w:hAnsi="宋体" w:cs="宋体"/>
                <w:sz w:val="24"/>
                <w:szCs w:val="24"/>
              </w:rPr>
              <w:t>任职</w:t>
            </w:r>
          </w:p>
        </w:tc>
        <w:tc>
          <w:tcPr>
            <w:tcW w:w="2404" w:type="dxa"/>
            <w:vAlign w:val="center"/>
          </w:tcPr>
          <w:p w14:paraId="300F4F78">
            <w:pPr>
              <w:jc w:val="center"/>
              <w:rPr>
                <w:rFonts w:ascii="宋体" w:hAnsi="宋体" w:cs="宋体"/>
                <w:sz w:val="24"/>
                <w:szCs w:val="24"/>
              </w:rPr>
            </w:pPr>
          </w:p>
        </w:tc>
      </w:tr>
      <w:tr w14:paraId="0ABF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87" w:type="dxa"/>
            <w:gridSpan w:val="3"/>
            <w:vAlign w:val="center"/>
          </w:tcPr>
          <w:p w14:paraId="66C16F71">
            <w:pPr>
              <w:jc w:val="center"/>
              <w:rPr>
                <w:rFonts w:ascii="宋体" w:hAnsi="宋体" w:cs="宋体"/>
                <w:sz w:val="24"/>
                <w:szCs w:val="24"/>
              </w:rPr>
            </w:pPr>
            <w:r>
              <w:rPr>
                <w:rFonts w:hint="eastAsia" w:ascii="宋体" w:hAnsi="宋体" w:eastAsia="宋体" w:cs="宋体"/>
                <w:sz w:val="24"/>
                <w:szCs w:val="24"/>
              </w:rPr>
              <w:t>资格等级</w:t>
            </w:r>
          </w:p>
        </w:tc>
        <w:tc>
          <w:tcPr>
            <w:tcW w:w="1442" w:type="dxa"/>
            <w:vAlign w:val="center"/>
          </w:tcPr>
          <w:p w14:paraId="44C1EAF8">
            <w:pPr>
              <w:jc w:val="center"/>
              <w:rPr>
                <w:rFonts w:ascii="宋体" w:hAnsi="宋体" w:cs="宋体"/>
                <w:sz w:val="24"/>
                <w:szCs w:val="24"/>
              </w:rPr>
            </w:pPr>
          </w:p>
        </w:tc>
        <w:tc>
          <w:tcPr>
            <w:tcW w:w="2084" w:type="dxa"/>
            <w:vAlign w:val="center"/>
          </w:tcPr>
          <w:p w14:paraId="0F25CA61">
            <w:pPr>
              <w:jc w:val="center"/>
              <w:rPr>
                <w:rFonts w:ascii="宋体" w:hAnsi="宋体" w:cs="宋体"/>
                <w:sz w:val="24"/>
                <w:szCs w:val="24"/>
              </w:rPr>
            </w:pPr>
            <w:r>
              <w:rPr>
                <w:rFonts w:hint="eastAsia" w:ascii="宋体" w:hAnsi="宋体" w:cs="宋体"/>
                <w:sz w:val="24"/>
                <w:szCs w:val="24"/>
              </w:rPr>
              <w:t>专业</w:t>
            </w:r>
          </w:p>
        </w:tc>
        <w:tc>
          <w:tcPr>
            <w:tcW w:w="2404" w:type="dxa"/>
            <w:vAlign w:val="center"/>
          </w:tcPr>
          <w:p w14:paraId="6F36B060">
            <w:pPr>
              <w:jc w:val="center"/>
              <w:rPr>
                <w:rFonts w:ascii="宋体" w:hAnsi="宋体" w:cs="宋体"/>
                <w:sz w:val="24"/>
                <w:szCs w:val="24"/>
              </w:rPr>
            </w:pPr>
          </w:p>
        </w:tc>
      </w:tr>
      <w:tr w14:paraId="037F5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Align w:val="center"/>
          </w:tcPr>
          <w:p w14:paraId="2EB0868A">
            <w:pPr>
              <w:jc w:val="center"/>
              <w:rPr>
                <w:rFonts w:ascii="宋体" w:hAnsi="宋体" w:cs="宋体"/>
                <w:sz w:val="24"/>
                <w:szCs w:val="24"/>
              </w:rPr>
            </w:pPr>
            <w:r>
              <w:rPr>
                <w:rFonts w:hint="eastAsia" w:ascii="宋体" w:hAnsi="宋体" w:cs="宋体"/>
                <w:sz w:val="24"/>
                <w:szCs w:val="24"/>
              </w:rPr>
              <w:t>毕业</w:t>
            </w:r>
          </w:p>
          <w:p w14:paraId="750D6A37">
            <w:pPr>
              <w:jc w:val="center"/>
              <w:rPr>
                <w:rFonts w:ascii="宋体" w:hAnsi="宋体" w:cs="宋体"/>
                <w:sz w:val="24"/>
                <w:szCs w:val="24"/>
              </w:rPr>
            </w:pPr>
            <w:r>
              <w:rPr>
                <w:rFonts w:hint="eastAsia" w:ascii="宋体" w:hAnsi="宋体" w:cs="宋体"/>
                <w:sz w:val="24"/>
                <w:szCs w:val="24"/>
              </w:rPr>
              <w:t>学校</w:t>
            </w:r>
          </w:p>
        </w:tc>
        <w:tc>
          <w:tcPr>
            <w:tcW w:w="8382" w:type="dxa"/>
            <w:gridSpan w:val="5"/>
            <w:vAlign w:val="center"/>
          </w:tcPr>
          <w:p w14:paraId="3102AB16">
            <w:pPr>
              <w:ind w:firstLine="840"/>
              <w:rPr>
                <w:rFonts w:ascii="宋体" w:hAnsi="宋体" w:cs="宋体"/>
                <w:sz w:val="24"/>
                <w:szCs w:val="24"/>
              </w:rPr>
            </w:pPr>
            <w:r>
              <w:rPr>
                <w:rFonts w:hint="eastAsia" w:ascii="宋体" w:hAnsi="宋体" w:cs="宋体"/>
                <w:sz w:val="24"/>
                <w:szCs w:val="24"/>
              </w:rPr>
              <w:t>年毕业于                  学校            专业</w:t>
            </w:r>
          </w:p>
        </w:tc>
      </w:tr>
      <w:tr w14:paraId="5857D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9617" w:type="dxa"/>
            <w:gridSpan w:val="6"/>
            <w:vAlign w:val="center"/>
          </w:tcPr>
          <w:p w14:paraId="402C183B">
            <w:pPr>
              <w:jc w:val="center"/>
              <w:rPr>
                <w:rFonts w:ascii="宋体" w:hAnsi="宋体" w:cs="宋体"/>
                <w:sz w:val="24"/>
                <w:szCs w:val="24"/>
              </w:rPr>
            </w:pPr>
            <w:r>
              <w:rPr>
                <w:rFonts w:hint="eastAsia" w:ascii="宋体" w:hAnsi="宋体" w:cs="宋体"/>
                <w:sz w:val="24"/>
                <w:szCs w:val="24"/>
              </w:rPr>
              <w:t>主要工作经历</w:t>
            </w:r>
          </w:p>
        </w:tc>
      </w:tr>
      <w:tr w14:paraId="6F07A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Align w:val="center"/>
          </w:tcPr>
          <w:p w14:paraId="71F97645">
            <w:pPr>
              <w:jc w:val="center"/>
              <w:rPr>
                <w:rFonts w:ascii="宋体" w:hAnsi="宋体" w:cs="宋体"/>
                <w:sz w:val="24"/>
                <w:szCs w:val="24"/>
              </w:rPr>
            </w:pPr>
            <w:r>
              <w:rPr>
                <w:rFonts w:hint="eastAsia" w:ascii="宋体" w:hAnsi="宋体" w:cs="宋体"/>
                <w:sz w:val="24"/>
                <w:szCs w:val="24"/>
              </w:rPr>
              <w:t>时  间</w:t>
            </w:r>
          </w:p>
        </w:tc>
        <w:tc>
          <w:tcPr>
            <w:tcW w:w="3894" w:type="dxa"/>
            <w:gridSpan w:val="3"/>
            <w:vAlign w:val="center"/>
          </w:tcPr>
          <w:p w14:paraId="1D9B3941">
            <w:pPr>
              <w:jc w:val="center"/>
              <w:rPr>
                <w:rFonts w:ascii="宋体" w:hAnsi="宋体" w:cs="宋体"/>
                <w:sz w:val="24"/>
                <w:szCs w:val="24"/>
              </w:rPr>
            </w:pPr>
            <w:r>
              <w:rPr>
                <w:rFonts w:hint="eastAsia" w:ascii="宋体" w:hAnsi="宋体" w:cs="宋体"/>
                <w:sz w:val="24"/>
                <w:szCs w:val="24"/>
              </w:rPr>
              <w:t>参加过的项目名称</w:t>
            </w:r>
          </w:p>
        </w:tc>
        <w:tc>
          <w:tcPr>
            <w:tcW w:w="2084" w:type="dxa"/>
            <w:vAlign w:val="center"/>
          </w:tcPr>
          <w:p w14:paraId="095EE4D3">
            <w:pPr>
              <w:jc w:val="center"/>
              <w:rPr>
                <w:rFonts w:ascii="宋体" w:hAnsi="宋体" w:cs="宋体"/>
                <w:sz w:val="24"/>
                <w:szCs w:val="24"/>
              </w:rPr>
            </w:pPr>
            <w:r>
              <w:rPr>
                <w:rFonts w:hint="eastAsia" w:ascii="宋体" w:hAnsi="宋体" w:cs="宋体"/>
                <w:sz w:val="24"/>
                <w:szCs w:val="24"/>
              </w:rPr>
              <w:t>工程概况说明</w:t>
            </w:r>
          </w:p>
        </w:tc>
        <w:tc>
          <w:tcPr>
            <w:tcW w:w="2404" w:type="dxa"/>
            <w:vAlign w:val="center"/>
          </w:tcPr>
          <w:p w14:paraId="342C8D53">
            <w:pPr>
              <w:jc w:val="center"/>
              <w:rPr>
                <w:rFonts w:ascii="宋体" w:hAnsi="宋体" w:cs="宋体"/>
                <w:sz w:val="24"/>
                <w:szCs w:val="24"/>
              </w:rPr>
            </w:pPr>
            <w:r>
              <w:rPr>
                <w:rFonts w:hint="eastAsia" w:ascii="宋体" w:hAnsi="宋体" w:cs="宋体"/>
                <w:sz w:val="24"/>
                <w:szCs w:val="24"/>
              </w:rPr>
              <w:t>发包人及联系</w:t>
            </w:r>
          </w:p>
          <w:p w14:paraId="0AF00690">
            <w:pPr>
              <w:jc w:val="center"/>
              <w:rPr>
                <w:rFonts w:ascii="宋体" w:hAnsi="宋体" w:cs="宋体"/>
                <w:sz w:val="24"/>
                <w:szCs w:val="24"/>
              </w:rPr>
            </w:pPr>
            <w:r>
              <w:rPr>
                <w:rFonts w:hint="eastAsia" w:ascii="宋体" w:hAnsi="宋体" w:cs="宋体"/>
                <w:sz w:val="24"/>
                <w:szCs w:val="24"/>
              </w:rPr>
              <w:t>电话</w:t>
            </w:r>
          </w:p>
        </w:tc>
      </w:tr>
      <w:tr w14:paraId="0272B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2CBD6B43">
            <w:pPr>
              <w:jc w:val="center"/>
              <w:rPr>
                <w:rFonts w:ascii="宋体" w:hAnsi="宋体" w:cs="宋体"/>
                <w:sz w:val="24"/>
                <w:szCs w:val="24"/>
              </w:rPr>
            </w:pPr>
          </w:p>
        </w:tc>
        <w:tc>
          <w:tcPr>
            <w:tcW w:w="3894" w:type="dxa"/>
            <w:gridSpan w:val="3"/>
            <w:vAlign w:val="center"/>
          </w:tcPr>
          <w:p w14:paraId="7B914098">
            <w:pPr>
              <w:jc w:val="center"/>
              <w:rPr>
                <w:rFonts w:ascii="宋体" w:hAnsi="宋体" w:cs="宋体"/>
                <w:sz w:val="24"/>
                <w:szCs w:val="24"/>
              </w:rPr>
            </w:pPr>
          </w:p>
        </w:tc>
        <w:tc>
          <w:tcPr>
            <w:tcW w:w="2084" w:type="dxa"/>
            <w:vAlign w:val="center"/>
          </w:tcPr>
          <w:p w14:paraId="0653B57E">
            <w:pPr>
              <w:jc w:val="center"/>
              <w:rPr>
                <w:rFonts w:ascii="宋体" w:hAnsi="宋体" w:cs="宋体"/>
                <w:sz w:val="24"/>
                <w:szCs w:val="24"/>
              </w:rPr>
            </w:pPr>
          </w:p>
        </w:tc>
        <w:tc>
          <w:tcPr>
            <w:tcW w:w="2404" w:type="dxa"/>
            <w:vAlign w:val="center"/>
          </w:tcPr>
          <w:p w14:paraId="08234B1A">
            <w:pPr>
              <w:jc w:val="center"/>
              <w:rPr>
                <w:rFonts w:ascii="宋体" w:hAnsi="宋体" w:cs="宋体"/>
                <w:sz w:val="24"/>
                <w:szCs w:val="24"/>
              </w:rPr>
            </w:pPr>
          </w:p>
        </w:tc>
      </w:tr>
      <w:tr w14:paraId="74F4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22F29E3F">
            <w:pPr>
              <w:jc w:val="center"/>
              <w:rPr>
                <w:rFonts w:ascii="宋体" w:hAnsi="宋体" w:cs="宋体"/>
                <w:sz w:val="24"/>
                <w:szCs w:val="24"/>
              </w:rPr>
            </w:pPr>
          </w:p>
        </w:tc>
        <w:tc>
          <w:tcPr>
            <w:tcW w:w="3894" w:type="dxa"/>
            <w:gridSpan w:val="3"/>
            <w:vAlign w:val="center"/>
          </w:tcPr>
          <w:p w14:paraId="56DAF8E1">
            <w:pPr>
              <w:jc w:val="center"/>
              <w:rPr>
                <w:rFonts w:ascii="宋体" w:hAnsi="宋体" w:cs="宋体"/>
                <w:sz w:val="24"/>
                <w:szCs w:val="24"/>
              </w:rPr>
            </w:pPr>
          </w:p>
        </w:tc>
        <w:tc>
          <w:tcPr>
            <w:tcW w:w="2084" w:type="dxa"/>
            <w:vAlign w:val="center"/>
          </w:tcPr>
          <w:p w14:paraId="2198D454">
            <w:pPr>
              <w:jc w:val="center"/>
              <w:rPr>
                <w:rFonts w:ascii="宋体" w:hAnsi="宋体" w:cs="宋体"/>
                <w:sz w:val="24"/>
                <w:szCs w:val="24"/>
              </w:rPr>
            </w:pPr>
          </w:p>
        </w:tc>
        <w:tc>
          <w:tcPr>
            <w:tcW w:w="2404" w:type="dxa"/>
            <w:vAlign w:val="center"/>
          </w:tcPr>
          <w:p w14:paraId="59A3D8C4">
            <w:pPr>
              <w:jc w:val="center"/>
              <w:rPr>
                <w:rFonts w:ascii="宋体" w:hAnsi="宋体" w:cs="宋体"/>
                <w:sz w:val="24"/>
                <w:szCs w:val="24"/>
              </w:rPr>
            </w:pPr>
          </w:p>
        </w:tc>
      </w:tr>
      <w:tr w14:paraId="7094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633B1602">
            <w:pPr>
              <w:jc w:val="center"/>
              <w:rPr>
                <w:rFonts w:ascii="宋体" w:hAnsi="宋体" w:cs="宋体"/>
                <w:sz w:val="24"/>
                <w:szCs w:val="24"/>
              </w:rPr>
            </w:pPr>
          </w:p>
        </w:tc>
        <w:tc>
          <w:tcPr>
            <w:tcW w:w="3894" w:type="dxa"/>
            <w:gridSpan w:val="3"/>
            <w:vAlign w:val="center"/>
          </w:tcPr>
          <w:p w14:paraId="2FD5BB43">
            <w:pPr>
              <w:jc w:val="center"/>
              <w:rPr>
                <w:rFonts w:ascii="宋体" w:hAnsi="宋体" w:cs="宋体"/>
                <w:sz w:val="24"/>
                <w:szCs w:val="24"/>
              </w:rPr>
            </w:pPr>
          </w:p>
        </w:tc>
        <w:tc>
          <w:tcPr>
            <w:tcW w:w="2084" w:type="dxa"/>
            <w:vAlign w:val="center"/>
          </w:tcPr>
          <w:p w14:paraId="45CAE92E">
            <w:pPr>
              <w:jc w:val="center"/>
              <w:rPr>
                <w:rFonts w:ascii="宋体" w:hAnsi="宋体" w:cs="宋体"/>
                <w:sz w:val="24"/>
                <w:szCs w:val="24"/>
              </w:rPr>
            </w:pPr>
          </w:p>
        </w:tc>
        <w:tc>
          <w:tcPr>
            <w:tcW w:w="2404" w:type="dxa"/>
            <w:vAlign w:val="center"/>
          </w:tcPr>
          <w:p w14:paraId="2EC5978E">
            <w:pPr>
              <w:jc w:val="center"/>
              <w:rPr>
                <w:rFonts w:ascii="宋体" w:hAnsi="宋体" w:cs="宋体"/>
                <w:sz w:val="24"/>
                <w:szCs w:val="24"/>
              </w:rPr>
            </w:pPr>
          </w:p>
        </w:tc>
      </w:tr>
      <w:tr w14:paraId="3FF4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54F72C35">
            <w:pPr>
              <w:jc w:val="center"/>
              <w:rPr>
                <w:rFonts w:ascii="宋体" w:hAnsi="宋体" w:cs="宋体"/>
                <w:sz w:val="24"/>
                <w:szCs w:val="24"/>
              </w:rPr>
            </w:pPr>
          </w:p>
        </w:tc>
        <w:tc>
          <w:tcPr>
            <w:tcW w:w="3894" w:type="dxa"/>
            <w:gridSpan w:val="3"/>
            <w:vAlign w:val="center"/>
          </w:tcPr>
          <w:p w14:paraId="6091759A">
            <w:pPr>
              <w:jc w:val="center"/>
              <w:rPr>
                <w:rFonts w:ascii="宋体" w:hAnsi="宋体" w:cs="宋体"/>
                <w:sz w:val="24"/>
                <w:szCs w:val="24"/>
              </w:rPr>
            </w:pPr>
          </w:p>
        </w:tc>
        <w:tc>
          <w:tcPr>
            <w:tcW w:w="2084" w:type="dxa"/>
            <w:vAlign w:val="center"/>
          </w:tcPr>
          <w:p w14:paraId="42C4B225">
            <w:pPr>
              <w:jc w:val="center"/>
              <w:rPr>
                <w:rFonts w:ascii="宋体" w:hAnsi="宋体" w:cs="宋体"/>
                <w:sz w:val="24"/>
                <w:szCs w:val="24"/>
              </w:rPr>
            </w:pPr>
          </w:p>
        </w:tc>
        <w:tc>
          <w:tcPr>
            <w:tcW w:w="2404" w:type="dxa"/>
            <w:vAlign w:val="center"/>
          </w:tcPr>
          <w:p w14:paraId="26FD8C3C">
            <w:pPr>
              <w:jc w:val="center"/>
              <w:rPr>
                <w:rFonts w:ascii="宋体" w:hAnsi="宋体" w:cs="宋体"/>
                <w:sz w:val="24"/>
                <w:szCs w:val="24"/>
              </w:rPr>
            </w:pPr>
          </w:p>
        </w:tc>
      </w:tr>
      <w:tr w14:paraId="758F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6F606795">
            <w:pPr>
              <w:jc w:val="center"/>
              <w:rPr>
                <w:rFonts w:ascii="宋体" w:hAnsi="宋体" w:cs="宋体"/>
                <w:sz w:val="24"/>
                <w:szCs w:val="24"/>
              </w:rPr>
            </w:pPr>
          </w:p>
        </w:tc>
        <w:tc>
          <w:tcPr>
            <w:tcW w:w="3894" w:type="dxa"/>
            <w:gridSpan w:val="3"/>
            <w:vAlign w:val="center"/>
          </w:tcPr>
          <w:p w14:paraId="024EFC03">
            <w:pPr>
              <w:jc w:val="center"/>
              <w:rPr>
                <w:rFonts w:ascii="宋体" w:hAnsi="宋体" w:cs="宋体"/>
                <w:sz w:val="24"/>
                <w:szCs w:val="24"/>
              </w:rPr>
            </w:pPr>
          </w:p>
        </w:tc>
        <w:tc>
          <w:tcPr>
            <w:tcW w:w="2084" w:type="dxa"/>
            <w:vAlign w:val="center"/>
          </w:tcPr>
          <w:p w14:paraId="7A942963">
            <w:pPr>
              <w:jc w:val="center"/>
              <w:rPr>
                <w:rFonts w:ascii="宋体" w:hAnsi="宋体" w:cs="宋体"/>
                <w:sz w:val="24"/>
                <w:szCs w:val="24"/>
              </w:rPr>
            </w:pPr>
          </w:p>
        </w:tc>
        <w:tc>
          <w:tcPr>
            <w:tcW w:w="2404" w:type="dxa"/>
            <w:vAlign w:val="center"/>
          </w:tcPr>
          <w:p w14:paraId="45AC7A2B">
            <w:pPr>
              <w:jc w:val="center"/>
              <w:rPr>
                <w:rFonts w:ascii="宋体" w:hAnsi="宋体" w:cs="宋体"/>
                <w:sz w:val="24"/>
                <w:szCs w:val="24"/>
              </w:rPr>
            </w:pPr>
          </w:p>
        </w:tc>
      </w:tr>
      <w:tr w14:paraId="1B15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4B301005">
            <w:pPr>
              <w:jc w:val="center"/>
              <w:rPr>
                <w:rFonts w:ascii="宋体" w:hAnsi="宋体" w:cs="宋体"/>
                <w:sz w:val="24"/>
                <w:szCs w:val="24"/>
              </w:rPr>
            </w:pPr>
          </w:p>
        </w:tc>
        <w:tc>
          <w:tcPr>
            <w:tcW w:w="3894" w:type="dxa"/>
            <w:gridSpan w:val="3"/>
            <w:vAlign w:val="center"/>
          </w:tcPr>
          <w:p w14:paraId="16E07D17">
            <w:pPr>
              <w:jc w:val="center"/>
              <w:rPr>
                <w:rFonts w:ascii="宋体" w:hAnsi="宋体" w:cs="宋体"/>
                <w:sz w:val="24"/>
                <w:szCs w:val="24"/>
              </w:rPr>
            </w:pPr>
          </w:p>
        </w:tc>
        <w:tc>
          <w:tcPr>
            <w:tcW w:w="2084" w:type="dxa"/>
            <w:vAlign w:val="center"/>
          </w:tcPr>
          <w:p w14:paraId="3CB75BA3">
            <w:pPr>
              <w:jc w:val="center"/>
              <w:rPr>
                <w:rFonts w:ascii="宋体" w:hAnsi="宋体" w:cs="宋体"/>
                <w:sz w:val="24"/>
                <w:szCs w:val="24"/>
              </w:rPr>
            </w:pPr>
          </w:p>
        </w:tc>
        <w:tc>
          <w:tcPr>
            <w:tcW w:w="2404" w:type="dxa"/>
            <w:vAlign w:val="center"/>
          </w:tcPr>
          <w:p w14:paraId="74450EB4">
            <w:pPr>
              <w:jc w:val="center"/>
              <w:rPr>
                <w:rFonts w:ascii="宋体" w:hAnsi="宋体" w:cs="宋体"/>
                <w:sz w:val="24"/>
                <w:szCs w:val="24"/>
              </w:rPr>
            </w:pPr>
          </w:p>
        </w:tc>
      </w:tr>
      <w:tr w14:paraId="1CA9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6DDD1CB9">
            <w:pPr>
              <w:jc w:val="center"/>
              <w:rPr>
                <w:rFonts w:ascii="宋体" w:hAnsi="宋体" w:cs="宋体"/>
                <w:sz w:val="24"/>
                <w:szCs w:val="24"/>
              </w:rPr>
            </w:pPr>
          </w:p>
        </w:tc>
        <w:tc>
          <w:tcPr>
            <w:tcW w:w="3894" w:type="dxa"/>
            <w:gridSpan w:val="3"/>
            <w:vAlign w:val="center"/>
          </w:tcPr>
          <w:p w14:paraId="4CB9D53D">
            <w:pPr>
              <w:jc w:val="center"/>
              <w:rPr>
                <w:rFonts w:ascii="宋体" w:hAnsi="宋体" w:cs="宋体"/>
                <w:sz w:val="24"/>
                <w:szCs w:val="24"/>
              </w:rPr>
            </w:pPr>
          </w:p>
        </w:tc>
        <w:tc>
          <w:tcPr>
            <w:tcW w:w="2084" w:type="dxa"/>
            <w:vAlign w:val="center"/>
          </w:tcPr>
          <w:p w14:paraId="1C67468E">
            <w:pPr>
              <w:jc w:val="center"/>
              <w:rPr>
                <w:rFonts w:ascii="宋体" w:hAnsi="宋体" w:cs="宋体"/>
                <w:sz w:val="24"/>
                <w:szCs w:val="24"/>
              </w:rPr>
            </w:pPr>
          </w:p>
        </w:tc>
        <w:tc>
          <w:tcPr>
            <w:tcW w:w="2404" w:type="dxa"/>
            <w:vAlign w:val="center"/>
          </w:tcPr>
          <w:p w14:paraId="6E802F2E">
            <w:pPr>
              <w:jc w:val="center"/>
              <w:rPr>
                <w:rFonts w:ascii="宋体" w:hAnsi="宋体" w:cs="宋体"/>
                <w:sz w:val="24"/>
                <w:szCs w:val="24"/>
              </w:rPr>
            </w:pPr>
          </w:p>
        </w:tc>
      </w:tr>
      <w:tr w14:paraId="5E9B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739CF893">
            <w:pPr>
              <w:jc w:val="center"/>
              <w:rPr>
                <w:rFonts w:ascii="宋体" w:hAnsi="宋体" w:cs="宋体"/>
                <w:sz w:val="24"/>
                <w:szCs w:val="24"/>
              </w:rPr>
            </w:pPr>
          </w:p>
        </w:tc>
        <w:tc>
          <w:tcPr>
            <w:tcW w:w="3894" w:type="dxa"/>
            <w:gridSpan w:val="3"/>
            <w:vAlign w:val="center"/>
          </w:tcPr>
          <w:p w14:paraId="14B0B844">
            <w:pPr>
              <w:jc w:val="center"/>
              <w:rPr>
                <w:rFonts w:ascii="宋体" w:hAnsi="宋体" w:cs="宋体"/>
                <w:sz w:val="24"/>
                <w:szCs w:val="24"/>
              </w:rPr>
            </w:pPr>
          </w:p>
        </w:tc>
        <w:tc>
          <w:tcPr>
            <w:tcW w:w="2084" w:type="dxa"/>
            <w:vAlign w:val="center"/>
          </w:tcPr>
          <w:p w14:paraId="2E9B6446">
            <w:pPr>
              <w:jc w:val="center"/>
              <w:rPr>
                <w:rFonts w:ascii="宋体" w:hAnsi="宋体" w:cs="宋体"/>
                <w:sz w:val="24"/>
                <w:szCs w:val="24"/>
              </w:rPr>
            </w:pPr>
          </w:p>
        </w:tc>
        <w:tc>
          <w:tcPr>
            <w:tcW w:w="2404" w:type="dxa"/>
            <w:vAlign w:val="center"/>
          </w:tcPr>
          <w:p w14:paraId="0BD973A2">
            <w:pPr>
              <w:jc w:val="center"/>
              <w:rPr>
                <w:rFonts w:ascii="宋体" w:hAnsi="宋体" w:cs="宋体"/>
                <w:sz w:val="24"/>
                <w:szCs w:val="24"/>
              </w:rPr>
            </w:pPr>
          </w:p>
        </w:tc>
      </w:tr>
      <w:tr w14:paraId="453B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5" w:type="dxa"/>
            <w:vAlign w:val="center"/>
          </w:tcPr>
          <w:p w14:paraId="48E088CA">
            <w:pPr>
              <w:jc w:val="center"/>
              <w:rPr>
                <w:rFonts w:ascii="宋体" w:hAnsi="宋体" w:cs="宋体"/>
                <w:sz w:val="24"/>
                <w:szCs w:val="24"/>
              </w:rPr>
            </w:pPr>
          </w:p>
        </w:tc>
        <w:tc>
          <w:tcPr>
            <w:tcW w:w="3894" w:type="dxa"/>
            <w:gridSpan w:val="3"/>
            <w:vAlign w:val="center"/>
          </w:tcPr>
          <w:p w14:paraId="726374C2">
            <w:pPr>
              <w:jc w:val="center"/>
              <w:rPr>
                <w:rFonts w:ascii="宋体" w:hAnsi="宋体" w:cs="宋体"/>
                <w:sz w:val="24"/>
                <w:szCs w:val="24"/>
              </w:rPr>
            </w:pPr>
          </w:p>
        </w:tc>
        <w:tc>
          <w:tcPr>
            <w:tcW w:w="2084" w:type="dxa"/>
            <w:vAlign w:val="center"/>
          </w:tcPr>
          <w:p w14:paraId="610CF4C4">
            <w:pPr>
              <w:jc w:val="center"/>
              <w:rPr>
                <w:rFonts w:ascii="宋体" w:hAnsi="宋体" w:cs="宋体"/>
                <w:sz w:val="24"/>
                <w:szCs w:val="24"/>
              </w:rPr>
            </w:pPr>
          </w:p>
        </w:tc>
        <w:tc>
          <w:tcPr>
            <w:tcW w:w="2404" w:type="dxa"/>
            <w:vAlign w:val="center"/>
          </w:tcPr>
          <w:p w14:paraId="203BC68F">
            <w:pPr>
              <w:jc w:val="center"/>
              <w:rPr>
                <w:rFonts w:ascii="宋体" w:hAnsi="宋体" w:cs="宋体"/>
                <w:sz w:val="24"/>
                <w:szCs w:val="24"/>
              </w:rPr>
            </w:pPr>
          </w:p>
        </w:tc>
      </w:tr>
    </w:tbl>
    <w:p w14:paraId="0643AB36">
      <w:pPr>
        <w:spacing w:line="420" w:lineRule="exact"/>
        <w:rPr>
          <w:rFonts w:hint="eastAsia" w:ascii="宋体" w:hAnsi="宋体" w:cs="宋体"/>
          <w:sz w:val="24"/>
          <w:szCs w:val="24"/>
        </w:rPr>
      </w:pPr>
      <w:r>
        <w:rPr>
          <w:rFonts w:hint="eastAsia" w:ascii="宋体" w:hAnsi="宋体" w:cs="宋体"/>
          <w:sz w:val="24"/>
          <w:szCs w:val="24"/>
        </w:rPr>
        <w:br w:type="page"/>
      </w:r>
    </w:p>
    <w:p w14:paraId="6DCE6064">
      <w:pPr>
        <w:spacing w:line="360" w:lineRule="auto"/>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项目经理无在建承诺书</w:t>
      </w:r>
    </w:p>
    <w:p w14:paraId="0C3DDBC4">
      <w:pPr>
        <w:spacing w:line="360" w:lineRule="auto"/>
        <w:jc w:val="center"/>
        <w:rPr>
          <w:rFonts w:hint="eastAsia" w:ascii="宋体" w:hAnsi="宋体" w:cs="宋体"/>
          <w:b/>
          <w:bCs/>
          <w:sz w:val="24"/>
          <w:szCs w:val="24"/>
          <w:lang w:val="en-US" w:eastAsia="zh-CN"/>
        </w:rPr>
      </w:pPr>
    </w:p>
    <w:p w14:paraId="0C8A84A6">
      <w:pPr>
        <w:spacing w:line="360" w:lineRule="auto"/>
        <w:jc w:val="center"/>
        <w:rPr>
          <w:rFonts w:hint="eastAsia" w:ascii="宋体" w:hAnsi="宋体" w:cs="宋体"/>
          <w:b/>
          <w:bCs/>
          <w:sz w:val="24"/>
          <w:szCs w:val="24"/>
          <w:lang w:val="en-US" w:eastAsia="zh-CN"/>
        </w:rPr>
      </w:pPr>
    </w:p>
    <w:p w14:paraId="3CFA8418">
      <w:pPr>
        <w:spacing w:line="360" w:lineRule="auto"/>
        <w:jc w:val="center"/>
        <w:rPr>
          <w:rFonts w:hint="eastAsia" w:ascii="宋体" w:hAnsi="宋体" w:cs="宋体"/>
          <w:b/>
          <w:bCs/>
          <w:sz w:val="24"/>
          <w:szCs w:val="24"/>
          <w:lang w:val="en-US" w:eastAsia="zh-CN"/>
        </w:rPr>
      </w:pPr>
    </w:p>
    <w:p w14:paraId="2953AF0F">
      <w:pPr>
        <w:spacing w:line="420" w:lineRule="exact"/>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（格式自拟）</w:t>
      </w:r>
    </w:p>
    <w:p w14:paraId="5120420C">
      <w:pPr>
        <w:rPr>
          <w:rFonts w:hint="eastAsia" w:ascii="宋体" w:hAnsi="宋体" w:cs="宋体"/>
          <w:sz w:val="24"/>
          <w:szCs w:val="24"/>
        </w:rPr>
      </w:pPr>
      <w:r>
        <w:rPr>
          <w:rFonts w:hint="eastAsia" w:ascii="宋体" w:hAnsi="宋体" w:cs="宋体"/>
          <w:sz w:val="24"/>
          <w:szCs w:val="24"/>
        </w:rPr>
        <w:br w:type="page"/>
      </w:r>
    </w:p>
    <w:p w14:paraId="4662D886">
      <w:pPr>
        <w:spacing w:line="420" w:lineRule="exact"/>
        <w:rPr>
          <w:rFonts w:ascii="宋体" w:hAnsi="宋体" w:cs="宋体"/>
          <w:sz w:val="24"/>
          <w:szCs w:val="24"/>
        </w:rPr>
      </w:pPr>
      <w:r>
        <w:rPr>
          <w:rFonts w:hint="eastAsia" w:ascii="宋体" w:hAnsi="宋体" w:cs="宋体"/>
          <w:sz w:val="24"/>
          <w:szCs w:val="24"/>
        </w:rPr>
        <w:t>附</w:t>
      </w:r>
      <w:r>
        <w:rPr>
          <w:rFonts w:hint="eastAsia" w:ascii="宋体" w:hAnsi="宋体" w:cs="宋体"/>
          <w:sz w:val="24"/>
          <w:szCs w:val="24"/>
          <w:lang w:val="en-US" w:eastAsia="zh-CN"/>
        </w:rPr>
        <w:t>2</w:t>
      </w:r>
      <w:r>
        <w:rPr>
          <w:rFonts w:hint="eastAsia" w:ascii="宋体" w:hAnsi="宋体" w:cs="宋体"/>
          <w:sz w:val="24"/>
          <w:szCs w:val="24"/>
        </w:rPr>
        <w:t>：主要项目管理人员简历表</w:t>
      </w:r>
    </w:p>
    <w:p w14:paraId="48730C08">
      <w:pPr>
        <w:spacing w:line="420" w:lineRule="exact"/>
        <w:ind w:firstLine="480" w:firstLineChars="200"/>
        <w:rPr>
          <w:rFonts w:hint="eastAsia" w:ascii="宋体" w:hAnsi="宋体" w:eastAsia="宋体" w:cs="宋体"/>
          <w:sz w:val="24"/>
          <w:szCs w:val="24"/>
        </w:rPr>
      </w:pPr>
      <w:bookmarkStart w:id="1703" w:name="_Toc17421"/>
      <w:bookmarkStart w:id="1704" w:name="_Toc27829"/>
      <w:bookmarkStart w:id="1705" w:name="_Toc25503"/>
      <w:bookmarkStart w:id="1706" w:name="_Toc21442"/>
      <w:r>
        <w:rPr>
          <w:rFonts w:hint="eastAsia" w:ascii="宋体" w:hAnsi="宋体" w:eastAsia="宋体" w:cs="宋体"/>
          <w:sz w:val="24"/>
          <w:szCs w:val="24"/>
        </w:rPr>
        <w:t>“主要项目管理人员简历表”中拟派项目管理班子人员，需提供相应的证书、身份证等资料复印件。</w:t>
      </w:r>
      <w:bookmarkEnd w:id="1703"/>
      <w:bookmarkEnd w:id="1704"/>
      <w:bookmarkEnd w:id="1705"/>
      <w:bookmarkEnd w:id="1706"/>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684"/>
        <w:gridCol w:w="910"/>
        <w:gridCol w:w="1223"/>
        <w:gridCol w:w="2234"/>
        <w:gridCol w:w="958"/>
        <w:gridCol w:w="1806"/>
      </w:tblGrid>
      <w:tr w14:paraId="43DDC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458" w:type="dxa"/>
            <w:gridSpan w:val="3"/>
            <w:tcBorders>
              <w:top w:val="single" w:color="auto" w:sz="4" w:space="0"/>
              <w:left w:val="single" w:color="auto" w:sz="4" w:space="0"/>
              <w:bottom w:val="single" w:color="auto" w:sz="4" w:space="0"/>
              <w:right w:val="single" w:color="auto" w:sz="4" w:space="0"/>
            </w:tcBorders>
            <w:vAlign w:val="center"/>
          </w:tcPr>
          <w:p w14:paraId="722B97F5">
            <w:pPr>
              <w:spacing w:line="500" w:lineRule="exact"/>
              <w:jc w:val="center"/>
              <w:rPr>
                <w:rFonts w:ascii="宋体" w:hAnsi="宋体" w:cs="宋体"/>
                <w:sz w:val="24"/>
                <w:szCs w:val="24"/>
              </w:rPr>
            </w:pPr>
            <w:r>
              <w:rPr>
                <w:rFonts w:hint="eastAsia" w:ascii="宋体" w:hAnsi="宋体" w:cs="宋体"/>
                <w:sz w:val="24"/>
                <w:szCs w:val="24"/>
              </w:rPr>
              <w:t>岗位名称</w:t>
            </w:r>
          </w:p>
        </w:tc>
        <w:tc>
          <w:tcPr>
            <w:tcW w:w="6221" w:type="dxa"/>
            <w:gridSpan w:val="4"/>
            <w:tcBorders>
              <w:top w:val="single" w:color="auto" w:sz="4" w:space="0"/>
              <w:left w:val="single" w:color="auto" w:sz="4" w:space="0"/>
              <w:bottom w:val="single" w:color="auto" w:sz="4" w:space="0"/>
              <w:right w:val="single" w:color="auto" w:sz="4" w:space="0"/>
            </w:tcBorders>
            <w:vAlign w:val="center"/>
          </w:tcPr>
          <w:p w14:paraId="470033B6">
            <w:pPr>
              <w:spacing w:line="500" w:lineRule="exact"/>
              <w:jc w:val="center"/>
              <w:rPr>
                <w:rFonts w:ascii="宋体" w:hAnsi="宋体" w:cs="宋体"/>
                <w:sz w:val="24"/>
                <w:szCs w:val="24"/>
              </w:rPr>
            </w:pPr>
          </w:p>
        </w:tc>
      </w:tr>
      <w:tr w14:paraId="198C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64" w:type="dxa"/>
            <w:tcBorders>
              <w:top w:val="single" w:color="auto" w:sz="4" w:space="0"/>
              <w:left w:val="single" w:color="auto" w:sz="4" w:space="0"/>
              <w:bottom w:val="single" w:color="auto" w:sz="4" w:space="0"/>
              <w:right w:val="single" w:color="auto" w:sz="4" w:space="0"/>
            </w:tcBorders>
            <w:vAlign w:val="center"/>
          </w:tcPr>
          <w:p w14:paraId="26376BEE">
            <w:pPr>
              <w:spacing w:line="500" w:lineRule="exact"/>
              <w:jc w:val="center"/>
              <w:rPr>
                <w:rFonts w:ascii="宋体" w:hAnsi="宋体" w:cs="宋体"/>
                <w:sz w:val="24"/>
                <w:szCs w:val="24"/>
              </w:rPr>
            </w:pPr>
            <w:r>
              <w:rPr>
                <w:rFonts w:hint="eastAsia" w:ascii="宋体" w:hAnsi="宋体" w:cs="宋体"/>
                <w:sz w:val="24"/>
                <w:szCs w:val="24"/>
              </w:rPr>
              <w:t>姓名</w:t>
            </w:r>
          </w:p>
        </w:tc>
        <w:tc>
          <w:tcPr>
            <w:tcW w:w="2594" w:type="dxa"/>
            <w:gridSpan w:val="2"/>
            <w:tcBorders>
              <w:top w:val="single" w:color="auto" w:sz="4" w:space="0"/>
              <w:left w:val="single" w:color="auto" w:sz="4" w:space="0"/>
              <w:bottom w:val="single" w:color="auto" w:sz="4" w:space="0"/>
              <w:right w:val="single" w:color="auto" w:sz="4" w:space="0"/>
            </w:tcBorders>
            <w:vAlign w:val="center"/>
          </w:tcPr>
          <w:p w14:paraId="39B91D4D">
            <w:pPr>
              <w:spacing w:line="500" w:lineRule="exact"/>
              <w:jc w:val="center"/>
              <w:rPr>
                <w:rFonts w:ascii="宋体" w:hAnsi="宋体" w:cs="宋体"/>
                <w:sz w:val="24"/>
                <w:szCs w:val="24"/>
              </w:rPr>
            </w:pPr>
          </w:p>
        </w:tc>
        <w:tc>
          <w:tcPr>
            <w:tcW w:w="1223" w:type="dxa"/>
            <w:tcBorders>
              <w:top w:val="single" w:color="auto" w:sz="4" w:space="0"/>
              <w:left w:val="single" w:color="auto" w:sz="4" w:space="0"/>
              <w:bottom w:val="single" w:color="auto" w:sz="4" w:space="0"/>
              <w:right w:val="single" w:color="auto" w:sz="4" w:space="0"/>
            </w:tcBorders>
            <w:vAlign w:val="center"/>
          </w:tcPr>
          <w:p w14:paraId="35F812AE">
            <w:pPr>
              <w:spacing w:line="500" w:lineRule="exact"/>
              <w:jc w:val="center"/>
              <w:rPr>
                <w:rFonts w:ascii="宋体" w:hAnsi="宋体" w:cs="宋体"/>
                <w:sz w:val="24"/>
                <w:szCs w:val="24"/>
              </w:rPr>
            </w:pPr>
            <w:r>
              <w:rPr>
                <w:rFonts w:hint="eastAsia" w:ascii="宋体" w:hAnsi="宋体" w:cs="宋体"/>
                <w:sz w:val="24"/>
                <w:szCs w:val="24"/>
              </w:rPr>
              <w:t>性别</w:t>
            </w:r>
          </w:p>
        </w:tc>
        <w:tc>
          <w:tcPr>
            <w:tcW w:w="2234" w:type="dxa"/>
            <w:tcBorders>
              <w:top w:val="single" w:color="auto" w:sz="4" w:space="0"/>
              <w:left w:val="single" w:color="auto" w:sz="4" w:space="0"/>
              <w:bottom w:val="single" w:color="auto" w:sz="4" w:space="0"/>
              <w:right w:val="single" w:color="auto" w:sz="4" w:space="0"/>
            </w:tcBorders>
            <w:vAlign w:val="center"/>
          </w:tcPr>
          <w:p w14:paraId="242BB336">
            <w:pPr>
              <w:spacing w:line="500" w:lineRule="exact"/>
              <w:jc w:val="center"/>
              <w:rPr>
                <w:rFonts w:ascii="宋体" w:hAnsi="宋体" w:cs="宋体"/>
                <w:sz w:val="24"/>
                <w:szCs w:val="24"/>
              </w:rPr>
            </w:pPr>
          </w:p>
        </w:tc>
        <w:tc>
          <w:tcPr>
            <w:tcW w:w="958" w:type="dxa"/>
            <w:tcBorders>
              <w:top w:val="single" w:color="auto" w:sz="4" w:space="0"/>
              <w:left w:val="single" w:color="auto" w:sz="4" w:space="0"/>
              <w:bottom w:val="single" w:color="auto" w:sz="4" w:space="0"/>
              <w:right w:val="single" w:color="auto" w:sz="4" w:space="0"/>
            </w:tcBorders>
            <w:vAlign w:val="center"/>
          </w:tcPr>
          <w:p w14:paraId="6EEBAECD">
            <w:pPr>
              <w:spacing w:line="500" w:lineRule="exact"/>
              <w:jc w:val="center"/>
              <w:rPr>
                <w:rFonts w:ascii="宋体" w:hAnsi="宋体" w:cs="宋体"/>
                <w:sz w:val="24"/>
                <w:szCs w:val="24"/>
              </w:rPr>
            </w:pPr>
            <w:r>
              <w:rPr>
                <w:rFonts w:hint="eastAsia" w:ascii="宋体" w:hAnsi="宋体" w:cs="宋体"/>
                <w:sz w:val="24"/>
                <w:szCs w:val="24"/>
              </w:rPr>
              <w:t>年龄</w:t>
            </w:r>
          </w:p>
        </w:tc>
        <w:tc>
          <w:tcPr>
            <w:tcW w:w="1806" w:type="dxa"/>
            <w:tcBorders>
              <w:top w:val="single" w:color="auto" w:sz="4" w:space="0"/>
              <w:left w:val="single" w:color="auto" w:sz="4" w:space="0"/>
              <w:bottom w:val="single" w:color="auto" w:sz="4" w:space="0"/>
              <w:right w:val="single" w:color="auto" w:sz="4" w:space="0"/>
            </w:tcBorders>
            <w:vAlign w:val="center"/>
          </w:tcPr>
          <w:p w14:paraId="337E2D98">
            <w:pPr>
              <w:spacing w:line="500" w:lineRule="exact"/>
              <w:jc w:val="center"/>
              <w:rPr>
                <w:rFonts w:ascii="宋体" w:hAnsi="宋体" w:cs="宋体"/>
                <w:sz w:val="24"/>
                <w:szCs w:val="24"/>
              </w:rPr>
            </w:pPr>
          </w:p>
        </w:tc>
      </w:tr>
      <w:tr w14:paraId="3BAC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64" w:type="dxa"/>
            <w:tcBorders>
              <w:top w:val="single" w:color="auto" w:sz="4" w:space="0"/>
              <w:left w:val="single" w:color="auto" w:sz="4" w:space="0"/>
              <w:bottom w:val="single" w:color="auto" w:sz="4" w:space="0"/>
              <w:right w:val="single" w:color="auto" w:sz="4" w:space="0"/>
            </w:tcBorders>
            <w:vAlign w:val="center"/>
          </w:tcPr>
          <w:p w14:paraId="061E28C9">
            <w:pPr>
              <w:spacing w:line="500" w:lineRule="exact"/>
              <w:jc w:val="center"/>
              <w:rPr>
                <w:rFonts w:ascii="宋体" w:hAnsi="宋体" w:cs="宋体"/>
                <w:sz w:val="24"/>
                <w:szCs w:val="24"/>
              </w:rPr>
            </w:pPr>
            <w:r>
              <w:rPr>
                <w:rFonts w:hint="eastAsia" w:ascii="宋体" w:hAnsi="宋体" w:cs="宋体"/>
                <w:sz w:val="24"/>
                <w:szCs w:val="24"/>
              </w:rPr>
              <w:t>职务</w:t>
            </w:r>
          </w:p>
        </w:tc>
        <w:tc>
          <w:tcPr>
            <w:tcW w:w="2594" w:type="dxa"/>
            <w:gridSpan w:val="2"/>
            <w:tcBorders>
              <w:top w:val="single" w:color="auto" w:sz="4" w:space="0"/>
              <w:left w:val="single" w:color="auto" w:sz="4" w:space="0"/>
              <w:bottom w:val="single" w:color="auto" w:sz="4" w:space="0"/>
              <w:right w:val="single" w:color="auto" w:sz="4" w:space="0"/>
            </w:tcBorders>
            <w:vAlign w:val="center"/>
          </w:tcPr>
          <w:p w14:paraId="237F70F4">
            <w:pPr>
              <w:spacing w:line="500" w:lineRule="exact"/>
              <w:jc w:val="center"/>
              <w:rPr>
                <w:rFonts w:ascii="宋体" w:hAnsi="宋体" w:cs="宋体"/>
                <w:sz w:val="24"/>
                <w:szCs w:val="24"/>
              </w:rPr>
            </w:pPr>
          </w:p>
        </w:tc>
        <w:tc>
          <w:tcPr>
            <w:tcW w:w="1223" w:type="dxa"/>
            <w:tcBorders>
              <w:top w:val="single" w:color="auto" w:sz="4" w:space="0"/>
              <w:left w:val="single" w:color="auto" w:sz="4" w:space="0"/>
              <w:bottom w:val="single" w:color="auto" w:sz="4" w:space="0"/>
              <w:right w:val="single" w:color="auto" w:sz="4" w:space="0"/>
            </w:tcBorders>
            <w:vAlign w:val="center"/>
          </w:tcPr>
          <w:p w14:paraId="2A15F535">
            <w:pPr>
              <w:spacing w:line="500" w:lineRule="exact"/>
              <w:jc w:val="center"/>
              <w:rPr>
                <w:rFonts w:ascii="宋体" w:hAnsi="宋体" w:cs="宋体"/>
                <w:sz w:val="24"/>
                <w:szCs w:val="24"/>
              </w:rPr>
            </w:pPr>
            <w:r>
              <w:rPr>
                <w:rFonts w:hint="eastAsia" w:ascii="宋体" w:hAnsi="宋体" w:cs="宋体"/>
                <w:sz w:val="24"/>
                <w:szCs w:val="24"/>
              </w:rPr>
              <w:t>职称</w:t>
            </w:r>
          </w:p>
        </w:tc>
        <w:tc>
          <w:tcPr>
            <w:tcW w:w="2234" w:type="dxa"/>
            <w:tcBorders>
              <w:top w:val="single" w:color="auto" w:sz="4" w:space="0"/>
              <w:left w:val="single" w:color="auto" w:sz="4" w:space="0"/>
              <w:bottom w:val="single" w:color="auto" w:sz="4" w:space="0"/>
              <w:right w:val="single" w:color="auto" w:sz="4" w:space="0"/>
            </w:tcBorders>
            <w:vAlign w:val="center"/>
          </w:tcPr>
          <w:p w14:paraId="78446FC4">
            <w:pPr>
              <w:spacing w:line="500" w:lineRule="exact"/>
              <w:jc w:val="center"/>
              <w:rPr>
                <w:rFonts w:ascii="宋体" w:hAnsi="宋体" w:cs="宋体"/>
                <w:sz w:val="24"/>
                <w:szCs w:val="24"/>
              </w:rPr>
            </w:pPr>
          </w:p>
        </w:tc>
        <w:tc>
          <w:tcPr>
            <w:tcW w:w="958" w:type="dxa"/>
            <w:tcBorders>
              <w:top w:val="single" w:color="auto" w:sz="4" w:space="0"/>
              <w:left w:val="single" w:color="auto" w:sz="4" w:space="0"/>
              <w:bottom w:val="single" w:color="auto" w:sz="4" w:space="0"/>
              <w:right w:val="single" w:color="auto" w:sz="4" w:space="0"/>
            </w:tcBorders>
            <w:vAlign w:val="center"/>
          </w:tcPr>
          <w:p w14:paraId="217DF2C9">
            <w:pPr>
              <w:spacing w:line="500" w:lineRule="exact"/>
              <w:jc w:val="center"/>
              <w:rPr>
                <w:rFonts w:ascii="宋体" w:hAnsi="宋体" w:cs="宋体"/>
                <w:sz w:val="24"/>
                <w:szCs w:val="24"/>
              </w:rPr>
            </w:pPr>
            <w:r>
              <w:rPr>
                <w:rFonts w:hint="eastAsia" w:ascii="宋体" w:hAnsi="宋体" w:cs="宋体"/>
                <w:sz w:val="24"/>
                <w:szCs w:val="24"/>
              </w:rPr>
              <w:t>学历</w:t>
            </w:r>
          </w:p>
        </w:tc>
        <w:tc>
          <w:tcPr>
            <w:tcW w:w="1806" w:type="dxa"/>
            <w:tcBorders>
              <w:top w:val="single" w:color="auto" w:sz="4" w:space="0"/>
              <w:left w:val="single" w:color="auto" w:sz="4" w:space="0"/>
              <w:bottom w:val="single" w:color="auto" w:sz="4" w:space="0"/>
              <w:right w:val="single" w:color="auto" w:sz="4" w:space="0"/>
            </w:tcBorders>
            <w:vAlign w:val="center"/>
          </w:tcPr>
          <w:p w14:paraId="3C5B1E67">
            <w:pPr>
              <w:spacing w:line="500" w:lineRule="exact"/>
              <w:jc w:val="center"/>
              <w:rPr>
                <w:rFonts w:ascii="宋体" w:hAnsi="宋体" w:cs="宋体"/>
                <w:sz w:val="24"/>
                <w:szCs w:val="24"/>
              </w:rPr>
            </w:pPr>
          </w:p>
        </w:tc>
      </w:tr>
      <w:tr w14:paraId="6BAC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548" w:type="dxa"/>
            <w:gridSpan w:val="2"/>
            <w:tcBorders>
              <w:top w:val="single" w:color="auto" w:sz="4" w:space="0"/>
              <w:left w:val="single" w:color="auto" w:sz="4" w:space="0"/>
              <w:bottom w:val="single" w:color="auto" w:sz="4" w:space="0"/>
              <w:right w:val="single" w:color="auto" w:sz="4" w:space="0"/>
            </w:tcBorders>
            <w:vAlign w:val="center"/>
          </w:tcPr>
          <w:p w14:paraId="530572EE">
            <w:pPr>
              <w:spacing w:line="500" w:lineRule="exact"/>
              <w:jc w:val="center"/>
              <w:rPr>
                <w:rFonts w:ascii="宋体" w:hAnsi="宋体" w:cs="宋体"/>
                <w:sz w:val="24"/>
                <w:szCs w:val="24"/>
              </w:rPr>
            </w:pPr>
            <w:r>
              <w:rPr>
                <w:rFonts w:hint="eastAsia" w:ascii="宋体" w:hAnsi="宋体" w:cs="宋体"/>
                <w:sz w:val="24"/>
                <w:szCs w:val="24"/>
              </w:rPr>
              <w:t>参加工作时间</w:t>
            </w:r>
          </w:p>
        </w:tc>
        <w:tc>
          <w:tcPr>
            <w:tcW w:w="2133" w:type="dxa"/>
            <w:gridSpan w:val="2"/>
            <w:tcBorders>
              <w:top w:val="single" w:color="auto" w:sz="4" w:space="0"/>
              <w:left w:val="single" w:color="auto" w:sz="4" w:space="0"/>
              <w:bottom w:val="single" w:color="auto" w:sz="4" w:space="0"/>
              <w:right w:val="single" w:color="auto" w:sz="4" w:space="0"/>
            </w:tcBorders>
            <w:vAlign w:val="center"/>
          </w:tcPr>
          <w:p w14:paraId="0C73C2E0">
            <w:pPr>
              <w:spacing w:line="500" w:lineRule="exact"/>
              <w:jc w:val="center"/>
              <w:rPr>
                <w:rFonts w:ascii="宋体" w:hAnsi="宋体" w:cs="宋体"/>
                <w:sz w:val="24"/>
                <w:szCs w:val="24"/>
              </w:rPr>
            </w:pPr>
          </w:p>
        </w:tc>
        <w:tc>
          <w:tcPr>
            <w:tcW w:w="3192" w:type="dxa"/>
            <w:gridSpan w:val="2"/>
            <w:tcBorders>
              <w:top w:val="single" w:color="auto" w:sz="4" w:space="0"/>
              <w:left w:val="single" w:color="auto" w:sz="4" w:space="0"/>
              <w:bottom w:val="single" w:color="auto" w:sz="4" w:space="0"/>
              <w:right w:val="single" w:color="auto" w:sz="4" w:space="0"/>
            </w:tcBorders>
            <w:vAlign w:val="center"/>
          </w:tcPr>
          <w:p w14:paraId="54C58156">
            <w:pPr>
              <w:spacing w:line="500" w:lineRule="exact"/>
              <w:jc w:val="center"/>
              <w:rPr>
                <w:rFonts w:ascii="宋体" w:hAnsi="宋体" w:cs="宋体"/>
                <w:sz w:val="24"/>
                <w:szCs w:val="24"/>
              </w:rPr>
            </w:pPr>
            <w:r>
              <w:rPr>
                <w:rFonts w:hint="eastAsia" w:ascii="宋体" w:hAnsi="宋体" w:cs="宋体"/>
                <w:sz w:val="24"/>
                <w:szCs w:val="24"/>
              </w:rPr>
              <w:t>工作年限</w:t>
            </w:r>
          </w:p>
        </w:tc>
        <w:tc>
          <w:tcPr>
            <w:tcW w:w="1806" w:type="dxa"/>
            <w:tcBorders>
              <w:top w:val="single" w:color="auto" w:sz="4" w:space="0"/>
              <w:left w:val="single" w:color="auto" w:sz="4" w:space="0"/>
              <w:bottom w:val="single" w:color="auto" w:sz="4" w:space="0"/>
              <w:right w:val="single" w:color="auto" w:sz="4" w:space="0"/>
            </w:tcBorders>
            <w:vAlign w:val="center"/>
          </w:tcPr>
          <w:p w14:paraId="704D31E8">
            <w:pPr>
              <w:spacing w:line="500" w:lineRule="exact"/>
              <w:jc w:val="center"/>
              <w:rPr>
                <w:rFonts w:ascii="宋体" w:hAnsi="宋体" w:cs="宋体"/>
                <w:sz w:val="24"/>
                <w:szCs w:val="24"/>
              </w:rPr>
            </w:pPr>
          </w:p>
        </w:tc>
      </w:tr>
      <w:tr w14:paraId="5F4C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548" w:type="dxa"/>
            <w:gridSpan w:val="2"/>
            <w:tcBorders>
              <w:top w:val="single" w:color="auto" w:sz="4" w:space="0"/>
              <w:left w:val="single" w:color="auto" w:sz="4" w:space="0"/>
              <w:bottom w:val="single" w:color="auto" w:sz="4" w:space="0"/>
              <w:right w:val="single" w:color="auto" w:sz="4" w:space="0"/>
            </w:tcBorders>
            <w:vAlign w:val="center"/>
          </w:tcPr>
          <w:p w14:paraId="1AA40A21">
            <w:pPr>
              <w:spacing w:line="500" w:lineRule="exact"/>
              <w:jc w:val="center"/>
              <w:rPr>
                <w:rFonts w:ascii="宋体" w:hAnsi="宋体" w:cs="宋体"/>
                <w:sz w:val="24"/>
                <w:szCs w:val="24"/>
              </w:rPr>
            </w:pPr>
            <w:r>
              <w:rPr>
                <w:rFonts w:hint="eastAsia" w:ascii="宋体" w:hAnsi="宋体" w:cs="宋体"/>
                <w:sz w:val="24"/>
                <w:szCs w:val="24"/>
              </w:rPr>
              <w:t>拥有的执业资格</w:t>
            </w:r>
          </w:p>
        </w:tc>
        <w:tc>
          <w:tcPr>
            <w:tcW w:w="2133" w:type="dxa"/>
            <w:gridSpan w:val="2"/>
            <w:tcBorders>
              <w:top w:val="single" w:color="auto" w:sz="4" w:space="0"/>
              <w:left w:val="single" w:color="auto" w:sz="4" w:space="0"/>
              <w:bottom w:val="single" w:color="auto" w:sz="4" w:space="0"/>
              <w:right w:val="single" w:color="auto" w:sz="4" w:space="0"/>
            </w:tcBorders>
            <w:vAlign w:val="center"/>
          </w:tcPr>
          <w:p w14:paraId="23FD3376">
            <w:pPr>
              <w:spacing w:line="500" w:lineRule="exact"/>
              <w:jc w:val="center"/>
              <w:rPr>
                <w:rFonts w:ascii="宋体" w:hAnsi="宋体" w:cs="宋体"/>
                <w:sz w:val="24"/>
                <w:szCs w:val="24"/>
              </w:rPr>
            </w:pPr>
          </w:p>
        </w:tc>
        <w:tc>
          <w:tcPr>
            <w:tcW w:w="3192" w:type="dxa"/>
            <w:gridSpan w:val="2"/>
            <w:tcBorders>
              <w:top w:val="single" w:color="auto" w:sz="4" w:space="0"/>
              <w:left w:val="single" w:color="auto" w:sz="4" w:space="0"/>
              <w:bottom w:val="single" w:color="auto" w:sz="4" w:space="0"/>
              <w:right w:val="single" w:color="auto" w:sz="4" w:space="0"/>
            </w:tcBorders>
            <w:vAlign w:val="center"/>
          </w:tcPr>
          <w:p w14:paraId="6BF7A588">
            <w:pPr>
              <w:spacing w:line="500" w:lineRule="exact"/>
              <w:jc w:val="center"/>
              <w:rPr>
                <w:rFonts w:ascii="宋体" w:hAnsi="宋体" w:cs="宋体"/>
                <w:sz w:val="24"/>
                <w:szCs w:val="24"/>
              </w:rPr>
            </w:pPr>
            <w:r>
              <w:rPr>
                <w:rFonts w:hint="eastAsia" w:ascii="宋体" w:hAnsi="宋体" w:cs="宋体"/>
                <w:sz w:val="24"/>
                <w:szCs w:val="24"/>
              </w:rPr>
              <w:t>执业资格证书编号</w:t>
            </w:r>
          </w:p>
        </w:tc>
        <w:tc>
          <w:tcPr>
            <w:tcW w:w="1806" w:type="dxa"/>
            <w:tcBorders>
              <w:top w:val="single" w:color="auto" w:sz="4" w:space="0"/>
              <w:left w:val="single" w:color="auto" w:sz="4" w:space="0"/>
              <w:bottom w:val="single" w:color="auto" w:sz="4" w:space="0"/>
              <w:right w:val="single" w:color="auto" w:sz="4" w:space="0"/>
            </w:tcBorders>
            <w:vAlign w:val="center"/>
          </w:tcPr>
          <w:p w14:paraId="7FF8F0FE">
            <w:pPr>
              <w:spacing w:line="500" w:lineRule="exact"/>
              <w:jc w:val="center"/>
              <w:rPr>
                <w:rFonts w:ascii="宋体" w:hAnsi="宋体" w:cs="宋体"/>
                <w:sz w:val="24"/>
                <w:szCs w:val="24"/>
              </w:rPr>
            </w:pPr>
          </w:p>
        </w:tc>
      </w:tr>
      <w:tr w14:paraId="75E0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2" w:hRule="atLeast"/>
          <w:jc w:val="center"/>
        </w:trPr>
        <w:tc>
          <w:tcPr>
            <w:tcW w:w="2548" w:type="dxa"/>
            <w:gridSpan w:val="2"/>
            <w:tcBorders>
              <w:top w:val="single" w:color="auto" w:sz="4" w:space="0"/>
              <w:left w:val="single" w:color="auto" w:sz="4" w:space="0"/>
              <w:bottom w:val="single" w:color="auto" w:sz="4" w:space="0"/>
              <w:right w:val="single" w:color="auto" w:sz="4" w:space="0"/>
            </w:tcBorders>
            <w:vAlign w:val="center"/>
          </w:tcPr>
          <w:p w14:paraId="2453DD7B">
            <w:pPr>
              <w:spacing w:line="500" w:lineRule="exact"/>
              <w:jc w:val="center"/>
              <w:rPr>
                <w:rFonts w:ascii="宋体" w:hAnsi="宋体" w:cs="宋体"/>
                <w:sz w:val="24"/>
                <w:szCs w:val="24"/>
              </w:rPr>
            </w:pPr>
            <w:r>
              <w:rPr>
                <w:rFonts w:hint="eastAsia" w:ascii="宋体" w:hAnsi="宋体" w:cs="宋体"/>
                <w:sz w:val="24"/>
                <w:szCs w:val="24"/>
              </w:rPr>
              <w:t>主要工作业绩及担任的主要工作</w:t>
            </w:r>
          </w:p>
          <w:p w14:paraId="2EE82A9D">
            <w:pPr>
              <w:tabs>
                <w:tab w:val="left" w:pos="3870"/>
              </w:tabs>
              <w:spacing w:line="500" w:lineRule="exact"/>
              <w:jc w:val="center"/>
              <w:rPr>
                <w:rFonts w:ascii="宋体" w:hAnsi="宋体" w:cs="宋体"/>
                <w:sz w:val="24"/>
                <w:szCs w:val="24"/>
              </w:rPr>
            </w:pPr>
          </w:p>
        </w:tc>
        <w:tc>
          <w:tcPr>
            <w:tcW w:w="7131" w:type="dxa"/>
            <w:gridSpan w:val="5"/>
            <w:tcBorders>
              <w:top w:val="single" w:color="auto" w:sz="4" w:space="0"/>
              <w:left w:val="single" w:color="auto" w:sz="4" w:space="0"/>
              <w:bottom w:val="single" w:color="auto" w:sz="4" w:space="0"/>
              <w:right w:val="single" w:color="auto" w:sz="4" w:space="0"/>
            </w:tcBorders>
            <w:vAlign w:val="center"/>
          </w:tcPr>
          <w:p w14:paraId="444F0404">
            <w:pPr>
              <w:tabs>
                <w:tab w:val="left" w:pos="3870"/>
              </w:tabs>
              <w:spacing w:line="500" w:lineRule="exact"/>
              <w:jc w:val="center"/>
              <w:rPr>
                <w:rFonts w:ascii="宋体" w:hAnsi="宋体" w:cs="宋体"/>
                <w:sz w:val="24"/>
                <w:szCs w:val="24"/>
              </w:rPr>
            </w:pPr>
          </w:p>
        </w:tc>
      </w:tr>
    </w:tbl>
    <w:p w14:paraId="2325C68C">
      <w:pPr>
        <w:spacing w:line="420" w:lineRule="exact"/>
        <w:rPr>
          <w:rFonts w:ascii="宋体" w:hAnsi="宋体" w:cs="宋体"/>
          <w:sz w:val="24"/>
          <w:szCs w:val="24"/>
        </w:rPr>
      </w:pPr>
    </w:p>
    <w:p w14:paraId="3F1C8700">
      <w:pPr>
        <w:pStyle w:val="32"/>
        <w:ind w:firstLine="240"/>
        <w:rPr>
          <w:rFonts w:ascii="宋体" w:hAnsi="宋体" w:cs="宋体"/>
          <w:sz w:val="24"/>
        </w:rPr>
      </w:pPr>
    </w:p>
    <w:p w14:paraId="355C9BF5">
      <w:pPr>
        <w:rPr>
          <w:rFonts w:hint="eastAsia" w:ascii="宋体" w:hAnsi="宋体" w:cs="宋体"/>
          <w:sz w:val="28"/>
          <w:szCs w:val="28"/>
        </w:rPr>
      </w:pPr>
      <w:bookmarkStart w:id="1707" w:name="_Toc31919"/>
      <w:r>
        <w:rPr>
          <w:rFonts w:hint="eastAsia" w:ascii="宋体" w:hAnsi="宋体" w:cs="宋体"/>
          <w:sz w:val="28"/>
          <w:szCs w:val="28"/>
        </w:rPr>
        <w:br w:type="page"/>
      </w:r>
    </w:p>
    <w:p w14:paraId="4CB9E482">
      <w:pPr>
        <w:pStyle w:val="3"/>
        <w:jc w:val="center"/>
        <w:outlineLvl w:val="1"/>
        <w:rPr>
          <w:rFonts w:ascii="宋体" w:hAnsi="宋体" w:cs="宋体"/>
          <w:sz w:val="28"/>
          <w:szCs w:val="28"/>
        </w:rPr>
      </w:pPr>
      <w:bookmarkStart w:id="1708" w:name="_Toc30920"/>
      <w:r>
        <w:rPr>
          <w:rFonts w:hint="eastAsia" w:ascii="宋体" w:hAnsi="宋体" w:cs="宋体"/>
          <w:sz w:val="28"/>
          <w:szCs w:val="28"/>
        </w:rPr>
        <w:t>九、符合性审查资料</w:t>
      </w:r>
      <w:bookmarkEnd w:id="1707"/>
      <w:bookmarkEnd w:id="1708"/>
    </w:p>
    <w:p w14:paraId="3A4CFC5A">
      <w:pPr>
        <w:rPr>
          <w:rFonts w:ascii="宋体" w:hAnsi="宋体" w:cs="宋体"/>
          <w:b/>
          <w:sz w:val="24"/>
          <w:szCs w:val="24"/>
        </w:rPr>
      </w:pPr>
      <w:r>
        <w:rPr>
          <w:rFonts w:hint="eastAsia" w:ascii="宋体" w:hAnsi="宋体" w:cs="宋体"/>
          <w:b/>
          <w:sz w:val="24"/>
          <w:szCs w:val="24"/>
        </w:rPr>
        <w:t>（一）投标人基本情况表</w:t>
      </w:r>
    </w:p>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44"/>
        <w:gridCol w:w="1180"/>
        <w:gridCol w:w="898"/>
        <w:gridCol w:w="944"/>
        <w:gridCol w:w="473"/>
        <w:gridCol w:w="352"/>
        <w:gridCol w:w="1383"/>
        <w:gridCol w:w="378"/>
        <w:gridCol w:w="967"/>
        <w:gridCol w:w="1120"/>
      </w:tblGrid>
      <w:tr w14:paraId="234B53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944" w:type="dxa"/>
            <w:tcBorders>
              <w:top w:val="single" w:color="auto" w:sz="4" w:space="0"/>
              <w:bottom w:val="single" w:color="auto" w:sz="4" w:space="0"/>
              <w:right w:val="single" w:color="auto" w:sz="4" w:space="0"/>
            </w:tcBorders>
            <w:vAlign w:val="center"/>
          </w:tcPr>
          <w:p w14:paraId="29E17A58">
            <w:pPr>
              <w:jc w:val="center"/>
              <w:rPr>
                <w:rFonts w:ascii="宋体" w:hAnsi="宋体" w:cs="宋体"/>
                <w:sz w:val="24"/>
                <w:szCs w:val="24"/>
              </w:rPr>
            </w:pPr>
            <w:r>
              <w:rPr>
                <w:rFonts w:hint="eastAsia" w:ascii="宋体" w:hAnsi="宋体" w:cs="宋体"/>
                <w:sz w:val="24"/>
                <w:szCs w:val="24"/>
              </w:rPr>
              <w:t>投标人名称</w:t>
            </w:r>
          </w:p>
        </w:tc>
        <w:tc>
          <w:tcPr>
            <w:tcW w:w="7695" w:type="dxa"/>
            <w:gridSpan w:val="9"/>
            <w:tcBorders>
              <w:top w:val="single" w:color="auto" w:sz="4" w:space="0"/>
              <w:left w:val="single" w:color="auto" w:sz="4" w:space="0"/>
              <w:bottom w:val="single" w:color="auto" w:sz="4" w:space="0"/>
            </w:tcBorders>
            <w:vAlign w:val="center"/>
          </w:tcPr>
          <w:p w14:paraId="2CA75535">
            <w:pPr>
              <w:jc w:val="center"/>
              <w:rPr>
                <w:rFonts w:ascii="宋体" w:hAnsi="宋体" w:cs="宋体"/>
                <w:sz w:val="24"/>
                <w:szCs w:val="24"/>
              </w:rPr>
            </w:pPr>
          </w:p>
        </w:tc>
      </w:tr>
      <w:tr w14:paraId="4B277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944" w:type="dxa"/>
            <w:tcBorders>
              <w:top w:val="single" w:color="auto" w:sz="4" w:space="0"/>
              <w:bottom w:val="single" w:color="auto" w:sz="4" w:space="0"/>
              <w:right w:val="single" w:color="auto" w:sz="4" w:space="0"/>
            </w:tcBorders>
            <w:vAlign w:val="center"/>
          </w:tcPr>
          <w:p w14:paraId="36FA49F3">
            <w:pPr>
              <w:jc w:val="center"/>
              <w:rPr>
                <w:rFonts w:ascii="宋体" w:hAnsi="宋体" w:cs="宋体"/>
                <w:sz w:val="24"/>
                <w:szCs w:val="24"/>
              </w:rPr>
            </w:pPr>
            <w:r>
              <w:rPr>
                <w:rFonts w:hint="eastAsia" w:ascii="宋体" w:hAnsi="宋体" w:cs="宋体"/>
                <w:sz w:val="24"/>
                <w:szCs w:val="24"/>
              </w:rPr>
              <w:t>注册地址</w:t>
            </w:r>
          </w:p>
        </w:tc>
        <w:tc>
          <w:tcPr>
            <w:tcW w:w="3847" w:type="dxa"/>
            <w:gridSpan w:val="5"/>
            <w:tcBorders>
              <w:top w:val="single" w:color="auto" w:sz="4" w:space="0"/>
              <w:left w:val="single" w:color="auto" w:sz="4" w:space="0"/>
              <w:bottom w:val="single" w:color="auto" w:sz="4" w:space="0"/>
              <w:right w:val="single" w:color="auto" w:sz="4" w:space="0"/>
            </w:tcBorders>
            <w:vAlign w:val="center"/>
          </w:tcPr>
          <w:p w14:paraId="4ACB0EE0">
            <w:pPr>
              <w:jc w:val="center"/>
              <w:rPr>
                <w:rFonts w:ascii="宋体" w:hAnsi="宋体" w:cs="宋体"/>
                <w:sz w:val="24"/>
                <w:szCs w:val="24"/>
              </w:rPr>
            </w:pPr>
          </w:p>
        </w:tc>
        <w:tc>
          <w:tcPr>
            <w:tcW w:w="1383" w:type="dxa"/>
            <w:tcBorders>
              <w:top w:val="single" w:color="auto" w:sz="4" w:space="0"/>
              <w:left w:val="single" w:color="auto" w:sz="4" w:space="0"/>
              <w:bottom w:val="single" w:color="auto" w:sz="4" w:space="0"/>
              <w:right w:val="single" w:color="auto" w:sz="4" w:space="0"/>
            </w:tcBorders>
            <w:vAlign w:val="center"/>
          </w:tcPr>
          <w:p w14:paraId="72260855">
            <w:pPr>
              <w:jc w:val="center"/>
              <w:rPr>
                <w:rFonts w:ascii="宋体" w:hAnsi="宋体" w:cs="宋体"/>
                <w:sz w:val="24"/>
                <w:szCs w:val="24"/>
              </w:rPr>
            </w:pPr>
            <w:r>
              <w:rPr>
                <w:rFonts w:hint="eastAsia" w:ascii="宋体" w:hAnsi="宋体" w:cs="宋体"/>
                <w:sz w:val="24"/>
                <w:szCs w:val="24"/>
              </w:rPr>
              <w:t>邮政编码</w:t>
            </w:r>
          </w:p>
        </w:tc>
        <w:tc>
          <w:tcPr>
            <w:tcW w:w="2465" w:type="dxa"/>
            <w:gridSpan w:val="3"/>
            <w:tcBorders>
              <w:top w:val="single" w:color="auto" w:sz="4" w:space="0"/>
              <w:left w:val="single" w:color="auto" w:sz="4" w:space="0"/>
              <w:bottom w:val="single" w:color="auto" w:sz="4" w:space="0"/>
            </w:tcBorders>
            <w:vAlign w:val="center"/>
          </w:tcPr>
          <w:p w14:paraId="53D2936A">
            <w:pPr>
              <w:jc w:val="center"/>
              <w:rPr>
                <w:rFonts w:ascii="宋体" w:hAnsi="宋体" w:cs="宋体"/>
                <w:sz w:val="24"/>
                <w:szCs w:val="24"/>
              </w:rPr>
            </w:pPr>
          </w:p>
        </w:tc>
      </w:tr>
      <w:tr w14:paraId="08CA80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3" w:hRule="atLeast"/>
          <w:jc w:val="center"/>
        </w:trPr>
        <w:tc>
          <w:tcPr>
            <w:tcW w:w="1944" w:type="dxa"/>
            <w:tcBorders>
              <w:top w:val="single" w:color="auto" w:sz="4" w:space="0"/>
              <w:bottom w:val="single" w:color="auto" w:sz="4" w:space="0"/>
              <w:right w:val="single" w:color="auto" w:sz="4" w:space="0"/>
            </w:tcBorders>
            <w:vAlign w:val="center"/>
          </w:tcPr>
          <w:p w14:paraId="53499420">
            <w:pPr>
              <w:jc w:val="center"/>
              <w:rPr>
                <w:rFonts w:ascii="宋体" w:hAnsi="宋体" w:cs="宋体"/>
                <w:sz w:val="24"/>
                <w:szCs w:val="24"/>
              </w:rPr>
            </w:pPr>
            <w:r>
              <w:rPr>
                <w:rFonts w:hint="eastAsia" w:ascii="宋体" w:hAnsi="宋体" w:cs="宋体"/>
                <w:sz w:val="24"/>
                <w:szCs w:val="24"/>
              </w:rPr>
              <w:t>联系方式</w:t>
            </w:r>
          </w:p>
        </w:tc>
        <w:tc>
          <w:tcPr>
            <w:tcW w:w="1180" w:type="dxa"/>
            <w:tcBorders>
              <w:top w:val="single" w:color="auto" w:sz="4" w:space="0"/>
              <w:left w:val="single" w:color="auto" w:sz="4" w:space="0"/>
              <w:bottom w:val="single" w:color="auto" w:sz="4" w:space="0"/>
              <w:right w:val="single" w:color="auto" w:sz="4" w:space="0"/>
            </w:tcBorders>
            <w:vAlign w:val="center"/>
          </w:tcPr>
          <w:p w14:paraId="1BFC3AEE">
            <w:pPr>
              <w:jc w:val="center"/>
              <w:rPr>
                <w:rFonts w:ascii="宋体" w:hAnsi="宋体" w:cs="宋体"/>
                <w:sz w:val="24"/>
                <w:szCs w:val="24"/>
              </w:rPr>
            </w:pPr>
            <w:r>
              <w:rPr>
                <w:rFonts w:hint="eastAsia" w:ascii="宋体" w:hAnsi="宋体" w:cs="宋体"/>
                <w:sz w:val="24"/>
                <w:szCs w:val="24"/>
              </w:rPr>
              <w:t>联系人</w:t>
            </w:r>
          </w:p>
        </w:tc>
        <w:tc>
          <w:tcPr>
            <w:tcW w:w="2667" w:type="dxa"/>
            <w:gridSpan w:val="4"/>
            <w:tcBorders>
              <w:top w:val="single" w:color="auto" w:sz="4" w:space="0"/>
              <w:left w:val="single" w:color="auto" w:sz="4" w:space="0"/>
              <w:bottom w:val="single" w:color="auto" w:sz="4" w:space="0"/>
              <w:right w:val="single" w:color="auto" w:sz="4" w:space="0"/>
            </w:tcBorders>
            <w:vAlign w:val="center"/>
          </w:tcPr>
          <w:p w14:paraId="002F18DD">
            <w:pPr>
              <w:jc w:val="center"/>
              <w:rPr>
                <w:rFonts w:ascii="宋体" w:hAnsi="宋体" w:cs="宋体"/>
                <w:sz w:val="24"/>
                <w:szCs w:val="24"/>
              </w:rPr>
            </w:pPr>
          </w:p>
        </w:tc>
        <w:tc>
          <w:tcPr>
            <w:tcW w:w="1383" w:type="dxa"/>
            <w:tcBorders>
              <w:top w:val="single" w:color="auto" w:sz="4" w:space="0"/>
              <w:left w:val="single" w:color="auto" w:sz="4" w:space="0"/>
              <w:bottom w:val="single" w:color="auto" w:sz="4" w:space="0"/>
              <w:right w:val="single" w:color="auto" w:sz="4" w:space="0"/>
            </w:tcBorders>
            <w:vAlign w:val="center"/>
          </w:tcPr>
          <w:p w14:paraId="794B168F">
            <w:pPr>
              <w:jc w:val="center"/>
              <w:rPr>
                <w:rFonts w:ascii="宋体" w:hAnsi="宋体" w:cs="宋体"/>
                <w:sz w:val="24"/>
                <w:szCs w:val="24"/>
              </w:rPr>
            </w:pPr>
            <w:r>
              <w:rPr>
                <w:rFonts w:hint="eastAsia" w:ascii="宋体" w:hAnsi="宋体" w:cs="宋体"/>
                <w:sz w:val="24"/>
                <w:szCs w:val="24"/>
              </w:rPr>
              <w:t>电话</w:t>
            </w:r>
          </w:p>
        </w:tc>
        <w:tc>
          <w:tcPr>
            <w:tcW w:w="2465" w:type="dxa"/>
            <w:gridSpan w:val="3"/>
            <w:tcBorders>
              <w:top w:val="single" w:color="auto" w:sz="4" w:space="0"/>
              <w:left w:val="single" w:color="auto" w:sz="4" w:space="0"/>
              <w:bottom w:val="single" w:color="auto" w:sz="4" w:space="0"/>
            </w:tcBorders>
            <w:vAlign w:val="center"/>
          </w:tcPr>
          <w:p w14:paraId="3A5D3B5E">
            <w:pPr>
              <w:jc w:val="center"/>
              <w:rPr>
                <w:rFonts w:ascii="宋体" w:hAnsi="宋体" w:cs="宋体"/>
                <w:sz w:val="24"/>
                <w:szCs w:val="24"/>
              </w:rPr>
            </w:pPr>
          </w:p>
        </w:tc>
      </w:tr>
      <w:tr w14:paraId="3419F1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2" w:hRule="atLeast"/>
          <w:jc w:val="center"/>
        </w:trPr>
        <w:tc>
          <w:tcPr>
            <w:tcW w:w="1944" w:type="dxa"/>
            <w:tcBorders>
              <w:top w:val="single" w:color="auto" w:sz="4" w:space="0"/>
              <w:bottom w:val="single" w:color="auto" w:sz="4" w:space="0"/>
              <w:right w:val="single" w:color="auto" w:sz="4" w:space="0"/>
            </w:tcBorders>
            <w:vAlign w:val="center"/>
          </w:tcPr>
          <w:p w14:paraId="76886063">
            <w:pPr>
              <w:jc w:val="center"/>
              <w:rPr>
                <w:rFonts w:ascii="宋体" w:hAnsi="宋体" w:cs="宋体"/>
                <w:sz w:val="24"/>
                <w:szCs w:val="24"/>
              </w:rPr>
            </w:pPr>
            <w:r>
              <w:rPr>
                <w:rFonts w:hint="eastAsia" w:ascii="宋体" w:hAnsi="宋体" w:cs="宋体"/>
                <w:sz w:val="24"/>
                <w:szCs w:val="24"/>
              </w:rPr>
              <w:t>组织结构</w:t>
            </w:r>
          </w:p>
        </w:tc>
        <w:tc>
          <w:tcPr>
            <w:tcW w:w="7695" w:type="dxa"/>
            <w:gridSpan w:val="9"/>
            <w:tcBorders>
              <w:top w:val="single" w:color="auto" w:sz="4" w:space="0"/>
              <w:left w:val="single" w:color="auto" w:sz="4" w:space="0"/>
              <w:bottom w:val="single" w:color="auto" w:sz="4" w:space="0"/>
            </w:tcBorders>
            <w:vAlign w:val="center"/>
          </w:tcPr>
          <w:p w14:paraId="30C1AEF7">
            <w:pPr>
              <w:jc w:val="center"/>
              <w:rPr>
                <w:rFonts w:ascii="宋体" w:hAnsi="宋体" w:cs="宋体"/>
                <w:sz w:val="24"/>
                <w:szCs w:val="24"/>
              </w:rPr>
            </w:pPr>
          </w:p>
        </w:tc>
      </w:tr>
      <w:tr w14:paraId="728053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6" w:hRule="atLeast"/>
          <w:jc w:val="center"/>
        </w:trPr>
        <w:tc>
          <w:tcPr>
            <w:tcW w:w="1944" w:type="dxa"/>
            <w:tcBorders>
              <w:top w:val="single" w:color="auto" w:sz="4" w:space="0"/>
              <w:bottom w:val="single" w:color="auto" w:sz="4" w:space="0"/>
              <w:right w:val="single" w:color="auto" w:sz="4" w:space="0"/>
            </w:tcBorders>
            <w:vAlign w:val="center"/>
          </w:tcPr>
          <w:p w14:paraId="3B017F50">
            <w:pPr>
              <w:jc w:val="center"/>
              <w:rPr>
                <w:rFonts w:ascii="宋体" w:hAnsi="宋体" w:cs="宋体"/>
                <w:sz w:val="24"/>
                <w:szCs w:val="24"/>
              </w:rPr>
            </w:pPr>
            <w:r>
              <w:rPr>
                <w:rFonts w:hint="eastAsia" w:ascii="宋体" w:hAnsi="宋体" w:cs="宋体"/>
                <w:sz w:val="24"/>
                <w:szCs w:val="24"/>
              </w:rPr>
              <w:t>法定代表人</w:t>
            </w:r>
          </w:p>
        </w:tc>
        <w:tc>
          <w:tcPr>
            <w:tcW w:w="1180" w:type="dxa"/>
            <w:tcBorders>
              <w:top w:val="single" w:color="auto" w:sz="4" w:space="0"/>
              <w:left w:val="single" w:color="auto" w:sz="4" w:space="0"/>
              <w:bottom w:val="single" w:color="auto" w:sz="4" w:space="0"/>
              <w:right w:val="single" w:color="auto" w:sz="4" w:space="0"/>
            </w:tcBorders>
            <w:vAlign w:val="center"/>
          </w:tcPr>
          <w:p w14:paraId="479FB565">
            <w:pPr>
              <w:jc w:val="center"/>
              <w:rPr>
                <w:rFonts w:ascii="宋体" w:hAnsi="宋体" w:cs="宋体"/>
                <w:sz w:val="24"/>
                <w:szCs w:val="24"/>
              </w:rPr>
            </w:pPr>
            <w:r>
              <w:rPr>
                <w:rFonts w:hint="eastAsia" w:ascii="宋体" w:hAnsi="宋体" w:cs="宋体"/>
                <w:sz w:val="24"/>
                <w:szCs w:val="24"/>
              </w:rPr>
              <w:t>姓名</w:t>
            </w:r>
          </w:p>
        </w:tc>
        <w:tc>
          <w:tcPr>
            <w:tcW w:w="898" w:type="dxa"/>
            <w:tcBorders>
              <w:top w:val="single" w:color="auto" w:sz="4" w:space="0"/>
              <w:left w:val="single" w:color="auto" w:sz="4" w:space="0"/>
              <w:bottom w:val="single" w:color="auto" w:sz="4" w:space="0"/>
              <w:right w:val="single" w:color="auto" w:sz="4" w:space="0"/>
            </w:tcBorders>
            <w:vAlign w:val="center"/>
          </w:tcPr>
          <w:p w14:paraId="3AE7CE01">
            <w:pPr>
              <w:jc w:val="center"/>
              <w:rPr>
                <w:rFonts w:ascii="宋体" w:hAnsi="宋体" w:cs="宋体"/>
                <w:sz w:val="24"/>
                <w:szCs w:val="24"/>
              </w:rPr>
            </w:pPr>
          </w:p>
        </w:tc>
        <w:tc>
          <w:tcPr>
            <w:tcW w:w="1417" w:type="dxa"/>
            <w:gridSpan w:val="2"/>
            <w:tcBorders>
              <w:top w:val="single" w:color="auto" w:sz="4" w:space="0"/>
              <w:left w:val="single" w:color="auto" w:sz="4" w:space="0"/>
              <w:bottom w:val="single" w:color="auto" w:sz="4" w:space="0"/>
              <w:right w:val="single" w:color="auto" w:sz="4" w:space="0"/>
            </w:tcBorders>
            <w:vAlign w:val="center"/>
          </w:tcPr>
          <w:p w14:paraId="0FE2E8ED">
            <w:pPr>
              <w:jc w:val="center"/>
              <w:rPr>
                <w:rFonts w:ascii="宋体" w:hAnsi="宋体" w:cs="宋体"/>
                <w:sz w:val="24"/>
                <w:szCs w:val="24"/>
              </w:rPr>
            </w:pPr>
            <w:r>
              <w:rPr>
                <w:rFonts w:hint="eastAsia" w:ascii="宋体" w:hAnsi="宋体" w:cs="宋体"/>
                <w:sz w:val="24"/>
                <w:szCs w:val="24"/>
              </w:rPr>
              <w:t>技术职称</w:t>
            </w:r>
          </w:p>
        </w:tc>
        <w:tc>
          <w:tcPr>
            <w:tcW w:w="2113" w:type="dxa"/>
            <w:gridSpan w:val="3"/>
            <w:tcBorders>
              <w:top w:val="single" w:color="auto" w:sz="4" w:space="0"/>
              <w:left w:val="single" w:color="auto" w:sz="4" w:space="0"/>
              <w:bottom w:val="single" w:color="auto" w:sz="4" w:space="0"/>
              <w:right w:val="single" w:color="auto" w:sz="4" w:space="0"/>
            </w:tcBorders>
            <w:vAlign w:val="center"/>
          </w:tcPr>
          <w:p w14:paraId="24BEE417">
            <w:pPr>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3DCF75D0">
            <w:pPr>
              <w:jc w:val="center"/>
              <w:rPr>
                <w:rFonts w:ascii="宋体" w:hAnsi="宋体" w:cs="宋体"/>
                <w:sz w:val="24"/>
                <w:szCs w:val="24"/>
              </w:rPr>
            </w:pPr>
            <w:r>
              <w:rPr>
                <w:rFonts w:hint="eastAsia" w:ascii="宋体" w:hAnsi="宋体" w:cs="宋体"/>
                <w:sz w:val="24"/>
                <w:szCs w:val="24"/>
              </w:rPr>
              <w:t>电话</w:t>
            </w:r>
          </w:p>
        </w:tc>
        <w:tc>
          <w:tcPr>
            <w:tcW w:w="1120" w:type="dxa"/>
            <w:tcBorders>
              <w:top w:val="single" w:color="auto" w:sz="4" w:space="0"/>
              <w:left w:val="single" w:color="auto" w:sz="4" w:space="0"/>
              <w:bottom w:val="single" w:color="auto" w:sz="4" w:space="0"/>
            </w:tcBorders>
            <w:vAlign w:val="center"/>
          </w:tcPr>
          <w:p w14:paraId="139877DE">
            <w:pPr>
              <w:jc w:val="center"/>
              <w:rPr>
                <w:rFonts w:ascii="宋体" w:hAnsi="宋体" w:cs="宋体"/>
                <w:sz w:val="24"/>
                <w:szCs w:val="24"/>
              </w:rPr>
            </w:pPr>
          </w:p>
        </w:tc>
      </w:tr>
      <w:tr w14:paraId="714A54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1944" w:type="dxa"/>
            <w:tcBorders>
              <w:top w:val="single" w:color="auto" w:sz="4" w:space="0"/>
              <w:bottom w:val="single" w:color="auto" w:sz="4" w:space="0"/>
              <w:right w:val="single" w:color="auto" w:sz="4" w:space="0"/>
            </w:tcBorders>
            <w:vAlign w:val="center"/>
          </w:tcPr>
          <w:p w14:paraId="19774CFB">
            <w:pPr>
              <w:jc w:val="center"/>
              <w:rPr>
                <w:rFonts w:ascii="宋体" w:hAnsi="宋体" w:cs="宋体"/>
                <w:sz w:val="24"/>
                <w:szCs w:val="24"/>
              </w:rPr>
            </w:pPr>
            <w:r>
              <w:rPr>
                <w:rFonts w:hint="eastAsia" w:ascii="宋体" w:hAnsi="宋体" w:cs="宋体"/>
                <w:sz w:val="24"/>
                <w:szCs w:val="24"/>
              </w:rPr>
              <w:t>技术负责人</w:t>
            </w:r>
          </w:p>
        </w:tc>
        <w:tc>
          <w:tcPr>
            <w:tcW w:w="1180" w:type="dxa"/>
            <w:tcBorders>
              <w:top w:val="single" w:color="auto" w:sz="4" w:space="0"/>
              <w:left w:val="single" w:color="auto" w:sz="4" w:space="0"/>
              <w:bottom w:val="single" w:color="auto" w:sz="4" w:space="0"/>
              <w:right w:val="single" w:color="auto" w:sz="4" w:space="0"/>
            </w:tcBorders>
            <w:vAlign w:val="center"/>
          </w:tcPr>
          <w:p w14:paraId="2E274CEB">
            <w:pPr>
              <w:jc w:val="center"/>
              <w:rPr>
                <w:rFonts w:ascii="宋体" w:hAnsi="宋体" w:cs="宋体"/>
                <w:sz w:val="24"/>
                <w:szCs w:val="24"/>
              </w:rPr>
            </w:pPr>
            <w:r>
              <w:rPr>
                <w:rFonts w:hint="eastAsia" w:ascii="宋体" w:hAnsi="宋体" w:cs="宋体"/>
                <w:sz w:val="24"/>
                <w:szCs w:val="24"/>
              </w:rPr>
              <w:t>姓名</w:t>
            </w:r>
          </w:p>
        </w:tc>
        <w:tc>
          <w:tcPr>
            <w:tcW w:w="898" w:type="dxa"/>
            <w:tcBorders>
              <w:top w:val="single" w:color="auto" w:sz="4" w:space="0"/>
              <w:left w:val="single" w:color="auto" w:sz="4" w:space="0"/>
              <w:bottom w:val="single" w:color="auto" w:sz="4" w:space="0"/>
              <w:right w:val="single" w:color="auto" w:sz="4" w:space="0"/>
            </w:tcBorders>
            <w:vAlign w:val="center"/>
          </w:tcPr>
          <w:p w14:paraId="79E4AC72">
            <w:pPr>
              <w:jc w:val="center"/>
              <w:rPr>
                <w:rFonts w:ascii="宋体" w:hAnsi="宋体" w:cs="宋体"/>
                <w:sz w:val="24"/>
                <w:szCs w:val="24"/>
              </w:rPr>
            </w:pPr>
          </w:p>
        </w:tc>
        <w:tc>
          <w:tcPr>
            <w:tcW w:w="1417" w:type="dxa"/>
            <w:gridSpan w:val="2"/>
            <w:tcBorders>
              <w:top w:val="single" w:color="auto" w:sz="4" w:space="0"/>
              <w:left w:val="single" w:color="auto" w:sz="4" w:space="0"/>
              <w:bottom w:val="single" w:color="auto" w:sz="4" w:space="0"/>
              <w:right w:val="single" w:color="auto" w:sz="4" w:space="0"/>
            </w:tcBorders>
            <w:vAlign w:val="center"/>
          </w:tcPr>
          <w:p w14:paraId="10D2B8C4">
            <w:pPr>
              <w:jc w:val="center"/>
              <w:rPr>
                <w:rFonts w:ascii="宋体" w:hAnsi="宋体" w:cs="宋体"/>
                <w:sz w:val="24"/>
                <w:szCs w:val="24"/>
              </w:rPr>
            </w:pPr>
            <w:r>
              <w:rPr>
                <w:rFonts w:hint="eastAsia" w:ascii="宋体" w:hAnsi="宋体" w:cs="宋体"/>
                <w:sz w:val="24"/>
                <w:szCs w:val="24"/>
              </w:rPr>
              <w:t>技术职称</w:t>
            </w:r>
          </w:p>
        </w:tc>
        <w:tc>
          <w:tcPr>
            <w:tcW w:w="2113" w:type="dxa"/>
            <w:gridSpan w:val="3"/>
            <w:tcBorders>
              <w:top w:val="single" w:color="auto" w:sz="4" w:space="0"/>
              <w:left w:val="single" w:color="auto" w:sz="4" w:space="0"/>
              <w:bottom w:val="single" w:color="auto" w:sz="4" w:space="0"/>
              <w:right w:val="single" w:color="auto" w:sz="4" w:space="0"/>
            </w:tcBorders>
            <w:vAlign w:val="center"/>
          </w:tcPr>
          <w:p w14:paraId="33603692">
            <w:pPr>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37006A95">
            <w:pPr>
              <w:jc w:val="center"/>
              <w:rPr>
                <w:rFonts w:ascii="宋体" w:hAnsi="宋体" w:cs="宋体"/>
                <w:sz w:val="24"/>
                <w:szCs w:val="24"/>
              </w:rPr>
            </w:pPr>
            <w:r>
              <w:rPr>
                <w:rFonts w:hint="eastAsia" w:ascii="宋体" w:hAnsi="宋体" w:cs="宋体"/>
                <w:sz w:val="24"/>
                <w:szCs w:val="24"/>
              </w:rPr>
              <w:t>电话</w:t>
            </w:r>
          </w:p>
        </w:tc>
        <w:tc>
          <w:tcPr>
            <w:tcW w:w="1120" w:type="dxa"/>
            <w:tcBorders>
              <w:top w:val="single" w:color="auto" w:sz="4" w:space="0"/>
              <w:left w:val="single" w:color="auto" w:sz="4" w:space="0"/>
              <w:bottom w:val="single" w:color="auto" w:sz="4" w:space="0"/>
            </w:tcBorders>
            <w:vAlign w:val="center"/>
          </w:tcPr>
          <w:p w14:paraId="2641F4EC">
            <w:pPr>
              <w:jc w:val="center"/>
              <w:rPr>
                <w:rFonts w:ascii="宋体" w:hAnsi="宋体" w:cs="宋体"/>
                <w:sz w:val="24"/>
                <w:szCs w:val="24"/>
              </w:rPr>
            </w:pPr>
          </w:p>
        </w:tc>
      </w:tr>
      <w:tr w14:paraId="72579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3" w:hRule="atLeast"/>
          <w:jc w:val="center"/>
        </w:trPr>
        <w:tc>
          <w:tcPr>
            <w:tcW w:w="1944" w:type="dxa"/>
            <w:tcBorders>
              <w:top w:val="single" w:color="auto" w:sz="4" w:space="0"/>
              <w:bottom w:val="single" w:color="auto" w:sz="4" w:space="0"/>
              <w:right w:val="single" w:color="auto" w:sz="4" w:space="0"/>
            </w:tcBorders>
            <w:vAlign w:val="center"/>
          </w:tcPr>
          <w:p w14:paraId="0A52EEBE">
            <w:pPr>
              <w:jc w:val="center"/>
              <w:rPr>
                <w:rFonts w:ascii="宋体" w:hAnsi="宋体" w:cs="宋体"/>
                <w:sz w:val="24"/>
                <w:szCs w:val="24"/>
              </w:rPr>
            </w:pPr>
            <w:r>
              <w:rPr>
                <w:rFonts w:hint="eastAsia" w:ascii="宋体" w:hAnsi="宋体" w:cs="宋体"/>
                <w:sz w:val="24"/>
                <w:szCs w:val="24"/>
              </w:rPr>
              <w:t>成立时间</w:t>
            </w:r>
          </w:p>
        </w:tc>
        <w:tc>
          <w:tcPr>
            <w:tcW w:w="2078" w:type="dxa"/>
            <w:gridSpan w:val="2"/>
            <w:tcBorders>
              <w:top w:val="single" w:color="auto" w:sz="4" w:space="0"/>
              <w:left w:val="single" w:color="auto" w:sz="4" w:space="0"/>
              <w:bottom w:val="single" w:color="auto" w:sz="4" w:space="0"/>
              <w:right w:val="single" w:color="auto" w:sz="4" w:space="0"/>
            </w:tcBorders>
            <w:vAlign w:val="center"/>
          </w:tcPr>
          <w:p w14:paraId="77A108D8">
            <w:pPr>
              <w:jc w:val="center"/>
              <w:rPr>
                <w:rFonts w:ascii="宋体" w:hAnsi="宋体" w:cs="宋体"/>
                <w:sz w:val="24"/>
                <w:szCs w:val="24"/>
              </w:rPr>
            </w:pPr>
          </w:p>
        </w:tc>
        <w:tc>
          <w:tcPr>
            <w:tcW w:w="5617" w:type="dxa"/>
            <w:gridSpan w:val="7"/>
            <w:tcBorders>
              <w:top w:val="single" w:color="auto" w:sz="4" w:space="0"/>
              <w:left w:val="single" w:color="auto" w:sz="4" w:space="0"/>
              <w:bottom w:val="single" w:color="auto" w:sz="4" w:space="0"/>
            </w:tcBorders>
            <w:vAlign w:val="center"/>
          </w:tcPr>
          <w:p w14:paraId="24768633">
            <w:pPr>
              <w:jc w:val="center"/>
              <w:rPr>
                <w:rFonts w:ascii="宋体" w:hAnsi="宋体" w:cs="宋体"/>
                <w:sz w:val="24"/>
                <w:szCs w:val="24"/>
              </w:rPr>
            </w:pPr>
            <w:r>
              <w:rPr>
                <w:rFonts w:hint="eastAsia" w:ascii="宋体" w:hAnsi="宋体" w:cs="宋体"/>
                <w:sz w:val="24"/>
                <w:szCs w:val="24"/>
              </w:rPr>
              <w:t>员工总人数：</w:t>
            </w:r>
          </w:p>
        </w:tc>
      </w:tr>
      <w:tr w14:paraId="607E52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61" w:hRule="atLeast"/>
          <w:jc w:val="center"/>
        </w:trPr>
        <w:tc>
          <w:tcPr>
            <w:tcW w:w="1944" w:type="dxa"/>
            <w:tcBorders>
              <w:top w:val="single" w:color="auto" w:sz="4" w:space="0"/>
              <w:bottom w:val="single" w:color="auto" w:sz="4" w:space="0"/>
              <w:right w:val="single" w:color="auto" w:sz="4" w:space="0"/>
            </w:tcBorders>
            <w:vAlign w:val="center"/>
          </w:tcPr>
          <w:p w14:paraId="498C8A79">
            <w:pPr>
              <w:jc w:val="center"/>
              <w:rPr>
                <w:rFonts w:ascii="宋体" w:hAnsi="宋体" w:cs="宋体"/>
                <w:sz w:val="24"/>
                <w:szCs w:val="24"/>
              </w:rPr>
            </w:pPr>
            <w:r>
              <w:rPr>
                <w:rFonts w:hint="eastAsia" w:ascii="宋体" w:hAnsi="宋体" w:cs="宋体"/>
                <w:sz w:val="24"/>
                <w:szCs w:val="24"/>
              </w:rPr>
              <w:t>企业资质等级</w:t>
            </w:r>
          </w:p>
        </w:tc>
        <w:tc>
          <w:tcPr>
            <w:tcW w:w="2078" w:type="dxa"/>
            <w:gridSpan w:val="2"/>
            <w:tcBorders>
              <w:top w:val="single" w:color="auto" w:sz="4" w:space="0"/>
              <w:left w:val="single" w:color="auto" w:sz="4" w:space="0"/>
              <w:bottom w:val="single" w:color="auto" w:sz="4" w:space="0"/>
              <w:right w:val="single" w:color="auto" w:sz="4" w:space="0"/>
            </w:tcBorders>
            <w:vAlign w:val="center"/>
          </w:tcPr>
          <w:p w14:paraId="03FADBE0">
            <w:pPr>
              <w:jc w:val="center"/>
              <w:rPr>
                <w:rFonts w:ascii="宋体" w:hAnsi="宋体" w:cs="宋体"/>
                <w:sz w:val="24"/>
                <w:szCs w:val="24"/>
              </w:rPr>
            </w:pPr>
          </w:p>
        </w:tc>
        <w:tc>
          <w:tcPr>
            <w:tcW w:w="944" w:type="dxa"/>
            <w:vMerge w:val="restart"/>
            <w:tcBorders>
              <w:top w:val="single" w:color="auto" w:sz="4" w:space="0"/>
              <w:left w:val="single" w:color="auto" w:sz="4" w:space="0"/>
              <w:bottom w:val="single" w:color="auto" w:sz="4" w:space="0"/>
              <w:right w:val="single" w:color="auto" w:sz="4" w:space="0"/>
            </w:tcBorders>
            <w:vAlign w:val="center"/>
          </w:tcPr>
          <w:p w14:paraId="1B7E3AC2">
            <w:pPr>
              <w:jc w:val="center"/>
              <w:rPr>
                <w:rFonts w:ascii="宋体" w:hAnsi="宋体" w:cs="宋体"/>
                <w:sz w:val="24"/>
                <w:szCs w:val="24"/>
              </w:rPr>
            </w:pPr>
            <w:r>
              <w:rPr>
                <w:rFonts w:hint="eastAsia" w:ascii="宋体" w:hAnsi="宋体" w:cs="宋体"/>
                <w:sz w:val="24"/>
                <w:szCs w:val="24"/>
              </w:rPr>
              <w:t>其中</w:t>
            </w:r>
          </w:p>
        </w:tc>
        <w:tc>
          <w:tcPr>
            <w:tcW w:w="2586" w:type="dxa"/>
            <w:gridSpan w:val="4"/>
            <w:tcBorders>
              <w:top w:val="single" w:color="auto" w:sz="4" w:space="0"/>
              <w:left w:val="single" w:color="auto" w:sz="4" w:space="0"/>
              <w:bottom w:val="single" w:color="auto" w:sz="4" w:space="0"/>
              <w:right w:val="single" w:color="auto" w:sz="4" w:space="0"/>
            </w:tcBorders>
            <w:vAlign w:val="center"/>
          </w:tcPr>
          <w:p w14:paraId="31FD701E">
            <w:pPr>
              <w:jc w:val="center"/>
              <w:rPr>
                <w:rFonts w:ascii="宋体" w:hAnsi="宋体" w:cs="宋体"/>
                <w:sz w:val="24"/>
                <w:szCs w:val="24"/>
              </w:rPr>
            </w:pPr>
            <w:r>
              <w:rPr>
                <w:rFonts w:hint="eastAsia" w:ascii="宋体" w:hAnsi="宋体" w:cs="宋体"/>
                <w:sz w:val="24"/>
                <w:szCs w:val="24"/>
              </w:rPr>
              <w:t>项目经理</w:t>
            </w:r>
          </w:p>
        </w:tc>
        <w:tc>
          <w:tcPr>
            <w:tcW w:w="2087" w:type="dxa"/>
            <w:gridSpan w:val="2"/>
            <w:tcBorders>
              <w:top w:val="single" w:color="auto" w:sz="4" w:space="0"/>
              <w:left w:val="single" w:color="auto" w:sz="4" w:space="0"/>
              <w:bottom w:val="single" w:color="auto" w:sz="4" w:space="0"/>
            </w:tcBorders>
            <w:vAlign w:val="center"/>
          </w:tcPr>
          <w:p w14:paraId="4CAD5580">
            <w:pPr>
              <w:jc w:val="center"/>
              <w:rPr>
                <w:rFonts w:ascii="宋体" w:hAnsi="宋体" w:cs="宋体"/>
                <w:sz w:val="24"/>
                <w:szCs w:val="24"/>
              </w:rPr>
            </w:pPr>
          </w:p>
        </w:tc>
      </w:tr>
      <w:tr w14:paraId="1EF70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8" w:hRule="atLeast"/>
          <w:jc w:val="center"/>
        </w:trPr>
        <w:tc>
          <w:tcPr>
            <w:tcW w:w="1944" w:type="dxa"/>
            <w:tcBorders>
              <w:top w:val="single" w:color="auto" w:sz="4" w:space="0"/>
              <w:bottom w:val="single" w:color="auto" w:sz="4" w:space="0"/>
              <w:right w:val="single" w:color="auto" w:sz="4" w:space="0"/>
            </w:tcBorders>
            <w:vAlign w:val="center"/>
          </w:tcPr>
          <w:p w14:paraId="7676A9C4">
            <w:pPr>
              <w:jc w:val="center"/>
              <w:rPr>
                <w:rFonts w:ascii="宋体" w:hAnsi="宋体" w:cs="宋体"/>
                <w:sz w:val="24"/>
                <w:szCs w:val="24"/>
              </w:rPr>
            </w:pPr>
            <w:r>
              <w:rPr>
                <w:rFonts w:hint="eastAsia" w:ascii="宋体" w:hAnsi="宋体" w:cs="宋体"/>
                <w:sz w:val="24"/>
                <w:szCs w:val="24"/>
              </w:rPr>
              <w:t>营业执照号</w:t>
            </w:r>
          </w:p>
        </w:tc>
        <w:tc>
          <w:tcPr>
            <w:tcW w:w="2078" w:type="dxa"/>
            <w:gridSpan w:val="2"/>
            <w:tcBorders>
              <w:top w:val="single" w:color="auto" w:sz="4" w:space="0"/>
              <w:left w:val="single" w:color="auto" w:sz="4" w:space="0"/>
              <w:bottom w:val="single" w:color="auto" w:sz="4" w:space="0"/>
              <w:right w:val="single" w:color="auto" w:sz="4" w:space="0"/>
            </w:tcBorders>
            <w:vAlign w:val="center"/>
          </w:tcPr>
          <w:p w14:paraId="0F93EB6A">
            <w:pPr>
              <w:jc w:val="center"/>
              <w:rPr>
                <w:rFonts w:ascii="宋体" w:hAnsi="宋体" w:cs="宋体"/>
                <w:sz w:val="24"/>
                <w:szCs w:val="24"/>
              </w:rPr>
            </w:pPr>
          </w:p>
        </w:tc>
        <w:tc>
          <w:tcPr>
            <w:tcW w:w="944" w:type="dxa"/>
            <w:vMerge w:val="continue"/>
            <w:tcBorders>
              <w:top w:val="single" w:color="auto" w:sz="4" w:space="0"/>
              <w:left w:val="single" w:color="auto" w:sz="4" w:space="0"/>
              <w:bottom w:val="single" w:color="auto" w:sz="4" w:space="0"/>
              <w:right w:val="single" w:color="auto" w:sz="4" w:space="0"/>
            </w:tcBorders>
            <w:vAlign w:val="center"/>
          </w:tcPr>
          <w:p w14:paraId="1E31EBD6">
            <w:pPr>
              <w:rPr>
                <w:rFonts w:ascii="宋体" w:hAnsi="宋体" w:cs="宋体"/>
                <w:sz w:val="24"/>
                <w:szCs w:val="24"/>
              </w:rPr>
            </w:pPr>
          </w:p>
        </w:tc>
        <w:tc>
          <w:tcPr>
            <w:tcW w:w="2586" w:type="dxa"/>
            <w:gridSpan w:val="4"/>
            <w:tcBorders>
              <w:top w:val="single" w:color="auto" w:sz="4" w:space="0"/>
              <w:left w:val="single" w:color="auto" w:sz="4" w:space="0"/>
              <w:bottom w:val="single" w:color="auto" w:sz="4" w:space="0"/>
              <w:right w:val="single" w:color="auto" w:sz="4" w:space="0"/>
            </w:tcBorders>
            <w:vAlign w:val="center"/>
          </w:tcPr>
          <w:p w14:paraId="296C1C97">
            <w:pPr>
              <w:jc w:val="center"/>
              <w:rPr>
                <w:rFonts w:ascii="宋体" w:hAnsi="宋体" w:cs="宋体"/>
                <w:sz w:val="24"/>
                <w:szCs w:val="24"/>
              </w:rPr>
            </w:pPr>
            <w:r>
              <w:rPr>
                <w:rFonts w:hint="eastAsia" w:ascii="宋体" w:hAnsi="宋体" w:cs="宋体"/>
                <w:sz w:val="24"/>
                <w:szCs w:val="24"/>
              </w:rPr>
              <w:t>高级职称人员</w:t>
            </w:r>
          </w:p>
        </w:tc>
        <w:tc>
          <w:tcPr>
            <w:tcW w:w="2087" w:type="dxa"/>
            <w:gridSpan w:val="2"/>
            <w:tcBorders>
              <w:top w:val="single" w:color="auto" w:sz="4" w:space="0"/>
              <w:left w:val="single" w:color="auto" w:sz="4" w:space="0"/>
              <w:bottom w:val="single" w:color="auto" w:sz="4" w:space="0"/>
            </w:tcBorders>
            <w:vAlign w:val="center"/>
          </w:tcPr>
          <w:p w14:paraId="36559E3C">
            <w:pPr>
              <w:jc w:val="center"/>
              <w:rPr>
                <w:rFonts w:ascii="宋体" w:hAnsi="宋体" w:cs="宋体"/>
                <w:sz w:val="24"/>
                <w:szCs w:val="24"/>
              </w:rPr>
            </w:pPr>
          </w:p>
        </w:tc>
      </w:tr>
      <w:tr w14:paraId="0C1C60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2" w:hRule="atLeast"/>
          <w:jc w:val="center"/>
        </w:trPr>
        <w:tc>
          <w:tcPr>
            <w:tcW w:w="1944" w:type="dxa"/>
            <w:tcBorders>
              <w:top w:val="single" w:color="auto" w:sz="4" w:space="0"/>
              <w:bottom w:val="single" w:color="auto" w:sz="4" w:space="0"/>
              <w:right w:val="single" w:color="auto" w:sz="4" w:space="0"/>
            </w:tcBorders>
            <w:vAlign w:val="center"/>
          </w:tcPr>
          <w:p w14:paraId="2B5BF456">
            <w:pPr>
              <w:jc w:val="center"/>
              <w:rPr>
                <w:rFonts w:ascii="宋体" w:hAnsi="宋体" w:cs="宋体"/>
                <w:sz w:val="24"/>
                <w:szCs w:val="24"/>
              </w:rPr>
            </w:pPr>
            <w:r>
              <w:rPr>
                <w:rFonts w:hint="eastAsia" w:ascii="宋体" w:hAnsi="宋体" w:cs="宋体"/>
                <w:sz w:val="24"/>
                <w:szCs w:val="24"/>
              </w:rPr>
              <w:t>注册资金</w:t>
            </w:r>
          </w:p>
        </w:tc>
        <w:tc>
          <w:tcPr>
            <w:tcW w:w="2078" w:type="dxa"/>
            <w:gridSpan w:val="2"/>
            <w:tcBorders>
              <w:top w:val="single" w:color="auto" w:sz="4" w:space="0"/>
              <w:left w:val="single" w:color="auto" w:sz="4" w:space="0"/>
              <w:bottom w:val="single" w:color="auto" w:sz="4" w:space="0"/>
              <w:right w:val="single" w:color="auto" w:sz="4" w:space="0"/>
            </w:tcBorders>
            <w:vAlign w:val="center"/>
          </w:tcPr>
          <w:p w14:paraId="6A4071E5">
            <w:pPr>
              <w:jc w:val="center"/>
              <w:rPr>
                <w:rFonts w:ascii="宋体" w:hAnsi="宋体" w:cs="宋体"/>
                <w:sz w:val="24"/>
                <w:szCs w:val="24"/>
              </w:rPr>
            </w:pPr>
          </w:p>
        </w:tc>
        <w:tc>
          <w:tcPr>
            <w:tcW w:w="944" w:type="dxa"/>
            <w:vMerge w:val="continue"/>
            <w:tcBorders>
              <w:top w:val="single" w:color="auto" w:sz="4" w:space="0"/>
              <w:left w:val="single" w:color="auto" w:sz="4" w:space="0"/>
              <w:bottom w:val="single" w:color="auto" w:sz="4" w:space="0"/>
              <w:right w:val="single" w:color="auto" w:sz="4" w:space="0"/>
            </w:tcBorders>
            <w:vAlign w:val="center"/>
          </w:tcPr>
          <w:p w14:paraId="0FEFBB14">
            <w:pPr>
              <w:rPr>
                <w:rFonts w:ascii="宋体" w:hAnsi="宋体" w:cs="宋体"/>
                <w:sz w:val="24"/>
                <w:szCs w:val="24"/>
              </w:rPr>
            </w:pPr>
          </w:p>
        </w:tc>
        <w:tc>
          <w:tcPr>
            <w:tcW w:w="2586" w:type="dxa"/>
            <w:gridSpan w:val="4"/>
            <w:tcBorders>
              <w:top w:val="single" w:color="auto" w:sz="4" w:space="0"/>
              <w:left w:val="single" w:color="auto" w:sz="4" w:space="0"/>
              <w:bottom w:val="single" w:color="auto" w:sz="4" w:space="0"/>
              <w:right w:val="single" w:color="auto" w:sz="4" w:space="0"/>
            </w:tcBorders>
            <w:vAlign w:val="center"/>
          </w:tcPr>
          <w:p w14:paraId="69F2CF3B">
            <w:pPr>
              <w:jc w:val="center"/>
              <w:rPr>
                <w:rFonts w:ascii="宋体" w:hAnsi="宋体" w:cs="宋体"/>
                <w:sz w:val="24"/>
                <w:szCs w:val="24"/>
              </w:rPr>
            </w:pPr>
            <w:r>
              <w:rPr>
                <w:rFonts w:hint="eastAsia" w:ascii="宋体" w:hAnsi="宋体" w:cs="宋体"/>
                <w:sz w:val="24"/>
                <w:szCs w:val="24"/>
              </w:rPr>
              <w:t>中级职称人员</w:t>
            </w:r>
          </w:p>
        </w:tc>
        <w:tc>
          <w:tcPr>
            <w:tcW w:w="2087" w:type="dxa"/>
            <w:gridSpan w:val="2"/>
            <w:tcBorders>
              <w:top w:val="single" w:color="auto" w:sz="4" w:space="0"/>
              <w:left w:val="single" w:color="auto" w:sz="4" w:space="0"/>
              <w:bottom w:val="single" w:color="auto" w:sz="4" w:space="0"/>
            </w:tcBorders>
            <w:vAlign w:val="center"/>
          </w:tcPr>
          <w:p w14:paraId="57B7EFAB">
            <w:pPr>
              <w:jc w:val="center"/>
              <w:rPr>
                <w:rFonts w:ascii="宋体" w:hAnsi="宋体" w:cs="宋体"/>
                <w:sz w:val="24"/>
                <w:szCs w:val="24"/>
              </w:rPr>
            </w:pPr>
          </w:p>
        </w:tc>
      </w:tr>
      <w:tr w14:paraId="60C3C7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5" w:hRule="atLeast"/>
          <w:jc w:val="center"/>
        </w:trPr>
        <w:tc>
          <w:tcPr>
            <w:tcW w:w="1944" w:type="dxa"/>
            <w:tcBorders>
              <w:top w:val="single" w:color="auto" w:sz="4" w:space="0"/>
              <w:bottom w:val="single" w:color="auto" w:sz="4" w:space="0"/>
              <w:right w:val="single" w:color="auto" w:sz="4" w:space="0"/>
            </w:tcBorders>
            <w:vAlign w:val="center"/>
          </w:tcPr>
          <w:p w14:paraId="06A3E3B3">
            <w:pPr>
              <w:jc w:val="center"/>
              <w:rPr>
                <w:rFonts w:ascii="宋体" w:hAnsi="宋体" w:cs="宋体"/>
                <w:sz w:val="24"/>
                <w:szCs w:val="24"/>
              </w:rPr>
            </w:pPr>
            <w:r>
              <w:rPr>
                <w:rFonts w:hint="eastAsia" w:ascii="宋体" w:hAnsi="宋体" w:cs="宋体"/>
                <w:sz w:val="24"/>
                <w:szCs w:val="24"/>
              </w:rPr>
              <w:t>开户银行</w:t>
            </w:r>
          </w:p>
        </w:tc>
        <w:tc>
          <w:tcPr>
            <w:tcW w:w="2078" w:type="dxa"/>
            <w:gridSpan w:val="2"/>
            <w:tcBorders>
              <w:top w:val="single" w:color="auto" w:sz="4" w:space="0"/>
              <w:left w:val="single" w:color="auto" w:sz="4" w:space="0"/>
              <w:bottom w:val="single" w:color="auto" w:sz="4" w:space="0"/>
              <w:right w:val="single" w:color="auto" w:sz="4" w:space="0"/>
            </w:tcBorders>
            <w:vAlign w:val="center"/>
          </w:tcPr>
          <w:p w14:paraId="4369C639">
            <w:pPr>
              <w:jc w:val="center"/>
              <w:rPr>
                <w:rFonts w:ascii="宋体" w:hAnsi="宋体" w:cs="宋体"/>
                <w:sz w:val="24"/>
                <w:szCs w:val="24"/>
              </w:rPr>
            </w:pPr>
          </w:p>
        </w:tc>
        <w:tc>
          <w:tcPr>
            <w:tcW w:w="944" w:type="dxa"/>
            <w:vMerge w:val="continue"/>
            <w:tcBorders>
              <w:top w:val="single" w:color="auto" w:sz="4" w:space="0"/>
              <w:left w:val="single" w:color="auto" w:sz="4" w:space="0"/>
              <w:bottom w:val="single" w:color="auto" w:sz="4" w:space="0"/>
              <w:right w:val="single" w:color="auto" w:sz="4" w:space="0"/>
            </w:tcBorders>
            <w:vAlign w:val="center"/>
          </w:tcPr>
          <w:p w14:paraId="59591B09">
            <w:pPr>
              <w:rPr>
                <w:rFonts w:ascii="宋体" w:hAnsi="宋体" w:cs="宋体"/>
                <w:sz w:val="24"/>
                <w:szCs w:val="24"/>
              </w:rPr>
            </w:pPr>
          </w:p>
        </w:tc>
        <w:tc>
          <w:tcPr>
            <w:tcW w:w="2586" w:type="dxa"/>
            <w:gridSpan w:val="4"/>
            <w:tcBorders>
              <w:top w:val="single" w:color="auto" w:sz="4" w:space="0"/>
              <w:left w:val="single" w:color="auto" w:sz="4" w:space="0"/>
              <w:bottom w:val="single" w:color="auto" w:sz="4" w:space="0"/>
              <w:right w:val="single" w:color="auto" w:sz="4" w:space="0"/>
            </w:tcBorders>
            <w:vAlign w:val="center"/>
          </w:tcPr>
          <w:p w14:paraId="2538DDB7">
            <w:pPr>
              <w:jc w:val="center"/>
              <w:rPr>
                <w:rFonts w:ascii="宋体" w:hAnsi="宋体" w:cs="宋体"/>
                <w:sz w:val="24"/>
                <w:szCs w:val="24"/>
              </w:rPr>
            </w:pPr>
            <w:r>
              <w:rPr>
                <w:rFonts w:hint="eastAsia" w:ascii="宋体" w:hAnsi="宋体" w:cs="宋体"/>
                <w:sz w:val="24"/>
                <w:szCs w:val="24"/>
              </w:rPr>
              <w:t>初级职称人员</w:t>
            </w:r>
          </w:p>
        </w:tc>
        <w:tc>
          <w:tcPr>
            <w:tcW w:w="2087" w:type="dxa"/>
            <w:gridSpan w:val="2"/>
            <w:tcBorders>
              <w:top w:val="single" w:color="auto" w:sz="4" w:space="0"/>
              <w:left w:val="single" w:color="auto" w:sz="4" w:space="0"/>
              <w:bottom w:val="single" w:color="auto" w:sz="4" w:space="0"/>
            </w:tcBorders>
            <w:vAlign w:val="center"/>
          </w:tcPr>
          <w:p w14:paraId="40FB34BC">
            <w:pPr>
              <w:jc w:val="center"/>
              <w:rPr>
                <w:rFonts w:ascii="宋体" w:hAnsi="宋体" w:cs="宋体"/>
                <w:sz w:val="24"/>
                <w:szCs w:val="24"/>
              </w:rPr>
            </w:pPr>
          </w:p>
        </w:tc>
      </w:tr>
      <w:tr w14:paraId="28E5DF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4" w:hRule="atLeast"/>
          <w:jc w:val="center"/>
        </w:trPr>
        <w:tc>
          <w:tcPr>
            <w:tcW w:w="1944" w:type="dxa"/>
            <w:tcBorders>
              <w:top w:val="single" w:color="auto" w:sz="4" w:space="0"/>
              <w:bottom w:val="single" w:color="auto" w:sz="4" w:space="0"/>
              <w:right w:val="single" w:color="auto" w:sz="4" w:space="0"/>
            </w:tcBorders>
            <w:vAlign w:val="center"/>
          </w:tcPr>
          <w:p w14:paraId="56BBF9CB">
            <w:pPr>
              <w:jc w:val="center"/>
              <w:rPr>
                <w:rFonts w:ascii="宋体" w:hAnsi="宋体" w:cs="宋体"/>
                <w:sz w:val="24"/>
                <w:szCs w:val="24"/>
              </w:rPr>
            </w:pPr>
            <w:r>
              <w:rPr>
                <w:rFonts w:hint="eastAsia" w:ascii="宋体" w:hAnsi="宋体" w:cs="宋体"/>
                <w:sz w:val="24"/>
                <w:szCs w:val="24"/>
              </w:rPr>
              <w:t>账号</w:t>
            </w:r>
          </w:p>
        </w:tc>
        <w:tc>
          <w:tcPr>
            <w:tcW w:w="2078" w:type="dxa"/>
            <w:gridSpan w:val="2"/>
            <w:tcBorders>
              <w:top w:val="single" w:color="auto" w:sz="4" w:space="0"/>
              <w:left w:val="single" w:color="auto" w:sz="4" w:space="0"/>
              <w:bottom w:val="single" w:color="auto" w:sz="4" w:space="0"/>
              <w:right w:val="single" w:color="auto" w:sz="4" w:space="0"/>
            </w:tcBorders>
            <w:vAlign w:val="center"/>
          </w:tcPr>
          <w:p w14:paraId="74847063">
            <w:pPr>
              <w:jc w:val="center"/>
              <w:rPr>
                <w:rFonts w:ascii="宋体" w:hAnsi="宋体" w:cs="宋体"/>
                <w:sz w:val="24"/>
                <w:szCs w:val="24"/>
              </w:rPr>
            </w:pPr>
          </w:p>
        </w:tc>
        <w:tc>
          <w:tcPr>
            <w:tcW w:w="944" w:type="dxa"/>
            <w:vMerge w:val="continue"/>
            <w:tcBorders>
              <w:top w:val="single" w:color="auto" w:sz="4" w:space="0"/>
              <w:left w:val="single" w:color="auto" w:sz="4" w:space="0"/>
              <w:bottom w:val="single" w:color="auto" w:sz="4" w:space="0"/>
              <w:right w:val="single" w:color="auto" w:sz="4" w:space="0"/>
            </w:tcBorders>
            <w:vAlign w:val="center"/>
          </w:tcPr>
          <w:p w14:paraId="04414651">
            <w:pPr>
              <w:rPr>
                <w:rFonts w:ascii="宋体" w:hAnsi="宋体" w:cs="宋体"/>
                <w:sz w:val="24"/>
                <w:szCs w:val="24"/>
              </w:rPr>
            </w:pPr>
          </w:p>
        </w:tc>
        <w:tc>
          <w:tcPr>
            <w:tcW w:w="2586" w:type="dxa"/>
            <w:gridSpan w:val="4"/>
            <w:tcBorders>
              <w:top w:val="single" w:color="auto" w:sz="4" w:space="0"/>
              <w:left w:val="single" w:color="auto" w:sz="4" w:space="0"/>
              <w:bottom w:val="single" w:color="auto" w:sz="4" w:space="0"/>
              <w:right w:val="single" w:color="auto" w:sz="4" w:space="0"/>
            </w:tcBorders>
            <w:vAlign w:val="center"/>
          </w:tcPr>
          <w:p w14:paraId="573F0FEF">
            <w:pPr>
              <w:jc w:val="center"/>
              <w:rPr>
                <w:rFonts w:ascii="宋体" w:hAnsi="宋体" w:cs="宋体"/>
                <w:sz w:val="24"/>
                <w:szCs w:val="24"/>
              </w:rPr>
            </w:pPr>
            <w:r>
              <w:rPr>
                <w:rFonts w:hint="eastAsia" w:ascii="宋体" w:hAnsi="宋体" w:cs="宋体"/>
                <w:sz w:val="24"/>
                <w:szCs w:val="24"/>
              </w:rPr>
              <w:t>技工</w:t>
            </w:r>
          </w:p>
        </w:tc>
        <w:tc>
          <w:tcPr>
            <w:tcW w:w="2087" w:type="dxa"/>
            <w:gridSpan w:val="2"/>
            <w:tcBorders>
              <w:top w:val="single" w:color="auto" w:sz="4" w:space="0"/>
              <w:left w:val="single" w:color="auto" w:sz="4" w:space="0"/>
              <w:bottom w:val="single" w:color="auto" w:sz="4" w:space="0"/>
            </w:tcBorders>
            <w:vAlign w:val="center"/>
          </w:tcPr>
          <w:p w14:paraId="144F8DEC">
            <w:pPr>
              <w:jc w:val="center"/>
              <w:rPr>
                <w:rFonts w:ascii="宋体" w:hAnsi="宋体" w:cs="宋体"/>
                <w:sz w:val="24"/>
                <w:szCs w:val="24"/>
              </w:rPr>
            </w:pPr>
          </w:p>
        </w:tc>
      </w:tr>
      <w:tr w14:paraId="449461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8" w:hRule="atLeast"/>
          <w:jc w:val="center"/>
        </w:trPr>
        <w:tc>
          <w:tcPr>
            <w:tcW w:w="1944" w:type="dxa"/>
            <w:tcBorders>
              <w:top w:val="single" w:color="auto" w:sz="4" w:space="0"/>
              <w:right w:val="single" w:color="auto" w:sz="4" w:space="0"/>
            </w:tcBorders>
            <w:vAlign w:val="center"/>
          </w:tcPr>
          <w:p w14:paraId="39B3B1E7">
            <w:pPr>
              <w:jc w:val="center"/>
              <w:rPr>
                <w:rFonts w:ascii="宋体" w:hAnsi="宋体" w:cs="宋体"/>
                <w:sz w:val="24"/>
                <w:szCs w:val="24"/>
              </w:rPr>
            </w:pPr>
            <w:r>
              <w:rPr>
                <w:rFonts w:hint="eastAsia" w:ascii="宋体" w:hAnsi="宋体" w:cs="宋体"/>
                <w:sz w:val="24"/>
                <w:szCs w:val="24"/>
              </w:rPr>
              <w:t>经营范围</w:t>
            </w:r>
          </w:p>
        </w:tc>
        <w:tc>
          <w:tcPr>
            <w:tcW w:w="7695" w:type="dxa"/>
            <w:gridSpan w:val="9"/>
            <w:tcBorders>
              <w:top w:val="single" w:color="auto" w:sz="4" w:space="0"/>
              <w:left w:val="single" w:color="auto" w:sz="4" w:space="0"/>
            </w:tcBorders>
            <w:vAlign w:val="center"/>
          </w:tcPr>
          <w:p w14:paraId="72FA30EE">
            <w:pPr>
              <w:jc w:val="center"/>
              <w:rPr>
                <w:rFonts w:ascii="宋体" w:hAnsi="宋体" w:cs="宋体"/>
                <w:sz w:val="24"/>
                <w:szCs w:val="24"/>
              </w:rPr>
            </w:pPr>
          </w:p>
          <w:p w14:paraId="73166259">
            <w:pPr>
              <w:jc w:val="center"/>
              <w:rPr>
                <w:rFonts w:ascii="宋体" w:hAnsi="宋体" w:cs="宋体"/>
                <w:sz w:val="24"/>
                <w:szCs w:val="24"/>
              </w:rPr>
            </w:pPr>
          </w:p>
        </w:tc>
      </w:tr>
      <w:tr w14:paraId="0F7978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944" w:type="dxa"/>
            <w:tcBorders>
              <w:top w:val="single" w:color="auto" w:sz="4" w:space="0"/>
              <w:bottom w:val="single" w:color="auto" w:sz="4" w:space="0"/>
              <w:right w:val="single" w:color="auto" w:sz="4" w:space="0"/>
            </w:tcBorders>
            <w:vAlign w:val="center"/>
          </w:tcPr>
          <w:p w14:paraId="57CEA0A4">
            <w:pPr>
              <w:jc w:val="center"/>
              <w:rPr>
                <w:rFonts w:ascii="宋体" w:hAnsi="宋体" w:cs="宋体"/>
                <w:sz w:val="24"/>
                <w:szCs w:val="24"/>
              </w:rPr>
            </w:pPr>
            <w:r>
              <w:rPr>
                <w:rFonts w:hint="eastAsia" w:ascii="宋体" w:hAnsi="宋体" w:cs="宋体"/>
                <w:sz w:val="24"/>
                <w:szCs w:val="24"/>
              </w:rPr>
              <w:t>备注</w:t>
            </w:r>
          </w:p>
        </w:tc>
        <w:tc>
          <w:tcPr>
            <w:tcW w:w="7695" w:type="dxa"/>
            <w:gridSpan w:val="9"/>
            <w:tcBorders>
              <w:top w:val="single" w:color="auto" w:sz="4" w:space="0"/>
              <w:left w:val="single" w:color="auto" w:sz="4" w:space="0"/>
              <w:bottom w:val="single" w:color="auto" w:sz="4" w:space="0"/>
            </w:tcBorders>
            <w:vAlign w:val="center"/>
          </w:tcPr>
          <w:p w14:paraId="565B5F2A">
            <w:pPr>
              <w:jc w:val="center"/>
              <w:rPr>
                <w:rFonts w:ascii="宋体" w:hAnsi="宋体" w:cs="宋体"/>
                <w:sz w:val="24"/>
                <w:szCs w:val="24"/>
              </w:rPr>
            </w:pPr>
          </w:p>
        </w:tc>
      </w:tr>
    </w:tbl>
    <w:p w14:paraId="7CAE8218">
      <w:pPr>
        <w:jc w:val="left"/>
        <w:rPr>
          <w:rFonts w:ascii="宋体" w:hAnsi="宋体" w:cs="宋体"/>
          <w:sz w:val="24"/>
          <w:szCs w:val="24"/>
        </w:rPr>
      </w:pPr>
      <w:r>
        <w:rPr>
          <w:rFonts w:hint="eastAsia" w:ascii="宋体" w:hAnsi="宋体" w:cs="宋体"/>
          <w:sz w:val="24"/>
          <w:szCs w:val="24"/>
        </w:rPr>
        <w:t xml:space="preserve"> </w:t>
      </w:r>
    </w:p>
    <w:p w14:paraId="0179DBD9">
      <w:pPr>
        <w:spacing w:line="360" w:lineRule="auto"/>
        <w:jc w:val="left"/>
        <w:rPr>
          <w:rFonts w:ascii="宋体" w:hAnsi="宋体" w:cs="宋体"/>
          <w:b/>
          <w:bCs/>
          <w:sz w:val="24"/>
          <w:szCs w:val="24"/>
        </w:rPr>
      </w:pPr>
      <w:r>
        <w:rPr>
          <w:rFonts w:hint="eastAsia"/>
          <w:b/>
          <w:bCs/>
          <w:sz w:val="24"/>
          <w:szCs w:val="28"/>
        </w:rPr>
        <w:t>注：后附营业执照、资质证书、安全生产许可证、开户许可证或基本存款账户信息等相关证明材料</w:t>
      </w:r>
      <w:r>
        <w:rPr>
          <w:rFonts w:hint="eastAsia"/>
          <w:b/>
          <w:bCs/>
          <w:sz w:val="24"/>
          <w:szCs w:val="28"/>
          <w:lang w:eastAsia="zh-CN"/>
        </w:rPr>
        <w:t>；</w:t>
      </w:r>
      <w:r>
        <w:rPr>
          <w:rFonts w:hint="eastAsia"/>
          <w:b/>
          <w:bCs/>
          <w:sz w:val="24"/>
          <w:szCs w:val="28"/>
          <w:lang w:val="en-US" w:eastAsia="zh-CN"/>
        </w:rPr>
        <w:t>若为联合体投标，须提供联合体各方资料。</w:t>
      </w:r>
    </w:p>
    <w:p w14:paraId="0039DED8">
      <w:pPr>
        <w:jc w:val="left"/>
        <w:rPr>
          <w:rFonts w:ascii="宋体" w:hAnsi="宋体" w:cs="宋体"/>
          <w:sz w:val="24"/>
          <w:szCs w:val="24"/>
        </w:rPr>
      </w:pPr>
    </w:p>
    <w:p w14:paraId="27C63FA1">
      <w:pPr>
        <w:jc w:val="left"/>
        <w:rPr>
          <w:rFonts w:ascii="宋体" w:hAnsi="宋体" w:cs="宋体"/>
          <w:sz w:val="24"/>
          <w:szCs w:val="24"/>
        </w:rPr>
      </w:pPr>
    </w:p>
    <w:p w14:paraId="08209C8B">
      <w:pPr>
        <w:pStyle w:val="29"/>
      </w:pPr>
    </w:p>
    <w:p w14:paraId="03B7B9C5">
      <w:pPr>
        <w:rPr>
          <w:rFonts w:ascii="宋体" w:hAnsi="宋体" w:cs="宋体"/>
          <w:b/>
          <w:sz w:val="24"/>
          <w:szCs w:val="24"/>
        </w:rPr>
      </w:pPr>
      <w:r>
        <w:rPr>
          <w:rFonts w:hint="eastAsia" w:ascii="宋体" w:hAnsi="宋体" w:cs="宋体"/>
          <w:b/>
          <w:sz w:val="24"/>
          <w:szCs w:val="24"/>
        </w:rPr>
        <w:t>（二）近年财务状况表</w:t>
      </w:r>
    </w:p>
    <w:p w14:paraId="3CEB596C">
      <w:pPr>
        <w:spacing w:line="360" w:lineRule="auto"/>
        <w:ind w:firstLine="480" w:firstLineChars="200"/>
        <w:jc w:val="left"/>
        <w:rPr>
          <w:rFonts w:ascii="宋体" w:hAnsi="宋体" w:cs="宋体"/>
          <w:sz w:val="24"/>
          <w:szCs w:val="24"/>
        </w:rPr>
      </w:pPr>
    </w:p>
    <w:p w14:paraId="1D0B03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highlight w:val="none"/>
        </w:rPr>
      </w:pPr>
      <w:r>
        <w:rPr>
          <w:rFonts w:hint="eastAsia" w:ascii="宋体" w:hAnsi="宋体" w:cs="宋体"/>
          <w:sz w:val="24"/>
          <w:szCs w:val="24"/>
          <w:highlight w:val="none"/>
        </w:rPr>
        <w:t>说明：在此附</w:t>
      </w:r>
      <w:r>
        <w:rPr>
          <w:rFonts w:hint="eastAsia" w:ascii="宋体" w:hAnsi="宋体" w:cs="宋体"/>
          <w:sz w:val="24"/>
          <w:szCs w:val="24"/>
          <w:highlight w:val="none"/>
          <w:lang w:val="en-US" w:eastAsia="zh-CN"/>
        </w:rPr>
        <w:t>2023年、</w:t>
      </w:r>
      <w:r>
        <w:rPr>
          <w:rFonts w:hint="eastAsia" w:ascii="宋体" w:hAnsi="宋体" w:cs="宋体"/>
          <w:sz w:val="24"/>
          <w:szCs w:val="24"/>
          <w:highlight w:val="none"/>
        </w:rPr>
        <w:t>20</w:t>
      </w:r>
      <w:r>
        <w:rPr>
          <w:rFonts w:hint="eastAsia" w:ascii="宋体" w:hAnsi="宋体" w:cs="宋体"/>
          <w:sz w:val="24"/>
          <w:szCs w:val="24"/>
          <w:highlight w:val="none"/>
          <w:lang w:val="en-US" w:eastAsia="zh-CN"/>
        </w:rPr>
        <w:t>24</w:t>
      </w:r>
      <w:r>
        <w:rPr>
          <w:rFonts w:hint="eastAsia" w:ascii="宋体" w:hAnsi="宋体" w:cs="宋体"/>
          <w:sz w:val="24"/>
          <w:szCs w:val="24"/>
          <w:highlight w:val="none"/>
          <w:lang w:eastAsia="zh-CN"/>
        </w:rPr>
        <w:t>年</w:t>
      </w:r>
      <w:r>
        <w:rPr>
          <w:rFonts w:hint="eastAsia" w:ascii="宋体" w:hAnsi="宋体" w:cs="宋体"/>
          <w:sz w:val="24"/>
          <w:szCs w:val="24"/>
          <w:highlight w:val="none"/>
        </w:rPr>
        <w:t>、20</w:t>
      </w:r>
      <w:r>
        <w:rPr>
          <w:rFonts w:hint="eastAsia" w:ascii="宋体" w:hAnsi="宋体" w:cs="宋体"/>
          <w:sz w:val="24"/>
          <w:szCs w:val="24"/>
          <w:highlight w:val="none"/>
          <w:lang w:val="en-US" w:eastAsia="zh-CN"/>
        </w:rPr>
        <w:t>25</w:t>
      </w:r>
      <w:r>
        <w:rPr>
          <w:rFonts w:hint="eastAsia" w:ascii="宋体" w:hAnsi="宋体" w:cs="宋体"/>
          <w:sz w:val="24"/>
          <w:szCs w:val="24"/>
          <w:highlight w:val="none"/>
          <w:lang w:eastAsia="zh-CN"/>
        </w:rPr>
        <w:t>年</w:t>
      </w:r>
      <w:r>
        <w:rPr>
          <w:rFonts w:hint="eastAsia" w:ascii="宋体" w:hAnsi="宋体" w:cs="宋体"/>
          <w:sz w:val="24"/>
          <w:szCs w:val="24"/>
          <w:highlight w:val="none"/>
        </w:rPr>
        <w:t>经会计师事务所或审计机构审计的财务会计报表，包括资产负债表、损益表、现金流量表、利润表</w:t>
      </w:r>
      <w:r>
        <w:rPr>
          <w:rFonts w:hint="eastAsia" w:ascii="宋体" w:hAnsi="宋体" w:cs="宋体"/>
          <w:sz w:val="24"/>
          <w:szCs w:val="24"/>
          <w:highlight w:val="none"/>
          <w:lang w:eastAsia="zh-CN"/>
        </w:rPr>
        <w:t>并</w:t>
      </w:r>
      <w:r>
        <w:rPr>
          <w:rFonts w:hint="eastAsia" w:ascii="宋体" w:hAnsi="宋体" w:cs="宋体"/>
          <w:sz w:val="24"/>
          <w:szCs w:val="24"/>
          <w:highlight w:val="none"/>
        </w:rPr>
        <w:t>加盖公章。</w:t>
      </w:r>
    </w:p>
    <w:p w14:paraId="5284546C">
      <w:pPr>
        <w:spacing w:line="360" w:lineRule="auto"/>
        <w:ind w:firstLine="480" w:firstLineChars="200"/>
        <w:jc w:val="left"/>
        <w:rPr>
          <w:highlight w:val="yellow"/>
        </w:rPr>
      </w:pPr>
      <w:r>
        <w:rPr>
          <w:rFonts w:hint="eastAsia"/>
          <w:sz w:val="24"/>
          <w:szCs w:val="28"/>
          <w:highlight w:val="none"/>
        </w:rPr>
        <w:t>注：公司成立不满三年的，提供自成立以来年份的审计报告。</w:t>
      </w:r>
    </w:p>
    <w:p w14:paraId="1DD8F4F3">
      <w:pPr>
        <w:jc w:val="center"/>
        <w:rPr>
          <w:rFonts w:ascii="宋体" w:hAnsi="宋体" w:cs="宋体"/>
          <w:sz w:val="24"/>
          <w:szCs w:val="24"/>
        </w:rPr>
      </w:pPr>
    </w:p>
    <w:p w14:paraId="4AA9A7E5">
      <w:pPr>
        <w:jc w:val="center"/>
        <w:rPr>
          <w:rFonts w:ascii="宋体" w:hAnsi="宋体" w:cs="宋体"/>
          <w:sz w:val="24"/>
          <w:szCs w:val="24"/>
        </w:rPr>
      </w:pPr>
      <w:r>
        <w:rPr>
          <w:rFonts w:hint="eastAsia" w:ascii="宋体" w:hAnsi="宋体" w:cs="宋体"/>
          <w:sz w:val="24"/>
          <w:szCs w:val="24"/>
        </w:rPr>
        <w:br w:type="page"/>
      </w:r>
    </w:p>
    <w:p w14:paraId="438F7C13">
      <w:pPr>
        <w:rPr>
          <w:rFonts w:ascii="宋体" w:hAnsi="宋体" w:cs="宋体"/>
          <w:b/>
          <w:sz w:val="24"/>
          <w:szCs w:val="24"/>
        </w:rPr>
      </w:pPr>
      <w:r>
        <w:rPr>
          <w:rFonts w:hint="eastAsia" w:ascii="宋体" w:hAnsi="宋体" w:cs="宋体"/>
          <w:b/>
          <w:sz w:val="24"/>
          <w:szCs w:val="24"/>
        </w:rPr>
        <w:t>（三）近年完成项目情况表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7"/>
        <w:gridCol w:w="7102"/>
      </w:tblGrid>
      <w:tr w14:paraId="45D06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2577" w:type="dxa"/>
            <w:vAlign w:val="center"/>
          </w:tcPr>
          <w:p w14:paraId="45577442">
            <w:pPr>
              <w:jc w:val="center"/>
              <w:rPr>
                <w:rFonts w:ascii="宋体" w:hAnsi="宋体" w:cs="宋体"/>
                <w:sz w:val="24"/>
                <w:szCs w:val="24"/>
              </w:rPr>
            </w:pPr>
            <w:r>
              <w:rPr>
                <w:rFonts w:hint="eastAsia" w:ascii="宋体" w:hAnsi="宋体" w:cs="宋体"/>
                <w:sz w:val="24"/>
                <w:szCs w:val="24"/>
              </w:rPr>
              <w:t>项目名称</w:t>
            </w:r>
          </w:p>
        </w:tc>
        <w:tc>
          <w:tcPr>
            <w:tcW w:w="7102" w:type="dxa"/>
          </w:tcPr>
          <w:p w14:paraId="024D3741">
            <w:pPr>
              <w:jc w:val="center"/>
              <w:rPr>
                <w:rFonts w:ascii="宋体" w:hAnsi="宋体" w:cs="宋体"/>
                <w:sz w:val="24"/>
                <w:szCs w:val="24"/>
              </w:rPr>
            </w:pPr>
          </w:p>
        </w:tc>
      </w:tr>
      <w:tr w14:paraId="4EC0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2577" w:type="dxa"/>
            <w:vAlign w:val="center"/>
          </w:tcPr>
          <w:p w14:paraId="18D63696">
            <w:pPr>
              <w:jc w:val="center"/>
              <w:rPr>
                <w:rFonts w:ascii="宋体" w:hAnsi="宋体" w:cs="宋体"/>
                <w:sz w:val="24"/>
                <w:szCs w:val="24"/>
              </w:rPr>
            </w:pPr>
            <w:r>
              <w:rPr>
                <w:rFonts w:hint="eastAsia" w:ascii="宋体" w:hAnsi="宋体" w:cs="宋体"/>
                <w:sz w:val="24"/>
                <w:szCs w:val="24"/>
              </w:rPr>
              <w:t>项目所在地</w:t>
            </w:r>
          </w:p>
        </w:tc>
        <w:tc>
          <w:tcPr>
            <w:tcW w:w="7102" w:type="dxa"/>
          </w:tcPr>
          <w:p w14:paraId="6AA2D9BB">
            <w:pPr>
              <w:jc w:val="center"/>
              <w:rPr>
                <w:rFonts w:ascii="宋体" w:hAnsi="宋体" w:cs="宋体"/>
                <w:sz w:val="24"/>
                <w:szCs w:val="24"/>
              </w:rPr>
            </w:pPr>
          </w:p>
        </w:tc>
      </w:tr>
      <w:tr w14:paraId="33BA3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2577" w:type="dxa"/>
            <w:vAlign w:val="center"/>
          </w:tcPr>
          <w:p w14:paraId="0F0224CA">
            <w:pPr>
              <w:jc w:val="center"/>
              <w:rPr>
                <w:rFonts w:ascii="宋体" w:hAnsi="宋体" w:cs="宋体"/>
                <w:sz w:val="24"/>
                <w:szCs w:val="24"/>
              </w:rPr>
            </w:pPr>
            <w:r>
              <w:rPr>
                <w:rFonts w:hint="eastAsia" w:ascii="宋体" w:hAnsi="宋体" w:cs="宋体"/>
                <w:sz w:val="24"/>
                <w:szCs w:val="24"/>
              </w:rPr>
              <w:t>发包人名称</w:t>
            </w:r>
          </w:p>
        </w:tc>
        <w:tc>
          <w:tcPr>
            <w:tcW w:w="7102" w:type="dxa"/>
          </w:tcPr>
          <w:p w14:paraId="446292B9">
            <w:pPr>
              <w:jc w:val="center"/>
              <w:rPr>
                <w:rFonts w:ascii="宋体" w:hAnsi="宋体" w:cs="宋体"/>
                <w:sz w:val="24"/>
                <w:szCs w:val="24"/>
              </w:rPr>
            </w:pPr>
          </w:p>
        </w:tc>
      </w:tr>
      <w:tr w14:paraId="5C8F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77" w:type="dxa"/>
            <w:vAlign w:val="center"/>
          </w:tcPr>
          <w:p w14:paraId="480E86E1">
            <w:pPr>
              <w:jc w:val="center"/>
              <w:rPr>
                <w:rFonts w:ascii="宋体" w:hAnsi="宋体" w:cs="宋体"/>
                <w:sz w:val="24"/>
                <w:szCs w:val="24"/>
              </w:rPr>
            </w:pPr>
            <w:r>
              <w:rPr>
                <w:rFonts w:hint="eastAsia" w:ascii="宋体" w:hAnsi="宋体" w:cs="宋体"/>
                <w:sz w:val="24"/>
                <w:szCs w:val="24"/>
              </w:rPr>
              <w:t>发包人地址</w:t>
            </w:r>
          </w:p>
        </w:tc>
        <w:tc>
          <w:tcPr>
            <w:tcW w:w="7102" w:type="dxa"/>
          </w:tcPr>
          <w:p w14:paraId="6793CB0A">
            <w:pPr>
              <w:jc w:val="center"/>
              <w:rPr>
                <w:rFonts w:ascii="宋体" w:hAnsi="宋体" w:cs="宋体"/>
                <w:sz w:val="24"/>
                <w:szCs w:val="24"/>
              </w:rPr>
            </w:pPr>
          </w:p>
        </w:tc>
      </w:tr>
      <w:tr w14:paraId="76FB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577" w:type="dxa"/>
            <w:vAlign w:val="center"/>
          </w:tcPr>
          <w:p w14:paraId="0E2838A4">
            <w:pPr>
              <w:jc w:val="center"/>
              <w:rPr>
                <w:rFonts w:ascii="宋体" w:hAnsi="宋体" w:cs="宋体"/>
                <w:sz w:val="24"/>
                <w:szCs w:val="24"/>
              </w:rPr>
            </w:pPr>
            <w:r>
              <w:rPr>
                <w:rFonts w:hint="eastAsia" w:ascii="宋体" w:hAnsi="宋体" w:cs="宋体"/>
                <w:sz w:val="24"/>
                <w:szCs w:val="24"/>
              </w:rPr>
              <w:t>发包人电话</w:t>
            </w:r>
          </w:p>
        </w:tc>
        <w:tc>
          <w:tcPr>
            <w:tcW w:w="7102" w:type="dxa"/>
          </w:tcPr>
          <w:p w14:paraId="411BE974">
            <w:pPr>
              <w:jc w:val="center"/>
              <w:rPr>
                <w:rFonts w:ascii="宋体" w:hAnsi="宋体" w:cs="宋体"/>
                <w:sz w:val="24"/>
                <w:szCs w:val="24"/>
              </w:rPr>
            </w:pPr>
          </w:p>
        </w:tc>
      </w:tr>
      <w:tr w14:paraId="1EDD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577" w:type="dxa"/>
            <w:vAlign w:val="center"/>
          </w:tcPr>
          <w:p w14:paraId="49860460">
            <w:pPr>
              <w:jc w:val="center"/>
              <w:rPr>
                <w:rFonts w:ascii="宋体" w:hAnsi="宋体" w:cs="宋体"/>
                <w:sz w:val="24"/>
                <w:szCs w:val="24"/>
              </w:rPr>
            </w:pPr>
            <w:r>
              <w:rPr>
                <w:rFonts w:hint="eastAsia" w:ascii="宋体" w:hAnsi="宋体" w:cs="宋体"/>
                <w:sz w:val="24"/>
                <w:szCs w:val="24"/>
              </w:rPr>
              <w:t>合同价格</w:t>
            </w:r>
          </w:p>
        </w:tc>
        <w:tc>
          <w:tcPr>
            <w:tcW w:w="7102" w:type="dxa"/>
          </w:tcPr>
          <w:p w14:paraId="62E9EEF3">
            <w:pPr>
              <w:jc w:val="center"/>
              <w:rPr>
                <w:rFonts w:ascii="宋体" w:hAnsi="宋体" w:cs="宋体"/>
                <w:sz w:val="24"/>
                <w:szCs w:val="24"/>
              </w:rPr>
            </w:pPr>
          </w:p>
        </w:tc>
      </w:tr>
      <w:tr w14:paraId="3A65A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2577" w:type="dxa"/>
            <w:vAlign w:val="center"/>
          </w:tcPr>
          <w:p w14:paraId="103C5B42">
            <w:pPr>
              <w:jc w:val="center"/>
              <w:rPr>
                <w:rFonts w:ascii="宋体" w:hAnsi="宋体" w:cs="宋体"/>
                <w:sz w:val="24"/>
                <w:szCs w:val="24"/>
              </w:rPr>
            </w:pPr>
            <w:r>
              <w:rPr>
                <w:rFonts w:hint="eastAsia" w:ascii="宋体" w:hAnsi="宋体" w:cs="宋体"/>
                <w:sz w:val="24"/>
                <w:szCs w:val="24"/>
              </w:rPr>
              <w:t>开工日期</w:t>
            </w:r>
          </w:p>
        </w:tc>
        <w:tc>
          <w:tcPr>
            <w:tcW w:w="7102" w:type="dxa"/>
          </w:tcPr>
          <w:p w14:paraId="72174033">
            <w:pPr>
              <w:jc w:val="center"/>
              <w:rPr>
                <w:rFonts w:ascii="宋体" w:hAnsi="宋体" w:cs="宋体"/>
                <w:sz w:val="24"/>
                <w:szCs w:val="24"/>
              </w:rPr>
            </w:pPr>
          </w:p>
        </w:tc>
      </w:tr>
      <w:tr w14:paraId="54CA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2577" w:type="dxa"/>
            <w:vAlign w:val="center"/>
          </w:tcPr>
          <w:p w14:paraId="68147FCD">
            <w:pPr>
              <w:jc w:val="center"/>
              <w:rPr>
                <w:rFonts w:ascii="宋体" w:hAnsi="宋体" w:cs="宋体"/>
                <w:sz w:val="24"/>
                <w:szCs w:val="24"/>
              </w:rPr>
            </w:pPr>
            <w:r>
              <w:rPr>
                <w:rFonts w:hint="eastAsia" w:ascii="宋体" w:hAnsi="宋体" w:cs="宋体"/>
                <w:sz w:val="24"/>
                <w:szCs w:val="24"/>
              </w:rPr>
              <w:t>竣工日期</w:t>
            </w:r>
          </w:p>
        </w:tc>
        <w:tc>
          <w:tcPr>
            <w:tcW w:w="7102" w:type="dxa"/>
          </w:tcPr>
          <w:p w14:paraId="485494B3">
            <w:pPr>
              <w:jc w:val="center"/>
              <w:rPr>
                <w:rFonts w:ascii="宋体" w:hAnsi="宋体" w:cs="宋体"/>
                <w:sz w:val="24"/>
                <w:szCs w:val="24"/>
              </w:rPr>
            </w:pPr>
          </w:p>
        </w:tc>
      </w:tr>
      <w:tr w14:paraId="7410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577" w:type="dxa"/>
            <w:vAlign w:val="center"/>
          </w:tcPr>
          <w:p w14:paraId="3B8CA6CE">
            <w:pPr>
              <w:jc w:val="center"/>
              <w:rPr>
                <w:rFonts w:ascii="宋体" w:hAnsi="宋体" w:cs="宋体"/>
                <w:sz w:val="24"/>
                <w:szCs w:val="24"/>
              </w:rPr>
            </w:pPr>
            <w:r>
              <w:rPr>
                <w:rFonts w:hint="eastAsia" w:ascii="宋体" w:hAnsi="宋体" w:cs="宋体"/>
                <w:sz w:val="24"/>
                <w:szCs w:val="24"/>
              </w:rPr>
              <w:t>承担的工作</w:t>
            </w:r>
          </w:p>
        </w:tc>
        <w:tc>
          <w:tcPr>
            <w:tcW w:w="7102" w:type="dxa"/>
          </w:tcPr>
          <w:p w14:paraId="1A89A89E">
            <w:pPr>
              <w:jc w:val="center"/>
              <w:rPr>
                <w:rFonts w:ascii="宋体" w:hAnsi="宋体" w:cs="宋体"/>
                <w:sz w:val="24"/>
                <w:szCs w:val="24"/>
              </w:rPr>
            </w:pPr>
          </w:p>
        </w:tc>
      </w:tr>
      <w:tr w14:paraId="3782A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577" w:type="dxa"/>
            <w:vAlign w:val="center"/>
          </w:tcPr>
          <w:p w14:paraId="587860F4">
            <w:pPr>
              <w:jc w:val="center"/>
              <w:rPr>
                <w:rFonts w:ascii="宋体" w:hAnsi="宋体" w:cs="宋体"/>
                <w:sz w:val="24"/>
                <w:szCs w:val="24"/>
              </w:rPr>
            </w:pPr>
            <w:r>
              <w:rPr>
                <w:rFonts w:hint="eastAsia" w:ascii="宋体" w:hAnsi="宋体" w:cs="宋体"/>
                <w:sz w:val="24"/>
                <w:szCs w:val="24"/>
              </w:rPr>
              <w:t>工程质量</w:t>
            </w:r>
          </w:p>
        </w:tc>
        <w:tc>
          <w:tcPr>
            <w:tcW w:w="7102" w:type="dxa"/>
          </w:tcPr>
          <w:p w14:paraId="753349D4">
            <w:pPr>
              <w:jc w:val="center"/>
              <w:rPr>
                <w:rFonts w:ascii="宋体" w:hAnsi="宋体" w:cs="宋体"/>
                <w:sz w:val="24"/>
                <w:szCs w:val="24"/>
              </w:rPr>
            </w:pPr>
          </w:p>
        </w:tc>
      </w:tr>
      <w:tr w14:paraId="5951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577" w:type="dxa"/>
            <w:vAlign w:val="center"/>
          </w:tcPr>
          <w:p w14:paraId="1F210865">
            <w:pPr>
              <w:jc w:val="center"/>
              <w:rPr>
                <w:rFonts w:ascii="宋体" w:hAnsi="宋体" w:cs="宋体"/>
                <w:sz w:val="24"/>
                <w:szCs w:val="24"/>
              </w:rPr>
            </w:pPr>
            <w:r>
              <w:rPr>
                <w:rFonts w:hint="eastAsia" w:ascii="宋体" w:hAnsi="宋体" w:cs="宋体"/>
                <w:sz w:val="24"/>
                <w:szCs w:val="24"/>
              </w:rPr>
              <w:t>项目经理</w:t>
            </w:r>
          </w:p>
        </w:tc>
        <w:tc>
          <w:tcPr>
            <w:tcW w:w="7102" w:type="dxa"/>
          </w:tcPr>
          <w:p w14:paraId="3AE6E5EC">
            <w:pPr>
              <w:jc w:val="center"/>
              <w:rPr>
                <w:rFonts w:ascii="宋体" w:hAnsi="宋体" w:cs="宋体"/>
                <w:sz w:val="24"/>
                <w:szCs w:val="24"/>
              </w:rPr>
            </w:pPr>
          </w:p>
        </w:tc>
      </w:tr>
      <w:tr w14:paraId="1464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577" w:type="dxa"/>
            <w:vAlign w:val="center"/>
          </w:tcPr>
          <w:p w14:paraId="08A5057C">
            <w:pPr>
              <w:jc w:val="center"/>
              <w:rPr>
                <w:rFonts w:ascii="宋体" w:hAnsi="宋体" w:cs="宋体"/>
                <w:sz w:val="24"/>
                <w:szCs w:val="24"/>
              </w:rPr>
            </w:pPr>
            <w:r>
              <w:rPr>
                <w:rFonts w:hint="eastAsia" w:ascii="宋体" w:hAnsi="宋体" w:cs="宋体"/>
                <w:sz w:val="24"/>
                <w:szCs w:val="24"/>
              </w:rPr>
              <w:t>技术负责人</w:t>
            </w:r>
          </w:p>
        </w:tc>
        <w:tc>
          <w:tcPr>
            <w:tcW w:w="7102" w:type="dxa"/>
          </w:tcPr>
          <w:p w14:paraId="3EBA058F">
            <w:pPr>
              <w:jc w:val="center"/>
              <w:rPr>
                <w:rFonts w:ascii="宋体" w:hAnsi="宋体" w:cs="宋体"/>
                <w:sz w:val="24"/>
                <w:szCs w:val="24"/>
              </w:rPr>
            </w:pPr>
          </w:p>
        </w:tc>
      </w:tr>
      <w:tr w14:paraId="36F9F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2577" w:type="dxa"/>
            <w:vAlign w:val="center"/>
          </w:tcPr>
          <w:p w14:paraId="0C6F64F9">
            <w:pPr>
              <w:jc w:val="center"/>
              <w:rPr>
                <w:rFonts w:ascii="宋体" w:hAnsi="宋体" w:cs="宋体"/>
                <w:sz w:val="24"/>
                <w:szCs w:val="24"/>
              </w:rPr>
            </w:pPr>
            <w:r>
              <w:rPr>
                <w:rFonts w:hint="eastAsia" w:ascii="宋体" w:hAnsi="宋体" w:cs="宋体"/>
                <w:sz w:val="24"/>
                <w:szCs w:val="24"/>
              </w:rPr>
              <w:t>项目描述</w:t>
            </w:r>
          </w:p>
        </w:tc>
        <w:tc>
          <w:tcPr>
            <w:tcW w:w="7102" w:type="dxa"/>
          </w:tcPr>
          <w:p w14:paraId="51F1E926">
            <w:pPr>
              <w:rPr>
                <w:rFonts w:ascii="宋体" w:hAnsi="宋体" w:cs="宋体"/>
                <w:sz w:val="24"/>
                <w:szCs w:val="24"/>
              </w:rPr>
            </w:pPr>
          </w:p>
        </w:tc>
      </w:tr>
      <w:tr w14:paraId="26F1A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2577" w:type="dxa"/>
            <w:vAlign w:val="center"/>
          </w:tcPr>
          <w:p w14:paraId="69624FC1">
            <w:pPr>
              <w:jc w:val="center"/>
              <w:rPr>
                <w:rFonts w:ascii="宋体" w:hAnsi="宋体" w:cs="宋体"/>
                <w:sz w:val="24"/>
                <w:szCs w:val="24"/>
              </w:rPr>
            </w:pPr>
            <w:r>
              <w:rPr>
                <w:rFonts w:hint="eastAsia" w:ascii="宋体" w:hAnsi="宋体" w:cs="宋体"/>
                <w:sz w:val="24"/>
                <w:szCs w:val="24"/>
              </w:rPr>
              <w:t>备注</w:t>
            </w:r>
          </w:p>
        </w:tc>
        <w:tc>
          <w:tcPr>
            <w:tcW w:w="7102" w:type="dxa"/>
          </w:tcPr>
          <w:p w14:paraId="632397E0">
            <w:pPr>
              <w:jc w:val="center"/>
              <w:rPr>
                <w:rFonts w:ascii="宋体" w:hAnsi="宋体" w:cs="宋体"/>
                <w:sz w:val="24"/>
                <w:szCs w:val="24"/>
              </w:rPr>
            </w:pPr>
          </w:p>
        </w:tc>
      </w:tr>
    </w:tbl>
    <w:p w14:paraId="5909AC3F">
      <w:pPr>
        <w:rPr>
          <w:rFonts w:ascii="宋体" w:hAnsi="宋体" w:cs="宋体"/>
          <w:sz w:val="24"/>
          <w:szCs w:val="24"/>
        </w:rPr>
      </w:pPr>
    </w:p>
    <w:p w14:paraId="024F77D0">
      <w:pPr>
        <w:spacing w:line="360" w:lineRule="auto"/>
        <w:rPr>
          <w:rFonts w:ascii="宋体" w:hAnsi="宋体" w:cs="宋体"/>
          <w:sz w:val="24"/>
          <w:szCs w:val="24"/>
        </w:rPr>
      </w:pPr>
      <w:r>
        <w:rPr>
          <w:rFonts w:hint="eastAsia" w:ascii="宋体" w:hAnsi="宋体" w:cs="宋体"/>
          <w:sz w:val="24"/>
          <w:szCs w:val="24"/>
        </w:rPr>
        <w:t>备注：本表后附中标通知书</w:t>
      </w:r>
      <w:r>
        <w:rPr>
          <w:rFonts w:hint="eastAsia" w:ascii="宋体" w:hAnsi="宋体" w:cs="宋体"/>
          <w:sz w:val="24"/>
          <w:szCs w:val="24"/>
          <w:lang w:val="en-US" w:eastAsia="zh-CN"/>
        </w:rPr>
        <w:t>或</w:t>
      </w:r>
      <w:r>
        <w:rPr>
          <w:rFonts w:hint="eastAsia" w:ascii="宋体" w:hAnsi="宋体" w:cs="宋体"/>
          <w:sz w:val="24"/>
          <w:szCs w:val="24"/>
          <w:lang w:eastAsia="zh-CN"/>
        </w:rPr>
        <w:t>施工合同</w:t>
      </w:r>
      <w:r>
        <w:rPr>
          <w:rFonts w:hint="eastAsia" w:ascii="宋体" w:hAnsi="宋体" w:cs="宋体"/>
          <w:sz w:val="24"/>
          <w:szCs w:val="24"/>
        </w:rPr>
        <w:t>加盖公章复印件。每张表格只填写一个项目，并标明序号。</w:t>
      </w:r>
    </w:p>
    <w:p w14:paraId="3A5F5716">
      <w:pPr>
        <w:rPr>
          <w:rFonts w:ascii="宋体" w:hAnsi="宋体" w:cs="宋体"/>
          <w:b/>
          <w:sz w:val="24"/>
          <w:szCs w:val="24"/>
        </w:rPr>
      </w:pPr>
    </w:p>
    <w:p w14:paraId="1BC6D0CF">
      <w:pPr>
        <w:rPr>
          <w:rFonts w:ascii="宋体" w:hAnsi="宋体" w:cs="宋体"/>
          <w:b/>
          <w:sz w:val="24"/>
          <w:szCs w:val="24"/>
        </w:rPr>
      </w:pPr>
    </w:p>
    <w:p w14:paraId="064874A5">
      <w:pPr>
        <w:rPr>
          <w:rFonts w:ascii="宋体" w:hAnsi="宋体" w:cs="宋体"/>
          <w:b/>
          <w:sz w:val="24"/>
          <w:szCs w:val="24"/>
        </w:rPr>
      </w:pPr>
    </w:p>
    <w:p w14:paraId="3FE39144">
      <w:pPr>
        <w:rPr>
          <w:rFonts w:ascii="宋体" w:hAnsi="宋体" w:cs="宋体"/>
          <w:b/>
          <w:sz w:val="24"/>
          <w:szCs w:val="24"/>
        </w:rPr>
      </w:pPr>
      <w:r>
        <w:rPr>
          <w:rFonts w:hint="eastAsia" w:ascii="宋体" w:hAnsi="宋体" w:cs="宋体"/>
          <w:b/>
          <w:sz w:val="24"/>
          <w:szCs w:val="24"/>
        </w:rPr>
        <w:br w:type="page"/>
      </w:r>
      <w:r>
        <w:rPr>
          <w:rFonts w:hint="eastAsia" w:ascii="宋体" w:hAnsi="宋体" w:cs="宋体"/>
          <w:b/>
          <w:sz w:val="24"/>
          <w:szCs w:val="24"/>
        </w:rPr>
        <w:t>（四）正在实施的和新承接的项目情况表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0"/>
        <w:gridCol w:w="7359"/>
      </w:tblGrid>
      <w:tr w14:paraId="4415E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100" w:type="dxa"/>
            <w:vAlign w:val="center"/>
          </w:tcPr>
          <w:p w14:paraId="7B9B174D">
            <w:pPr>
              <w:jc w:val="center"/>
              <w:rPr>
                <w:rFonts w:ascii="宋体" w:hAnsi="宋体" w:cs="宋体"/>
                <w:sz w:val="24"/>
                <w:szCs w:val="24"/>
              </w:rPr>
            </w:pPr>
            <w:r>
              <w:rPr>
                <w:rFonts w:hint="eastAsia" w:ascii="宋体" w:hAnsi="宋体" w:cs="宋体"/>
                <w:sz w:val="24"/>
                <w:szCs w:val="24"/>
              </w:rPr>
              <w:t>项目名称</w:t>
            </w:r>
          </w:p>
        </w:tc>
        <w:tc>
          <w:tcPr>
            <w:tcW w:w="7359" w:type="dxa"/>
            <w:vAlign w:val="center"/>
          </w:tcPr>
          <w:p w14:paraId="4314617C">
            <w:pPr>
              <w:jc w:val="center"/>
              <w:rPr>
                <w:rFonts w:ascii="宋体" w:hAnsi="宋体" w:cs="宋体"/>
                <w:sz w:val="24"/>
                <w:szCs w:val="24"/>
              </w:rPr>
            </w:pPr>
          </w:p>
        </w:tc>
      </w:tr>
      <w:tr w14:paraId="0042D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100" w:type="dxa"/>
            <w:vAlign w:val="center"/>
          </w:tcPr>
          <w:p w14:paraId="5304FFE6">
            <w:pPr>
              <w:jc w:val="center"/>
              <w:rPr>
                <w:rFonts w:ascii="宋体" w:hAnsi="宋体" w:cs="宋体"/>
                <w:sz w:val="24"/>
                <w:szCs w:val="24"/>
              </w:rPr>
            </w:pPr>
            <w:r>
              <w:rPr>
                <w:rFonts w:hint="eastAsia" w:ascii="宋体" w:hAnsi="宋体" w:cs="宋体"/>
                <w:sz w:val="24"/>
                <w:szCs w:val="24"/>
              </w:rPr>
              <w:t>项目所在地</w:t>
            </w:r>
          </w:p>
        </w:tc>
        <w:tc>
          <w:tcPr>
            <w:tcW w:w="7359" w:type="dxa"/>
            <w:vAlign w:val="center"/>
          </w:tcPr>
          <w:p w14:paraId="5EDB733E">
            <w:pPr>
              <w:jc w:val="center"/>
              <w:rPr>
                <w:rFonts w:ascii="宋体" w:hAnsi="宋体" w:cs="宋体"/>
                <w:sz w:val="24"/>
                <w:szCs w:val="24"/>
              </w:rPr>
            </w:pPr>
          </w:p>
        </w:tc>
      </w:tr>
      <w:tr w14:paraId="0814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2100" w:type="dxa"/>
            <w:vAlign w:val="center"/>
          </w:tcPr>
          <w:p w14:paraId="3E16FDF7">
            <w:pPr>
              <w:jc w:val="center"/>
              <w:rPr>
                <w:rFonts w:ascii="宋体" w:hAnsi="宋体" w:cs="宋体"/>
                <w:sz w:val="24"/>
                <w:szCs w:val="24"/>
              </w:rPr>
            </w:pPr>
            <w:r>
              <w:rPr>
                <w:rFonts w:hint="eastAsia" w:ascii="宋体" w:hAnsi="宋体" w:cs="宋体"/>
                <w:sz w:val="24"/>
                <w:szCs w:val="24"/>
              </w:rPr>
              <w:t>发包人名称</w:t>
            </w:r>
          </w:p>
        </w:tc>
        <w:tc>
          <w:tcPr>
            <w:tcW w:w="7359" w:type="dxa"/>
            <w:vAlign w:val="center"/>
          </w:tcPr>
          <w:p w14:paraId="77282F59">
            <w:pPr>
              <w:jc w:val="center"/>
              <w:rPr>
                <w:rFonts w:ascii="宋体" w:hAnsi="宋体" w:cs="宋体"/>
                <w:sz w:val="24"/>
                <w:szCs w:val="24"/>
              </w:rPr>
            </w:pPr>
          </w:p>
        </w:tc>
      </w:tr>
      <w:tr w14:paraId="5C58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2100" w:type="dxa"/>
            <w:vAlign w:val="center"/>
          </w:tcPr>
          <w:p w14:paraId="63DE12F7">
            <w:pPr>
              <w:jc w:val="center"/>
              <w:rPr>
                <w:rFonts w:ascii="宋体" w:hAnsi="宋体" w:cs="宋体"/>
                <w:sz w:val="24"/>
                <w:szCs w:val="24"/>
              </w:rPr>
            </w:pPr>
            <w:r>
              <w:rPr>
                <w:rFonts w:hint="eastAsia" w:ascii="宋体" w:hAnsi="宋体" w:cs="宋体"/>
                <w:sz w:val="24"/>
                <w:szCs w:val="24"/>
              </w:rPr>
              <w:t>发包人地址</w:t>
            </w:r>
          </w:p>
        </w:tc>
        <w:tc>
          <w:tcPr>
            <w:tcW w:w="7359" w:type="dxa"/>
            <w:vAlign w:val="center"/>
          </w:tcPr>
          <w:p w14:paraId="105F47A7">
            <w:pPr>
              <w:jc w:val="center"/>
              <w:rPr>
                <w:rFonts w:ascii="宋体" w:hAnsi="宋体" w:cs="宋体"/>
                <w:sz w:val="24"/>
                <w:szCs w:val="24"/>
              </w:rPr>
            </w:pPr>
          </w:p>
        </w:tc>
      </w:tr>
      <w:tr w14:paraId="3A61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100" w:type="dxa"/>
            <w:vAlign w:val="center"/>
          </w:tcPr>
          <w:p w14:paraId="5B0558B2">
            <w:pPr>
              <w:jc w:val="center"/>
              <w:rPr>
                <w:rFonts w:ascii="宋体" w:hAnsi="宋体" w:cs="宋体"/>
                <w:sz w:val="24"/>
                <w:szCs w:val="24"/>
              </w:rPr>
            </w:pPr>
            <w:r>
              <w:rPr>
                <w:rFonts w:hint="eastAsia" w:ascii="宋体" w:hAnsi="宋体" w:cs="宋体"/>
                <w:sz w:val="24"/>
                <w:szCs w:val="24"/>
              </w:rPr>
              <w:t>发包人电话</w:t>
            </w:r>
          </w:p>
        </w:tc>
        <w:tc>
          <w:tcPr>
            <w:tcW w:w="7359" w:type="dxa"/>
            <w:vAlign w:val="center"/>
          </w:tcPr>
          <w:p w14:paraId="765E4BD0">
            <w:pPr>
              <w:jc w:val="center"/>
              <w:rPr>
                <w:rFonts w:ascii="宋体" w:hAnsi="宋体" w:cs="宋体"/>
                <w:sz w:val="24"/>
                <w:szCs w:val="24"/>
              </w:rPr>
            </w:pPr>
          </w:p>
        </w:tc>
      </w:tr>
      <w:tr w14:paraId="04FD6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2100" w:type="dxa"/>
            <w:vAlign w:val="center"/>
          </w:tcPr>
          <w:p w14:paraId="395CBEDE">
            <w:pPr>
              <w:jc w:val="center"/>
              <w:rPr>
                <w:rFonts w:ascii="宋体" w:hAnsi="宋体" w:cs="宋体"/>
                <w:sz w:val="24"/>
                <w:szCs w:val="24"/>
              </w:rPr>
            </w:pPr>
            <w:r>
              <w:rPr>
                <w:rFonts w:hint="eastAsia" w:ascii="宋体" w:hAnsi="宋体" w:cs="宋体"/>
                <w:sz w:val="24"/>
                <w:szCs w:val="24"/>
              </w:rPr>
              <w:t>签约合同价</w:t>
            </w:r>
          </w:p>
        </w:tc>
        <w:tc>
          <w:tcPr>
            <w:tcW w:w="7359" w:type="dxa"/>
            <w:vAlign w:val="center"/>
          </w:tcPr>
          <w:p w14:paraId="06012213">
            <w:pPr>
              <w:jc w:val="center"/>
              <w:rPr>
                <w:rFonts w:ascii="宋体" w:hAnsi="宋体" w:cs="宋体"/>
                <w:sz w:val="24"/>
                <w:szCs w:val="24"/>
              </w:rPr>
            </w:pPr>
          </w:p>
        </w:tc>
      </w:tr>
      <w:tr w14:paraId="3BB3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100" w:type="dxa"/>
            <w:vAlign w:val="center"/>
          </w:tcPr>
          <w:p w14:paraId="4589A9A5">
            <w:pPr>
              <w:jc w:val="center"/>
              <w:rPr>
                <w:rFonts w:ascii="宋体" w:hAnsi="宋体" w:cs="宋体"/>
                <w:sz w:val="24"/>
                <w:szCs w:val="24"/>
              </w:rPr>
            </w:pPr>
            <w:r>
              <w:rPr>
                <w:rFonts w:hint="eastAsia" w:ascii="宋体" w:hAnsi="宋体" w:cs="宋体"/>
                <w:sz w:val="24"/>
                <w:szCs w:val="24"/>
              </w:rPr>
              <w:t>开工日期</w:t>
            </w:r>
          </w:p>
        </w:tc>
        <w:tc>
          <w:tcPr>
            <w:tcW w:w="7359" w:type="dxa"/>
            <w:vAlign w:val="center"/>
          </w:tcPr>
          <w:p w14:paraId="50878116">
            <w:pPr>
              <w:jc w:val="center"/>
              <w:rPr>
                <w:rFonts w:ascii="宋体" w:hAnsi="宋体" w:cs="宋体"/>
                <w:sz w:val="24"/>
                <w:szCs w:val="24"/>
              </w:rPr>
            </w:pPr>
          </w:p>
        </w:tc>
      </w:tr>
      <w:tr w14:paraId="4753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2100" w:type="dxa"/>
            <w:vAlign w:val="center"/>
          </w:tcPr>
          <w:p w14:paraId="55A17072">
            <w:pPr>
              <w:jc w:val="center"/>
              <w:rPr>
                <w:rFonts w:ascii="宋体" w:hAnsi="宋体" w:cs="宋体"/>
                <w:sz w:val="24"/>
                <w:szCs w:val="24"/>
              </w:rPr>
            </w:pPr>
            <w:r>
              <w:rPr>
                <w:rFonts w:hint="eastAsia" w:ascii="宋体" w:hAnsi="宋体" w:cs="宋体"/>
                <w:sz w:val="24"/>
                <w:szCs w:val="24"/>
              </w:rPr>
              <w:t>计划竣工日期</w:t>
            </w:r>
          </w:p>
        </w:tc>
        <w:tc>
          <w:tcPr>
            <w:tcW w:w="7359" w:type="dxa"/>
            <w:vAlign w:val="center"/>
          </w:tcPr>
          <w:p w14:paraId="09F137F1">
            <w:pPr>
              <w:jc w:val="center"/>
              <w:rPr>
                <w:rFonts w:ascii="宋体" w:hAnsi="宋体" w:cs="宋体"/>
                <w:sz w:val="24"/>
                <w:szCs w:val="24"/>
              </w:rPr>
            </w:pPr>
          </w:p>
        </w:tc>
      </w:tr>
      <w:tr w14:paraId="10CDF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100" w:type="dxa"/>
            <w:vAlign w:val="center"/>
          </w:tcPr>
          <w:p w14:paraId="3808C4D8">
            <w:pPr>
              <w:jc w:val="center"/>
              <w:rPr>
                <w:rFonts w:ascii="宋体" w:hAnsi="宋体" w:cs="宋体"/>
                <w:sz w:val="24"/>
                <w:szCs w:val="24"/>
              </w:rPr>
            </w:pPr>
            <w:r>
              <w:rPr>
                <w:rFonts w:hint="eastAsia" w:ascii="宋体" w:hAnsi="宋体" w:cs="宋体"/>
                <w:sz w:val="24"/>
                <w:szCs w:val="24"/>
              </w:rPr>
              <w:t>承担的工作</w:t>
            </w:r>
          </w:p>
        </w:tc>
        <w:tc>
          <w:tcPr>
            <w:tcW w:w="7359" w:type="dxa"/>
            <w:vAlign w:val="center"/>
          </w:tcPr>
          <w:p w14:paraId="4FDB0EB8">
            <w:pPr>
              <w:jc w:val="center"/>
              <w:rPr>
                <w:rFonts w:ascii="宋体" w:hAnsi="宋体" w:cs="宋体"/>
                <w:sz w:val="24"/>
                <w:szCs w:val="24"/>
              </w:rPr>
            </w:pPr>
          </w:p>
        </w:tc>
      </w:tr>
      <w:tr w14:paraId="50C0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2100" w:type="dxa"/>
            <w:vAlign w:val="center"/>
          </w:tcPr>
          <w:p w14:paraId="5E5157E8">
            <w:pPr>
              <w:jc w:val="center"/>
              <w:rPr>
                <w:rFonts w:ascii="宋体" w:hAnsi="宋体" w:cs="宋体"/>
                <w:sz w:val="24"/>
                <w:szCs w:val="24"/>
              </w:rPr>
            </w:pPr>
            <w:r>
              <w:rPr>
                <w:rFonts w:hint="eastAsia" w:ascii="宋体" w:hAnsi="宋体" w:cs="宋体"/>
                <w:sz w:val="24"/>
                <w:szCs w:val="24"/>
              </w:rPr>
              <w:t>工程质量</w:t>
            </w:r>
          </w:p>
        </w:tc>
        <w:tc>
          <w:tcPr>
            <w:tcW w:w="7359" w:type="dxa"/>
            <w:vAlign w:val="center"/>
          </w:tcPr>
          <w:p w14:paraId="53B72B6E">
            <w:pPr>
              <w:jc w:val="center"/>
              <w:rPr>
                <w:rFonts w:ascii="宋体" w:hAnsi="宋体" w:cs="宋体"/>
                <w:sz w:val="24"/>
                <w:szCs w:val="24"/>
              </w:rPr>
            </w:pPr>
          </w:p>
        </w:tc>
      </w:tr>
      <w:tr w14:paraId="0303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100" w:type="dxa"/>
            <w:vAlign w:val="center"/>
          </w:tcPr>
          <w:p w14:paraId="09991E7D">
            <w:pPr>
              <w:jc w:val="center"/>
              <w:rPr>
                <w:rFonts w:ascii="宋体" w:hAnsi="宋体" w:cs="宋体"/>
                <w:sz w:val="24"/>
                <w:szCs w:val="24"/>
              </w:rPr>
            </w:pPr>
            <w:r>
              <w:rPr>
                <w:rFonts w:hint="eastAsia" w:ascii="宋体" w:hAnsi="宋体" w:cs="宋体"/>
                <w:sz w:val="24"/>
                <w:szCs w:val="24"/>
              </w:rPr>
              <w:t>项目经理</w:t>
            </w:r>
          </w:p>
        </w:tc>
        <w:tc>
          <w:tcPr>
            <w:tcW w:w="7359" w:type="dxa"/>
            <w:vAlign w:val="center"/>
          </w:tcPr>
          <w:p w14:paraId="32B7C811">
            <w:pPr>
              <w:jc w:val="center"/>
              <w:rPr>
                <w:rFonts w:ascii="宋体" w:hAnsi="宋体" w:cs="宋体"/>
                <w:sz w:val="24"/>
                <w:szCs w:val="24"/>
              </w:rPr>
            </w:pPr>
          </w:p>
        </w:tc>
      </w:tr>
      <w:tr w14:paraId="6DD2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100" w:type="dxa"/>
            <w:vAlign w:val="center"/>
          </w:tcPr>
          <w:p w14:paraId="5DE169EA">
            <w:pPr>
              <w:jc w:val="center"/>
              <w:rPr>
                <w:rFonts w:ascii="宋体" w:hAnsi="宋体" w:cs="宋体"/>
                <w:sz w:val="24"/>
                <w:szCs w:val="24"/>
              </w:rPr>
            </w:pPr>
            <w:r>
              <w:rPr>
                <w:rFonts w:hint="eastAsia" w:ascii="宋体" w:hAnsi="宋体" w:cs="宋体"/>
                <w:sz w:val="24"/>
                <w:szCs w:val="24"/>
              </w:rPr>
              <w:t>技术负责人</w:t>
            </w:r>
          </w:p>
        </w:tc>
        <w:tc>
          <w:tcPr>
            <w:tcW w:w="7359" w:type="dxa"/>
            <w:vAlign w:val="center"/>
          </w:tcPr>
          <w:p w14:paraId="448DCA68">
            <w:pPr>
              <w:jc w:val="center"/>
              <w:rPr>
                <w:rFonts w:ascii="宋体" w:hAnsi="宋体" w:cs="宋体"/>
                <w:sz w:val="24"/>
                <w:szCs w:val="24"/>
              </w:rPr>
            </w:pPr>
          </w:p>
        </w:tc>
      </w:tr>
      <w:tr w14:paraId="21E97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2100" w:type="dxa"/>
            <w:vAlign w:val="center"/>
          </w:tcPr>
          <w:p w14:paraId="0C93DDAA">
            <w:pPr>
              <w:jc w:val="center"/>
              <w:rPr>
                <w:rFonts w:ascii="宋体" w:hAnsi="宋体" w:cs="宋体"/>
                <w:sz w:val="24"/>
                <w:szCs w:val="24"/>
              </w:rPr>
            </w:pPr>
            <w:r>
              <w:rPr>
                <w:rFonts w:hint="eastAsia" w:ascii="宋体" w:hAnsi="宋体" w:cs="宋体"/>
                <w:sz w:val="24"/>
                <w:szCs w:val="24"/>
              </w:rPr>
              <w:t>项目描述</w:t>
            </w:r>
          </w:p>
        </w:tc>
        <w:tc>
          <w:tcPr>
            <w:tcW w:w="7359" w:type="dxa"/>
            <w:vAlign w:val="center"/>
          </w:tcPr>
          <w:p w14:paraId="5D49141A">
            <w:pPr>
              <w:rPr>
                <w:rFonts w:ascii="宋体" w:hAnsi="宋体" w:cs="宋体"/>
                <w:sz w:val="24"/>
                <w:szCs w:val="24"/>
              </w:rPr>
            </w:pPr>
          </w:p>
        </w:tc>
      </w:tr>
      <w:tr w14:paraId="2F09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2100" w:type="dxa"/>
            <w:vAlign w:val="center"/>
          </w:tcPr>
          <w:p w14:paraId="53814852">
            <w:pPr>
              <w:jc w:val="center"/>
              <w:rPr>
                <w:rFonts w:ascii="宋体" w:hAnsi="宋体" w:cs="宋体"/>
                <w:sz w:val="24"/>
                <w:szCs w:val="24"/>
              </w:rPr>
            </w:pPr>
            <w:r>
              <w:rPr>
                <w:rFonts w:hint="eastAsia" w:ascii="宋体" w:hAnsi="宋体" w:cs="宋体"/>
                <w:sz w:val="24"/>
                <w:szCs w:val="24"/>
              </w:rPr>
              <w:t>备注</w:t>
            </w:r>
          </w:p>
        </w:tc>
        <w:tc>
          <w:tcPr>
            <w:tcW w:w="7359" w:type="dxa"/>
            <w:vAlign w:val="center"/>
          </w:tcPr>
          <w:p w14:paraId="5172E169">
            <w:pPr>
              <w:jc w:val="center"/>
              <w:rPr>
                <w:rFonts w:ascii="宋体" w:hAnsi="宋体" w:cs="宋体"/>
                <w:sz w:val="24"/>
                <w:szCs w:val="24"/>
              </w:rPr>
            </w:pPr>
          </w:p>
        </w:tc>
      </w:tr>
    </w:tbl>
    <w:p w14:paraId="638BA2CB">
      <w:pPr>
        <w:spacing w:line="360" w:lineRule="auto"/>
        <w:rPr>
          <w:rFonts w:ascii="宋体" w:hAnsi="宋体" w:cs="宋体"/>
          <w:sz w:val="24"/>
          <w:szCs w:val="24"/>
        </w:rPr>
      </w:pPr>
    </w:p>
    <w:p w14:paraId="3B348203">
      <w:pPr>
        <w:spacing w:line="360" w:lineRule="auto"/>
        <w:rPr>
          <w:rFonts w:ascii="宋体" w:hAnsi="宋体" w:cs="宋体"/>
          <w:sz w:val="24"/>
          <w:szCs w:val="24"/>
        </w:rPr>
      </w:pPr>
      <w:r>
        <w:rPr>
          <w:rFonts w:hint="eastAsia" w:ascii="宋体" w:hAnsi="宋体" w:cs="宋体"/>
          <w:sz w:val="24"/>
          <w:szCs w:val="24"/>
        </w:rPr>
        <w:t>备注：本表后附中标通知书</w:t>
      </w:r>
      <w:r>
        <w:rPr>
          <w:rFonts w:hint="eastAsia" w:ascii="宋体" w:hAnsi="宋体" w:cs="宋体"/>
          <w:sz w:val="24"/>
          <w:szCs w:val="24"/>
          <w:lang w:val="en-US" w:eastAsia="zh-CN"/>
        </w:rPr>
        <w:t>或</w:t>
      </w:r>
      <w:r>
        <w:rPr>
          <w:rFonts w:hint="eastAsia" w:ascii="宋体" w:hAnsi="宋体" w:cs="宋体"/>
          <w:sz w:val="24"/>
          <w:szCs w:val="24"/>
          <w:lang w:eastAsia="zh-CN"/>
        </w:rPr>
        <w:t>施工合同</w:t>
      </w:r>
      <w:r>
        <w:rPr>
          <w:rFonts w:hint="eastAsia" w:ascii="宋体" w:hAnsi="宋体" w:cs="宋体"/>
          <w:sz w:val="24"/>
          <w:szCs w:val="24"/>
        </w:rPr>
        <w:t>加盖公章复印件。每张表格只填写一个项目，并标明序号。</w:t>
      </w:r>
    </w:p>
    <w:p w14:paraId="515F20D9">
      <w:pPr>
        <w:rPr>
          <w:rFonts w:ascii="宋体" w:hAnsi="宋体" w:cs="宋体"/>
          <w:sz w:val="24"/>
          <w:szCs w:val="24"/>
        </w:rPr>
      </w:pPr>
    </w:p>
    <w:p w14:paraId="03587E37">
      <w:pPr>
        <w:rPr>
          <w:rFonts w:ascii="宋体" w:hAnsi="宋体" w:cs="宋体"/>
          <w:b/>
          <w:sz w:val="24"/>
          <w:szCs w:val="24"/>
        </w:rPr>
      </w:pPr>
      <w:r>
        <w:rPr>
          <w:rFonts w:hint="eastAsia" w:ascii="宋体" w:hAnsi="宋体" w:cs="宋体"/>
          <w:b/>
          <w:sz w:val="24"/>
          <w:szCs w:val="24"/>
        </w:rPr>
        <w:br w:type="page"/>
      </w:r>
    </w:p>
    <w:p w14:paraId="31B2F825">
      <w:pPr>
        <w:rPr>
          <w:rFonts w:ascii="宋体" w:hAnsi="宋体" w:cs="宋体"/>
          <w:b/>
          <w:sz w:val="24"/>
          <w:szCs w:val="24"/>
        </w:rPr>
      </w:pPr>
      <w:r>
        <w:rPr>
          <w:rFonts w:hint="eastAsia" w:ascii="宋体" w:hAnsi="宋体" w:cs="宋体"/>
          <w:b/>
          <w:sz w:val="24"/>
          <w:szCs w:val="24"/>
        </w:rPr>
        <w:t>（五）近年发生的诉讼和仲裁情况</w:t>
      </w:r>
    </w:p>
    <w:p w14:paraId="5E2DBF2F">
      <w:pPr>
        <w:spacing w:line="360" w:lineRule="auto"/>
        <w:ind w:firstLine="480" w:firstLineChars="200"/>
        <w:rPr>
          <w:rFonts w:ascii="宋体" w:hAnsi="宋体" w:cs="宋体"/>
          <w:sz w:val="24"/>
          <w:szCs w:val="24"/>
        </w:rPr>
      </w:pPr>
    </w:p>
    <w:p w14:paraId="566570D3">
      <w:pPr>
        <w:spacing w:line="360" w:lineRule="auto"/>
        <w:ind w:firstLine="480" w:firstLineChars="200"/>
        <w:rPr>
          <w:rFonts w:ascii="宋体" w:hAnsi="宋体" w:cs="宋体"/>
          <w:sz w:val="24"/>
          <w:szCs w:val="24"/>
        </w:rPr>
      </w:pPr>
      <w:r>
        <w:rPr>
          <w:rFonts w:hint="eastAsia" w:ascii="宋体" w:hAnsi="宋体" w:cs="宋体"/>
          <w:sz w:val="24"/>
          <w:szCs w:val="24"/>
        </w:rPr>
        <w:t>说明：20</w:t>
      </w:r>
      <w:r>
        <w:rPr>
          <w:rFonts w:hint="eastAsia" w:ascii="宋体" w:hAnsi="宋体" w:cs="宋体"/>
          <w:sz w:val="24"/>
          <w:szCs w:val="24"/>
          <w:lang w:val="en-US" w:eastAsia="zh-CN"/>
        </w:rPr>
        <w:t>23</w:t>
      </w:r>
      <w:r>
        <w:rPr>
          <w:rFonts w:hint="eastAsia" w:ascii="宋体" w:hAnsi="宋体" w:cs="宋体"/>
          <w:sz w:val="24"/>
          <w:szCs w:val="24"/>
        </w:rPr>
        <w:t>年</w:t>
      </w:r>
      <w:r>
        <w:rPr>
          <w:rFonts w:hint="eastAsia" w:ascii="宋体" w:hAnsi="宋体" w:cs="宋体"/>
          <w:sz w:val="24"/>
          <w:szCs w:val="24"/>
          <w:lang w:val="en-US" w:eastAsia="zh-CN"/>
        </w:rPr>
        <w:t>01</w:t>
      </w:r>
      <w:r>
        <w:rPr>
          <w:rFonts w:hint="eastAsia" w:ascii="宋体" w:hAnsi="宋体" w:cs="宋体"/>
          <w:sz w:val="24"/>
          <w:szCs w:val="24"/>
        </w:rPr>
        <w:t>月</w:t>
      </w:r>
      <w:r>
        <w:rPr>
          <w:rFonts w:hint="eastAsia" w:ascii="宋体" w:hAnsi="宋体" w:cs="宋体"/>
          <w:sz w:val="24"/>
          <w:szCs w:val="24"/>
          <w:lang w:val="en-US" w:eastAsia="zh-CN"/>
        </w:rPr>
        <w:t>0</w:t>
      </w:r>
      <w:r>
        <w:rPr>
          <w:rFonts w:hint="eastAsia" w:ascii="宋体" w:hAnsi="宋体" w:cs="宋体"/>
          <w:sz w:val="24"/>
          <w:szCs w:val="24"/>
        </w:rPr>
        <w:t>1日至</w:t>
      </w:r>
      <w:r>
        <w:rPr>
          <w:rFonts w:hint="eastAsia" w:ascii="宋体" w:hAnsi="宋体" w:cs="宋体"/>
          <w:sz w:val="24"/>
          <w:szCs w:val="24"/>
          <w:highlight w:val="none"/>
          <w:lang w:eastAsia="zh-CN"/>
        </w:rPr>
        <w:t>投标截止之日</w:t>
      </w:r>
      <w:r>
        <w:rPr>
          <w:rFonts w:hint="eastAsia" w:ascii="宋体" w:hAnsi="宋体" w:cs="宋体"/>
          <w:sz w:val="24"/>
          <w:szCs w:val="24"/>
        </w:rPr>
        <w:t>发生的诉讼和仲裁情况仅限于投标人败诉的，且与履行施工承包合同有关的案件，不包括调解结案以及未裁决的仲裁或未终审判决的诉讼。</w:t>
      </w:r>
    </w:p>
    <w:p w14:paraId="3A7288A4">
      <w:pPr>
        <w:rPr>
          <w:rFonts w:ascii="宋体" w:hAnsi="宋体" w:cs="宋体"/>
          <w:sz w:val="24"/>
          <w:szCs w:val="24"/>
        </w:rPr>
      </w:pPr>
    </w:p>
    <w:p w14:paraId="4EF6CEA1">
      <w:pPr>
        <w:spacing w:line="360" w:lineRule="auto"/>
        <w:ind w:firstLine="720" w:firstLineChars="300"/>
        <w:jc w:val="left"/>
        <w:rPr>
          <w:rFonts w:ascii="宋体" w:hAnsi="宋体" w:cs="宋体"/>
          <w:sz w:val="24"/>
          <w:szCs w:val="24"/>
        </w:rPr>
      </w:pPr>
      <w:r>
        <w:rPr>
          <w:rFonts w:hint="eastAsia" w:ascii="宋体" w:hAnsi="宋体" w:cs="宋体"/>
          <w:sz w:val="24"/>
          <w:szCs w:val="24"/>
        </w:rPr>
        <w:br w:type="page"/>
      </w:r>
    </w:p>
    <w:p w14:paraId="1AE4878F">
      <w:pPr>
        <w:rPr>
          <w:rFonts w:hint="eastAsia" w:ascii="宋体" w:hAnsi="宋体" w:cs="宋体"/>
          <w:b/>
          <w:sz w:val="24"/>
          <w:szCs w:val="24"/>
        </w:rPr>
      </w:pPr>
      <w:r>
        <w:rPr>
          <w:rFonts w:hint="eastAsia" w:ascii="宋体" w:hAnsi="宋体" w:cs="宋体"/>
          <w:b/>
          <w:sz w:val="24"/>
          <w:szCs w:val="24"/>
        </w:rPr>
        <w:t>（六）</w:t>
      </w:r>
      <w:r>
        <w:rPr>
          <w:rFonts w:hint="eastAsia" w:ascii="宋体" w:hAnsi="宋体" w:cs="宋体"/>
          <w:b/>
          <w:sz w:val="24"/>
          <w:szCs w:val="24"/>
          <w:lang w:val="en-US" w:eastAsia="zh-CN"/>
        </w:rPr>
        <w:t>企业各类证书</w:t>
      </w:r>
    </w:p>
    <w:p w14:paraId="18314A72">
      <w:pPr>
        <w:rPr>
          <w:rFonts w:hint="eastAsia" w:ascii="宋体" w:hAnsi="宋体" w:cs="宋体"/>
          <w:b/>
          <w:sz w:val="24"/>
          <w:szCs w:val="24"/>
        </w:rPr>
      </w:pPr>
    </w:p>
    <w:p w14:paraId="10716DB1">
      <w:pPr>
        <w:rPr>
          <w:rFonts w:hint="eastAsia" w:ascii="宋体" w:hAnsi="宋体" w:cs="宋体"/>
          <w:b/>
          <w:sz w:val="24"/>
          <w:szCs w:val="24"/>
        </w:rPr>
      </w:pPr>
    </w:p>
    <w:p w14:paraId="01E0BCF3">
      <w:pPr>
        <w:rPr>
          <w:rFonts w:hint="eastAsia" w:ascii="宋体" w:hAnsi="宋体" w:cs="宋体"/>
          <w:b/>
          <w:sz w:val="24"/>
          <w:szCs w:val="24"/>
        </w:rPr>
      </w:pPr>
    </w:p>
    <w:p w14:paraId="498F2E1A">
      <w:pPr>
        <w:rPr>
          <w:rFonts w:hint="eastAsia" w:ascii="宋体" w:hAnsi="宋体" w:cs="宋体"/>
          <w:b/>
          <w:sz w:val="24"/>
          <w:szCs w:val="24"/>
        </w:rPr>
      </w:pPr>
    </w:p>
    <w:p w14:paraId="0C476694">
      <w:pPr>
        <w:rPr>
          <w:rFonts w:hint="eastAsia" w:ascii="宋体" w:hAnsi="宋体" w:cs="宋体"/>
          <w:b/>
          <w:sz w:val="24"/>
          <w:szCs w:val="24"/>
        </w:rPr>
      </w:pPr>
    </w:p>
    <w:p w14:paraId="24DD9D85">
      <w:pPr>
        <w:rPr>
          <w:rFonts w:hint="eastAsia" w:ascii="宋体" w:hAnsi="宋体" w:cs="宋体"/>
          <w:b/>
          <w:sz w:val="24"/>
          <w:szCs w:val="24"/>
        </w:rPr>
      </w:pPr>
    </w:p>
    <w:p w14:paraId="73348303">
      <w:pPr>
        <w:rPr>
          <w:rFonts w:hint="eastAsia" w:ascii="宋体" w:hAnsi="宋体" w:cs="宋体"/>
          <w:b/>
          <w:sz w:val="24"/>
          <w:szCs w:val="24"/>
        </w:rPr>
      </w:pPr>
    </w:p>
    <w:p w14:paraId="021F9DE1">
      <w:pPr>
        <w:rPr>
          <w:rFonts w:hint="eastAsia" w:ascii="宋体" w:hAnsi="宋体" w:cs="宋体"/>
          <w:b/>
          <w:sz w:val="24"/>
          <w:szCs w:val="24"/>
        </w:rPr>
      </w:pPr>
    </w:p>
    <w:p w14:paraId="0848A83D">
      <w:pPr>
        <w:rPr>
          <w:rFonts w:hint="eastAsia" w:ascii="宋体" w:hAnsi="宋体" w:cs="宋体"/>
          <w:b/>
          <w:sz w:val="24"/>
          <w:szCs w:val="24"/>
        </w:rPr>
      </w:pPr>
    </w:p>
    <w:p w14:paraId="323FA39E">
      <w:pPr>
        <w:rPr>
          <w:rFonts w:hint="eastAsia" w:ascii="宋体" w:hAnsi="宋体" w:cs="宋体"/>
          <w:b/>
          <w:sz w:val="24"/>
          <w:szCs w:val="24"/>
        </w:rPr>
      </w:pPr>
    </w:p>
    <w:p w14:paraId="1D1C746D">
      <w:pPr>
        <w:rPr>
          <w:rFonts w:hint="eastAsia" w:ascii="宋体" w:hAnsi="宋体" w:cs="宋体"/>
          <w:b/>
          <w:sz w:val="24"/>
          <w:szCs w:val="24"/>
        </w:rPr>
      </w:pPr>
    </w:p>
    <w:p w14:paraId="13679666">
      <w:pPr>
        <w:rPr>
          <w:rFonts w:hint="eastAsia" w:ascii="宋体" w:hAnsi="宋体" w:cs="宋体"/>
          <w:b/>
          <w:sz w:val="24"/>
          <w:szCs w:val="24"/>
        </w:rPr>
      </w:pPr>
    </w:p>
    <w:p w14:paraId="4A37DE02">
      <w:pPr>
        <w:rPr>
          <w:rFonts w:hint="eastAsia" w:ascii="宋体" w:hAnsi="宋体" w:cs="宋体"/>
          <w:b/>
          <w:sz w:val="24"/>
          <w:szCs w:val="24"/>
        </w:rPr>
      </w:pPr>
    </w:p>
    <w:p w14:paraId="4984C2E3">
      <w:pPr>
        <w:rPr>
          <w:rFonts w:hint="eastAsia" w:ascii="宋体" w:hAnsi="宋体" w:cs="宋体"/>
          <w:b/>
          <w:sz w:val="24"/>
          <w:szCs w:val="24"/>
        </w:rPr>
      </w:pPr>
    </w:p>
    <w:p w14:paraId="06271410">
      <w:pPr>
        <w:rPr>
          <w:rFonts w:hint="eastAsia" w:ascii="宋体" w:hAnsi="宋体" w:cs="宋体"/>
          <w:b/>
          <w:sz w:val="24"/>
          <w:szCs w:val="24"/>
        </w:rPr>
      </w:pPr>
    </w:p>
    <w:p w14:paraId="0214BD08">
      <w:pPr>
        <w:rPr>
          <w:rFonts w:hint="eastAsia" w:ascii="宋体" w:hAnsi="宋体" w:cs="宋体"/>
          <w:b/>
          <w:sz w:val="24"/>
          <w:szCs w:val="24"/>
        </w:rPr>
      </w:pPr>
    </w:p>
    <w:p w14:paraId="58F5EE2F">
      <w:pPr>
        <w:rPr>
          <w:rFonts w:hint="eastAsia" w:ascii="宋体" w:hAnsi="宋体" w:cs="宋体"/>
          <w:b/>
          <w:sz w:val="24"/>
          <w:szCs w:val="24"/>
        </w:rPr>
      </w:pPr>
    </w:p>
    <w:p w14:paraId="2FC94094">
      <w:pPr>
        <w:rPr>
          <w:rFonts w:hint="eastAsia" w:ascii="宋体" w:hAnsi="宋体" w:cs="宋体"/>
          <w:b/>
          <w:sz w:val="24"/>
          <w:szCs w:val="24"/>
        </w:rPr>
      </w:pPr>
    </w:p>
    <w:p w14:paraId="45C4716E">
      <w:pPr>
        <w:rPr>
          <w:rFonts w:hint="eastAsia" w:ascii="宋体" w:hAnsi="宋体" w:cs="宋体"/>
          <w:b/>
          <w:sz w:val="24"/>
          <w:szCs w:val="24"/>
        </w:rPr>
      </w:pPr>
    </w:p>
    <w:p w14:paraId="52CC7A39">
      <w:pPr>
        <w:rPr>
          <w:rFonts w:hint="eastAsia" w:ascii="宋体" w:hAnsi="宋体" w:cs="宋体"/>
          <w:b/>
          <w:sz w:val="24"/>
          <w:szCs w:val="24"/>
        </w:rPr>
      </w:pPr>
    </w:p>
    <w:p w14:paraId="2D1624EC">
      <w:pPr>
        <w:rPr>
          <w:rFonts w:hint="eastAsia" w:ascii="宋体" w:hAnsi="宋体" w:cs="宋体"/>
          <w:b/>
          <w:sz w:val="24"/>
          <w:szCs w:val="24"/>
        </w:rPr>
      </w:pPr>
    </w:p>
    <w:p w14:paraId="572F928D">
      <w:pPr>
        <w:rPr>
          <w:rFonts w:hint="eastAsia" w:ascii="宋体" w:hAnsi="宋体" w:cs="宋体"/>
          <w:b/>
          <w:sz w:val="24"/>
          <w:szCs w:val="24"/>
        </w:rPr>
      </w:pPr>
    </w:p>
    <w:p w14:paraId="4D30A991">
      <w:pPr>
        <w:rPr>
          <w:rFonts w:hint="eastAsia" w:ascii="宋体" w:hAnsi="宋体" w:cs="宋体"/>
          <w:b/>
          <w:sz w:val="24"/>
          <w:szCs w:val="24"/>
        </w:rPr>
      </w:pPr>
    </w:p>
    <w:p w14:paraId="40D4C159">
      <w:pPr>
        <w:rPr>
          <w:rFonts w:hint="eastAsia" w:ascii="宋体" w:hAnsi="宋体" w:cs="宋体"/>
          <w:b/>
          <w:sz w:val="24"/>
          <w:szCs w:val="24"/>
        </w:rPr>
      </w:pPr>
    </w:p>
    <w:p w14:paraId="742C06E5">
      <w:pPr>
        <w:rPr>
          <w:rFonts w:hint="eastAsia" w:ascii="宋体" w:hAnsi="宋体" w:cs="宋体"/>
          <w:b/>
          <w:sz w:val="24"/>
          <w:szCs w:val="24"/>
        </w:rPr>
      </w:pPr>
    </w:p>
    <w:p w14:paraId="5C032CD5">
      <w:pPr>
        <w:rPr>
          <w:rFonts w:hint="eastAsia" w:ascii="宋体" w:hAnsi="宋体" w:cs="宋体"/>
          <w:b/>
          <w:sz w:val="24"/>
          <w:szCs w:val="24"/>
        </w:rPr>
      </w:pPr>
    </w:p>
    <w:p w14:paraId="2658559C">
      <w:pPr>
        <w:rPr>
          <w:rFonts w:hint="eastAsia" w:ascii="宋体" w:hAnsi="宋体" w:cs="宋体"/>
          <w:b/>
          <w:sz w:val="24"/>
          <w:szCs w:val="24"/>
        </w:rPr>
      </w:pPr>
    </w:p>
    <w:p w14:paraId="0D57416B">
      <w:pPr>
        <w:rPr>
          <w:rFonts w:hint="eastAsia" w:ascii="宋体" w:hAnsi="宋体" w:cs="宋体"/>
          <w:b/>
          <w:sz w:val="24"/>
          <w:szCs w:val="24"/>
        </w:rPr>
      </w:pPr>
    </w:p>
    <w:p w14:paraId="63E09E1A">
      <w:pPr>
        <w:rPr>
          <w:rFonts w:hint="eastAsia" w:ascii="宋体" w:hAnsi="宋体" w:cs="宋体"/>
          <w:b/>
          <w:sz w:val="24"/>
          <w:szCs w:val="24"/>
        </w:rPr>
      </w:pPr>
    </w:p>
    <w:p w14:paraId="1BD03702">
      <w:pPr>
        <w:rPr>
          <w:rFonts w:hint="eastAsia" w:ascii="宋体" w:hAnsi="宋体" w:cs="宋体"/>
          <w:b/>
          <w:sz w:val="24"/>
          <w:szCs w:val="24"/>
        </w:rPr>
      </w:pPr>
    </w:p>
    <w:p w14:paraId="7DC4A90D">
      <w:pPr>
        <w:rPr>
          <w:rFonts w:hint="eastAsia" w:ascii="宋体" w:hAnsi="宋体" w:cs="宋体"/>
          <w:b/>
          <w:sz w:val="24"/>
          <w:szCs w:val="24"/>
        </w:rPr>
      </w:pPr>
    </w:p>
    <w:p w14:paraId="531615E9">
      <w:pPr>
        <w:rPr>
          <w:rFonts w:hint="eastAsia" w:ascii="宋体" w:hAnsi="宋体" w:cs="宋体"/>
          <w:b/>
          <w:sz w:val="24"/>
          <w:szCs w:val="24"/>
        </w:rPr>
      </w:pPr>
    </w:p>
    <w:p w14:paraId="4004E317">
      <w:pPr>
        <w:rPr>
          <w:rFonts w:hint="eastAsia" w:ascii="宋体" w:hAnsi="宋体" w:cs="宋体"/>
          <w:b/>
          <w:sz w:val="24"/>
          <w:szCs w:val="24"/>
        </w:rPr>
      </w:pPr>
    </w:p>
    <w:p w14:paraId="4DCBB5B1">
      <w:pPr>
        <w:rPr>
          <w:rFonts w:hint="eastAsia" w:ascii="宋体" w:hAnsi="宋体" w:cs="宋体"/>
          <w:b/>
          <w:sz w:val="24"/>
          <w:szCs w:val="24"/>
        </w:rPr>
      </w:pPr>
    </w:p>
    <w:p w14:paraId="29711B71">
      <w:pPr>
        <w:rPr>
          <w:rFonts w:hint="eastAsia" w:ascii="宋体" w:hAnsi="宋体" w:cs="宋体"/>
          <w:b/>
          <w:sz w:val="24"/>
          <w:szCs w:val="24"/>
        </w:rPr>
      </w:pPr>
    </w:p>
    <w:p w14:paraId="6293672E">
      <w:pPr>
        <w:rPr>
          <w:rFonts w:hint="eastAsia" w:ascii="宋体" w:hAnsi="宋体" w:cs="宋体"/>
          <w:b/>
          <w:sz w:val="24"/>
          <w:szCs w:val="24"/>
        </w:rPr>
      </w:pPr>
    </w:p>
    <w:p w14:paraId="595C79C2">
      <w:pPr>
        <w:rPr>
          <w:rFonts w:hint="eastAsia" w:ascii="宋体" w:hAnsi="宋体" w:cs="宋体"/>
          <w:b/>
          <w:sz w:val="24"/>
          <w:szCs w:val="24"/>
        </w:rPr>
      </w:pPr>
    </w:p>
    <w:p w14:paraId="76FA0D6E">
      <w:pPr>
        <w:rPr>
          <w:rFonts w:hint="eastAsia" w:ascii="宋体" w:hAnsi="宋体" w:cs="宋体"/>
          <w:b/>
          <w:sz w:val="24"/>
          <w:szCs w:val="24"/>
        </w:rPr>
      </w:pPr>
    </w:p>
    <w:p w14:paraId="290D75EB">
      <w:pPr>
        <w:rPr>
          <w:rFonts w:hint="eastAsia" w:ascii="宋体" w:hAnsi="宋体" w:cs="宋体"/>
          <w:b/>
          <w:sz w:val="24"/>
          <w:szCs w:val="24"/>
        </w:rPr>
      </w:pPr>
    </w:p>
    <w:p w14:paraId="5C3F7836">
      <w:pPr>
        <w:rPr>
          <w:rFonts w:hint="eastAsia" w:ascii="宋体" w:hAnsi="宋体" w:cs="宋体"/>
          <w:b/>
          <w:sz w:val="24"/>
          <w:szCs w:val="24"/>
        </w:rPr>
      </w:pPr>
    </w:p>
    <w:p w14:paraId="0BF67148">
      <w:pPr>
        <w:rPr>
          <w:rFonts w:hint="eastAsia" w:ascii="宋体" w:hAnsi="宋体" w:cs="宋体"/>
          <w:b/>
          <w:sz w:val="24"/>
          <w:szCs w:val="24"/>
        </w:rPr>
      </w:pPr>
    </w:p>
    <w:p w14:paraId="22A3E1C1">
      <w:pPr>
        <w:rPr>
          <w:rFonts w:hint="eastAsia" w:ascii="宋体" w:hAnsi="宋体" w:cs="宋体"/>
          <w:b/>
          <w:sz w:val="24"/>
          <w:szCs w:val="24"/>
        </w:rPr>
      </w:pPr>
    </w:p>
    <w:p w14:paraId="14D79A47">
      <w:pPr>
        <w:rPr>
          <w:rFonts w:hint="eastAsia" w:ascii="宋体" w:hAnsi="宋体" w:cs="宋体"/>
          <w:b/>
          <w:sz w:val="24"/>
          <w:szCs w:val="24"/>
        </w:rPr>
      </w:pPr>
    </w:p>
    <w:p w14:paraId="178EF76F">
      <w:pPr>
        <w:rPr>
          <w:rFonts w:hint="eastAsia" w:ascii="宋体" w:hAnsi="宋体" w:cs="宋体"/>
          <w:b/>
          <w:sz w:val="24"/>
          <w:szCs w:val="24"/>
        </w:rPr>
      </w:pPr>
    </w:p>
    <w:p w14:paraId="06FFCAF5">
      <w:pPr>
        <w:rPr>
          <w:rFonts w:hint="eastAsia" w:ascii="宋体" w:hAnsi="宋体" w:cs="宋体"/>
          <w:b/>
          <w:sz w:val="24"/>
          <w:szCs w:val="24"/>
          <w:lang w:val="en-US" w:eastAsia="zh-CN"/>
        </w:rPr>
      </w:pPr>
      <w:r>
        <w:rPr>
          <w:rFonts w:hint="eastAsia" w:ascii="宋体" w:hAnsi="宋体" w:cs="宋体"/>
          <w:b/>
          <w:sz w:val="24"/>
          <w:szCs w:val="24"/>
          <w:lang w:eastAsia="zh-CN"/>
        </w:rPr>
        <w:br w:type="textWrapping"/>
      </w:r>
      <w:r>
        <w:rPr>
          <w:rFonts w:hint="eastAsia" w:ascii="宋体" w:hAnsi="宋体" w:cs="宋体"/>
          <w:b/>
          <w:sz w:val="24"/>
          <w:szCs w:val="24"/>
          <w:lang w:eastAsia="zh-CN"/>
        </w:rPr>
        <w:t>（</w:t>
      </w:r>
      <w:r>
        <w:rPr>
          <w:rFonts w:hint="eastAsia" w:ascii="宋体" w:hAnsi="宋体" w:cs="宋体"/>
          <w:b/>
          <w:sz w:val="24"/>
          <w:szCs w:val="24"/>
          <w:lang w:val="en-US" w:eastAsia="zh-CN"/>
        </w:rPr>
        <w:t>七</w:t>
      </w:r>
      <w:r>
        <w:rPr>
          <w:rFonts w:hint="eastAsia" w:ascii="宋体" w:hAnsi="宋体" w:cs="宋体"/>
          <w:b/>
          <w:sz w:val="24"/>
          <w:szCs w:val="24"/>
          <w:lang w:eastAsia="zh-CN"/>
        </w:rPr>
        <w:t>）</w:t>
      </w:r>
      <w:r>
        <w:rPr>
          <w:rFonts w:hint="eastAsia" w:ascii="宋体" w:hAnsi="宋体" w:cs="宋体"/>
          <w:b/>
          <w:sz w:val="24"/>
          <w:szCs w:val="24"/>
          <w:lang w:val="en-US" w:eastAsia="zh-CN"/>
        </w:rPr>
        <w:t>企业获奖</w:t>
      </w:r>
    </w:p>
    <w:p w14:paraId="31413D3F">
      <w:pPr>
        <w:rPr>
          <w:rFonts w:hint="eastAsia" w:ascii="宋体" w:hAnsi="宋体" w:cs="宋体"/>
          <w:b/>
          <w:sz w:val="24"/>
          <w:szCs w:val="24"/>
          <w:lang w:val="en-US" w:eastAsia="zh-CN"/>
        </w:rPr>
      </w:pPr>
      <w:r>
        <w:rPr>
          <w:rFonts w:hint="eastAsia" w:ascii="宋体" w:hAnsi="宋体" w:cs="宋体"/>
          <w:b/>
          <w:sz w:val="24"/>
          <w:szCs w:val="24"/>
          <w:lang w:val="en-US" w:eastAsia="zh-CN"/>
        </w:rPr>
        <w:br w:type="page"/>
      </w:r>
    </w:p>
    <w:p w14:paraId="30EF8870">
      <w:pPr>
        <w:rPr>
          <w:rFonts w:ascii="宋体" w:hAnsi="宋体" w:cs="宋体"/>
          <w:b/>
          <w:sz w:val="24"/>
          <w:szCs w:val="24"/>
        </w:rPr>
      </w:pPr>
      <w:r>
        <w:rPr>
          <w:rFonts w:hint="eastAsia" w:ascii="宋体" w:hAnsi="宋体" w:cs="宋体"/>
          <w:b/>
          <w:sz w:val="24"/>
          <w:szCs w:val="24"/>
          <w:lang w:eastAsia="zh-CN"/>
        </w:rPr>
        <w:t>（</w:t>
      </w:r>
      <w:r>
        <w:rPr>
          <w:rFonts w:hint="eastAsia" w:ascii="宋体" w:hAnsi="宋体" w:cs="宋体"/>
          <w:b/>
          <w:sz w:val="24"/>
          <w:szCs w:val="24"/>
          <w:lang w:val="en-US" w:eastAsia="zh-CN"/>
        </w:rPr>
        <w:t>八</w:t>
      </w:r>
      <w:r>
        <w:rPr>
          <w:rFonts w:hint="eastAsia" w:ascii="宋体" w:hAnsi="宋体" w:cs="宋体"/>
          <w:b/>
          <w:sz w:val="24"/>
          <w:szCs w:val="24"/>
          <w:lang w:eastAsia="zh-CN"/>
        </w:rPr>
        <w:t>）</w:t>
      </w:r>
      <w:r>
        <w:rPr>
          <w:rFonts w:hint="eastAsia" w:ascii="宋体" w:hAnsi="宋体" w:cs="宋体"/>
          <w:b/>
          <w:sz w:val="24"/>
          <w:szCs w:val="24"/>
        </w:rPr>
        <w:t>其他资料</w:t>
      </w:r>
    </w:p>
    <w:p w14:paraId="4EACAE77">
      <w:pPr>
        <w:spacing w:line="360" w:lineRule="auto"/>
        <w:rPr>
          <w:rFonts w:ascii="宋体" w:hAnsi="宋体" w:cs="宋体"/>
          <w:sz w:val="24"/>
          <w:szCs w:val="24"/>
        </w:rPr>
      </w:pPr>
    </w:p>
    <w:p w14:paraId="66A56AC5">
      <w:pPr>
        <w:spacing w:line="360" w:lineRule="auto"/>
        <w:rPr>
          <w:rFonts w:ascii="宋体" w:hAnsi="宋体" w:cs="宋体"/>
          <w:sz w:val="24"/>
          <w:szCs w:val="24"/>
        </w:rPr>
      </w:pPr>
      <w:r>
        <w:rPr>
          <w:rFonts w:hint="eastAsia" w:ascii="宋体" w:hAnsi="宋体" w:cs="宋体"/>
          <w:sz w:val="24"/>
          <w:szCs w:val="24"/>
        </w:rPr>
        <w:t>附件1：关于自觉遵守与维护乌兰察布市建筑市场秩序的承诺</w:t>
      </w:r>
    </w:p>
    <w:p w14:paraId="1AE2C935">
      <w:pPr>
        <w:spacing w:line="360" w:lineRule="auto"/>
        <w:jc w:val="center"/>
        <w:rPr>
          <w:rFonts w:ascii="宋体" w:hAnsi="宋体" w:cs="宋体"/>
          <w:sz w:val="24"/>
          <w:szCs w:val="24"/>
        </w:rPr>
      </w:pPr>
    </w:p>
    <w:p w14:paraId="4FD9FE45">
      <w:pPr>
        <w:spacing w:line="360" w:lineRule="auto"/>
        <w:ind w:firstLine="600" w:firstLineChars="250"/>
        <w:rPr>
          <w:rFonts w:ascii="宋体" w:hAnsi="宋体" w:cs="宋体"/>
          <w:sz w:val="24"/>
          <w:szCs w:val="24"/>
        </w:rPr>
      </w:pPr>
      <w:r>
        <w:rPr>
          <w:rFonts w:hint="eastAsia" w:ascii="宋体" w:hAnsi="宋体" w:cs="宋体"/>
          <w:sz w:val="24"/>
          <w:szCs w:val="24"/>
        </w:rPr>
        <w:t>为了维护乌兰察布市建筑市场秩序，规范施工企业的建筑行为，本企业自觉遵守国家和自治区的法律、法规、规章的规定，并郑重承诺；如果在交易、施工、质量、安全等方面发生下列行为并造成不良社会影响的，自愿退出乌兰察布市建筑市场。</w:t>
      </w:r>
    </w:p>
    <w:p w14:paraId="1DA276DF">
      <w:pPr>
        <w:spacing w:line="360" w:lineRule="auto"/>
        <w:rPr>
          <w:rFonts w:ascii="宋体" w:hAnsi="宋体" w:cs="宋体"/>
          <w:sz w:val="24"/>
          <w:szCs w:val="24"/>
        </w:rPr>
      </w:pPr>
      <w:r>
        <w:rPr>
          <w:rFonts w:hint="eastAsia" w:ascii="宋体" w:hAnsi="宋体" w:cs="宋体"/>
          <w:sz w:val="24"/>
          <w:szCs w:val="24"/>
        </w:rPr>
        <w:t>1、</w:t>
      </w:r>
      <w:r>
        <w:rPr>
          <w:rFonts w:hint="eastAsia" w:ascii="宋体" w:hAnsi="宋体" w:cs="宋体"/>
          <w:sz w:val="24"/>
          <w:szCs w:val="24"/>
        </w:rPr>
        <w:tab/>
      </w:r>
      <w:r>
        <w:rPr>
          <w:rFonts w:hint="eastAsia" w:ascii="宋体" w:hAnsi="宋体" w:cs="宋体"/>
          <w:sz w:val="24"/>
          <w:szCs w:val="24"/>
        </w:rPr>
        <w:t>拒绝接受各级建设行政主管部门及其他相关部门的正常监督管理</w:t>
      </w:r>
    </w:p>
    <w:p w14:paraId="690942D3">
      <w:pPr>
        <w:spacing w:line="360" w:lineRule="auto"/>
        <w:rPr>
          <w:rFonts w:ascii="宋体" w:hAnsi="宋体" w:cs="宋体"/>
          <w:sz w:val="24"/>
          <w:szCs w:val="24"/>
        </w:rPr>
      </w:pPr>
      <w:r>
        <w:rPr>
          <w:rFonts w:hint="eastAsia" w:ascii="宋体" w:hAnsi="宋体" w:cs="宋体"/>
          <w:sz w:val="24"/>
          <w:szCs w:val="24"/>
        </w:rPr>
        <w:t>2、</w:t>
      </w:r>
      <w:r>
        <w:rPr>
          <w:rFonts w:hint="eastAsia" w:ascii="宋体" w:hAnsi="宋体" w:cs="宋体"/>
          <w:sz w:val="24"/>
          <w:szCs w:val="24"/>
        </w:rPr>
        <w:tab/>
      </w:r>
      <w:r>
        <w:rPr>
          <w:rFonts w:hint="eastAsia" w:ascii="宋体" w:hAnsi="宋体" w:cs="宋体"/>
          <w:sz w:val="24"/>
          <w:szCs w:val="24"/>
        </w:rPr>
        <w:t>发生重大质量安全生产责任事故；</w:t>
      </w:r>
    </w:p>
    <w:p w14:paraId="57921BD2">
      <w:pPr>
        <w:spacing w:line="360" w:lineRule="auto"/>
        <w:rPr>
          <w:rFonts w:ascii="宋体" w:hAnsi="宋体" w:cs="宋体"/>
          <w:sz w:val="24"/>
          <w:szCs w:val="24"/>
        </w:rPr>
      </w:pPr>
      <w:r>
        <w:rPr>
          <w:rFonts w:hint="eastAsia" w:ascii="宋体" w:hAnsi="宋体" w:cs="宋体"/>
          <w:sz w:val="24"/>
          <w:szCs w:val="24"/>
        </w:rPr>
        <w:t>3、</w:t>
      </w:r>
      <w:r>
        <w:rPr>
          <w:rFonts w:hint="eastAsia" w:ascii="宋体" w:hAnsi="宋体" w:cs="宋体"/>
          <w:sz w:val="24"/>
          <w:szCs w:val="24"/>
        </w:rPr>
        <w:tab/>
      </w:r>
      <w:r>
        <w:rPr>
          <w:rFonts w:hint="eastAsia" w:ascii="宋体" w:hAnsi="宋体" w:cs="宋体"/>
          <w:sz w:val="24"/>
          <w:szCs w:val="24"/>
        </w:rPr>
        <w:t>投标过程中弄虚作假、串标、围标，扰乱有形建筑市场正常秩序。</w:t>
      </w:r>
    </w:p>
    <w:p w14:paraId="06404F01">
      <w:pPr>
        <w:spacing w:line="360" w:lineRule="auto"/>
        <w:rPr>
          <w:rFonts w:ascii="宋体" w:hAnsi="宋体" w:cs="宋体"/>
          <w:sz w:val="24"/>
          <w:szCs w:val="24"/>
        </w:rPr>
      </w:pPr>
      <w:r>
        <w:rPr>
          <w:rFonts w:hint="eastAsia" w:ascii="宋体" w:hAnsi="宋体" w:cs="宋体"/>
          <w:sz w:val="24"/>
          <w:szCs w:val="24"/>
        </w:rPr>
        <w:t>4、</w:t>
      </w:r>
      <w:r>
        <w:rPr>
          <w:rFonts w:hint="eastAsia" w:ascii="宋体" w:hAnsi="宋体" w:cs="宋体"/>
          <w:sz w:val="24"/>
          <w:szCs w:val="24"/>
        </w:rPr>
        <w:tab/>
      </w:r>
      <w:r>
        <w:rPr>
          <w:rFonts w:hint="eastAsia" w:ascii="宋体" w:hAnsi="宋体" w:cs="宋体"/>
          <w:sz w:val="24"/>
          <w:szCs w:val="24"/>
        </w:rPr>
        <w:t>因欠薪而引发工人聚集上访事件；</w:t>
      </w:r>
    </w:p>
    <w:p w14:paraId="5D1D1AD8">
      <w:pPr>
        <w:spacing w:line="360" w:lineRule="auto"/>
        <w:ind w:left="480" w:hanging="480" w:hangingChars="200"/>
        <w:rPr>
          <w:rFonts w:ascii="宋体" w:hAnsi="宋体" w:cs="宋体"/>
          <w:sz w:val="24"/>
          <w:szCs w:val="24"/>
        </w:rPr>
      </w:pPr>
      <w:r>
        <w:rPr>
          <w:rFonts w:hint="eastAsia" w:ascii="宋体" w:hAnsi="宋体" w:cs="宋体"/>
          <w:sz w:val="24"/>
          <w:szCs w:val="24"/>
        </w:rPr>
        <w:t>5、</w:t>
      </w:r>
      <w:r>
        <w:rPr>
          <w:rFonts w:hint="eastAsia" w:ascii="宋体" w:hAnsi="宋体" w:cs="宋体"/>
          <w:sz w:val="24"/>
          <w:szCs w:val="24"/>
        </w:rPr>
        <w:tab/>
      </w:r>
      <w:r>
        <w:rPr>
          <w:rFonts w:hint="eastAsia" w:ascii="宋体" w:hAnsi="宋体" w:cs="宋体"/>
          <w:sz w:val="24"/>
          <w:szCs w:val="24"/>
        </w:rPr>
        <w:t>不按时参加建设行政主管部门要求参加的会议，不按时报送建设行政主管部门要求报送的报表；</w:t>
      </w:r>
    </w:p>
    <w:p w14:paraId="45E7D2E3">
      <w:pPr>
        <w:spacing w:line="360" w:lineRule="auto"/>
        <w:ind w:left="360" w:hanging="360" w:hangingChars="150"/>
        <w:rPr>
          <w:rFonts w:ascii="宋体" w:hAnsi="宋体" w:cs="宋体"/>
          <w:sz w:val="24"/>
          <w:szCs w:val="24"/>
        </w:rPr>
      </w:pPr>
      <w:r>
        <w:rPr>
          <w:rFonts w:hint="eastAsia" w:ascii="宋体" w:hAnsi="宋体" w:cs="宋体"/>
          <w:sz w:val="24"/>
          <w:szCs w:val="24"/>
        </w:rPr>
        <w:t>6、</w:t>
      </w:r>
      <w:r>
        <w:rPr>
          <w:rFonts w:hint="eastAsia" w:ascii="宋体" w:hAnsi="宋体" w:cs="宋体"/>
          <w:sz w:val="24"/>
          <w:szCs w:val="24"/>
        </w:rPr>
        <w:tab/>
      </w:r>
      <w:r>
        <w:rPr>
          <w:rFonts w:hint="eastAsia" w:ascii="宋体" w:hAnsi="宋体" w:cs="宋体"/>
          <w:sz w:val="24"/>
          <w:szCs w:val="24"/>
        </w:rPr>
        <w:t>企业负责人、经营负责人、技术负责人、建造师、办公地址、联系电话等发生变更而逾期不办理变更手续；</w:t>
      </w:r>
    </w:p>
    <w:p w14:paraId="738FC160">
      <w:pPr>
        <w:spacing w:line="360" w:lineRule="auto"/>
        <w:rPr>
          <w:rFonts w:ascii="宋体" w:hAnsi="宋体" w:cs="宋体"/>
          <w:sz w:val="24"/>
          <w:szCs w:val="24"/>
        </w:rPr>
      </w:pPr>
      <w:r>
        <w:rPr>
          <w:rFonts w:hint="eastAsia" w:ascii="宋体" w:hAnsi="宋体" w:cs="宋体"/>
          <w:sz w:val="24"/>
          <w:szCs w:val="24"/>
        </w:rPr>
        <w:t>7、</w:t>
      </w:r>
      <w:r>
        <w:rPr>
          <w:rFonts w:hint="eastAsia" w:ascii="宋体" w:hAnsi="宋体" w:cs="宋体"/>
          <w:sz w:val="24"/>
          <w:szCs w:val="24"/>
        </w:rPr>
        <w:tab/>
      </w:r>
      <w:r>
        <w:rPr>
          <w:rFonts w:hint="eastAsia" w:ascii="宋体" w:hAnsi="宋体" w:cs="宋体"/>
          <w:sz w:val="24"/>
          <w:szCs w:val="24"/>
        </w:rPr>
        <w:t>其他违反法律、法规的行为。</w:t>
      </w:r>
    </w:p>
    <w:p w14:paraId="5229D766">
      <w:pPr>
        <w:spacing w:line="360" w:lineRule="auto"/>
        <w:rPr>
          <w:rFonts w:ascii="宋体" w:hAnsi="宋体" w:cs="宋体"/>
          <w:sz w:val="24"/>
          <w:szCs w:val="24"/>
        </w:rPr>
      </w:pPr>
    </w:p>
    <w:p w14:paraId="34D3CAA5">
      <w:pPr>
        <w:spacing w:line="360" w:lineRule="auto"/>
        <w:rPr>
          <w:sz w:val="24"/>
          <w:szCs w:val="24"/>
        </w:rPr>
      </w:pPr>
      <w:r>
        <w:rPr>
          <w:rFonts w:hint="eastAsia"/>
          <w:sz w:val="24"/>
          <w:szCs w:val="24"/>
        </w:rPr>
        <w:t>投标人名称（加盖公章）：</w:t>
      </w:r>
    </w:p>
    <w:p w14:paraId="423BAB9C">
      <w:pPr>
        <w:spacing w:line="360" w:lineRule="auto"/>
        <w:jc w:val="both"/>
        <w:rPr>
          <w:rFonts w:ascii="宋体" w:hAnsi="宋体" w:cs="宋体"/>
          <w:color w:val="000000"/>
          <w:kern w:val="0"/>
          <w:sz w:val="24"/>
          <w:szCs w:val="24"/>
        </w:rPr>
      </w:pPr>
      <w:r>
        <w:rPr>
          <w:rFonts w:hint="eastAsia" w:ascii="宋体" w:hAnsi="宋体" w:eastAsia="宋体" w:cs="宋体"/>
          <w:sz w:val="24"/>
          <w:szCs w:val="24"/>
        </w:rPr>
        <w:t>法定代表人</w:t>
      </w:r>
      <w:r>
        <w:rPr>
          <w:rFonts w:hint="eastAsia" w:ascii="宋体" w:hAnsi="宋体" w:cs="宋体"/>
          <w:sz w:val="24"/>
          <w:szCs w:val="24"/>
          <w:lang w:eastAsia="zh-CN"/>
        </w:rPr>
        <w:t>或委托代理人</w:t>
      </w:r>
      <w:r>
        <w:rPr>
          <w:rFonts w:ascii="宋体" w:hAnsi="宋体" w:cs="宋体"/>
          <w:color w:val="000000"/>
          <w:kern w:val="0"/>
          <w:sz w:val="24"/>
          <w:szCs w:val="24"/>
        </w:rPr>
        <w:t>（</w:t>
      </w:r>
      <w:r>
        <w:rPr>
          <w:rFonts w:hint="eastAsia" w:ascii="宋体" w:hAnsi="宋体" w:cs="宋体"/>
          <w:sz w:val="24"/>
          <w:szCs w:val="24"/>
        </w:rPr>
        <w:t>签字或盖章</w:t>
      </w:r>
      <w:r>
        <w:rPr>
          <w:rFonts w:ascii="宋体" w:hAnsi="宋体" w:cs="宋体"/>
          <w:color w:val="000000"/>
          <w:kern w:val="0"/>
          <w:sz w:val="24"/>
          <w:szCs w:val="24"/>
        </w:rPr>
        <w:t>）：</w:t>
      </w:r>
    </w:p>
    <w:p w14:paraId="40BBD612">
      <w:pPr>
        <w:spacing w:line="360" w:lineRule="auto"/>
        <w:jc w:val="both"/>
        <w:rPr>
          <w:rFonts w:hint="eastAsia" w:ascii="宋体" w:hAnsi="宋体" w:eastAsia="宋体" w:cs="宋体"/>
          <w:sz w:val="24"/>
          <w:szCs w:val="24"/>
          <w:lang w:eastAsia="zh-CN"/>
        </w:rPr>
      </w:pPr>
      <w:r>
        <w:rPr>
          <w:rFonts w:hint="eastAsia" w:ascii="宋体" w:hAnsi="宋体" w:cs="宋体"/>
          <w:color w:val="000000"/>
          <w:kern w:val="0"/>
          <w:sz w:val="24"/>
          <w:szCs w:val="24"/>
        </w:rPr>
        <w:t>日期</w:t>
      </w:r>
      <w:r>
        <w:rPr>
          <w:rFonts w:hint="eastAsia" w:ascii="宋体" w:hAnsi="宋体" w:cs="宋体"/>
          <w:color w:val="000000"/>
          <w:kern w:val="0"/>
          <w:sz w:val="24"/>
          <w:szCs w:val="24"/>
          <w:lang w:eastAsia="zh-CN"/>
        </w:rPr>
        <w:t>：</w:t>
      </w:r>
    </w:p>
    <w:p w14:paraId="24D7FA85">
      <w:pPr>
        <w:spacing w:line="600" w:lineRule="exact"/>
        <w:rPr>
          <w:rFonts w:ascii="宋体" w:hAnsi="宋体" w:cs="宋体"/>
          <w:sz w:val="24"/>
          <w:szCs w:val="24"/>
        </w:rPr>
      </w:pPr>
    </w:p>
    <w:p w14:paraId="3F9C251F">
      <w:pPr>
        <w:pStyle w:val="25"/>
        <w:jc w:val="center"/>
        <w:rPr>
          <w:rFonts w:ascii="宋体" w:hAnsi="宋体" w:cs="宋体"/>
          <w:sz w:val="24"/>
          <w:szCs w:val="24"/>
        </w:rPr>
      </w:pPr>
    </w:p>
    <w:p w14:paraId="29FF61CB">
      <w:pPr>
        <w:pStyle w:val="25"/>
        <w:rPr>
          <w:rFonts w:ascii="宋体" w:hAnsi="宋体" w:cs="宋体"/>
          <w:sz w:val="24"/>
          <w:szCs w:val="24"/>
        </w:rPr>
      </w:pPr>
    </w:p>
    <w:p w14:paraId="7B86C5EB">
      <w:pPr>
        <w:rPr>
          <w:rFonts w:ascii="宋体" w:hAnsi="宋体" w:cs="宋体"/>
          <w:sz w:val="24"/>
          <w:szCs w:val="24"/>
        </w:rPr>
      </w:pPr>
    </w:p>
    <w:p w14:paraId="1206623C">
      <w:pPr>
        <w:rPr>
          <w:rFonts w:ascii="宋体" w:hAnsi="宋体" w:cs="宋体"/>
          <w:sz w:val="24"/>
          <w:szCs w:val="24"/>
        </w:rPr>
      </w:pPr>
    </w:p>
    <w:p w14:paraId="61B5359D">
      <w:pPr>
        <w:rPr>
          <w:rFonts w:ascii="宋体" w:hAnsi="宋体" w:cs="宋体"/>
          <w:sz w:val="24"/>
          <w:szCs w:val="24"/>
        </w:rPr>
        <w:sectPr>
          <w:footerReference r:id="rId7" w:type="default"/>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p w14:paraId="1E1EE5F6">
      <w:pPr>
        <w:spacing w:line="360" w:lineRule="auto"/>
        <w:rPr>
          <w:sz w:val="24"/>
          <w:szCs w:val="24"/>
        </w:rPr>
      </w:pPr>
      <w:r>
        <w:rPr>
          <w:rFonts w:hint="eastAsia"/>
          <w:sz w:val="24"/>
          <w:szCs w:val="24"/>
        </w:rPr>
        <w:t>附件2：关于提供材料真实性承诺书</w:t>
      </w:r>
    </w:p>
    <w:p w14:paraId="04E79316">
      <w:pPr>
        <w:spacing w:line="360" w:lineRule="auto"/>
        <w:rPr>
          <w:rFonts w:hint="eastAsia"/>
          <w:sz w:val="24"/>
          <w:szCs w:val="24"/>
        </w:rPr>
      </w:pPr>
    </w:p>
    <w:p w14:paraId="54107D54">
      <w:pPr>
        <w:spacing w:line="360" w:lineRule="auto"/>
        <w:rPr>
          <w:rFonts w:hint="eastAsia"/>
          <w:sz w:val="24"/>
          <w:szCs w:val="24"/>
        </w:rPr>
      </w:pPr>
    </w:p>
    <w:p w14:paraId="7A900C44">
      <w:pPr>
        <w:spacing w:line="360" w:lineRule="auto"/>
        <w:rPr>
          <w:sz w:val="24"/>
          <w:szCs w:val="24"/>
        </w:rPr>
      </w:pPr>
      <w:r>
        <w:rPr>
          <w:rFonts w:hint="eastAsia"/>
          <w:sz w:val="24"/>
          <w:szCs w:val="24"/>
        </w:rPr>
        <w:t>招标人（招标代理机构）：</w:t>
      </w:r>
    </w:p>
    <w:p w14:paraId="4B010F6A">
      <w:pPr>
        <w:spacing w:line="360" w:lineRule="auto"/>
        <w:ind w:firstLine="570"/>
        <w:rPr>
          <w:sz w:val="24"/>
          <w:szCs w:val="24"/>
        </w:rPr>
      </w:pPr>
      <w:r>
        <w:rPr>
          <w:rFonts w:hint="eastAsia"/>
          <w:sz w:val="24"/>
          <w:szCs w:val="24"/>
        </w:rPr>
        <w:t>我单位承诺，在参加</w:t>
      </w:r>
      <w:r>
        <w:rPr>
          <w:rFonts w:hint="eastAsia"/>
          <w:sz w:val="24"/>
          <w:szCs w:val="24"/>
          <w:u w:val="single"/>
        </w:rPr>
        <w:t xml:space="preserve">        </w:t>
      </w:r>
      <w:r>
        <w:rPr>
          <w:rFonts w:hint="eastAsia"/>
          <w:sz w:val="24"/>
          <w:szCs w:val="24"/>
        </w:rPr>
        <w:t>（</w:t>
      </w:r>
      <w:r>
        <w:rPr>
          <w:rFonts w:hint="eastAsia"/>
          <w:sz w:val="24"/>
          <w:szCs w:val="24"/>
          <w:lang w:val="en-US" w:eastAsia="zh-CN"/>
        </w:rPr>
        <w:t>项目</w:t>
      </w:r>
      <w:r>
        <w:rPr>
          <w:rFonts w:hint="eastAsia"/>
          <w:sz w:val="24"/>
          <w:szCs w:val="24"/>
        </w:rPr>
        <w:t>名称）中，我单位提供的资质证明</w:t>
      </w:r>
      <w:r>
        <w:rPr>
          <w:rFonts w:hint="eastAsia"/>
          <w:sz w:val="24"/>
          <w:szCs w:val="24"/>
          <w:lang w:eastAsia="zh-CN"/>
        </w:rPr>
        <w:t>资料</w:t>
      </w:r>
      <w:r>
        <w:rPr>
          <w:rFonts w:hint="eastAsia"/>
          <w:sz w:val="24"/>
          <w:szCs w:val="24"/>
        </w:rPr>
        <w:t>、业绩、审计</w:t>
      </w:r>
      <w:r>
        <w:rPr>
          <w:rFonts w:hint="eastAsia"/>
          <w:sz w:val="24"/>
          <w:szCs w:val="24"/>
          <w:lang w:eastAsia="zh-CN"/>
        </w:rPr>
        <w:t>报告</w:t>
      </w:r>
      <w:r>
        <w:rPr>
          <w:rFonts w:hint="eastAsia"/>
          <w:sz w:val="24"/>
          <w:szCs w:val="24"/>
        </w:rPr>
        <w:t xml:space="preserve">、企业荣誉、获奖证书等构成投标文件的所有资料，全部真实有效，如有任何弄虚作假发生，我单位自愿放弃本次项目的参与权（若我单位中标，我单位自愿放弃本次中标），因此造成我单位的损失我单位自愿承担。   </w:t>
      </w:r>
    </w:p>
    <w:p w14:paraId="17FC84AC">
      <w:pPr>
        <w:spacing w:line="360" w:lineRule="auto"/>
        <w:ind w:firstLine="570"/>
        <w:rPr>
          <w:sz w:val="24"/>
          <w:szCs w:val="24"/>
        </w:rPr>
      </w:pPr>
    </w:p>
    <w:p w14:paraId="757B4F63">
      <w:pPr>
        <w:spacing w:line="360" w:lineRule="auto"/>
        <w:ind w:firstLine="570"/>
        <w:rPr>
          <w:sz w:val="24"/>
          <w:szCs w:val="24"/>
        </w:rPr>
      </w:pPr>
    </w:p>
    <w:p w14:paraId="6C0503E1">
      <w:pPr>
        <w:spacing w:line="360" w:lineRule="auto"/>
        <w:ind w:firstLine="570"/>
        <w:rPr>
          <w:sz w:val="24"/>
          <w:szCs w:val="24"/>
        </w:rPr>
      </w:pPr>
    </w:p>
    <w:p w14:paraId="4227A52D">
      <w:pPr>
        <w:spacing w:line="360" w:lineRule="auto"/>
        <w:ind w:firstLine="570"/>
        <w:rPr>
          <w:sz w:val="24"/>
          <w:szCs w:val="24"/>
        </w:rPr>
      </w:pPr>
    </w:p>
    <w:p w14:paraId="71CAD37E">
      <w:pPr>
        <w:spacing w:line="360" w:lineRule="auto"/>
        <w:ind w:firstLine="570"/>
        <w:rPr>
          <w:sz w:val="24"/>
          <w:szCs w:val="24"/>
        </w:rPr>
      </w:pPr>
    </w:p>
    <w:p w14:paraId="0A4D9854">
      <w:pPr>
        <w:spacing w:line="360" w:lineRule="auto"/>
        <w:ind w:firstLine="570"/>
        <w:rPr>
          <w:sz w:val="24"/>
          <w:szCs w:val="24"/>
        </w:rPr>
      </w:pPr>
    </w:p>
    <w:p w14:paraId="5EA55926">
      <w:pPr>
        <w:spacing w:line="360" w:lineRule="auto"/>
        <w:ind w:firstLine="570"/>
        <w:rPr>
          <w:sz w:val="24"/>
          <w:szCs w:val="24"/>
        </w:rPr>
      </w:pPr>
    </w:p>
    <w:p w14:paraId="479AFB2E">
      <w:pPr>
        <w:spacing w:line="360" w:lineRule="auto"/>
        <w:ind w:firstLine="570"/>
        <w:rPr>
          <w:sz w:val="24"/>
          <w:szCs w:val="24"/>
        </w:rPr>
      </w:pPr>
    </w:p>
    <w:p w14:paraId="4E82E39F">
      <w:pPr>
        <w:spacing w:line="360" w:lineRule="auto"/>
        <w:ind w:firstLine="570"/>
        <w:rPr>
          <w:sz w:val="24"/>
          <w:szCs w:val="24"/>
        </w:rPr>
      </w:pPr>
    </w:p>
    <w:p w14:paraId="5D11E9C8">
      <w:pPr>
        <w:spacing w:line="360" w:lineRule="auto"/>
        <w:ind w:firstLine="570"/>
        <w:rPr>
          <w:sz w:val="24"/>
          <w:szCs w:val="24"/>
        </w:rPr>
      </w:pPr>
    </w:p>
    <w:p w14:paraId="49B9876F">
      <w:pPr>
        <w:spacing w:line="360" w:lineRule="auto"/>
        <w:rPr>
          <w:sz w:val="24"/>
          <w:szCs w:val="24"/>
        </w:rPr>
      </w:pPr>
      <w:r>
        <w:rPr>
          <w:rFonts w:hint="eastAsia"/>
          <w:sz w:val="24"/>
          <w:szCs w:val="24"/>
        </w:rPr>
        <w:t>投标人名称（加盖公章）：</w:t>
      </w:r>
    </w:p>
    <w:p w14:paraId="01D60013">
      <w:pPr>
        <w:spacing w:line="360" w:lineRule="auto"/>
        <w:jc w:val="both"/>
        <w:rPr>
          <w:rFonts w:ascii="宋体" w:hAnsi="宋体" w:cs="宋体"/>
          <w:color w:val="000000"/>
          <w:kern w:val="0"/>
          <w:sz w:val="24"/>
          <w:szCs w:val="24"/>
        </w:rPr>
      </w:pPr>
      <w:r>
        <w:rPr>
          <w:rFonts w:hint="eastAsia" w:ascii="宋体" w:hAnsi="宋体" w:eastAsia="宋体" w:cs="宋体"/>
          <w:sz w:val="24"/>
          <w:szCs w:val="24"/>
        </w:rPr>
        <w:t>法定代表人</w:t>
      </w:r>
      <w:r>
        <w:rPr>
          <w:rFonts w:hint="eastAsia" w:ascii="宋体" w:hAnsi="宋体" w:cs="宋体"/>
          <w:sz w:val="24"/>
          <w:szCs w:val="24"/>
          <w:lang w:eastAsia="zh-CN"/>
        </w:rPr>
        <w:t>或委托代理人</w:t>
      </w:r>
      <w:r>
        <w:rPr>
          <w:rFonts w:ascii="宋体" w:hAnsi="宋体" w:cs="宋体"/>
          <w:color w:val="000000"/>
          <w:kern w:val="0"/>
          <w:sz w:val="24"/>
          <w:szCs w:val="24"/>
        </w:rPr>
        <w:t>（</w:t>
      </w:r>
      <w:r>
        <w:rPr>
          <w:rFonts w:hint="eastAsia" w:ascii="宋体" w:hAnsi="宋体" w:cs="宋体"/>
          <w:sz w:val="24"/>
          <w:szCs w:val="24"/>
        </w:rPr>
        <w:t>签字或盖章</w:t>
      </w:r>
      <w:r>
        <w:rPr>
          <w:rFonts w:ascii="宋体" w:hAnsi="宋体" w:cs="宋体"/>
          <w:color w:val="000000"/>
          <w:kern w:val="0"/>
          <w:sz w:val="24"/>
          <w:szCs w:val="24"/>
        </w:rPr>
        <w:t>）：</w:t>
      </w:r>
    </w:p>
    <w:p w14:paraId="3429239F">
      <w:pPr>
        <w:spacing w:line="360" w:lineRule="auto"/>
        <w:rPr>
          <w:sz w:val="24"/>
          <w:szCs w:val="24"/>
        </w:rPr>
      </w:pPr>
      <w:r>
        <w:rPr>
          <w:rFonts w:hint="eastAsia" w:ascii="宋体" w:hAnsi="宋体" w:cs="宋体"/>
          <w:color w:val="000000"/>
          <w:kern w:val="0"/>
          <w:sz w:val="24"/>
          <w:szCs w:val="24"/>
        </w:rPr>
        <w:t>日期：</w:t>
      </w:r>
      <w:r>
        <w:rPr>
          <w:rFonts w:hint="eastAsia"/>
          <w:sz w:val="24"/>
          <w:szCs w:val="24"/>
        </w:rPr>
        <w:t xml:space="preserve">  </w:t>
      </w:r>
    </w:p>
    <w:p w14:paraId="18D70019">
      <w:pPr>
        <w:rPr>
          <w:sz w:val="24"/>
          <w:szCs w:val="24"/>
        </w:rPr>
      </w:pPr>
    </w:p>
    <w:p w14:paraId="2CD317A6">
      <w:pPr>
        <w:rPr>
          <w:sz w:val="24"/>
          <w:szCs w:val="24"/>
        </w:rPr>
      </w:pPr>
    </w:p>
    <w:p w14:paraId="6FC00BE1">
      <w:pPr>
        <w:rPr>
          <w:sz w:val="24"/>
          <w:szCs w:val="24"/>
        </w:rPr>
      </w:pPr>
    </w:p>
    <w:p w14:paraId="79A652D1">
      <w:pPr>
        <w:rPr>
          <w:sz w:val="24"/>
          <w:szCs w:val="24"/>
        </w:rPr>
        <w:sectPr>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p w14:paraId="0A7016E8">
      <w:pPr>
        <w:spacing w:line="360" w:lineRule="auto"/>
        <w:jc w:val="left"/>
        <w:rPr>
          <w:sz w:val="24"/>
          <w:szCs w:val="24"/>
        </w:rPr>
      </w:pPr>
      <w:r>
        <w:rPr>
          <w:rFonts w:hint="eastAsia"/>
          <w:sz w:val="24"/>
          <w:szCs w:val="24"/>
        </w:rPr>
        <w:t>附件3：参加招投标近三年内在经营活动中无重大违法记录书面声明</w:t>
      </w:r>
    </w:p>
    <w:p w14:paraId="0AEAE7F1">
      <w:pPr>
        <w:pStyle w:val="11"/>
      </w:pPr>
    </w:p>
    <w:p w14:paraId="2C163150">
      <w:pPr>
        <w:spacing w:line="480" w:lineRule="auto"/>
        <w:ind w:firstLine="480" w:firstLineChars="200"/>
        <w:rPr>
          <w:rFonts w:ascii="宋体" w:hAnsi="宋体"/>
          <w:sz w:val="24"/>
        </w:rPr>
      </w:pPr>
      <w:r>
        <w:rPr>
          <w:rFonts w:hint="eastAsia" w:ascii="宋体" w:hAnsi="宋体"/>
          <w:sz w:val="24"/>
        </w:rPr>
        <w:t>我公司自愿参加本次招标投标活动（</w:t>
      </w:r>
      <w:r>
        <w:rPr>
          <w:rFonts w:hint="eastAsia" w:ascii="宋体" w:hAnsi="宋体"/>
          <w:sz w:val="24"/>
          <w:lang w:val="en-US" w:eastAsia="zh-CN"/>
        </w:rPr>
        <w:t>项目</w:t>
      </w:r>
      <w:r>
        <w:rPr>
          <w:rFonts w:hint="eastAsia" w:ascii="宋体" w:hAnsi="宋体"/>
          <w:sz w:val="24"/>
        </w:rPr>
        <w:t>名称：</w:t>
      </w:r>
      <w:r>
        <w:rPr>
          <w:rFonts w:hint="eastAsia" w:ascii="宋体" w:hAnsi="宋体"/>
          <w:sz w:val="24"/>
          <w:u w:val="single"/>
        </w:rPr>
        <w:t xml:space="preserve">                       </w:t>
      </w:r>
      <w:r>
        <w:rPr>
          <w:rFonts w:hint="eastAsia" w:ascii="宋体" w:hAnsi="宋体"/>
          <w:sz w:val="24"/>
        </w:rPr>
        <w:t>，</w:t>
      </w:r>
      <w:r>
        <w:rPr>
          <w:rFonts w:hint="eastAsia" w:ascii="宋体" w:hAnsi="宋体"/>
          <w:sz w:val="24"/>
          <w:lang w:val="en-US" w:eastAsia="zh-CN"/>
        </w:rPr>
        <w:t>招标</w:t>
      </w:r>
      <w:r>
        <w:rPr>
          <w:rFonts w:hint="eastAsia" w:ascii="宋体" w:hAnsi="宋体"/>
          <w:sz w:val="24"/>
        </w:rPr>
        <w:t>编号：</w:t>
      </w:r>
      <w:r>
        <w:rPr>
          <w:rFonts w:hint="eastAsia" w:ascii="宋体" w:hAnsi="宋体"/>
          <w:sz w:val="24"/>
          <w:u w:val="single"/>
        </w:rPr>
        <w:t xml:space="preserve">           </w:t>
      </w:r>
      <w:r>
        <w:rPr>
          <w:rFonts w:hint="eastAsia" w:ascii="宋体" w:hAnsi="宋体"/>
          <w:sz w:val="24"/>
        </w:rPr>
        <w:t>），严格遵守《中华人民共和国招标投标法》、《中华人民共和国招标投标法实施条例》及所有相关法律、法规和规定，同时郑重承诺：</w:t>
      </w:r>
    </w:p>
    <w:p w14:paraId="0CDC344C">
      <w:pPr>
        <w:spacing w:line="480" w:lineRule="auto"/>
        <w:ind w:firstLine="480" w:firstLineChars="200"/>
        <w:rPr>
          <w:rFonts w:ascii="宋体" w:hAnsi="宋体"/>
          <w:sz w:val="24"/>
        </w:rPr>
      </w:pPr>
      <w:r>
        <w:rPr>
          <w:rFonts w:hint="eastAsia" w:ascii="宋体" w:hAnsi="宋体"/>
          <w:sz w:val="24"/>
        </w:rPr>
        <w:t>在参加此次招投标活动近三年内，本公司在经营活动中无重大违法记录，在</w:t>
      </w:r>
      <w:r>
        <w:rPr>
          <w:rFonts w:hint="eastAsia" w:asciiTheme="minorEastAsia" w:hAnsiTheme="minorEastAsia" w:eastAsiaTheme="minorEastAsia" w:cstheme="minorEastAsia"/>
          <w:sz w:val="24"/>
          <w:szCs w:val="24"/>
        </w:rPr>
        <w:t>“信用中国”网页（www.creditchina.gov.cn）查询，未被列入失信被执行人和重大税收违法失信主体名单；“国家企业信用信息公示系统”（www.gsxt.gov.cn）内未被列入严重违法失信企业名单，以</w:t>
      </w:r>
      <w:r>
        <w:rPr>
          <w:rFonts w:hint="eastAsia" w:ascii="宋体" w:hAnsi="宋体"/>
          <w:sz w:val="24"/>
        </w:rPr>
        <w:t>上均无任何违法违规行为的记录。</w:t>
      </w:r>
    </w:p>
    <w:p w14:paraId="70F5F62D">
      <w:pPr>
        <w:spacing w:line="480" w:lineRule="auto"/>
        <w:ind w:firstLine="480" w:firstLineChars="200"/>
        <w:rPr>
          <w:rFonts w:hint="eastAsia" w:ascii="宋体" w:hAnsi="宋体"/>
          <w:sz w:val="24"/>
        </w:rPr>
      </w:pPr>
      <w:r>
        <w:rPr>
          <w:rFonts w:hint="eastAsia" w:ascii="宋体" w:hAnsi="宋体"/>
          <w:sz w:val="24"/>
        </w:rPr>
        <w:t>特此声明。</w:t>
      </w:r>
    </w:p>
    <w:p w14:paraId="7E08462A">
      <w:pPr>
        <w:pStyle w:val="11"/>
        <w:rPr>
          <w:b/>
          <w:bCs/>
          <w:sz w:val="40"/>
          <w:szCs w:val="48"/>
        </w:rPr>
      </w:pPr>
    </w:p>
    <w:p w14:paraId="1760246A">
      <w:pPr>
        <w:pStyle w:val="11"/>
        <w:rPr>
          <w:b/>
          <w:bCs/>
          <w:sz w:val="40"/>
          <w:szCs w:val="48"/>
        </w:rPr>
      </w:pPr>
    </w:p>
    <w:p w14:paraId="2A5A5B29">
      <w:pPr>
        <w:spacing w:line="360" w:lineRule="auto"/>
        <w:rPr>
          <w:sz w:val="24"/>
          <w:szCs w:val="24"/>
        </w:rPr>
      </w:pPr>
      <w:r>
        <w:rPr>
          <w:rFonts w:hint="eastAsia"/>
          <w:sz w:val="24"/>
          <w:szCs w:val="24"/>
        </w:rPr>
        <w:t>投标人名称（加盖公章）：</w:t>
      </w:r>
    </w:p>
    <w:p w14:paraId="117C0EBA">
      <w:pPr>
        <w:spacing w:line="360" w:lineRule="auto"/>
        <w:jc w:val="both"/>
        <w:rPr>
          <w:rFonts w:ascii="宋体" w:hAnsi="宋体" w:cs="宋体"/>
          <w:color w:val="000000"/>
          <w:kern w:val="0"/>
          <w:sz w:val="24"/>
          <w:szCs w:val="24"/>
        </w:rPr>
      </w:pPr>
      <w:r>
        <w:rPr>
          <w:rFonts w:hint="eastAsia" w:ascii="宋体" w:hAnsi="宋体" w:eastAsia="宋体" w:cs="宋体"/>
          <w:sz w:val="24"/>
          <w:szCs w:val="24"/>
        </w:rPr>
        <w:t>法定代表人</w:t>
      </w:r>
      <w:r>
        <w:rPr>
          <w:rFonts w:hint="eastAsia" w:ascii="宋体" w:hAnsi="宋体" w:cs="宋体"/>
          <w:sz w:val="24"/>
          <w:szCs w:val="24"/>
          <w:lang w:eastAsia="zh-CN"/>
        </w:rPr>
        <w:t>或委托代理人</w:t>
      </w:r>
      <w:r>
        <w:rPr>
          <w:rFonts w:ascii="宋体" w:hAnsi="宋体" w:cs="宋体"/>
          <w:color w:val="000000"/>
          <w:kern w:val="0"/>
          <w:sz w:val="24"/>
          <w:szCs w:val="24"/>
        </w:rPr>
        <w:t>（</w:t>
      </w:r>
      <w:r>
        <w:rPr>
          <w:rFonts w:hint="eastAsia" w:ascii="宋体" w:hAnsi="宋体" w:cs="宋体"/>
          <w:sz w:val="24"/>
          <w:szCs w:val="24"/>
        </w:rPr>
        <w:t>签字或盖章</w:t>
      </w:r>
      <w:r>
        <w:rPr>
          <w:rFonts w:ascii="宋体" w:hAnsi="宋体" w:cs="宋体"/>
          <w:color w:val="000000"/>
          <w:kern w:val="0"/>
          <w:sz w:val="24"/>
          <w:szCs w:val="24"/>
        </w:rPr>
        <w:t>）：</w:t>
      </w:r>
    </w:p>
    <w:p w14:paraId="308B5CEF">
      <w:pPr>
        <w:rPr>
          <w:rFonts w:hint="eastAsia" w:eastAsia="宋体" w:asciiTheme="minorHAnsi" w:hAnsiTheme="minorHAnsi" w:cstheme="minorBidi"/>
          <w:szCs w:val="24"/>
          <w:lang w:eastAsia="zh-CN"/>
        </w:rPr>
      </w:pPr>
      <w:r>
        <w:rPr>
          <w:rFonts w:hint="eastAsia" w:ascii="宋体" w:hAnsi="宋体" w:cs="宋体"/>
          <w:color w:val="000000"/>
          <w:kern w:val="0"/>
          <w:sz w:val="24"/>
          <w:szCs w:val="24"/>
        </w:rPr>
        <w:t>日期</w:t>
      </w:r>
      <w:r>
        <w:rPr>
          <w:rFonts w:hint="eastAsia" w:ascii="宋体" w:hAnsi="宋体" w:cs="宋体"/>
          <w:color w:val="000000"/>
          <w:kern w:val="0"/>
          <w:sz w:val="24"/>
          <w:szCs w:val="24"/>
          <w:lang w:eastAsia="zh-CN"/>
        </w:rPr>
        <w:t>：</w:t>
      </w:r>
    </w:p>
    <w:p w14:paraId="2E3B2F76">
      <w:pPr>
        <w:pStyle w:val="11"/>
      </w:pPr>
    </w:p>
    <w:p w14:paraId="0C10EE21">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sz w:val="24"/>
        </w:rPr>
      </w:pPr>
      <w:r>
        <w:rPr>
          <w:rFonts w:hint="eastAsia" w:ascii="宋体" w:hAnsi="宋体"/>
          <w:sz w:val="24"/>
        </w:rPr>
        <w:t>注：如为联合体投标联合体各方均须提供。</w:t>
      </w:r>
    </w:p>
    <w:p w14:paraId="603CC2C0">
      <w:pPr>
        <w:spacing w:line="360" w:lineRule="auto"/>
        <w:rPr>
          <w:sz w:val="24"/>
          <w:szCs w:val="24"/>
        </w:rPr>
      </w:pPr>
    </w:p>
    <w:sectPr>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52333">
    <w:pPr>
      <w:pStyle w:val="22"/>
      <w:jc w:val="center"/>
      <w:rPr>
        <w:rFonts w:ascii="Times New Roman" w:hAnsi="Times New Roman"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55FAE3">
                          <w:pPr>
                            <w:pStyle w:val="2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B55FAE3">
                    <w:pPr>
                      <w:pStyle w:val="22"/>
                    </w:pPr>
                    <w:r>
                      <w:fldChar w:fldCharType="begin"/>
                    </w:r>
                    <w:r>
                      <w:instrText xml:space="preserve"> PAGE  \* MERGEFORMAT </w:instrText>
                    </w:r>
                    <w:r>
                      <w:fldChar w:fldCharType="separate"/>
                    </w:r>
                    <w:r>
                      <w:t>5</w:t>
                    </w:r>
                    <w:r>
                      <w:fldChar w:fldCharType="end"/>
                    </w:r>
                  </w:p>
                </w:txbxContent>
              </v:textbox>
            </v:shape>
          </w:pict>
        </mc:Fallback>
      </mc:AlternateContent>
    </w:r>
    <w:r>
      <w:rPr>
        <w:rFonts w:ascii="Tahoma" w:hAnsi="Tahoma" w:eastAsia="微软雅黑"/>
        <w:sz w:val="24"/>
      </w:rPr>
      <w:pict>
        <v:shape id="_x0000_s2052" o:spid="_x0000_s2052"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v:imagedata o:title=""/>
          <o:lock v:ext="edit"/>
          <v:textbox inset="0mm,0mm,0mm,0mm" style="mso-fit-shape-to-text:t;">
            <w:txbxContent>
              <w:p w14:paraId="176E7608"/>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2A4A5">
    <w:pPr>
      <w:pStyle w:val="22"/>
      <w:tabs>
        <w:tab w:val="center" w:pos="4410"/>
        <w:tab w:val="clear" w:pos="4153"/>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FA93">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79CFA93">
                    <w:pPr>
                      <w:pStyle w:val="22"/>
                    </w:pPr>
                    <w:r>
                      <w:fldChar w:fldCharType="begin"/>
                    </w:r>
                    <w:r>
                      <w:instrText xml:space="preserve"> PAGE  \* MERGEFORMAT </w:instrText>
                    </w:r>
                    <w:r>
                      <w:fldChar w:fldCharType="separate"/>
                    </w:r>
                    <w:r>
                      <w:t>1</w:t>
                    </w:r>
                    <w:r>
                      <w:fldChar w:fldCharType="end"/>
                    </w:r>
                  </w:p>
                </w:txbxContent>
              </v:textbox>
            </v:shape>
          </w:pict>
        </mc:Fallback>
      </mc:AlternateContent>
    </w: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v:imagedata o:title=""/>
          <o:lock v:ext="edit"/>
          <v:textbox inset="0mm,0mm,0mm,0mm" style="mso-fit-shape-to-text:t;">
            <w:txbxContent>
              <w:p w14:paraId="0142C811"/>
            </w:txbxContent>
          </v:textbox>
        </v:shape>
      </w:pic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A92D8">
    <w:pPr>
      <w:pStyle w:val="2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9CDBE">
                          <w:pPr>
                            <w:pStyle w:val="22"/>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2A9CDBE">
                    <w:pPr>
                      <w:pStyle w:val="22"/>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8B29B">
    <w:pPr>
      <w:pStyle w:val="22"/>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68558">
                          <w:pPr>
                            <w:pStyle w:val="22"/>
                          </w:pPr>
                          <w:r>
                            <w:fldChar w:fldCharType="begin"/>
                          </w:r>
                          <w:r>
                            <w:instrText xml:space="preserve"> PAGE  \* MERGEFORMAT </w:instrText>
                          </w:r>
                          <w:r>
                            <w:fldChar w:fldCharType="separate"/>
                          </w:r>
                          <w:r>
                            <w:t>122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B668558">
                    <w:pPr>
                      <w:pStyle w:val="22"/>
                    </w:pPr>
                    <w:r>
                      <w:fldChar w:fldCharType="begin"/>
                    </w:r>
                    <w:r>
                      <w:instrText xml:space="preserve"> PAGE  \* MERGEFORMAT </w:instrText>
                    </w:r>
                    <w:r>
                      <w:fldChar w:fldCharType="separate"/>
                    </w:r>
                    <w:r>
                      <w:t>122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82089">
    <w:pPr>
      <w:pStyle w:val="2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381888">
                          <w:pPr>
                            <w:pStyle w:val="22"/>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0381888">
                    <w:pPr>
                      <w:pStyle w:val="22"/>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9C2F95"/>
    <w:multiLevelType w:val="singleLevel"/>
    <w:tmpl w:val="A39C2F95"/>
    <w:lvl w:ilvl="0" w:tentative="0">
      <w:start w:val="1"/>
      <w:numFmt w:val="chineseCounting"/>
      <w:suff w:val="space"/>
      <w:lvlText w:val="第%1章"/>
      <w:lvlJc w:val="left"/>
      <w:rPr>
        <w:rFonts w:hint="eastAsia"/>
      </w:rPr>
    </w:lvl>
  </w:abstractNum>
  <w:abstractNum w:abstractNumId="1">
    <w:nsid w:val="A9A4D9CF"/>
    <w:multiLevelType w:val="singleLevel"/>
    <w:tmpl w:val="A9A4D9CF"/>
    <w:lvl w:ilvl="0" w:tentative="0">
      <w:start w:val="1"/>
      <w:numFmt w:val="decimal"/>
      <w:suff w:val="nothing"/>
      <w:lvlText w:val="（%1）"/>
      <w:lvlJc w:val="left"/>
    </w:lvl>
  </w:abstractNum>
  <w:abstractNum w:abstractNumId="2">
    <w:nsid w:val="B1209DD4"/>
    <w:multiLevelType w:val="singleLevel"/>
    <w:tmpl w:val="B1209DD4"/>
    <w:lvl w:ilvl="0" w:tentative="0">
      <w:start w:val="6"/>
      <w:numFmt w:val="chineseCounting"/>
      <w:suff w:val="space"/>
      <w:lvlText w:val="第%1章"/>
      <w:lvlJc w:val="left"/>
      <w:rPr>
        <w:rFonts w:hint="eastAsia"/>
      </w:rPr>
    </w:lvl>
  </w:abstractNum>
  <w:abstractNum w:abstractNumId="3">
    <w:nsid w:val="F15FD472"/>
    <w:multiLevelType w:val="singleLevel"/>
    <w:tmpl w:val="F15FD472"/>
    <w:lvl w:ilvl="0" w:tentative="0">
      <w:start w:val="7"/>
      <w:numFmt w:val="decimal"/>
      <w:lvlText w:val="%1."/>
      <w:lvlJc w:val="left"/>
      <w:pPr>
        <w:tabs>
          <w:tab w:val="left" w:pos="312"/>
        </w:tabs>
      </w:pPr>
    </w:lvl>
  </w:abstractNum>
  <w:abstractNum w:abstractNumId="4">
    <w:nsid w:val="0CB243B3"/>
    <w:multiLevelType w:val="multilevel"/>
    <w:tmpl w:val="0CB243B3"/>
    <w:lvl w:ilvl="0" w:tentative="0">
      <w:start w:val="1"/>
      <w:numFmt w:val="decimal"/>
      <w:suff w:val="nothing"/>
      <w:lvlText w:val="%1."/>
      <w:lvlJc w:val="left"/>
      <w:pPr>
        <w:ind w:left="0" w:firstLine="0"/>
      </w:pPr>
      <w:rPr>
        <w:rFonts w:hint="default" w:ascii="宋体" w:hAnsi="宋体" w:eastAsia="宋体"/>
      </w:rPr>
    </w:lvl>
    <w:lvl w:ilvl="1" w:tentative="0">
      <w:start w:val="1"/>
      <w:numFmt w:val="decimal"/>
      <w:suff w:val="nothing"/>
      <w:lvlText w:val="%1.%2."/>
      <w:lvlJc w:val="left"/>
      <w:pPr>
        <w:ind w:left="0" w:firstLine="0"/>
      </w:pPr>
    </w:lvl>
    <w:lvl w:ilvl="2" w:tentative="0">
      <w:start w:val="1"/>
      <w:numFmt w:val="decimal"/>
      <w:suff w:val="nothing"/>
      <w:lvlText w:val="%1.%2.%3."/>
      <w:lvlJc w:val="left"/>
      <w:pPr>
        <w:ind w:left="993" w:firstLine="0"/>
      </w:pPr>
      <w:rPr>
        <w:sz w:val="21"/>
        <w:szCs w:val="21"/>
      </w:rPr>
    </w:lvl>
    <w:lvl w:ilvl="3" w:tentative="0">
      <w:start w:val="1"/>
      <w:numFmt w:val="decimal"/>
      <w:pStyle w:val="5"/>
      <w:suff w:val="nothing"/>
      <w:lvlText w:val="%1.%2.%3.%4."/>
      <w:lvlJc w:val="left"/>
      <w:pPr>
        <w:ind w:left="0" w:firstLine="0"/>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5A8281DF"/>
    <w:multiLevelType w:val="singleLevel"/>
    <w:tmpl w:val="5A8281DF"/>
    <w:lvl w:ilvl="0" w:tentative="0">
      <w:start w:val="3"/>
      <w:numFmt w:val="chineseCounting"/>
      <w:suff w:val="space"/>
      <w:lvlText w:val="第%1章"/>
      <w:lvlJc w:val="left"/>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hjMzFmNmJjYzUyZGJhMDM2YmVkMGIyMGJhYjdjNGEifQ=="/>
  </w:docVars>
  <w:rsids>
    <w:rsidRoot w:val="00172A27"/>
    <w:rsid w:val="0000077A"/>
    <w:rsid w:val="00005402"/>
    <w:rsid w:val="0001602D"/>
    <w:rsid w:val="00020685"/>
    <w:rsid w:val="0003355B"/>
    <w:rsid w:val="00043144"/>
    <w:rsid w:val="000517B6"/>
    <w:rsid w:val="00053CAD"/>
    <w:rsid w:val="000560B9"/>
    <w:rsid w:val="00077852"/>
    <w:rsid w:val="000A33D4"/>
    <w:rsid w:val="000A45DE"/>
    <w:rsid w:val="001623DC"/>
    <w:rsid w:val="00172A27"/>
    <w:rsid w:val="001D4206"/>
    <w:rsid w:val="00296707"/>
    <w:rsid w:val="002C4449"/>
    <w:rsid w:val="002C5C1B"/>
    <w:rsid w:val="002C61F7"/>
    <w:rsid w:val="00310726"/>
    <w:rsid w:val="00380627"/>
    <w:rsid w:val="003F417C"/>
    <w:rsid w:val="00410D4F"/>
    <w:rsid w:val="004478F5"/>
    <w:rsid w:val="00456DAE"/>
    <w:rsid w:val="00471250"/>
    <w:rsid w:val="0047192B"/>
    <w:rsid w:val="004A2FBD"/>
    <w:rsid w:val="004B2B21"/>
    <w:rsid w:val="00501EE6"/>
    <w:rsid w:val="0054242E"/>
    <w:rsid w:val="005A7208"/>
    <w:rsid w:val="005C2E22"/>
    <w:rsid w:val="005E3941"/>
    <w:rsid w:val="0061494F"/>
    <w:rsid w:val="00665BAD"/>
    <w:rsid w:val="00700944"/>
    <w:rsid w:val="00724AF2"/>
    <w:rsid w:val="00726B04"/>
    <w:rsid w:val="0078249D"/>
    <w:rsid w:val="007A046A"/>
    <w:rsid w:val="0081112C"/>
    <w:rsid w:val="008A03E2"/>
    <w:rsid w:val="008A0B74"/>
    <w:rsid w:val="008B146B"/>
    <w:rsid w:val="008B605C"/>
    <w:rsid w:val="008C35BB"/>
    <w:rsid w:val="008E05A9"/>
    <w:rsid w:val="00914B3F"/>
    <w:rsid w:val="009224FE"/>
    <w:rsid w:val="00930BB0"/>
    <w:rsid w:val="00932C71"/>
    <w:rsid w:val="00935FA0"/>
    <w:rsid w:val="0094422A"/>
    <w:rsid w:val="00972904"/>
    <w:rsid w:val="00991ADF"/>
    <w:rsid w:val="009A3EF4"/>
    <w:rsid w:val="00A566D5"/>
    <w:rsid w:val="00A87BD1"/>
    <w:rsid w:val="00A96116"/>
    <w:rsid w:val="00AA3CEC"/>
    <w:rsid w:val="00AA5E84"/>
    <w:rsid w:val="00AB1812"/>
    <w:rsid w:val="00B561ED"/>
    <w:rsid w:val="00B84E01"/>
    <w:rsid w:val="00B962D4"/>
    <w:rsid w:val="00C065AF"/>
    <w:rsid w:val="00C51133"/>
    <w:rsid w:val="00C91C98"/>
    <w:rsid w:val="00C92BEE"/>
    <w:rsid w:val="00CB5A10"/>
    <w:rsid w:val="00D1027E"/>
    <w:rsid w:val="00D50F78"/>
    <w:rsid w:val="00D54B03"/>
    <w:rsid w:val="00D54F7D"/>
    <w:rsid w:val="00D64A98"/>
    <w:rsid w:val="00DA5C53"/>
    <w:rsid w:val="00DC5E6F"/>
    <w:rsid w:val="00DC6CF0"/>
    <w:rsid w:val="00DC7C1D"/>
    <w:rsid w:val="00DF2E5E"/>
    <w:rsid w:val="00E21EE8"/>
    <w:rsid w:val="00E222C7"/>
    <w:rsid w:val="00E40880"/>
    <w:rsid w:val="00E60A9C"/>
    <w:rsid w:val="00E95653"/>
    <w:rsid w:val="00EB1C0E"/>
    <w:rsid w:val="00EB4AB3"/>
    <w:rsid w:val="00EE7B98"/>
    <w:rsid w:val="00F50AC4"/>
    <w:rsid w:val="00FA50FB"/>
    <w:rsid w:val="00FA5145"/>
    <w:rsid w:val="00FB7427"/>
    <w:rsid w:val="00FF21B6"/>
    <w:rsid w:val="010A29DC"/>
    <w:rsid w:val="011711F3"/>
    <w:rsid w:val="012670EA"/>
    <w:rsid w:val="012A5BD8"/>
    <w:rsid w:val="012E377C"/>
    <w:rsid w:val="013012B4"/>
    <w:rsid w:val="01323CE1"/>
    <w:rsid w:val="01341AE7"/>
    <w:rsid w:val="01401F5A"/>
    <w:rsid w:val="01405229"/>
    <w:rsid w:val="01431A4A"/>
    <w:rsid w:val="014337F8"/>
    <w:rsid w:val="01525993"/>
    <w:rsid w:val="01541EA9"/>
    <w:rsid w:val="015679D0"/>
    <w:rsid w:val="015E0632"/>
    <w:rsid w:val="015E2A27"/>
    <w:rsid w:val="016043AA"/>
    <w:rsid w:val="0163307D"/>
    <w:rsid w:val="01655F14"/>
    <w:rsid w:val="01722330"/>
    <w:rsid w:val="01761E20"/>
    <w:rsid w:val="01791910"/>
    <w:rsid w:val="017A0029"/>
    <w:rsid w:val="017B5688"/>
    <w:rsid w:val="01804A4C"/>
    <w:rsid w:val="01826A17"/>
    <w:rsid w:val="0189164C"/>
    <w:rsid w:val="01891FC7"/>
    <w:rsid w:val="018F5663"/>
    <w:rsid w:val="01985DAD"/>
    <w:rsid w:val="01A249C3"/>
    <w:rsid w:val="01A774E3"/>
    <w:rsid w:val="01A85D51"/>
    <w:rsid w:val="01A87AFF"/>
    <w:rsid w:val="01AE37D9"/>
    <w:rsid w:val="01B135CF"/>
    <w:rsid w:val="01B446F6"/>
    <w:rsid w:val="01B6221C"/>
    <w:rsid w:val="01B62629"/>
    <w:rsid w:val="01B97F5E"/>
    <w:rsid w:val="01BB3CD7"/>
    <w:rsid w:val="01C56903"/>
    <w:rsid w:val="01CF1952"/>
    <w:rsid w:val="01D428E5"/>
    <w:rsid w:val="01D628BE"/>
    <w:rsid w:val="01D95053"/>
    <w:rsid w:val="01DB097D"/>
    <w:rsid w:val="01DB1C83"/>
    <w:rsid w:val="01DB1EFD"/>
    <w:rsid w:val="01DE1773"/>
    <w:rsid w:val="01E23011"/>
    <w:rsid w:val="01EB2EE9"/>
    <w:rsid w:val="01EB45BC"/>
    <w:rsid w:val="01F35980"/>
    <w:rsid w:val="01F41750"/>
    <w:rsid w:val="01F5735A"/>
    <w:rsid w:val="01FD42EF"/>
    <w:rsid w:val="01FF6727"/>
    <w:rsid w:val="020225EC"/>
    <w:rsid w:val="020B1E69"/>
    <w:rsid w:val="020E3A44"/>
    <w:rsid w:val="021138F7"/>
    <w:rsid w:val="02121702"/>
    <w:rsid w:val="02163CDD"/>
    <w:rsid w:val="02180856"/>
    <w:rsid w:val="02186A33"/>
    <w:rsid w:val="022573A2"/>
    <w:rsid w:val="022C02FA"/>
    <w:rsid w:val="02300221"/>
    <w:rsid w:val="023105C6"/>
    <w:rsid w:val="023600A3"/>
    <w:rsid w:val="023E3EA0"/>
    <w:rsid w:val="02457CD0"/>
    <w:rsid w:val="02497534"/>
    <w:rsid w:val="024E68F9"/>
    <w:rsid w:val="025026E1"/>
    <w:rsid w:val="02556D40"/>
    <w:rsid w:val="0261487E"/>
    <w:rsid w:val="026C58C6"/>
    <w:rsid w:val="02752275"/>
    <w:rsid w:val="02777BE3"/>
    <w:rsid w:val="027F2E6C"/>
    <w:rsid w:val="02816CCE"/>
    <w:rsid w:val="02817965"/>
    <w:rsid w:val="02826706"/>
    <w:rsid w:val="0284517A"/>
    <w:rsid w:val="028B37D0"/>
    <w:rsid w:val="028D7421"/>
    <w:rsid w:val="029937F6"/>
    <w:rsid w:val="029E162E"/>
    <w:rsid w:val="02A17F21"/>
    <w:rsid w:val="02A83C65"/>
    <w:rsid w:val="02B0240E"/>
    <w:rsid w:val="02B179A3"/>
    <w:rsid w:val="02B613B4"/>
    <w:rsid w:val="02B81FC4"/>
    <w:rsid w:val="02BF77F6"/>
    <w:rsid w:val="02C170CB"/>
    <w:rsid w:val="02C23340"/>
    <w:rsid w:val="02C31095"/>
    <w:rsid w:val="02C637E1"/>
    <w:rsid w:val="02CE2F1A"/>
    <w:rsid w:val="02D01746"/>
    <w:rsid w:val="02D52830"/>
    <w:rsid w:val="02E64D83"/>
    <w:rsid w:val="02E83F98"/>
    <w:rsid w:val="02E93B06"/>
    <w:rsid w:val="02F05C02"/>
    <w:rsid w:val="02F20A31"/>
    <w:rsid w:val="02F32FFC"/>
    <w:rsid w:val="02F802EC"/>
    <w:rsid w:val="02FC1D60"/>
    <w:rsid w:val="02FF7BF3"/>
    <w:rsid w:val="030632A9"/>
    <w:rsid w:val="030D3CC8"/>
    <w:rsid w:val="03131C8A"/>
    <w:rsid w:val="03166657"/>
    <w:rsid w:val="031D2FEA"/>
    <w:rsid w:val="03217B69"/>
    <w:rsid w:val="032944BD"/>
    <w:rsid w:val="032B218D"/>
    <w:rsid w:val="03335151"/>
    <w:rsid w:val="033755DF"/>
    <w:rsid w:val="0337738D"/>
    <w:rsid w:val="034308FD"/>
    <w:rsid w:val="0349607A"/>
    <w:rsid w:val="034A70C0"/>
    <w:rsid w:val="034C108A"/>
    <w:rsid w:val="03583751"/>
    <w:rsid w:val="03597303"/>
    <w:rsid w:val="03664832"/>
    <w:rsid w:val="036A11F0"/>
    <w:rsid w:val="0371289F"/>
    <w:rsid w:val="03783C58"/>
    <w:rsid w:val="03790069"/>
    <w:rsid w:val="037E16AC"/>
    <w:rsid w:val="03906A9D"/>
    <w:rsid w:val="03912F41"/>
    <w:rsid w:val="03924B16"/>
    <w:rsid w:val="039F48E1"/>
    <w:rsid w:val="03A04D30"/>
    <w:rsid w:val="03A367D0"/>
    <w:rsid w:val="03A42787"/>
    <w:rsid w:val="03B2668E"/>
    <w:rsid w:val="03B409DD"/>
    <w:rsid w:val="03BA1CBF"/>
    <w:rsid w:val="03BB21D9"/>
    <w:rsid w:val="03CB2226"/>
    <w:rsid w:val="03CB70FD"/>
    <w:rsid w:val="03CE5F43"/>
    <w:rsid w:val="03D24A28"/>
    <w:rsid w:val="03D33559"/>
    <w:rsid w:val="03D35148"/>
    <w:rsid w:val="03D43E23"/>
    <w:rsid w:val="03D46AFD"/>
    <w:rsid w:val="03E2554B"/>
    <w:rsid w:val="03E3262B"/>
    <w:rsid w:val="03E67758"/>
    <w:rsid w:val="03E76AEF"/>
    <w:rsid w:val="03E77005"/>
    <w:rsid w:val="03E82F6E"/>
    <w:rsid w:val="03ED66FE"/>
    <w:rsid w:val="03F139E0"/>
    <w:rsid w:val="03F90AE6"/>
    <w:rsid w:val="0408709E"/>
    <w:rsid w:val="0410030A"/>
    <w:rsid w:val="04102749"/>
    <w:rsid w:val="04115D6A"/>
    <w:rsid w:val="04151FFE"/>
    <w:rsid w:val="041C7EFD"/>
    <w:rsid w:val="041D2E0C"/>
    <w:rsid w:val="041D47D5"/>
    <w:rsid w:val="042020BD"/>
    <w:rsid w:val="0422003D"/>
    <w:rsid w:val="042575D5"/>
    <w:rsid w:val="042C0EBC"/>
    <w:rsid w:val="042E253E"/>
    <w:rsid w:val="04341915"/>
    <w:rsid w:val="0435373F"/>
    <w:rsid w:val="043A35D9"/>
    <w:rsid w:val="043F0BEF"/>
    <w:rsid w:val="0442423B"/>
    <w:rsid w:val="044600C1"/>
    <w:rsid w:val="044C3016"/>
    <w:rsid w:val="044C5609"/>
    <w:rsid w:val="04535A66"/>
    <w:rsid w:val="04553F6E"/>
    <w:rsid w:val="045B159D"/>
    <w:rsid w:val="045C354F"/>
    <w:rsid w:val="046532FE"/>
    <w:rsid w:val="046570EA"/>
    <w:rsid w:val="046A4606"/>
    <w:rsid w:val="046E5030"/>
    <w:rsid w:val="047343F5"/>
    <w:rsid w:val="04795568"/>
    <w:rsid w:val="047D34C5"/>
    <w:rsid w:val="047D5273"/>
    <w:rsid w:val="048373EC"/>
    <w:rsid w:val="04846602"/>
    <w:rsid w:val="048B6074"/>
    <w:rsid w:val="048D5E8B"/>
    <w:rsid w:val="04930D9C"/>
    <w:rsid w:val="04941A30"/>
    <w:rsid w:val="049453DA"/>
    <w:rsid w:val="049C742B"/>
    <w:rsid w:val="04A3117E"/>
    <w:rsid w:val="04A96068"/>
    <w:rsid w:val="04AA4404"/>
    <w:rsid w:val="04AB0032"/>
    <w:rsid w:val="04AB13F6"/>
    <w:rsid w:val="04AB1DE0"/>
    <w:rsid w:val="04B14F1D"/>
    <w:rsid w:val="04B844FD"/>
    <w:rsid w:val="04BC223F"/>
    <w:rsid w:val="04BC3304"/>
    <w:rsid w:val="04BD0C1B"/>
    <w:rsid w:val="04C84031"/>
    <w:rsid w:val="04CA4709"/>
    <w:rsid w:val="04CB5FDF"/>
    <w:rsid w:val="04CD372E"/>
    <w:rsid w:val="04D05CEB"/>
    <w:rsid w:val="04D56E5D"/>
    <w:rsid w:val="04D843E1"/>
    <w:rsid w:val="04DB671B"/>
    <w:rsid w:val="04DF5F2E"/>
    <w:rsid w:val="04E43544"/>
    <w:rsid w:val="04E54479"/>
    <w:rsid w:val="04E72EC7"/>
    <w:rsid w:val="04E83035"/>
    <w:rsid w:val="04E926AB"/>
    <w:rsid w:val="04E946B7"/>
    <w:rsid w:val="04EB48D3"/>
    <w:rsid w:val="04ED62D5"/>
    <w:rsid w:val="04FC2FEB"/>
    <w:rsid w:val="04FF1428"/>
    <w:rsid w:val="05015EA4"/>
    <w:rsid w:val="05033F16"/>
    <w:rsid w:val="050634BB"/>
    <w:rsid w:val="050D65F7"/>
    <w:rsid w:val="050E0639"/>
    <w:rsid w:val="05170AED"/>
    <w:rsid w:val="05171224"/>
    <w:rsid w:val="051A723D"/>
    <w:rsid w:val="051A7595"/>
    <w:rsid w:val="051C683A"/>
    <w:rsid w:val="051E58FB"/>
    <w:rsid w:val="052178C7"/>
    <w:rsid w:val="05224F5C"/>
    <w:rsid w:val="05235E1B"/>
    <w:rsid w:val="05243941"/>
    <w:rsid w:val="05263B5D"/>
    <w:rsid w:val="05282469"/>
    <w:rsid w:val="05293E47"/>
    <w:rsid w:val="052B1D6B"/>
    <w:rsid w:val="0531262C"/>
    <w:rsid w:val="053676CB"/>
    <w:rsid w:val="05377B18"/>
    <w:rsid w:val="053D3BE9"/>
    <w:rsid w:val="0543351A"/>
    <w:rsid w:val="054702D4"/>
    <w:rsid w:val="05545FD4"/>
    <w:rsid w:val="05553F9D"/>
    <w:rsid w:val="05595CE0"/>
    <w:rsid w:val="055C132D"/>
    <w:rsid w:val="055F18A2"/>
    <w:rsid w:val="055F4441"/>
    <w:rsid w:val="05614B95"/>
    <w:rsid w:val="05644218"/>
    <w:rsid w:val="0569599E"/>
    <w:rsid w:val="05720B50"/>
    <w:rsid w:val="05751885"/>
    <w:rsid w:val="057852B8"/>
    <w:rsid w:val="057C552B"/>
    <w:rsid w:val="058F1608"/>
    <w:rsid w:val="05900FD6"/>
    <w:rsid w:val="05913B0D"/>
    <w:rsid w:val="05922FA0"/>
    <w:rsid w:val="05923823"/>
    <w:rsid w:val="05997F5B"/>
    <w:rsid w:val="059D193D"/>
    <w:rsid w:val="059D626C"/>
    <w:rsid w:val="05A36F5B"/>
    <w:rsid w:val="05A50F26"/>
    <w:rsid w:val="05AE15D5"/>
    <w:rsid w:val="05AF3B52"/>
    <w:rsid w:val="05B13C4F"/>
    <w:rsid w:val="05B7799C"/>
    <w:rsid w:val="05B9677F"/>
    <w:rsid w:val="05C549DB"/>
    <w:rsid w:val="05C80770"/>
    <w:rsid w:val="05CA273A"/>
    <w:rsid w:val="05D07C63"/>
    <w:rsid w:val="05D6307C"/>
    <w:rsid w:val="05D67331"/>
    <w:rsid w:val="05DA0FD9"/>
    <w:rsid w:val="05E15EFA"/>
    <w:rsid w:val="05E24C49"/>
    <w:rsid w:val="05E26D34"/>
    <w:rsid w:val="05E32D64"/>
    <w:rsid w:val="05E44BC7"/>
    <w:rsid w:val="05E532B1"/>
    <w:rsid w:val="05E9339B"/>
    <w:rsid w:val="05EF03F3"/>
    <w:rsid w:val="05F23289"/>
    <w:rsid w:val="05F652DD"/>
    <w:rsid w:val="05F96C8C"/>
    <w:rsid w:val="05FB6926"/>
    <w:rsid w:val="05FD48BE"/>
    <w:rsid w:val="05FE08D6"/>
    <w:rsid w:val="0600615C"/>
    <w:rsid w:val="06032E3E"/>
    <w:rsid w:val="06110369"/>
    <w:rsid w:val="061B11E8"/>
    <w:rsid w:val="062067FE"/>
    <w:rsid w:val="06253E14"/>
    <w:rsid w:val="062C3689"/>
    <w:rsid w:val="064230F8"/>
    <w:rsid w:val="06451DC1"/>
    <w:rsid w:val="06463870"/>
    <w:rsid w:val="06497B03"/>
    <w:rsid w:val="064E336B"/>
    <w:rsid w:val="064E6EC7"/>
    <w:rsid w:val="06514C09"/>
    <w:rsid w:val="06532730"/>
    <w:rsid w:val="065415BA"/>
    <w:rsid w:val="06562220"/>
    <w:rsid w:val="06565D7C"/>
    <w:rsid w:val="065D35AE"/>
    <w:rsid w:val="0667760D"/>
    <w:rsid w:val="06710E08"/>
    <w:rsid w:val="06732DD2"/>
    <w:rsid w:val="067F3525"/>
    <w:rsid w:val="06846D8D"/>
    <w:rsid w:val="068C6305"/>
    <w:rsid w:val="068E48F7"/>
    <w:rsid w:val="069468A4"/>
    <w:rsid w:val="069C54DF"/>
    <w:rsid w:val="069E458D"/>
    <w:rsid w:val="06A53985"/>
    <w:rsid w:val="06A732A6"/>
    <w:rsid w:val="06AA60A0"/>
    <w:rsid w:val="06B07B82"/>
    <w:rsid w:val="06B406D3"/>
    <w:rsid w:val="06B70BA7"/>
    <w:rsid w:val="06B81B4A"/>
    <w:rsid w:val="06B84C89"/>
    <w:rsid w:val="06BB2083"/>
    <w:rsid w:val="06C10543"/>
    <w:rsid w:val="06D51397"/>
    <w:rsid w:val="06D870D9"/>
    <w:rsid w:val="06E46CBF"/>
    <w:rsid w:val="06E93914"/>
    <w:rsid w:val="06E96BF0"/>
    <w:rsid w:val="06EC698D"/>
    <w:rsid w:val="06ED3562"/>
    <w:rsid w:val="06F00558"/>
    <w:rsid w:val="06F84ACC"/>
    <w:rsid w:val="06FF2BB2"/>
    <w:rsid w:val="07004637"/>
    <w:rsid w:val="07013F3A"/>
    <w:rsid w:val="07100621"/>
    <w:rsid w:val="07181283"/>
    <w:rsid w:val="071D4AEC"/>
    <w:rsid w:val="071D508F"/>
    <w:rsid w:val="071F7E3E"/>
    <w:rsid w:val="07247703"/>
    <w:rsid w:val="07267A4E"/>
    <w:rsid w:val="072A03BB"/>
    <w:rsid w:val="072A0FBA"/>
    <w:rsid w:val="072B0FB7"/>
    <w:rsid w:val="072C33BD"/>
    <w:rsid w:val="072E6CF9"/>
    <w:rsid w:val="072F67BA"/>
    <w:rsid w:val="0730750B"/>
    <w:rsid w:val="073A744C"/>
    <w:rsid w:val="073C31C4"/>
    <w:rsid w:val="07470254"/>
    <w:rsid w:val="074B5155"/>
    <w:rsid w:val="074E2EF7"/>
    <w:rsid w:val="07505F52"/>
    <w:rsid w:val="07585B24"/>
    <w:rsid w:val="075C3866"/>
    <w:rsid w:val="075D5B4A"/>
    <w:rsid w:val="07661EF5"/>
    <w:rsid w:val="076A5F83"/>
    <w:rsid w:val="076D0DB1"/>
    <w:rsid w:val="07705FD5"/>
    <w:rsid w:val="07730887"/>
    <w:rsid w:val="077741FC"/>
    <w:rsid w:val="07794418"/>
    <w:rsid w:val="07887126"/>
    <w:rsid w:val="078A2181"/>
    <w:rsid w:val="078A6224"/>
    <w:rsid w:val="079528D4"/>
    <w:rsid w:val="079F7185"/>
    <w:rsid w:val="07A1396F"/>
    <w:rsid w:val="07A24C0D"/>
    <w:rsid w:val="07A5720B"/>
    <w:rsid w:val="07A61161"/>
    <w:rsid w:val="07A82DDA"/>
    <w:rsid w:val="07AA2056"/>
    <w:rsid w:val="07AD40C1"/>
    <w:rsid w:val="07AF24D7"/>
    <w:rsid w:val="07B01173"/>
    <w:rsid w:val="07B2028F"/>
    <w:rsid w:val="07B23486"/>
    <w:rsid w:val="07C51AB3"/>
    <w:rsid w:val="07CB1195"/>
    <w:rsid w:val="07CB6732"/>
    <w:rsid w:val="07CD02C0"/>
    <w:rsid w:val="07CE2B24"/>
    <w:rsid w:val="07D93108"/>
    <w:rsid w:val="07D94EB6"/>
    <w:rsid w:val="07DE24CD"/>
    <w:rsid w:val="07DE427B"/>
    <w:rsid w:val="07E07B82"/>
    <w:rsid w:val="07E21FBD"/>
    <w:rsid w:val="07EB1533"/>
    <w:rsid w:val="07ED0962"/>
    <w:rsid w:val="07EF46DA"/>
    <w:rsid w:val="07F06A35"/>
    <w:rsid w:val="07F13FAE"/>
    <w:rsid w:val="07FE2B6F"/>
    <w:rsid w:val="080570B2"/>
    <w:rsid w:val="08071A24"/>
    <w:rsid w:val="08182C50"/>
    <w:rsid w:val="081A18BA"/>
    <w:rsid w:val="081C4DA3"/>
    <w:rsid w:val="08253C58"/>
    <w:rsid w:val="082A74C0"/>
    <w:rsid w:val="082F2D28"/>
    <w:rsid w:val="08316AA1"/>
    <w:rsid w:val="08346748"/>
    <w:rsid w:val="084563D0"/>
    <w:rsid w:val="084C27EA"/>
    <w:rsid w:val="084E1401"/>
    <w:rsid w:val="084E7652"/>
    <w:rsid w:val="08517143"/>
    <w:rsid w:val="085234FB"/>
    <w:rsid w:val="08526AA5"/>
    <w:rsid w:val="0854278F"/>
    <w:rsid w:val="085861A6"/>
    <w:rsid w:val="08607386"/>
    <w:rsid w:val="08630FBC"/>
    <w:rsid w:val="086531E7"/>
    <w:rsid w:val="08681869"/>
    <w:rsid w:val="086929F5"/>
    <w:rsid w:val="0870031D"/>
    <w:rsid w:val="087150EF"/>
    <w:rsid w:val="0873504F"/>
    <w:rsid w:val="0878022B"/>
    <w:rsid w:val="087921F6"/>
    <w:rsid w:val="087D338B"/>
    <w:rsid w:val="08822A61"/>
    <w:rsid w:val="0882554E"/>
    <w:rsid w:val="088527C7"/>
    <w:rsid w:val="0886760E"/>
    <w:rsid w:val="088943C4"/>
    <w:rsid w:val="088C3CD7"/>
    <w:rsid w:val="08966904"/>
    <w:rsid w:val="089C72B9"/>
    <w:rsid w:val="089E502F"/>
    <w:rsid w:val="08A03E14"/>
    <w:rsid w:val="08A2174C"/>
    <w:rsid w:val="08A33409"/>
    <w:rsid w:val="08A6123D"/>
    <w:rsid w:val="08A76D63"/>
    <w:rsid w:val="08A92ADB"/>
    <w:rsid w:val="08AB6853"/>
    <w:rsid w:val="08AD4627"/>
    <w:rsid w:val="08B31530"/>
    <w:rsid w:val="08B550AD"/>
    <w:rsid w:val="08B576D2"/>
    <w:rsid w:val="08B92AD7"/>
    <w:rsid w:val="08C161A6"/>
    <w:rsid w:val="08C6539F"/>
    <w:rsid w:val="08CF6163"/>
    <w:rsid w:val="08D05344"/>
    <w:rsid w:val="08D15B8E"/>
    <w:rsid w:val="08D31906"/>
    <w:rsid w:val="08D833C0"/>
    <w:rsid w:val="08D86F1C"/>
    <w:rsid w:val="08ED2A9E"/>
    <w:rsid w:val="08F16230"/>
    <w:rsid w:val="08F226A3"/>
    <w:rsid w:val="08F36AA5"/>
    <w:rsid w:val="08F4762B"/>
    <w:rsid w:val="08FD6883"/>
    <w:rsid w:val="08FF1704"/>
    <w:rsid w:val="09012917"/>
    <w:rsid w:val="09045F63"/>
    <w:rsid w:val="09047D11"/>
    <w:rsid w:val="090913D0"/>
    <w:rsid w:val="090C4399"/>
    <w:rsid w:val="090D12BC"/>
    <w:rsid w:val="0911504D"/>
    <w:rsid w:val="09170BAE"/>
    <w:rsid w:val="09171000"/>
    <w:rsid w:val="091823C9"/>
    <w:rsid w:val="092108C3"/>
    <w:rsid w:val="092403B3"/>
    <w:rsid w:val="092A7093"/>
    <w:rsid w:val="092B53DC"/>
    <w:rsid w:val="092E4388"/>
    <w:rsid w:val="093F0D49"/>
    <w:rsid w:val="093F343F"/>
    <w:rsid w:val="09410F65"/>
    <w:rsid w:val="095E0A6F"/>
    <w:rsid w:val="09683F59"/>
    <w:rsid w:val="09693EB0"/>
    <w:rsid w:val="096A04BC"/>
    <w:rsid w:val="096F5AD2"/>
    <w:rsid w:val="09732DA3"/>
    <w:rsid w:val="09773335"/>
    <w:rsid w:val="097C1F9D"/>
    <w:rsid w:val="097C3D4B"/>
    <w:rsid w:val="097D18B8"/>
    <w:rsid w:val="098774B3"/>
    <w:rsid w:val="098E2EB5"/>
    <w:rsid w:val="0992356F"/>
    <w:rsid w:val="0992531D"/>
    <w:rsid w:val="099C728C"/>
    <w:rsid w:val="099E3CC2"/>
    <w:rsid w:val="09A03B13"/>
    <w:rsid w:val="09A908B8"/>
    <w:rsid w:val="09AA6B0A"/>
    <w:rsid w:val="09B462E0"/>
    <w:rsid w:val="09BF46DD"/>
    <w:rsid w:val="09C53944"/>
    <w:rsid w:val="09C83435"/>
    <w:rsid w:val="09C921F2"/>
    <w:rsid w:val="09C923A7"/>
    <w:rsid w:val="09CD5551"/>
    <w:rsid w:val="09D94C12"/>
    <w:rsid w:val="09DB366D"/>
    <w:rsid w:val="09E06054"/>
    <w:rsid w:val="09E2085E"/>
    <w:rsid w:val="09E3201C"/>
    <w:rsid w:val="09E62D86"/>
    <w:rsid w:val="09E76140"/>
    <w:rsid w:val="09EA33AB"/>
    <w:rsid w:val="09EC78B4"/>
    <w:rsid w:val="09F10F85"/>
    <w:rsid w:val="09F12917"/>
    <w:rsid w:val="09F77876"/>
    <w:rsid w:val="09FB5694"/>
    <w:rsid w:val="0A0B0B14"/>
    <w:rsid w:val="0A12125A"/>
    <w:rsid w:val="0A160D98"/>
    <w:rsid w:val="0A163EBD"/>
    <w:rsid w:val="0A1C2118"/>
    <w:rsid w:val="0A1E12A6"/>
    <w:rsid w:val="0A1E2877"/>
    <w:rsid w:val="0A24265A"/>
    <w:rsid w:val="0A277E2A"/>
    <w:rsid w:val="0A2A2F9B"/>
    <w:rsid w:val="0A375F21"/>
    <w:rsid w:val="0A3F3DC3"/>
    <w:rsid w:val="0A430D0D"/>
    <w:rsid w:val="0A4341FC"/>
    <w:rsid w:val="0A4556A5"/>
    <w:rsid w:val="0A474AC7"/>
    <w:rsid w:val="0A4800D1"/>
    <w:rsid w:val="0A486323"/>
    <w:rsid w:val="0A4D0CC2"/>
    <w:rsid w:val="0A511EA3"/>
    <w:rsid w:val="0A52629C"/>
    <w:rsid w:val="0A553D16"/>
    <w:rsid w:val="0A560A40"/>
    <w:rsid w:val="0A570314"/>
    <w:rsid w:val="0A616B3B"/>
    <w:rsid w:val="0A666C78"/>
    <w:rsid w:val="0A717628"/>
    <w:rsid w:val="0A7315F2"/>
    <w:rsid w:val="0A737E51"/>
    <w:rsid w:val="0A76492A"/>
    <w:rsid w:val="0A791429"/>
    <w:rsid w:val="0A7F6884"/>
    <w:rsid w:val="0A7F7F97"/>
    <w:rsid w:val="0A801619"/>
    <w:rsid w:val="0A803960"/>
    <w:rsid w:val="0A8451DA"/>
    <w:rsid w:val="0A8E190B"/>
    <w:rsid w:val="0A8F37AF"/>
    <w:rsid w:val="0A99092D"/>
    <w:rsid w:val="0A9B4821"/>
    <w:rsid w:val="0A9D666F"/>
    <w:rsid w:val="0A9D783D"/>
    <w:rsid w:val="0A9E1D65"/>
    <w:rsid w:val="0AA31DDE"/>
    <w:rsid w:val="0AA62526"/>
    <w:rsid w:val="0AA91276"/>
    <w:rsid w:val="0AAE43D8"/>
    <w:rsid w:val="0AB170B9"/>
    <w:rsid w:val="0AB3379D"/>
    <w:rsid w:val="0ABA0FCF"/>
    <w:rsid w:val="0AC10340"/>
    <w:rsid w:val="0AC9242F"/>
    <w:rsid w:val="0ACC27D6"/>
    <w:rsid w:val="0ACD37DE"/>
    <w:rsid w:val="0AD025A1"/>
    <w:rsid w:val="0AD440AC"/>
    <w:rsid w:val="0ADA3F85"/>
    <w:rsid w:val="0ADB0F46"/>
    <w:rsid w:val="0AE02872"/>
    <w:rsid w:val="0AF441D7"/>
    <w:rsid w:val="0AF65D7F"/>
    <w:rsid w:val="0AFD3CE0"/>
    <w:rsid w:val="0B057D70"/>
    <w:rsid w:val="0B095AB3"/>
    <w:rsid w:val="0B0B182B"/>
    <w:rsid w:val="0B141A92"/>
    <w:rsid w:val="0B163D2C"/>
    <w:rsid w:val="0B1865F4"/>
    <w:rsid w:val="0B1B1342"/>
    <w:rsid w:val="0B1D50BA"/>
    <w:rsid w:val="0B2621C1"/>
    <w:rsid w:val="0B2935A3"/>
    <w:rsid w:val="0B36617C"/>
    <w:rsid w:val="0B3830BC"/>
    <w:rsid w:val="0B390F49"/>
    <w:rsid w:val="0B394929"/>
    <w:rsid w:val="0B41524D"/>
    <w:rsid w:val="0B416FFB"/>
    <w:rsid w:val="0B446AEB"/>
    <w:rsid w:val="0B4D37F6"/>
    <w:rsid w:val="0B4F2B2E"/>
    <w:rsid w:val="0B511206"/>
    <w:rsid w:val="0B574A70"/>
    <w:rsid w:val="0B5757BB"/>
    <w:rsid w:val="0B5A4560"/>
    <w:rsid w:val="0B5C20DB"/>
    <w:rsid w:val="0B5C5BE2"/>
    <w:rsid w:val="0B61769D"/>
    <w:rsid w:val="0B621946"/>
    <w:rsid w:val="0B6F7E48"/>
    <w:rsid w:val="0B7A250D"/>
    <w:rsid w:val="0B7E4458"/>
    <w:rsid w:val="0B7F5D75"/>
    <w:rsid w:val="0B876242"/>
    <w:rsid w:val="0B8909A2"/>
    <w:rsid w:val="0B974E6D"/>
    <w:rsid w:val="0B9E444D"/>
    <w:rsid w:val="0BB4274F"/>
    <w:rsid w:val="0BCA44BC"/>
    <w:rsid w:val="0BCB4B16"/>
    <w:rsid w:val="0BCB6827"/>
    <w:rsid w:val="0BCF2858"/>
    <w:rsid w:val="0BD40859"/>
    <w:rsid w:val="0BDB744F"/>
    <w:rsid w:val="0BDC70DB"/>
    <w:rsid w:val="0BDD569A"/>
    <w:rsid w:val="0BDF05C2"/>
    <w:rsid w:val="0BE1258C"/>
    <w:rsid w:val="0BE37F48"/>
    <w:rsid w:val="0BE61950"/>
    <w:rsid w:val="0BE9170B"/>
    <w:rsid w:val="0BF114E8"/>
    <w:rsid w:val="0BF26547"/>
    <w:rsid w:val="0BF43D84"/>
    <w:rsid w:val="0BF73B5D"/>
    <w:rsid w:val="0BF7590B"/>
    <w:rsid w:val="0BFD251D"/>
    <w:rsid w:val="0C006EB6"/>
    <w:rsid w:val="0C040028"/>
    <w:rsid w:val="0C0A1F8B"/>
    <w:rsid w:val="0C0A7D34"/>
    <w:rsid w:val="0C0C52A4"/>
    <w:rsid w:val="0C1307E6"/>
    <w:rsid w:val="0C1D7865"/>
    <w:rsid w:val="0C2A700E"/>
    <w:rsid w:val="0C2B1A59"/>
    <w:rsid w:val="0C2F779B"/>
    <w:rsid w:val="0C3318BD"/>
    <w:rsid w:val="0C3F66A6"/>
    <w:rsid w:val="0C4548C9"/>
    <w:rsid w:val="0C460641"/>
    <w:rsid w:val="0C5302BC"/>
    <w:rsid w:val="0C577291"/>
    <w:rsid w:val="0C617DBD"/>
    <w:rsid w:val="0C6311F3"/>
    <w:rsid w:val="0C711B61"/>
    <w:rsid w:val="0C7156BE"/>
    <w:rsid w:val="0C734481"/>
    <w:rsid w:val="0C7927C4"/>
    <w:rsid w:val="0C7E1986"/>
    <w:rsid w:val="0C7E581A"/>
    <w:rsid w:val="0C8201D4"/>
    <w:rsid w:val="0C8353F1"/>
    <w:rsid w:val="0C924DEE"/>
    <w:rsid w:val="0C93296B"/>
    <w:rsid w:val="0C9413AC"/>
    <w:rsid w:val="0C9C471D"/>
    <w:rsid w:val="0CA64856"/>
    <w:rsid w:val="0CA70C39"/>
    <w:rsid w:val="0CB02DAF"/>
    <w:rsid w:val="0CB16402"/>
    <w:rsid w:val="0CB25FA9"/>
    <w:rsid w:val="0CB437FC"/>
    <w:rsid w:val="0CB74C00"/>
    <w:rsid w:val="0CB851E9"/>
    <w:rsid w:val="0CBB102F"/>
    <w:rsid w:val="0CC46135"/>
    <w:rsid w:val="0CC5474C"/>
    <w:rsid w:val="0CCC4347"/>
    <w:rsid w:val="0CD342B6"/>
    <w:rsid w:val="0CD41218"/>
    <w:rsid w:val="0CDD71F7"/>
    <w:rsid w:val="0CDE6FD1"/>
    <w:rsid w:val="0CE71B32"/>
    <w:rsid w:val="0CF14A50"/>
    <w:rsid w:val="0CF35F31"/>
    <w:rsid w:val="0CF84031"/>
    <w:rsid w:val="0CFE0427"/>
    <w:rsid w:val="0D0049BF"/>
    <w:rsid w:val="0D0632FE"/>
    <w:rsid w:val="0D0C53E6"/>
    <w:rsid w:val="0D10137A"/>
    <w:rsid w:val="0D1129FD"/>
    <w:rsid w:val="0D126010"/>
    <w:rsid w:val="0D134413"/>
    <w:rsid w:val="0D183D8B"/>
    <w:rsid w:val="0D2941EA"/>
    <w:rsid w:val="0D2A3ABE"/>
    <w:rsid w:val="0D2D4105"/>
    <w:rsid w:val="0D333E7B"/>
    <w:rsid w:val="0D374811"/>
    <w:rsid w:val="0D374B59"/>
    <w:rsid w:val="0D3B3F9F"/>
    <w:rsid w:val="0D3D167A"/>
    <w:rsid w:val="0D3D6091"/>
    <w:rsid w:val="0D4032E2"/>
    <w:rsid w:val="0D444E00"/>
    <w:rsid w:val="0D490B56"/>
    <w:rsid w:val="0D4A5F0F"/>
    <w:rsid w:val="0D5A43A4"/>
    <w:rsid w:val="0D5D3E94"/>
    <w:rsid w:val="0D5F5E5E"/>
    <w:rsid w:val="0D611BD6"/>
    <w:rsid w:val="0D6671EC"/>
    <w:rsid w:val="0D7116ED"/>
    <w:rsid w:val="0D766D04"/>
    <w:rsid w:val="0D7A2C98"/>
    <w:rsid w:val="0D7C256C"/>
    <w:rsid w:val="0D813AC5"/>
    <w:rsid w:val="0D8256A8"/>
    <w:rsid w:val="0D8B5EDC"/>
    <w:rsid w:val="0D937CC6"/>
    <w:rsid w:val="0D9A0C44"/>
    <w:rsid w:val="0D9C263E"/>
    <w:rsid w:val="0DA6583B"/>
    <w:rsid w:val="0DAC1D6A"/>
    <w:rsid w:val="0DAF0B93"/>
    <w:rsid w:val="0DB02216"/>
    <w:rsid w:val="0DB24749"/>
    <w:rsid w:val="0DB3734A"/>
    <w:rsid w:val="0DB37F58"/>
    <w:rsid w:val="0DBB661B"/>
    <w:rsid w:val="0DBB6E02"/>
    <w:rsid w:val="0DBE2B84"/>
    <w:rsid w:val="0DBF06AB"/>
    <w:rsid w:val="0DBF1056"/>
    <w:rsid w:val="0DC14423"/>
    <w:rsid w:val="0DC7755F"/>
    <w:rsid w:val="0DD95C10"/>
    <w:rsid w:val="0DDA3736"/>
    <w:rsid w:val="0DE14AC5"/>
    <w:rsid w:val="0DE24FB6"/>
    <w:rsid w:val="0DE52498"/>
    <w:rsid w:val="0DE6032D"/>
    <w:rsid w:val="0DE71BA5"/>
    <w:rsid w:val="0DED197B"/>
    <w:rsid w:val="0DED346A"/>
    <w:rsid w:val="0DEF71E2"/>
    <w:rsid w:val="0DF26CD2"/>
    <w:rsid w:val="0DF8408A"/>
    <w:rsid w:val="0DFE1B30"/>
    <w:rsid w:val="0E0B1B42"/>
    <w:rsid w:val="0E13454A"/>
    <w:rsid w:val="0E1C7E7D"/>
    <w:rsid w:val="0E1E1CA9"/>
    <w:rsid w:val="0E202375"/>
    <w:rsid w:val="0E2350DD"/>
    <w:rsid w:val="0E2471F3"/>
    <w:rsid w:val="0E2478FC"/>
    <w:rsid w:val="0E2E4D9F"/>
    <w:rsid w:val="0E3D5F31"/>
    <w:rsid w:val="0E3F1B68"/>
    <w:rsid w:val="0E404AF6"/>
    <w:rsid w:val="0E513767"/>
    <w:rsid w:val="0E53378A"/>
    <w:rsid w:val="0E533F5B"/>
    <w:rsid w:val="0E5A678F"/>
    <w:rsid w:val="0E5C27BF"/>
    <w:rsid w:val="0E5E1C72"/>
    <w:rsid w:val="0E5F3BD7"/>
    <w:rsid w:val="0E605EC3"/>
    <w:rsid w:val="0E6E1983"/>
    <w:rsid w:val="0E711482"/>
    <w:rsid w:val="0E744BBD"/>
    <w:rsid w:val="0E770F85"/>
    <w:rsid w:val="0E7C659C"/>
    <w:rsid w:val="0E7E0566"/>
    <w:rsid w:val="0E820056"/>
    <w:rsid w:val="0E8565C3"/>
    <w:rsid w:val="0E883192"/>
    <w:rsid w:val="0E89283D"/>
    <w:rsid w:val="0E9658AF"/>
    <w:rsid w:val="0E975183"/>
    <w:rsid w:val="0E982E6C"/>
    <w:rsid w:val="0E9A3466"/>
    <w:rsid w:val="0E9A6C30"/>
    <w:rsid w:val="0E9E29B6"/>
    <w:rsid w:val="0EA33B28"/>
    <w:rsid w:val="0EAA2D54"/>
    <w:rsid w:val="0EB00539"/>
    <w:rsid w:val="0EBB2F62"/>
    <w:rsid w:val="0EBC6F71"/>
    <w:rsid w:val="0EBE6BB4"/>
    <w:rsid w:val="0ECE066F"/>
    <w:rsid w:val="0ECE6A3B"/>
    <w:rsid w:val="0ECF0DC1"/>
    <w:rsid w:val="0ED14730"/>
    <w:rsid w:val="0EE06B2A"/>
    <w:rsid w:val="0EE4486D"/>
    <w:rsid w:val="0EEA5BFB"/>
    <w:rsid w:val="0EF56A7A"/>
    <w:rsid w:val="0EF75858"/>
    <w:rsid w:val="0F016ADC"/>
    <w:rsid w:val="0F056591"/>
    <w:rsid w:val="0F0C5B5B"/>
    <w:rsid w:val="0F1A028E"/>
    <w:rsid w:val="0F1A4136"/>
    <w:rsid w:val="0F1B29C5"/>
    <w:rsid w:val="0F1C75E0"/>
    <w:rsid w:val="0F1E7653"/>
    <w:rsid w:val="0F250F51"/>
    <w:rsid w:val="0F275D02"/>
    <w:rsid w:val="0F362E15"/>
    <w:rsid w:val="0F36499C"/>
    <w:rsid w:val="0F3B1FB3"/>
    <w:rsid w:val="0F3C37D0"/>
    <w:rsid w:val="0F403A6D"/>
    <w:rsid w:val="0F441558"/>
    <w:rsid w:val="0F4933DC"/>
    <w:rsid w:val="0F512D51"/>
    <w:rsid w:val="0F562CCA"/>
    <w:rsid w:val="0F580391"/>
    <w:rsid w:val="0F5F0397"/>
    <w:rsid w:val="0F6B6D3C"/>
    <w:rsid w:val="0F6D63D0"/>
    <w:rsid w:val="0F824086"/>
    <w:rsid w:val="0F844F85"/>
    <w:rsid w:val="0F890AED"/>
    <w:rsid w:val="0F896943"/>
    <w:rsid w:val="0F8B2F3A"/>
    <w:rsid w:val="0F8F50E3"/>
    <w:rsid w:val="0F9764BF"/>
    <w:rsid w:val="0F994761"/>
    <w:rsid w:val="0F9D3838"/>
    <w:rsid w:val="0F9E521C"/>
    <w:rsid w:val="0FA62FCB"/>
    <w:rsid w:val="0FA962DF"/>
    <w:rsid w:val="0FAC4C5F"/>
    <w:rsid w:val="0FAE09D7"/>
    <w:rsid w:val="0FC30926"/>
    <w:rsid w:val="0FC41FA8"/>
    <w:rsid w:val="0FCC70AF"/>
    <w:rsid w:val="0FCD43AF"/>
    <w:rsid w:val="0FD15A2B"/>
    <w:rsid w:val="0FD51BA6"/>
    <w:rsid w:val="0FD60AB5"/>
    <w:rsid w:val="0FE47A0D"/>
    <w:rsid w:val="0FE739BA"/>
    <w:rsid w:val="0FEB02DB"/>
    <w:rsid w:val="0FF3288D"/>
    <w:rsid w:val="0FF46D31"/>
    <w:rsid w:val="0FFA1E6E"/>
    <w:rsid w:val="0FFC4763"/>
    <w:rsid w:val="0FFE2FB0"/>
    <w:rsid w:val="0FFE7F41"/>
    <w:rsid w:val="100D394F"/>
    <w:rsid w:val="100E76C7"/>
    <w:rsid w:val="10120F66"/>
    <w:rsid w:val="10136D9F"/>
    <w:rsid w:val="10156CA8"/>
    <w:rsid w:val="101758FF"/>
    <w:rsid w:val="1017657C"/>
    <w:rsid w:val="101C0036"/>
    <w:rsid w:val="101F18D4"/>
    <w:rsid w:val="10244D88"/>
    <w:rsid w:val="10281916"/>
    <w:rsid w:val="1032785A"/>
    <w:rsid w:val="1034712E"/>
    <w:rsid w:val="10352EA6"/>
    <w:rsid w:val="103B1529"/>
    <w:rsid w:val="103B1C47"/>
    <w:rsid w:val="103D3AA4"/>
    <w:rsid w:val="10431A36"/>
    <w:rsid w:val="104B091B"/>
    <w:rsid w:val="104E215E"/>
    <w:rsid w:val="105A46BB"/>
    <w:rsid w:val="105E064F"/>
    <w:rsid w:val="10637A13"/>
    <w:rsid w:val="106417CC"/>
    <w:rsid w:val="106519DD"/>
    <w:rsid w:val="106A3364"/>
    <w:rsid w:val="106C2D6C"/>
    <w:rsid w:val="106C3669"/>
    <w:rsid w:val="106D7B42"/>
    <w:rsid w:val="10706D25"/>
    <w:rsid w:val="10710382"/>
    <w:rsid w:val="1074786B"/>
    <w:rsid w:val="107F0BFE"/>
    <w:rsid w:val="10802373"/>
    <w:rsid w:val="10855BDB"/>
    <w:rsid w:val="1096751A"/>
    <w:rsid w:val="109B53FF"/>
    <w:rsid w:val="109C4CD3"/>
    <w:rsid w:val="10A2678D"/>
    <w:rsid w:val="10A80C8C"/>
    <w:rsid w:val="10A90C66"/>
    <w:rsid w:val="10AA3894"/>
    <w:rsid w:val="10AB3168"/>
    <w:rsid w:val="10AD0C8E"/>
    <w:rsid w:val="10B0514E"/>
    <w:rsid w:val="10B15EA4"/>
    <w:rsid w:val="10B81422"/>
    <w:rsid w:val="10BC5375"/>
    <w:rsid w:val="10BD35C7"/>
    <w:rsid w:val="10BE4C49"/>
    <w:rsid w:val="10C430FC"/>
    <w:rsid w:val="10C52735"/>
    <w:rsid w:val="10C832BF"/>
    <w:rsid w:val="10CB72A9"/>
    <w:rsid w:val="10CD6994"/>
    <w:rsid w:val="10DE0C95"/>
    <w:rsid w:val="10DE1D0F"/>
    <w:rsid w:val="10E56ED4"/>
    <w:rsid w:val="10EC17B7"/>
    <w:rsid w:val="10F14A19"/>
    <w:rsid w:val="10F42D61"/>
    <w:rsid w:val="10F44B0F"/>
    <w:rsid w:val="10F929CF"/>
    <w:rsid w:val="10FC434A"/>
    <w:rsid w:val="11052878"/>
    <w:rsid w:val="110A7E8F"/>
    <w:rsid w:val="11186A48"/>
    <w:rsid w:val="111E4C42"/>
    <w:rsid w:val="11254CE0"/>
    <w:rsid w:val="11255B7E"/>
    <w:rsid w:val="11271921"/>
    <w:rsid w:val="112911AC"/>
    <w:rsid w:val="11291340"/>
    <w:rsid w:val="112E6273"/>
    <w:rsid w:val="11301FEB"/>
    <w:rsid w:val="11353553"/>
    <w:rsid w:val="11390774"/>
    <w:rsid w:val="113E3FDC"/>
    <w:rsid w:val="11413478"/>
    <w:rsid w:val="11477335"/>
    <w:rsid w:val="11537A88"/>
    <w:rsid w:val="115455AE"/>
    <w:rsid w:val="115649A4"/>
    <w:rsid w:val="115B4B10"/>
    <w:rsid w:val="115B693C"/>
    <w:rsid w:val="115E69E8"/>
    <w:rsid w:val="11671785"/>
    <w:rsid w:val="11681DA3"/>
    <w:rsid w:val="11705AB3"/>
    <w:rsid w:val="117B6FDE"/>
    <w:rsid w:val="11817D97"/>
    <w:rsid w:val="118434A5"/>
    <w:rsid w:val="118A0FD0"/>
    <w:rsid w:val="11983B95"/>
    <w:rsid w:val="119C0D5E"/>
    <w:rsid w:val="11A007F3"/>
    <w:rsid w:val="11A562FB"/>
    <w:rsid w:val="11A71E34"/>
    <w:rsid w:val="11B44E28"/>
    <w:rsid w:val="11BA141A"/>
    <w:rsid w:val="11BA45A6"/>
    <w:rsid w:val="11C571E3"/>
    <w:rsid w:val="11D706B9"/>
    <w:rsid w:val="11D85E2D"/>
    <w:rsid w:val="11DB5545"/>
    <w:rsid w:val="11DF776B"/>
    <w:rsid w:val="11E34E62"/>
    <w:rsid w:val="11E44EDE"/>
    <w:rsid w:val="11ED7E79"/>
    <w:rsid w:val="11F27ED7"/>
    <w:rsid w:val="11F36B61"/>
    <w:rsid w:val="11F8418B"/>
    <w:rsid w:val="12011292"/>
    <w:rsid w:val="120D5E88"/>
    <w:rsid w:val="120F6A71"/>
    <w:rsid w:val="12105979"/>
    <w:rsid w:val="1210697A"/>
    <w:rsid w:val="1211524D"/>
    <w:rsid w:val="12161734"/>
    <w:rsid w:val="12171779"/>
    <w:rsid w:val="122B59B1"/>
    <w:rsid w:val="122D50BC"/>
    <w:rsid w:val="123355E1"/>
    <w:rsid w:val="123B3D44"/>
    <w:rsid w:val="124B4C03"/>
    <w:rsid w:val="124D44D7"/>
    <w:rsid w:val="12583AE5"/>
    <w:rsid w:val="125D0492"/>
    <w:rsid w:val="12652B32"/>
    <w:rsid w:val="12674ED2"/>
    <w:rsid w:val="126C21D3"/>
    <w:rsid w:val="1270418F"/>
    <w:rsid w:val="12706417"/>
    <w:rsid w:val="1276427B"/>
    <w:rsid w:val="127A760E"/>
    <w:rsid w:val="127C00D9"/>
    <w:rsid w:val="12847327"/>
    <w:rsid w:val="128B3251"/>
    <w:rsid w:val="128B4FFF"/>
    <w:rsid w:val="12951740"/>
    <w:rsid w:val="12953860"/>
    <w:rsid w:val="129A3494"/>
    <w:rsid w:val="129C2CA1"/>
    <w:rsid w:val="129D6F2D"/>
    <w:rsid w:val="129F4A2D"/>
    <w:rsid w:val="12AD766B"/>
    <w:rsid w:val="12AF5192"/>
    <w:rsid w:val="12B1125B"/>
    <w:rsid w:val="12C0114D"/>
    <w:rsid w:val="12C14EC5"/>
    <w:rsid w:val="12C64289"/>
    <w:rsid w:val="12C80001"/>
    <w:rsid w:val="12CF753D"/>
    <w:rsid w:val="12D95D38"/>
    <w:rsid w:val="12DA2786"/>
    <w:rsid w:val="12E73082"/>
    <w:rsid w:val="12E75133"/>
    <w:rsid w:val="12EF7AF8"/>
    <w:rsid w:val="12F169F6"/>
    <w:rsid w:val="12F27C3E"/>
    <w:rsid w:val="12F80046"/>
    <w:rsid w:val="12FB22EB"/>
    <w:rsid w:val="12FE3A23"/>
    <w:rsid w:val="130354DD"/>
    <w:rsid w:val="130D02DD"/>
    <w:rsid w:val="131515A1"/>
    <w:rsid w:val="13192C43"/>
    <w:rsid w:val="131D7D26"/>
    <w:rsid w:val="13255851"/>
    <w:rsid w:val="132660F1"/>
    <w:rsid w:val="132E1D32"/>
    <w:rsid w:val="133964F1"/>
    <w:rsid w:val="133B6A25"/>
    <w:rsid w:val="133B6E68"/>
    <w:rsid w:val="133E2072"/>
    <w:rsid w:val="13427DB4"/>
    <w:rsid w:val="1347361C"/>
    <w:rsid w:val="134A61E2"/>
    <w:rsid w:val="134C0998"/>
    <w:rsid w:val="13537C17"/>
    <w:rsid w:val="135409CC"/>
    <w:rsid w:val="135E44C2"/>
    <w:rsid w:val="136046DE"/>
    <w:rsid w:val="1361413C"/>
    <w:rsid w:val="1363255E"/>
    <w:rsid w:val="13684F71"/>
    <w:rsid w:val="136A5DF8"/>
    <w:rsid w:val="136C4845"/>
    <w:rsid w:val="137837D5"/>
    <w:rsid w:val="137D2B9A"/>
    <w:rsid w:val="138228A6"/>
    <w:rsid w:val="13824654"/>
    <w:rsid w:val="13872A19"/>
    <w:rsid w:val="13925C08"/>
    <w:rsid w:val="139323BD"/>
    <w:rsid w:val="139711E7"/>
    <w:rsid w:val="13A20A51"/>
    <w:rsid w:val="13A22600"/>
    <w:rsid w:val="13A90676"/>
    <w:rsid w:val="13AF22BD"/>
    <w:rsid w:val="13AF6871"/>
    <w:rsid w:val="13B100F0"/>
    <w:rsid w:val="13B62550"/>
    <w:rsid w:val="13C0517C"/>
    <w:rsid w:val="13CF7F9D"/>
    <w:rsid w:val="13DB3D64"/>
    <w:rsid w:val="13DD5D2E"/>
    <w:rsid w:val="13DE6EB4"/>
    <w:rsid w:val="13E16DE8"/>
    <w:rsid w:val="13E946D3"/>
    <w:rsid w:val="13EA397D"/>
    <w:rsid w:val="13F1211B"/>
    <w:rsid w:val="13F53078"/>
    <w:rsid w:val="13FB4298"/>
    <w:rsid w:val="13FC764D"/>
    <w:rsid w:val="13FD017F"/>
    <w:rsid w:val="14025795"/>
    <w:rsid w:val="14090056"/>
    <w:rsid w:val="14092680"/>
    <w:rsid w:val="14172F0F"/>
    <w:rsid w:val="141A2ADF"/>
    <w:rsid w:val="141C1F3D"/>
    <w:rsid w:val="141F6AD0"/>
    <w:rsid w:val="14212208"/>
    <w:rsid w:val="14215D18"/>
    <w:rsid w:val="14223741"/>
    <w:rsid w:val="14234B35"/>
    <w:rsid w:val="142906A9"/>
    <w:rsid w:val="1431087C"/>
    <w:rsid w:val="143673BF"/>
    <w:rsid w:val="143E4A1F"/>
    <w:rsid w:val="143F0797"/>
    <w:rsid w:val="1442587B"/>
    <w:rsid w:val="144B0EEA"/>
    <w:rsid w:val="144D74C2"/>
    <w:rsid w:val="14522278"/>
    <w:rsid w:val="14536C37"/>
    <w:rsid w:val="14566AA9"/>
    <w:rsid w:val="145E2579"/>
    <w:rsid w:val="14611302"/>
    <w:rsid w:val="146124BC"/>
    <w:rsid w:val="14661880"/>
    <w:rsid w:val="1468384A"/>
    <w:rsid w:val="146A6468"/>
    <w:rsid w:val="146B34D5"/>
    <w:rsid w:val="146C1F0F"/>
    <w:rsid w:val="14726477"/>
    <w:rsid w:val="14777F31"/>
    <w:rsid w:val="147815B3"/>
    <w:rsid w:val="14793D29"/>
    <w:rsid w:val="147D57CE"/>
    <w:rsid w:val="148333D4"/>
    <w:rsid w:val="148A7C64"/>
    <w:rsid w:val="148D1503"/>
    <w:rsid w:val="14900FF3"/>
    <w:rsid w:val="14917AC1"/>
    <w:rsid w:val="14924E91"/>
    <w:rsid w:val="149363ED"/>
    <w:rsid w:val="14983A03"/>
    <w:rsid w:val="149F017E"/>
    <w:rsid w:val="14A64372"/>
    <w:rsid w:val="14AC513B"/>
    <w:rsid w:val="14B52807"/>
    <w:rsid w:val="14B95E54"/>
    <w:rsid w:val="14BE43F0"/>
    <w:rsid w:val="14CE271D"/>
    <w:rsid w:val="14D20A5C"/>
    <w:rsid w:val="14D66383"/>
    <w:rsid w:val="14DA6390"/>
    <w:rsid w:val="14DB12DC"/>
    <w:rsid w:val="14DF428A"/>
    <w:rsid w:val="14EB4389"/>
    <w:rsid w:val="14ED01F3"/>
    <w:rsid w:val="14F43330"/>
    <w:rsid w:val="14FB646C"/>
    <w:rsid w:val="14FD59A3"/>
    <w:rsid w:val="15003F68"/>
    <w:rsid w:val="1504704E"/>
    <w:rsid w:val="15051E20"/>
    <w:rsid w:val="150B1136"/>
    <w:rsid w:val="150C0679"/>
    <w:rsid w:val="150C77DD"/>
    <w:rsid w:val="150D3E37"/>
    <w:rsid w:val="150D43F1"/>
    <w:rsid w:val="15104B3E"/>
    <w:rsid w:val="15133687"/>
    <w:rsid w:val="15137AA7"/>
    <w:rsid w:val="151439D2"/>
    <w:rsid w:val="151B6B0E"/>
    <w:rsid w:val="15316332"/>
    <w:rsid w:val="153260B2"/>
    <w:rsid w:val="153951E6"/>
    <w:rsid w:val="15397286"/>
    <w:rsid w:val="154109CA"/>
    <w:rsid w:val="15451DDD"/>
    <w:rsid w:val="15455939"/>
    <w:rsid w:val="15487791"/>
    <w:rsid w:val="15593CAD"/>
    <w:rsid w:val="1562473D"/>
    <w:rsid w:val="156758B0"/>
    <w:rsid w:val="156814D5"/>
    <w:rsid w:val="157200D2"/>
    <w:rsid w:val="15753AA8"/>
    <w:rsid w:val="157B4EA2"/>
    <w:rsid w:val="157D50D3"/>
    <w:rsid w:val="157D7336"/>
    <w:rsid w:val="15915022"/>
    <w:rsid w:val="15962796"/>
    <w:rsid w:val="159A4C5C"/>
    <w:rsid w:val="159C0457"/>
    <w:rsid w:val="15A07014"/>
    <w:rsid w:val="15A75E73"/>
    <w:rsid w:val="15A765F4"/>
    <w:rsid w:val="15AB614F"/>
    <w:rsid w:val="15AD038C"/>
    <w:rsid w:val="15B27CB9"/>
    <w:rsid w:val="15B52EB9"/>
    <w:rsid w:val="15B54A74"/>
    <w:rsid w:val="15B605E5"/>
    <w:rsid w:val="15B64A89"/>
    <w:rsid w:val="15B8610B"/>
    <w:rsid w:val="15C33FB8"/>
    <w:rsid w:val="15C42626"/>
    <w:rsid w:val="15C50828"/>
    <w:rsid w:val="15D21630"/>
    <w:rsid w:val="15D3522C"/>
    <w:rsid w:val="15E47854"/>
    <w:rsid w:val="15EE12D2"/>
    <w:rsid w:val="15EF58A5"/>
    <w:rsid w:val="15F22D3C"/>
    <w:rsid w:val="15F335E7"/>
    <w:rsid w:val="15F97B69"/>
    <w:rsid w:val="15FD3F61"/>
    <w:rsid w:val="15FD7FC2"/>
    <w:rsid w:val="15FE04ED"/>
    <w:rsid w:val="16030394"/>
    <w:rsid w:val="161328E7"/>
    <w:rsid w:val="16137F4C"/>
    <w:rsid w:val="16173ED4"/>
    <w:rsid w:val="161B37B9"/>
    <w:rsid w:val="161D0664"/>
    <w:rsid w:val="16204785"/>
    <w:rsid w:val="16271493"/>
    <w:rsid w:val="162A597E"/>
    <w:rsid w:val="162B0F4B"/>
    <w:rsid w:val="162B4B2F"/>
    <w:rsid w:val="163065E9"/>
    <w:rsid w:val="16322361"/>
    <w:rsid w:val="1636747A"/>
    <w:rsid w:val="16367B40"/>
    <w:rsid w:val="16386213"/>
    <w:rsid w:val="163F06E4"/>
    <w:rsid w:val="163F689B"/>
    <w:rsid w:val="1643132E"/>
    <w:rsid w:val="164B6F7F"/>
    <w:rsid w:val="164C2CF7"/>
    <w:rsid w:val="16500A3A"/>
    <w:rsid w:val="165053A5"/>
    <w:rsid w:val="165322D8"/>
    <w:rsid w:val="165C3061"/>
    <w:rsid w:val="16643F43"/>
    <w:rsid w:val="166E0EC0"/>
    <w:rsid w:val="167460BF"/>
    <w:rsid w:val="16781DC0"/>
    <w:rsid w:val="16810BF3"/>
    <w:rsid w:val="168406E3"/>
    <w:rsid w:val="1685305E"/>
    <w:rsid w:val="168B7CC4"/>
    <w:rsid w:val="168D1436"/>
    <w:rsid w:val="16980722"/>
    <w:rsid w:val="169C65DF"/>
    <w:rsid w:val="169D3553"/>
    <w:rsid w:val="16A26210"/>
    <w:rsid w:val="16A31400"/>
    <w:rsid w:val="16A331B0"/>
    <w:rsid w:val="16A62408"/>
    <w:rsid w:val="16AA0D1D"/>
    <w:rsid w:val="16BE21D6"/>
    <w:rsid w:val="16C71495"/>
    <w:rsid w:val="16C84A74"/>
    <w:rsid w:val="16D64FF4"/>
    <w:rsid w:val="16D934DF"/>
    <w:rsid w:val="16DE1862"/>
    <w:rsid w:val="16DE6045"/>
    <w:rsid w:val="16E178E4"/>
    <w:rsid w:val="16EA2C3C"/>
    <w:rsid w:val="16EC6E72"/>
    <w:rsid w:val="16ED0036"/>
    <w:rsid w:val="16ED6288"/>
    <w:rsid w:val="16EE5208"/>
    <w:rsid w:val="16F668CC"/>
    <w:rsid w:val="16FB061D"/>
    <w:rsid w:val="16FB3CDD"/>
    <w:rsid w:val="17016E2C"/>
    <w:rsid w:val="17016E3F"/>
    <w:rsid w:val="170D033B"/>
    <w:rsid w:val="1711641B"/>
    <w:rsid w:val="17163A31"/>
    <w:rsid w:val="1719159F"/>
    <w:rsid w:val="171C6B6E"/>
    <w:rsid w:val="17212972"/>
    <w:rsid w:val="1723658B"/>
    <w:rsid w:val="17266A6B"/>
    <w:rsid w:val="172B0B5F"/>
    <w:rsid w:val="17345C65"/>
    <w:rsid w:val="173D7210"/>
    <w:rsid w:val="174229A6"/>
    <w:rsid w:val="174D4E5B"/>
    <w:rsid w:val="174D6D27"/>
    <w:rsid w:val="174E114E"/>
    <w:rsid w:val="17565535"/>
    <w:rsid w:val="175D4453"/>
    <w:rsid w:val="17647E86"/>
    <w:rsid w:val="17653A09"/>
    <w:rsid w:val="176E4116"/>
    <w:rsid w:val="17716EB9"/>
    <w:rsid w:val="17732C32"/>
    <w:rsid w:val="17793FC0"/>
    <w:rsid w:val="17797B1C"/>
    <w:rsid w:val="177A1DCF"/>
    <w:rsid w:val="178564C1"/>
    <w:rsid w:val="17976347"/>
    <w:rsid w:val="179C3F30"/>
    <w:rsid w:val="17A26AC3"/>
    <w:rsid w:val="17B31280"/>
    <w:rsid w:val="17B34914"/>
    <w:rsid w:val="17B60D70"/>
    <w:rsid w:val="17B8367C"/>
    <w:rsid w:val="17B943BD"/>
    <w:rsid w:val="17BC11BC"/>
    <w:rsid w:val="17C40494"/>
    <w:rsid w:val="17C43C1A"/>
    <w:rsid w:val="17C50FB3"/>
    <w:rsid w:val="17DD0FD5"/>
    <w:rsid w:val="17DE07C9"/>
    <w:rsid w:val="17E00D0D"/>
    <w:rsid w:val="17E07B9B"/>
    <w:rsid w:val="17E91C6D"/>
    <w:rsid w:val="17E92EF4"/>
    <w:rsid w:val="17EF715A"/>
    <w:rsid w:val="17F673BF"/>
    <w:rsid w:val="17FD699F"/>
    <w:rsid w:val="18004DB5"/>
    <w:rsid w:val="18031053"/>
    <w:rsid w:val="18140A41"/>
    <w:rsid w:val="18221F62"/>
    <w:rsid w:val="18253800"/>
    <w:rsid w:val="18267CA4"/>
    <w:rsid w:val="183028D1"/>
    <w:rsid w:val="183F5C36"/>
    <w:rsid w:val="18427ED0"/>
    <w:rsid w:val="18446A98"/>
    <w:rsid w:val="18455C50"/>
    <w:rsid w:val="185461BE"/>
    <w:rsid w:val="1855597B"/>
    <w:rsid w:val="185A16FC"/>
    <w:rsid w:val="185C36C6"/>
    <w:rsid w:val="185D11EC"/>
    <w:rsid w:val="185F04A9"/>
    <w:rsid w:val="186B1B5B"/>
    <w:rsid w:val="18705EAB"/>
    <w:rsid w:val="18707ECD"/>
    <w:rsid w:val="18745F31"/>
    <w:rsid w:val="187529D9"/>
    <w:rsid w:val="18754787"/>
    <w:rsid w:val="187951B4"/>
    <w:rsid w:val="187F5606"/>
    <w:rsid w:val="1880365D"/>
    <w:rsid w:val="188118B2"/>
    <w:rsid w:val="188158C5"/>
    <w:rsid w:val="188818A4"/>
    <w:rsid w:val="1888737A"/>
    <w:rsid w:val="18893D8F"/>
    <w:rsid w:val="18895F05"/>
    <w:rsid w:val="189003A7"/>
    <w:rsid w:val="18911431"/>
    <w:rsid w:val="18926A26"/>
    <w:rsid w:val="18956BD8"/>
    <w:rsid w:val="18984266"/>
    <w:rsid w:val="189A41EE"/>
    <w:rsid w:val="18A659D7"/>
    <w:rsid w:val="18A73489"/>
    <w:rsid w:val="18A802FC"/>
    <w:rsid w:val="18AA78C0"/>
    <w:rsid w:val="18AC17C2"/>
    <w:rsid w:val="18B232E6"/>
    <w:rsid w:val="18B76B4E"/>
    <w:rsid w:val="18BC0534"/>
    <w:rsid w:val="18BC4164"/>
    <w:rsid w:val="18C26E15"/>
    <w:rsid w:val="18C54FD5"/>
    <w:rsid w:val="18C67773"/>
    <w:rsid w:val="18D11B7C"/>
    <w:rsid w:val="18D56EC2"/>
    <w:rsid w:val="18D86AC4"/>
    <w:rsid w:val="18DA6CE0"/>
    <w:rsid w:val="18E71E9E"/>
    <w:rsid w:val="18E94268"/>
    <w:rsid w:val="18EB67F8"/>
    <w:rsid w:val="18ED6A14"/>
    <w:rsid w:val="18F27B86"/>
    <w:rsid w:val="18F90A6B"/>
    <w:rsid w:val="18FF7F2A"/>
    <w:rsid w:val="190569DB"/>
    <w:rsid w:val="19063ED8"/>
    <w:rsid w:val="191A10AA"/>
    <w:rsid w:val="191B532F"/>
    <w:rsid w:val="191C10A7"/>
    <w:rsid w:val="191E4E1F"/>
    <w:rsid w:val="19231359"/>
    <w:rsid w:val="19257F5C"/>
    <w:rsid w:val="19267830"/>
    <w:rsid w:val="19294E1F"/>
    <w:rsid w:val="1930061F"/>
    <w:rsid w:val="19375EE1"/>
    <w:rsid w:val="19397563"/>
    <w:rsid w:val="19467ED2"/>
    <w:rsid w:val="194A5C14"/>
    <w:rsid w:val="194F6463"/>
    <w:rsid w:val="1954439D"/>
    <w:rsid w:val="195720DF"/>
    <w:rsid w:val="195B1BCF"/>
    <w:rsid w:val="195E26F2"/>
    <w:rsid w:val="19766A09"/>
    <w:rsid w:val="19854666"/>
    <w:rsid w:val="198804EA"/>
    <w:rsid w:val="198D1013"/>
    <w:rsid w:val="199406D5"/>
    <w:rsid w:val="19986912"/>
    <w:rsid w:val="199B3B45"/>
    <w:rsid w:val="199E1ABC"/>
    <w:rsid w:val="199E754F"/>
    <w:rsid w:val="19A1335A"/>
    <w:rsid w:val="19A60971"/>
    <w:rsid w:val="19AC242B"/>
    <w:rsid w:val="19AF17F2"/>
    <w:rsid w:val="19B258BE"/>
    <w:rsid w:val="19BB0CB2"/>
    <w:rsid w:val="19DD0836"/>
    <w:rsid w:val="19DE635C"/>
    <w:rsid w:val="19E41BC5"/>
    <w:rsid w:val="19E51499"/>
    <w:rsid w:val="19E71610"/>
    <w:rsid w:val="19EC303E"/>
    <w:rsid w:val="19F60D6E"/>
    <w:rsid w:val="19F802F9"/>
    <w:rsid w:val="19F85670"/>
    <w:rsid w:val="19F9249D"/>
    <w:rsid w:val="19FE255B"/>
    <w:rsid w:val="19FE32D8"/>
    <w:rsid w:val="19FF01CB"/>
    <w:rsid w:val="1A02204B"/>
    <w:rsid w:val="1A067C36"/>
    <w:rsid w:val="1A0E2F53"/>
    <w:rsid w:val="1A0E46AA"/>
    <w:rsid w:val="1A163D48"/>
    <w:rsid w:val="1A18186E"/>
    <w:rsid w:val="1A187AC0"/>
    <w:rsid w:val="1A1E2DFC"/>
    <w:rsid w:val="1A1E49AB"/>
    <w:rsid w:val="1A224FDF"/>
    <w:rsid w:val="1A2521DD"/>
    <w:rsid w:val="1A2849ED"/>
    <w:rsid w:val="1A2975D8"/>
    <w:rsid w:val="1A361CF4"/>
    <w:rsid w:val="1A432F8A"/>
    <w:rsid w:val="1A4A57A0"/>
    <w:rsid w:val="1A5204BD"/>
    <w:rsid w:val="1A521DE5"/>
    <w:rsid w:val="1A5369DF"/>
    <w:rsid w:val="1A5D3725"/>
    <w:rsid w:val="1A5F124B"/>
    <w:rsid w:val="1A621123"/>
    <w:rsid w:val="1A676352"/>
    <w:rsid w:val="1A7257C2"/>
    <w:rsid w:val="1A7B3BAB"/>
    <w:rsid w:val="1A8A4D2E"/>
    <w:rsid w:val="1A8B10C5"/>
    <w:rsid w:val="1A8E7D82"/>
    <w:rsid w:val="1A976C37"/>
    <w:rsid w:val="1A9C249F"/>
    <w:rsid w:val="1AA56ACE"/>
    <w:rsid w:val="1AAB4490"/>
    <w:rsid w:val="1AAB7082"/>
    <w:rsid w:val="1AB06F69"/>
    <w:rsid w:val="1ABD41C4"/>
    <w:rsid w:val="1ABE5173"/>
    <w:rsid w:val="1AC26356"/>
    <w:rsid w:val="1AC63078"/>
    <w:rsid w:val="1AC90DBB"/>
    <w:rsid w:val="1ACE4A31"/>
    <w:rsid w:val="1ACF10BD"/>
    <w:rsid w:val="1AD160DE"/>
    <w:rsid w:val="1ADD5A99"/>
    <w:rsid w:val="1AE17EB2"/>
    <w:rsid w:val="1AE6196C"/>
    <w:rsid w:val="1AED54B3"/>
    <w:rsid w:val="1AFA28CD"/>
    <w:rsid w:val="1B091D66"/>
    <w:rsid w:val="1B0D6EF9"/>
    <w:rsid w:val="1B121C61"/>
    <w:rsid w:val="1B157B5C"/>
    <w:rsid w:val="1B1D50EA"/>
    <w:rsid w:val="1B223933"/>
    <w:rsid w:val="1B246549"/>
    <w:rsid w:val="1B261D69"/>
    <w:rsid w:val="1B280ADA"/>
    <w:rsid w:val="1B2E611A"/>
    <w:rsid w:val="1B324171"/>
    <w:rsid w:val="1B326960"/>
    <w:rsid w:val="1B3426D8"/>
    <w:rsid w:val="1B3C333B"/>
    <w:rsid w:val="1B430B6D"/>
    <w:rsid w:val="1B470169"/>
    <w:rsid w:val="1B4D2FFB"/>
    <w:rsid w:val="1B570174"/>
    <w:rsid w:val="1B5C1554"/>
    <w:rsid w:val="1B6034CD"/>
    <w:rsid w:val="1B632FBD"/>
    <w:rsid w:val="1B69758B"/>
    <w:rsid w:val="1B736163"/>
    <w:rsid w:val="1B7E6BF8"/>
    <w:rsid w:val="1B7F75CF"/>
    <w:rsid w:val="1B826DCE"/>
    <w:rsid w:val="1B884FAB"/>
    <w:rsid w:val="1B89667C"/>
    <w:rsid w:val="1B8A4B6C"/>
    <w:rsid w:val="1B950C9D"/>
    <w:rsid w:val="1B99253B"/>
    <w:rsid w:val="1B9969DF"/>
    <w:rsid w:val="1B9C3C37"/>
    <w:rsid w:val="1B9F38C9"/>
    <w:rsid w:val="1BAE6EFB"/>
    <w:rsid w:val="1BB6133F"/>
    <w:rsid w:val="1BB73068"/>
    <w:rsid w:val="1BBE01F3"/>
    <w:rsid w:val="1BC31A2F"/>
    <w:rsid w:val="1BCE25F3"/>
    <w:rsid w:val="1BD143CB"/>
    <w:rsid w:val="1BEA5FDB"/>
    <w:rsid w:val="1BEC2445"/>
    <w:rsid w:val="1BEF2B18"/>
    <w:rsid w:val="1BF24157"/>
    <w:rsid w:val="1BF33055"/>
    <w:rsid w:val="1BF751CB"/>
    <w:rsid w:val="1BFB0E2F"/>
    <w:rsid w:val="1BFC6CDB"/>
    <w:rsid w:val="1C020899"/>
    <w:rsid w:val="1C0455C8"/>
    <w:rsid w:val="1C053B84"/>
    <w:rsid w:val="1C1147C7"/>
    <w:rsid w:val="1C185064"/>
    <w:rsid w:val="1C1D229C"/>
    <w:rsid w:val="1C2D3251"/>
    <w:rsid w:val="1C2E1720"/>
    <w:rsid w:val="1C372232"/>
    <w:rsid w:val="1C395ACC"/>
    <w:rsid w:val="1C3E1442"/>
    <w:rsid w:val="1C5172BA"/>
    <w:rsid w:val="1C5A43C0"/>
    <w:rsid w:val="1C5A662F"/>
    <w:rsid w:val="1C5B26D4"/>
    <w:rsid w:val="1C6B5A93"/>
    <w:rsid w:val="1C6E1C1A"/>
    <w:rsid w:val="1C6E39C8"/>
    <w:rsid w:val="1C6F14EE"/>
    <w:rsid w:val="1C7374EC"/>
    <w:rsid w:val="1C795D56"/>
    <w:rsid w:val="1C7F38A8"/>
    <w:rsid w:val="1C8054A9"/>
    <w:rsid w:val="1C874A89"/>
    <w:rsid w:val="1C896A53"/>
    <w:rsid w:val="1C8C5BDA"/>
    <w:rsid w:val="1C964921"/>
    <w:rsid w:val="1C98574F"/>
    <w:rsid w:val="1C9A2A0F"/>
    <w:rsid w:val="1CA27B15"/>
    <w:rsid w:val="1CA349D8"/>
    <w:rsid w:val="1CA44A0F"/>
    <w:rsid w:val="1CA57546"/>
    <w:rsid w:val="1CA7624D"/>
    <w:rsid w:val="1CAC278B"/>
    <w:rsid w:val="1CB31F2E"/>
    <w:rsid w:val="1CB33AD0"/>
    <w:rsid w:val="1CB6711D"/>
    <w:rsid w:val="1CB87339"/>
    <w:rsid w:val="1CCE090A"/>
    <w:rsid w:val="1CCE55CE"/>
    <w:rsid w:val="1CD30500"/>
    <w:rsid w:val="1CD44217"/>
    <w:rsid w:val="1CD97661"/>
    <w:rsid w:val="1CDB5F1A"/>
    <w:rsid w:val="1CDE68F8"/>
    <w:rsid w:val="1CE209FF"/>
    <w:rsid w:val="1CE41EDC"/>
    <w:rsid w:val="1CE86939"/>
    <w:rsid w:val="1CE91464"/>
    <w:rsid w:val="1CF65BB3"/>
    <w:rsid w:val="1CFF0AC4"/>
    <w:rsid w:val="1D091942"/>
    <w:rsid w:val="1D0E6F59"/>
    <w:rsid w:val="1D1159EF"/>
    <w:rsid w:val="1D155C59"/>
    <w:rsid w:val="1D1722B1"/>
    <w:rsid w:val="1D173605"/>
    <w:rsid w:val="1D1A2DEB"/>
    <w:rsid w:val="1D217971"/>
    <w:rsid w:val="1D232A04"/>
    <w:rsid w:val="1D24677C"/>
    <w:rsid w:val="1D3A1AFC"/>
    <w:rsid w:val="1D404914"/>
    <w:rsid w:val="1D41732E"/>
    <w:rsid w:val="1D474008"/>
    <w:rsid w:val="1D491D3F"/>
    <w:rsid w:val="1D516EC2"/>
    <w:rsid w:val="1D546E43"/>
    <w:rsid w:val="1D547061"/>
    <w:rsid w:val="1D63510B"/>
    <w:rsid w:val="1D6E394C"/>
    <w:rsid w:val="1D6E79F7"/>
    <w:rsid w:val="1D726C9E"/>
    <w:rsid w:val="1D731F3E"/>
    <w:rsid w:val="1D77245B"/>
    <w:rsid w:val="1D7C5820"/>
    <w:rsid w:val="1D875D3D"/>
    <w:rsid w:val="1D8A272E"/>
    <w:rsid w:val="1D8B323A"/>
    <w:rsid w:val="1D8B67FB"/>
    <w:rsid w:val="1D8B7CB0"/>
    <w:rsid w:val="1D905BC0"/>
    <w:rsid w:val="1D90796E"/>
    <w:rsid w:val="1D92603C"/>
    <w:rsid w:val="1D9936FF"/>
    <w:rsid w:val="1DA358F3"/>
    <w:rsid w:val="1DB95116"/>
    <w:rsid w:val="1DC209B2"/>
    <w:rsid w:val="1DC226F8"/>
    <w:rsid w:val="1DC42989"/>
    <w:rsid w:val="1DC615E1"/>
    <w:rsid w:val="1DCA2E80"/>
    <w:rsid w:val="1DCE5F4A"/>
    <w:rsid w:val="1DD002BB"/>
    <w:rsid w:val="1DD07E2A"/>
    <w:rsid w:val="1DD13E74"/>
    <w:rsid w:val="1DD169C8"/>
    <w:rsid w:val="1DD84EE2"/>
    <w:rsid w:val="1DDF4451"/>
    <w:rsid w:val="1DEB1799"/>
    <w:rsid w:val="1DED4189"/>
    <w:rsid w:val="1DF63C75"/>
    <w:rsid w:val="1DF779ED"/>
    <w:rsid w:val="1DFF1034"/>
    <w:rsid w:val="1E012619"/>
    <w:rsid w:val="1E026ABD"/>
    <w:rsid w:val="1E0A7AA1"/>
    <w:rsid w:val="1E0F2F88"/>
    <w:rsid w:val="1E157332"/>
    <w:rsid w:val="1E1578CC"/>
    <w:rsid w:val="1E2A6CC9"/>
    <w:rsid w:val="1E2C2671"/>
    <w:rsid w:val="1E357891"/>
    <w:rsid w:val="1E3A32FA"/>
    <w:rsid w:val="1E3E1644"/>
    <w:rsid w:val="1E411C9F"/>
    <w:rsid w:val="1E4855E4"/>
    <w:rsid w:val="1E4A0464"/>
    <w:rsid w:val="1E4A5D6E"/>
    <w:rsid w:val="1E4E3AB1"/>
    <w:rsid w:val="1E594203"/>
    <w:rsid w:val="1E5D1F46"/>
    <w:rsid w:val="1E635082"/>
    <w:rsid w:val="1E641526"/>
    <w:rsid w:val="1E6E5F01"/>
    <w:rsid w:val="1E7159F1"/>
    <w:rsid w:val="1E7828DC"/>
    <w:rsid w:val="1E85324A"/>
    <w:rsid w:val="1E854FF8"/>
    <w:rsid w:val="1E8A260F"/>
    <w:rsid w:val="1E9752E4"/>
    <w:rsid w:val="1E9D5673"/>
    <w:rsid w:val="1E9F255E"/>
    <w:rsid w:val="1EA27958"/>
    <w:rsid w:val="1EAD1426"/>
    <w:rsid w:val="1EAE09F3"/>
    <w:rsid w:val="1EC65D3D"/>
    <w:rsid w:val="1ED50EC8"/>
    <w:rsid w:val="1ED85A70"/>
    <w:rsid w:val="1EDB2E6A"/>
    <w:rsid w:val="1EE410C4"/>
    <w:rsid w:val="1EEA1BDC"/>
    <w:rsid w:val="1EEE7042"/>
    <w:rsid w:val="1EEF2562"/>
    <w:rsid w:val="1EF108E0"/>
    <w:rsid w:val="1EF52B31"/>
    <w:rsid w:val="1EF96504"/>
    <w:rsid w:val="1EFA6E30"/>
    <w:rsid w:val="1EFB4D53"/>
    <w:rsid w:val="1F016D75"/>
    <w:rsid w:val="1F040613"/>
    <w:rsid w:val="1F057D44"/>
    <w:rsid w:val="1F0864D2"/>
    <w:rsid w:val="1F0D6E21"/>
    <w:rsid w:val="1F2D43FB"/>
    <w:rsid w:val="1F377D38"/>
    <w:rsid w:val="1F38650F"/>
    <w:rsid w:val="1F3B28A5"/>
    <w:rsid w:val="1F49071C"/>
    <w:rsid w:val="1F4D3D68"/>
    <w:rsid w:val="1F4E188E"/>
    <w:rsid w:val="1F4E4F69"/>
    <w:rsid w:val="1F501AAA"/>
    <w:rsid w:val="1F5350F7"/>
    <w:rsid w:val="1F542B18"/>
    <w:rsid w:val="1F5570C1"/>
    <w:rsid w:val="1F574BE7"/>
    <w:rsid w:val="1F5E41C7"/>
    <w:rsid w:val="1F5F3A9B"/>
    <w:rsid w:val="1F6560AB"/>
    <w:rsid w:val="1F66307C"/>
    <w:rsid w:val="1F672950"/>
    <w:rsid w:val="1F6A0EDC"/>
    <w:rsid w:val="1F721A21"/>
    <w:rsid w:val="1F777037"/>
    <w:rsid w:val="1F7C63FB"/>
    <w:rsid w:val="1F7E535A"/>
    <w:rsid w:val="1F822DD7"/>
    <w:rsid w:val="1F824636"/>
    <w:rsid w:val="1F83778A"/>
    <w:rsid w:val="1F854CFE"/>
    <w:rsid w:val="1F8B3B25"/>
    <w:rsid w:val="1F8D4148"/>
    <w:rsid w:val="1F8F2E9F"/>
    <w:rsid w:val="1F947BE9"/>
    <w:rsid w:val="1F9B4D2F"/>
    <w:rsid w:val="1FA16F8E"/>
    <w:rsid w:val="1FA34875"/>
    <w:rsid w:val="1FA52C60"/>
    <w:rsid w:val="1FA91757"/>
    <w:rsid w:val="1FAA10DB"/>
    <w:rsid w:val="1FAA740D"/>
    <w:rsid w:val="1FB42039"/>
    <w:rsid w:val="1FB55563"/>
    <w:rsid w:val="1FB90FA9"/>
    <w:rsid w:val="1FC102B2"/>
    <w:rsid w:val="1FC42F30"/>
    <w:rsid w:val="1FC942CA"/>
    <w:rsid w:val="1FCE05D4"/>
    <w:rsid w:val="1FCF0C21"/>
    <w:rsid w:val="1FD004F5"/>
    <w:rsid w:val="1FD11C26"/>
    <w:rsid w:val="1FD77EC1"/>
    <w:rsid w:val="1FDE72C2"/>
    <w:rsid w:val="1FE230BF"/>
    <w:rsid w:val="1FE3647B"/>
    <w:rsid w:val="1FE43FA1"/>
    <w:rsid w:val="1FE71E4B"/>
    <w:rsid w:val="1FF02946"/>
    <w:rsid w:val="1FF70178"/>
    <w:rsid w:val="2000702C"/>
    <w:rsid w:val="20012E81"/>
    <w:rsid w:val="20074BAA"/>
    <w:rsid w:val="200D1749"/>
    <w:rsid w:val="20140D2A"/>
    <w:rsid w:val="201C205F"/>
    <w:rsid w:val="201C23BA"/>
    <w:rsid w:val="202207D6"/>
    <w:rsid w:val="20250841"/>
    <w:rsid w:val="20272ED6"/>
    <w:rsid w:val="20364FC3"/>
    <w:rsid w:val="20383037"/>
    <w:rsid w:val="203C5A2F"/>
    <w:rsid w:val="20436F19"/>
    <w:rsid w:val="20450EE3"/>
    <w:rsid w:val="20501636"/>
    <w:rsid w:val="20564E9E"/>
    <w:rsid w:val="205B5784"/>
    <w:rsid w:val="205D4D5B"/>
    <w:rsid w:val="205D5A0E"/>
    <w:rsid w:val="206A6C1E"/>
    <w:rsid w:val="206D539E"/>
    <w:rsid w:val="20796DDF"/>
    <w:rsid w:val="207D067D"/>
    <w:rsid w:val="208475B2"/>
    <w:rsid w:val="20872B6B"/>
    <w:rsid w:val="20875058"/>
    <w:rsid w:val="2089408C"/>
    <w:rsid w:val="208E62DE"/>
    <w:rsid w:val="20937EA1"/>
    <w:rsid w:val="20982A5D"/>
    <w:rsid w:val="209B2E36"/>
    <w:rsid w:val="209C5D68"/>
    <w:rsid w:val="209D3062"/>
    <w:rsid w:val="20A21E92"/>
    <w:rsid w:val="20A23818"/>
    <w:rsid w:val="20A40BF9"/>
    <w:rsid w:val="20A976C4"/>
    <w:rsid w:val="20B0095E"/>
    <w:rsid w:val="20B10327"/>
    <w:rsid w:val="20BB73F7"/>
    <w:rsid w:val="20BF5249"/>
    <w:rsid w:val="20C57B64"/>
    <w:rsid w:val="20C95670"/>
    <w:rsid w:val="20CE0ED9"/>
    <w:rsid w:val="20CE1215"/>
    <w:rsid w:val="20D04DC7"/>
    <w:rsid w:val="20DD736E"/>
    <w:rsid w:val="20E00C0C"/>
    <w:rsid w:val="20EB645C"/>
    <w:rsid w:val="20EE3329"/>
    <w:rsid w:val="20F36B91"/>
    <w:rsid w:val="20F546B7"/>
    <w:rsid w:val="20FC150A"/>
    <w:rsid w:val="20FD207D"/>
    <w:rsid w:val="210272C6"/>
    <w:rsid w:val="21031F7F"/>
    <w:rsid w:val="210743EB"/>
    <w:rsid w:val="210C61A5"/>
    <w:rsid w:val="210E39CB"/>
    <w:rsid w:val="210F709E"/>
    <w:rsid w:val="21163895"/>
    <w:rsid w:val="21182154"/>
    <w:rsid w:val="211B4FFC"/>
    <w:rsid w:val="212619B5"/>
    <w:rsid w:val="212662BD"/>
    <w:rsid w:val="212E7BC9"/>
    <w:rsid w:val="212F3BC7"/>
    <w:rsid w:val="213845A4"/>
    <w:rsid w:val="213D1BBA"/>
    <w:rsid w:val="214B2529"/>
    <w:rsid w:val="215C133E"/>
    <w:rsid w:val="215D400B"/>
    <w:rsid w:val="21604D8C"/>
    <w:rsid w:val="216143B6"/>
    <w:rsid w:val="21661111"/>
    <w:rsid w:val="21731A80"/>
    <w:rsid w:val="2177266D"/>
    <w:rsid w:val="217A2E0F"/>
    <w:rsid w:val="21821CC3"/>
    <w:rsid w:val="21894E00"/>
    <w:rsid w:val="21966814"/>
    <w:rsid w:val="21970276"/>
    <w:rsid w:val="21975326"/>
    <w:rsid w:val="219E53EC"/>
    <w:rsid w:val="21A5108D"/>
    <w:rsid w:val="21A84B18"/>
    <w:rsid w:val="21B225A8"/>
    <w:rsid w:val="21B31E7D"/>
    <w:rsid w:val="21BB0D21"/>
    <w:rsid w:val="21BC3427"/>
    <w:rsid w:val="21BF0821"/>
    <w:rsid w:val="21CB366A"/>
    <w:rsid w:val="21CD1190"/>
    <w:rsid w:val="21CE1722"/>
    <w:rsid w:val="21D20555"/>
    <w:rsid w:val="21D249F9"/>
    <w:rsid w:val="21DB7281"/>
    <w:rsid w:val="21E14C3C"/>
    <w:rsid w:val="21E94A9C"/>
    <w:rsid w:val="21EF3B5B"/>
    <w:rsid w:val="21EF7359"/>
    <w:rsid w:val="21F61CA4"/>
    <w:rsid w:val="21FA1192"/>
    <w:rsid w:val="21FC004A"/>
    <w:rsid w:val="22056B7C"/>
    <w:rsid w:val="2206671E"/>
    <w:rsid w:val="220C184B"/>
    <w:rsid w:val="22122760"/>
    <w:rsid w:val="22205764"/>
    <w:rsid w:val="222067C1"/>
    <w:rsid w:val="2221328A"/>
    <w:rsid w:val="22291E36"/>
    <w:rsid w:val="222A0391"/>
    <w:rsid w:val="22305D17"/>
    <w:rsid w:val="22316FB5"/>
    <w:rsid w:val="223236E9"/>
    <w:rsid w:val="223940D2"/>
    <w:rsid w:val="2243626E"/>
    <w:rsid w:val="22437998"/>
    <w:rsid w:val="22447BB6"/>
    <w:rsid w:val="22460F43"/>
    <w:rsid w:val="224A27E1"/>
    <w:rsid w:val="224D407F"/>
    <w:rsid w:val="224E67EB"/>
    <w:rsid w:val="224F6049"/>
    <w:rsid w:val="22576CAC"/>
    <w:rsid w:val="2259265D"/>
    <w:rsid w:val="225A654F"/>
    <w:rsid w:val="226A13FA"/>
    <w:rsid w:val="22781CA7"/>
    <w:rsid w:val="22794E74"/>
    <w:rsid w:val="227D6ABB"/>
    <w:rsid w:val="22841880"/>
    <w:rsid w:val="22843107"/>
    <w:rsid w:val="228757E3"/>
    <w:rsid w:val="2287580B"/>
    <w:rsid w:val="228C3B00"/>
    <w:rsid w:val="229121BE"/>
    <w:rsid w:val="22944ACC"/>
    <w:rsid w:val="229758B4"/>
    <w:rsid w:val="229C4137"/>
    <w:rsid w:val="229D6DB5"/>
    <w:rsid w:val="229F4FBF"/>
    <w:rsid w:val="22A20A63"/>
    <w:rsid w:val="22A55C69"/>
    <w:rsid w:val="22A62DEC"/>
    <w:rsid w:val="22A8139A"/>
    <w:rsid w:val="22AE0FC2"/>
    <w:rsid w:val="22B37C5F"/>
    <w:rsid w:val="22B81E40"/>
    <w:rsid w:val="22BB36DF"/>
    <w:rsid w:val="22BC154C"/>
    <w:rsid w:val="22BC4CDF"/>
    <w:rsid w:val="22BE3B76"/>
    <w:rsid w:val="22C008CF"/>
    <w:rsid w:val="22C32859"/>
    <w:rsid w:val="22CF573D"/>
    <w:rsid w:val="22D2273E"/>
    <w:rsid w:val="22D327D6"/>
    <w:rsid w:val="22D4512B"/>
    <w:rsid w:val="22D46657"/>
    <w:rsid w:val="22D852CA"/>
    <w:rsid w:val="22E20C6B"/>
    <w:rsid w:val="22E566B8"/>
    <w:rsid w:val="22F32E79"/>
    <w:rsid w:val="22F64717"/>
    <w:rsid w:val="22FA403B"/>
    <w:rsid w:val="23045086"/>
    <w:rsid w:val="23144B9D"/>
    <w:rsid w:val="23146186"/>
    <w:rsid w:val="23166B67"/>
    <w:rsid w:val="2318643B"/>
    <w:rsid w:val="231F3C6E"/>
    <w:rsid w:val="23211E9B"/>
    <w:rsid w:val="23290648"/>
    <w:rsid w:val="232F52DA"/>
    <w:rsid w:val="23377EE9"/>
    <w:rsid w:val="2338088B"/>
    <w:rsid w:val="233B1EDD"/>
    <w:rsid w:val="23425BAE"/>
    <w:rsid w:val="23470588"/>
    <w:rsid w:val="234A2180"/>
    <w:rsid w:val="234C3721"/>
    <w:rsid w:val="235A3960"/>
    <w:rsid w:val="235D4796"/>
    <w:rsid w:val="235F516B"/>
    <w:rsid w:val="23741987"/>
    <w:rsid w:val="2379775D"/>
    <w:rsid w:val="237F64BA"/>
    <w:rsid w:val="237F7F33"/>
    <w:rsid w:val="23800C87"/>
    <w:rsid w:val="23863CED"/>
    <w:rsid w:val="23865A9B"/>
    <w:rsid w:val="23894582"/>
    <w:rsid w:val="239203A3"/>
    <w:rsid w:val="239535D6"/>
    <w:rsid w:val="2395722E"/>
    <w:rsid w:val="23982480"/>
    <w:rsid w:val="23A51795"/>
    <w:rsid w:val="23A824FA"/>
    <w:rsid w:val="23A979DB"/>
    <w:rsid w:val="23AA72D6"/>
    <w:rsid w:val="23B94968"/>
    <w:rsid w:val="23C60F97"/>
    <w:rsid w:val="23C70364"/>
    <w:rsid w:val="23CE0A2A"/>
    <w:rsid w:val="23CE155A"/>
    <w:rsid w:val="23D902C0"/>
    <w:rsid w:val="23DA1943"/>
    <w:rsid w:val="23E40A13"/>
    <w:rsid w:val="23E424F1"/>
    <w:rsid w:val="23FA7EA9"/>
    <w:rsid w:val="23FF4C85"/>
    <w:rsid w:val="24044C11"/>
    <w:rsid w:val="241319C3"/>
    <w:rsid w:val="241A2705"/>
    <w:rsid w:val="241C355F"/>
    <w:rsid w:val="241D3936"/>
    <w:rsid w:val="241E2177"/>
    <w:rsid w:val="242124C2"/>
    <w:rsid w:val="2426102C"/>
    <w:rsid w:val="243001BC"/>
    <w:rsid w:val="24374FE7"/>
    <w:rsid w:val="24380D21"/>
    <w:rsid w:val="243E6375"/>
    <w:rsid w:val="244A15F5"/>
    <w:rsid w:val="244A6AC8"/>
    <w:rsid w:val="24507718"/>
    <w:rsid w:val="24572F93"/>
    <w:rsid w:val="245E4322"/>
    <w:rsid w:val="24610080"/>
    <w:rsid w:val="24633CA7"/>
    <w:rsid w:val="24643F08"/>
    <w:rsid w:val="246456B0"/>
    <w:rsid w:val="24661428"/>
    <w:rsid w:val="246A0F18"/>
    <w:rsid w:val="246A716A"/>
    <w:rsid w:val="246D033E"/>
    <w:rsid w:val="246F1DB3"/>
    <w:rsid w:val="24771887"/>
    <w:rsid w:val="247B7F4F"/>
    <w:rsid w:val="24836427"/>
    <w:rsid w:val="248A5117"/>
    <w:rsid w:val="248D2CD5"/>
    <w:rsid w:val="249064A5"/>
    <w:rsid w:val="2492221D"/>
    <w:rsid w:val="24A55D34"/>
    <w:rsid w:val="24A7216D"/>
    <w:rsid w:val="24A85EE5"/>
    <w:rsid w:val="24AA3A0B"/>
    <w:rsid w:val="24B2466D"/>
    <w:rsid w:val="24B70755"/>
    <w:rsid w:val="24BB2087"/>
    <w:rsid w:val="24BB5C18"/>
    <w:rsid w:val="24BD2EC6"/>
    <w:rsid w:val="24C148B0"/>
    <w:rsid w:val="24C4230D"/>
    <w:rsid w:val="24C90335"/>
    <w:rsid w:val="24CE7073"/>
    <w:rsid w:val="24D70561"/>
    <w:rsid w:val="24D726E1"/>
    <w:rsid w:val="24D77977"/>
    <w:rsid w:val="24D96B29"/>
    <w:rsid w:val="24DB3BC4"/>
    <w:rsid w:val="24EA02AB"/>
    <w:rsid w:val="24EE7D9B"/>
    <w:rsid w:val="24EF3AD2"/>
    <w:rsid w:val="24F8568F"/>
    <w:rsid w:val="24FA24CA"/>
    <w:rsid w:val="250046DC"/>
    <w:rsid w:val="250E5D48"/>
    <w:rsid w:val="25275F5D"/>
    <w:rsid w:val="25315EDA"/>
    <w:rsid w:val="25373F59"/>
    <w:rsid w:val="25387269"/>
    <w:rsid w:val="253908EB"/>
    <w:rsid w:val="253C09F6"/>
    <w:rsid w:val="253D487F"/>
    <w:rsid w:val="25403BA6"/>
    <w:rsid w:val="2540611D"/>
    <w:rsid w:val="254166FD"/>
    <w:rsid w:val="25440C67"/>
    <w:rsid w:val="25493224"/>
    <w:rsid w:val="255120D8"/>
    <w:rsid w:val="25587955"/>
    <w:rsid w:val="255E4DB7"/>
    <w:rsid w:val="25625787"/>
    <w:rsid w:val="257365F6"/>
    <w:rsid w:val="25737C44"/>
    <w:rsid w:val="25781582"/>
    <w:rsid w:val="257C53A7"/>
    <w:rsid w:val="25857F76"/>
    <w:rsid w:val="259721E1"/>
    <w:rsid w:val="25981DC3"/>
    <w:rsid w:val="25A8438F"/>
    <w:rsid w:val="25B20DC9"/>
    <w:rsid w:val="25B64B4F"/>
    <w:rsid w:val="25B763DF"/>
    <w:rsid w:val="25B85CB3"/>
    <w:rsid w:val="25C32FD6"/>
    <w:rsid w:val="25C40AFC"/>
    <w:rsid w:val="25CD5C03"/>
    <w:rsid w:val="25DF1492"/>
    <w:rsid w:val="25E10AB1"/>
    <w:rsid w:val="25EF3DCB"/>
    <w:rsid w:val="25FA0F4E"/>
    <w:rsid w:val="25FC0296"/>
    <w:rsid w:val="25FD51A5"/>
    <w:rsid w:val="25FD7B6A"/>
    <w:rsid w:val="25FF31E2"/>
    <w:rsid w:val="260035EA"/>
    <w:rsid w:val="26011403"/>
    <w:rsid w:val="26093BFA"/>
    <w:rsid w:val="260D4251"/>
    <w:rsid w:val="260E68BB"/>
    <w:rsid w:val="26143832"/>
    <w:rsid w:val="261853E0"/>
    <w:rsid w:val="261A696E"/>
    <w:rsid w:val="261C6242"/>
    <w:rsid w:val="26212DFA"/>
    <w:rsid w:val="26235823"/>
    <w:rsid w:val="26321F0A"/>
    <w:rsid w:val="26375498"/>
    <w:rsid w:val="26396DF4"/>
    <w:rsid w:val="26417309"/>
    <w:rsid w:val="264762A4"/>
    <w:rsid w:val="264D28A0"/>
    <w:rsid w:val="264F6618"/>
    <w:rsid w:val="26593CB2"/>
    <w:rsid w:val="266166CB"/>
    <w:rsid w:val="26632793"/>
    <w:rsid w:val="26695200"/>
    <w:rsid w:val="26795443"/>
    <w:rsid w:val="267966F4"/>
    <w:rsid w:val="267A6CFE"/>
    <w:rsid w:val="267E0CAB"/>
    <w:rsid w:val="267E6EFD"/>
    <w:rsid w:val="26863A66"/>
    <w:rsid w:val="26866FF3"/>
    <w:rsid w:val="26871A55"/>
    <w:rsid w:val="26924568"/>
    <w:rsid w:val="26954A04"/>
    <w:rsid w:val="26973678"/>
    <w:rsid w:val="26997893"/>
    <w:rsid w:val="269C72CD"/>
    <w:rsid w:val="269C76CF"/>
    <w:rsid w:val="269F0C21"/>
    <w:rsid w:val="26A12BEB"/>
    <w:rsid w:val="26A16895"/>
    <w:rsid w:val="26AA5E57"/>
    <w:rsid w:val="26AB75C6"/>
    <w:rsid w:val="26B446CD"/>
    <w:rsid w:val="26B50445"/>
    <w:rsid w:val="26B66697"/>
    <w:rsid w:val="26B80661"/>
    <w:rsid w:val="26B81871"/>
    <w:rsid w:val="26BE72FA"/>
    <w:rsid w:val="26C012C4"/>
    <w:rsid w:val="26C03072"/>
    <w:rsid w:val="26C27929"/>
    <w:rsid w:val="26C32B62"/>
    <w:rsid w:val="26C54B2C"/>
    <w:rsid w:val="26C8461C"/>
    <w:rsid w:val="26CD578F"/>
    <w:rsid w:val="26CE1878"/>
    <w:rsid w:val="26D20FF7"/>
    <w:rsid w:val="26D279B9"/>
    <w:rsid w:val="26D905D7"/>
    <w:rsid w:val="26DF308A"/>
    <w:rsid w:val="26FB1AF9"/>
    <w:rsid w:val="26FD2518"/>
    <w:rsid w:val="27027B2E"/>
    <w:rsid w:val="270301EC"/>
    <w:rsid w:val="27082C6B"/>
    <w:rsid w:val="27090EBD"/>
    <w:rsid w:val="270F283C"/>
    <w:rsid w:val="270F5DA7"/>
    <w:rsid w:val="270F6835"/>
    <w:rsid w:val="271332B9"/>
    <w:rsid w:val="27167136"/>
    <w:rsid w:val="271A15CE"/>
    <w:rsid w:val="271B57B3"/>
    <w:rsid w:val="27207FB4"/>
    <w:rsid w:val="27223028"/>
    <w:rsid w:val="272F0BAC"/>
    <w:rsid w:val="2730646F"/>
    <w:rsid w:val="27321449"/>
    <w:rsid w:val="27330481"/>
    <w:rsid w:val="273F34FD"/>
    <w:rsid w:val="27455C6D"/>
    <w:rsid w:val="27457A1B"/>
    <w:rsid w:val="274C0DA9"/>
    <w:rsid w:val="27624129"/>
    <w:rsid w:val="27627F3C"/>
    <w:rsid w:val="27632402"/>
    <w:rsid w:val="27663842"/>
    <w:rsid w:val="276B56D3"/>
    <w:rsid w:val="276E05E5"/>
    <w:rsid w:val="277B1CC4"/>
    <w:rsid w:val="27814EF7"/>
    <w:rsid w:val="278C564A"/>
    <w:rsid w:val="278D3FC4"/>
    <w:rsid w:val="278F0C96"/>
    <w:rsid w:val="279A76C9"/>
    <w:rsid w:val="279F35CF"/>
    <w:rsid w:val="27A41B13"/>
    <w:rsid w:val="27A94688"/>
    <w:rsid w:val="27B150B0"/>
    <w:rsid w:val="27C14EC1"/>
    <w:rsid w:val="27C5746D"/>
    <w:rsid w:val="27C844E7"/>
    <w:rsid w:val="27D6468E"/>
    <w:rsid w:val="27D658C8"/>
    <w:rsid w:val="27EA7343"/>
    <w:rsid w:val="27EB05C2"/>
    <w:rsid w:val="27EC2112"/>
    <w:rsid w:val="27F05BD9"/>
    <w:rsid w:val="27F4153C"/>
    <w:rsid w:val="280451E0"/>
    <w:rsid w:val="280957EF"/>
    <w:rsid w:val="280E1C9D"/>
    <w:rsid w:val="28185F01"/>
    <w:rsid w:val="28295128"/>
    <w:rsid w:val="28302479"/>
    <w:rsid w:val="28331839"/>
    <w:rsid w:val="28332B11"/>
    <w:rsid w:val="2837663C"/>
    <w:rsid w:val="28433F5A"/>
    <w:rsid w:val="28461C9C"/>
    <w:rsid w:val="284952E9"/>
    <w:rsid w:val="284B0DBE"/>
    <w:rsid w:val="284C3C80"/>
    <w:rsid w:val="284D14F3"/>
    <w:rsid w:val="284E66BA"/>
    <w:rsid w:val="28500425"/>
    <w:rsid w:val="285A12A4"/>
    <w:rsid w:val="285A42EC"/>
    <w:rsid w:val="285C6660"/>
    <w:rsid w:val="285D0CF0"/>
    <w:rsid w:val="285D2B42"/>
    <w:rsid w:val="285E1D2D"/>
    <w:rsid w:val="28616AD6"/>
    <w:rsid w:val="286345FC"/>
    <w:rsid w:val="286C0DA2"/>
    <w:rsid w:val="286D7229"/>
    <w:rsid w:val="28751157"/>
    <w:rsid w:val="28751F6B"/>
    <w:rsid w:val="287B7B98"/>
    <w:rsid w:val="287C67B5"/>
    <w:rsid w:val="2881477F"/>
    <w:rsid w:val="288C1C33"/>
    <w:rsid w:val="289538E0"/>
    <w:rsid w:val="28990A03"/>
    <w:rsid w:val="28991DCC"/>
    <w:rsid w:val="289A5B44"/>
    <w:rsid w:val="289F5A4C"/>
    <w:rsid w:val="28A04AEF"/>
    <w:rsid w:val="28A33830"/>
    <w:rsid w:val="28AD76A5"/>
    <w:rsid w:val="28B27332"/>
    <w:rsid w:val="28B638D8"/>
    <w:rsid w:val="28BC15A4"/>
    <w:rsid w:val="28BE1833"/>
    <w:rsid w:val="28CA01D8"/>
    <w:rsid w:val="28CF7B4D"/>
    <w:rsid w:val="28E13773"/>
    <w:rsid w:val="28F11C08"/>
    <w:rsid w:val="28F95607"/>
    <w:rsid w:val="28FE4325"/>
    <w:rsid w:val="28FE47BC"/>
    <w:rsid w:val="29017971"/>
    <w:rsid w:val="29037B8D"/>
    <w:rsid w:val="29051210"/>
    <w:rsid w:val="290A2CCA"/>
    <w:rsid w:val="291049E0"/>
    <w:rsid w:val="29141DAF"/>
    <w:rsid w:val="29224911"/>
    <w:rsid w:val="29235D84"/>
    <w:rsid w:val="29254939"/>
    <w:rsid w:val="2929195A"/>
    <w:rsid w:val="292A4DB7"/>
    <w:rsid w:val="292C60A0"/>
    <w:rsid w:val="292E358E"/>
    <w:rsid w:val="29315318"/>
    <w:rsid w:val="293476E1"/>
    <w:rsid w:val="293B3A9C"/>
    <w:rsid w:val="293D425C"/>
    <w:rsid w:val="29400E7C"/>
    <w:rsid w:val="29466AFC"/>
    <w:rsid w:val="294768E3"/>
    <w:rsid w:val="294B07C6"/>
    <w:rsid w:val="294B1382"/>
    <w:rsid w:val="29527E52"/>
    <w:rsid w:val="2953641F"/>
    <w:rsid w:val="29567CBD"/>
    <w:rsid w:val="29583A35"/>
    <w:rsid w:val="2958588F"/>
    <w:rsid w:val="29636701"/>
    <w:rsid w:val="29673C78"/>
    <w:rsid w:val="296C5733"/>
    <w:rsid w:val="296D5007"/>
    <w:rsid w:val="296E64A3"/>
    <w:rsid w:val="29714AF7"/>
    <w:rsid w:val="297C7D5C"/>
    <w:rsid w:val="297D2078"/>
    <w:rsid w:val="297F7E4A"/>
    <w:rsid w:val="298505A2"/>
    <w:rsid w:val="298760C9"/>
    <w:rsid w:val="29883BEF"/>
    <w:rsid w:val="29883D69"/>
    <w:rsid w:val="29903D27"/>
    <w:rsid w:val="299145FA"/>
    <w:rsid w:val="29946A38"/>
    <w:rsid w:val="299658D4"/>
    <w:rsid w:val="299E1B3C"/>
    <w:rsid w:val="29A053DC"/>
    <w:rsid w:val="29AC3D81"/>
    <w:rsid w:val="29AC7F3D"/>
    <w:rsid w:val="29AE77D4"/>
    <w:rsid w:val="29B25A26"/>
    <w:rsid w:val="29B421DB"/>
    <w:rsid w:val="29B669AE"/>
    <w:rsid w:val="29B8177F"/>
    <w:rsid w:val="29BD2899"/>
    <w:rsid w:val="29C4731D"/>
    <w:rsid w:val="29C70BBB"/>
    <w:rsid w:val="29C7799A"/>
    <w:rsid w:val="29CB7E8A"/>
    <w:rsid w:val="29CD1FF0"/>
    <w:rsid w:val="29CD7DAE"/>
    <w:rsid w:val="29CE5AA6"/>
    <w:rsid w:val="29D62BAC"/>
    <w:rsid w:val="29DA08EE"/>
    <w:rsid w:val="29E654E5"/>
    <w:rsid w:val="29E7292D"/>
    <w:rsid w:val="29E73B85"/>
    <w:rsid w:val="29F70CAA"/>
    <w:rsid w:val="2A007C29"/>
    <w:rsid w:val="2A051388"/>
    <w:rsid w:val="2A122275"/>
    <w:rsid w:val="2A1E23B1"/>
    <w:rsid w:val="2A2127DE"/>
    <w:rsid w:val="2A240D5A"/>
    <w:rsid w:val="2A2D4EC2"/>
    <w:rsid w:val="2A2F3707"/>
    <w:rsid w:val="2A320B71"/>
    <w:rsid w:val="2A340595"/>
    <w:rsid w:val="2A3A76D6"/>
    <w:rsid w:val="2A3D2C2B"/>
    <w:rsid w:val="2A41271B"/>
    <w:rsid w:val="2A48273F"/>
    <w:rsid w:val="2A4C5F53"/>
    <w:rsid w:val="2A4E56F6"/>
    <w:rsid w:val="2A500BB0"/>
    <w:rsid w:val="2A522B7B"/>
    <w:rsid w:val="2A565C8A"/>
    <w:rsid w:val="2A574095"/>
    <w:rsid w:val="2A59197A"/>
    <w:rsid w:val="2A5A558B"/>
    <w:rsid w:val="2A5C1303"/>
    <w:rsid w:val="2A673431"/>
    <w:rsid w:val="2A691C72"/>
    <w:rsid w:val="2A6D00CD"/>
    <w:rsid w:val="2A703001"/>
    <w:rsid w:val="2A764F30"/>
    <w:rsid w:val="2A774B17"/>
    <w:rsid w:val="2A794BDC"/>
    <w:rsid w:val="2A7D3E92"/>
    <w:rsid w:val="2A942B53"/>
    <w:rsid w:val="2A9A476C"/>
    <w:rsid w:val="2A9F7649"/>
    <w:rsid w:val="2AA45BBA"/>
    <w:rsid w:val="2AA9206F"/>
    <w:rsid w:val="2AAE58D7"/>
    <w:rsid w:val="2AB0164F"/>
    <w:rsid w:val="2AB13460"/>
    <w:rsid w:val="2AB23619"/>
    <w:rsid w:val="2ABC4C13"/>
    <w:rsid w:val="2AD4533E"/>
    <w:rsid w:val="2AD90B3D"/>
    <w:rsid w:val="2AE15DDA"/>
    <w:rsid w:val="2AEA746D"/>
    <w:rsid w:val="2AED13E5"/>
    <w:rsid w:val="2AFD5863"/>
    <w:rsid w:val="2AFE23BA"/>
    <w:rsid w:val="2B025F75"/>
    <w:rsid w:val="2B035C23"/>
    <w:rsid w:val="2B064889"/>
    <w:rsid w:val="2B074261"/>
    <w:rsid w:val="2B0960B1"/>
    <w:rsid w:val="2B0A0D5F"/>
    <w:rsid w:val="2B0D0850"/>
    <w:rsid w:val="2B14398C"/>
    <w:rsid w:val="2B151B38"/>
    <w:rsid w:val="2B157704"/>
    <w:rsid w:val="2B18178B"/>
    <w:rsid w:val="2B1F79CF"/>
    <w:rsid w:val="2B233750"/>
    <w:rsid w:val="2B255B99"/>
    <w:rsid w:val="2B297199"/>
    <w:rsid w:val="2B2F3843"/>
    <w:rsid w:val="2B306760"/>
    <w:rsid w:val="2B345DDC"/>
    <w:rsid w:val="2B3519D7"/>
    <w:rsid w:val="2B354D70"/>
    <w:rsid w:val="2B430C36"/>
    <w:rsid w:val="2B4439E4"/>
    <w:rsid w:val="2B4871B2"/>
    <w:rsid w:val="2B494120"/>
    <w:rsid w:val="2B5303E2"/>
    <w:rsid w:val="2B581A4D"/>
    <w:rsid w:val="2B5879E6"/>
    <w:rsid w:val="2B5B5A5F"/>
    <w:rsid w:val="2B5C0192"/>
    <w:rsid w:val="2B5D1E33"/>
    <w:rsid w:val="2B7249B3"/>
    <w:rsid w:val="2B830B12"/>
    <w:rsid w:val="2B8D3B3F"/>
    <w:rsid w:val="2B944ACD"/>
    <w:rsid w:val="2B973DFF"/>
    <w:rsid w:val="2BA42EFC"/>
    <w:rsid w:val="2BA724C3"/>
    <w:rsid w:val="2BAD5B8F"/>
    <w:rsid w:val="2BAD70BA"/>
    <w:rsid w:val="2BB331A5"/>
    <w:rsid w:val="2BC213B4"/>
    <w:rsid w:val="2BC522AB"/>
    <w:rsid w:val="2BCE7FDF"/>
    <w:rsid w:val="2BCF3D57"/>
    <w:rsid w:val="2BDD627F"/>
    <w:rsid w:val="2BE93F49"/>
    <w:rsid w:val="2BEC66B7"/>
    <w:rsid w:val="2BF17D12"/>
    <w:rsid w:val="2BF37A45"/>
    <w:rsid w:val="2BF64E5D"/>
    <w:rsid w:val="2BF65E06"/>
    <w:rsid w:val="2BFF63EA"/>
    <w:rsid w:val="2C0F65D9"/>
    <w:rsid w:val="2C146501"/>
    <w:rsid w:val="2C147DD0"/>
    <w:rsid w:val="2C1520B2"/>
    <w:rsid w:val="2C163779"/>
    <w:rsid w:val="2C1856FE"/>
    <w:rsid w:val="2C1A76C8"/>
    <w:rsid w:val="2C2C11A9"/>
    <w:rsid w:val="2C2C2F57"/>
    <w:rsid w:val="2C416A03"/>
    <w:rsid w:val="2C4C53A8"/>
    <w:rsid w:val="2C56537A"/>
    <w:rsid w:val="2C582BC1"/>
    <w:rsid w:val="2C5D5807"/>
    <w:rsid w:val="2C621A3E"/>
    <w:rsid w:val="2C624BCB"/>
    <w:rsid w:val="2C6426F1"/>
    <w:rsid w:val="2C6646BB"/>
    <w:rsid w:val="2C6D72E3"/>
    <w:rsid w:val="2C6E531E"/>
    <w:rsid w:val="2C7D37B3"/>
    <w:rsid w:val="2C7F752B"/>
    <w:rsid w:val="2C840FE5"/>
    <w:rsid w:val="2C9526AE"/>
    <w:rsid w:val="2C9F5E1F"/>
    <w:rsid w:val="2CA166ED"/>
    <w:rsid w:val="2CA2502C"/>
    <w:rsid w:val="2CA843D4"/>
    <w:rsid w:val="2CA927FA"/>
    <w:rsid w:val="2CAE1BBE"/>
    <w:rsid w:val="2CAF50FA"/>
    <w:rsid w:val="2CB24644"/>
    <w:rsid w:val="2CB27900"/>
    <w:rsid w:val="2CB27FC8"/>
    <w:rsid w:val="2CB52F4D"/>
    <w:rsid w:val="2CB90C8F"/>
    <w:rsid w:val="2CBC252D"/>
    <w:rsid w:val="2CC05AD6"/>
    <w:rsid w:val="2CC06187"/>
    <w:rsid w:val="2CC43802"/>
    <w:rsid w:val="2CC66F08"/>
    <w:rsid w:val="2CD05F99"/>
    <w:rsid w:val="2CD05FD9"/>
    <w:rsid w:val="2CD6737A"/>
    <w:rsid w:val="2CD70AF0"/>
    <w:rsid w:val="2CD930DF"/>
    <w:rsid w:val="2CDC497D"/>
    <w:rsid w:val="2CE8602F"/>
    <w:rsid w:val="2CED0939"/>
    <w:rsid w:val="2CEF7EAE"/>
    <w:rsid w:val="2CF03402"/>
    <w:rsid w:val="2CF717B7"/>
    <w:rsid w:val="2CFA2016"/>
    <w:rsid w:val="2D067C4C"/>
    <w:rsid w:val="2D080E22"/>
    <w:rsid w:val="2D0B0DBF"/>
    <w:rsid w:val="2D0D7949"/>
    <w:rsid w:val="2D0D7AEF"/>
    <w:rsid w:val="2D11757D"/>
    <w:rsid w:val="2D1549EB"/>
    <w:rsid w:val="2D154D49"/>
    <w:rsid w:val="2D177C88"/>
    <w:rsid w:val="2D2022B6"/>
    <w:rsid w:val="2D2325AC"/>
    <w:rsid w:val="2D252240"/>
    <w:rsid w:val="2D265BF9"/>
    <w:rsid w:val="2D2C0B84"/>
    <w:rsid w:val="2D320A41"/>
    <w:rsid w:val="2D3227EF"/>
    <w:rsid w:val="2D354302"/>
    <w:rsid w:val="2D3622E0"/>
    <w:rsid w:val="2D3660A8"/>
    <w:rsid w:val="2D3A0075"/>
    <w:rsid w:val="2D3B78F6"/>
    <w:rsid w:val="2D430559"/>
    <w:rsid w:val="2D4C5DD3"/>
    <w:rsid w:val="2D4D2446"/>
    <w:rsid w:val="2D4D459E"/>
    <w:rsid w:val="2D4F15F3"/>
    <w:rsid w:val="2D4F33A1"/>
    <w:rsid w:val="2D517119"/>
    <w:rsid w:val="2D666C7B"/>
    <w:rsid w:val="2D746964"/>
    <w:rsid w:val="2D797995"/>
    <w:rsid w:val="2D7A5D1E"/>
    <w:rsid w:val="2D7B5F44"/>
    <w:rsid w:val="2D7D07F5"/>
    <w:rsid w:val="2D8B68BF"/>
    <w:rsid w:val="2D8C1F00"/>
    <w:rsid w:val="2D8D268C"/>
    <w:rsid w:val="2D8D7A26"/>
    <w:rsid w:val="2D945258"/>
    <w:rsid w:val="2D946504"/>
    <w:rsid w:val="2D964D7E"/>
    <w:rsid w:val="2D974463"/>
    <w:rsid w:val="2DA4343C"/>
    <w:rsid w:val="2DA47167"/>
    <w:rsid w:val="2DB2017D"/>
    <w:rsid w:val="2DB651CE"/>
    <w:rsid w:val="2DB87198"/>
    <w:rsid w:val="2DBD6233"/>
    <w:rsid w:val="2DBF652D"/>
    <w:rsid w:val="2DC07DFB"/>
    <w:rsid w:val="2DC21717"/>
    <w:rsid w:val="2DC518B5"/>
    <w:rsid w:val="2DCA1EB6"/>
    <w:rsid w:val="2DCF44E2"/>
    <w:rsid w:val="2DD36BA9"/>
    <w:rsid w:val="2DDB4C35"/>
    <w:rsid w:val="2DE220D0"/>
    <w:rsid w:val="2DE35E0D"/>
    <w:rsid w:val="2DE55AB4"/>
    <w:rsid w:val="2DEA131C"/>
    <w:rsid w:val="2DEF644E"/>
    <w:rsid w:val="2DF05AA5"/>
    <w:rsid w:val="2DF14458"/>
    <w:rsid w:val="2DFD7ABA"/>
    <w:rsid w:val="2DFE26D1"/>
    <w:rsid w:val="2E04564F"/>
    <w:rsid w:val="2E1020EE"/>
    <w:rsid w:val="2E114AFB"/>
    <w:rsid w:val="2E141EF5"/>
    <w:rsid w:val="2E156DB7"/>
    <w:rsid w:val="2E1B39BF"/>
    <w:rsid w:val="2E1C7869"/>
    <w:rsid w:val="2E1C798A"/>
    <w:rsid w:val="2E20089A"/>
    <w:rsid w:val="2E3511E0"/>
    <w:rsid w:val="2E3600BD"/>
    <w:rsid w:val="2E385BE3"/>
    <w:rsid w:val="2E3C1B0D"/>
    <w:rsid w:val="2E3C43E6"/>
    <w:rsid w:val="2E3F5BCA"/>
    <w:rsid w:val="2E485F52"/>
    <w:rsid w:val="2E516CA5"/>
    <w:rsid w:val="2E5B7B24"/>
    <w:rsid w:val="2E5F7614"/>
    <w:rsid w:val="2E6764C9"/>
    <w:rsid w:val="2E6C7AB1"/>
    <w:rsid w:val="2E717347"/>
    <w:rsid w:val="2E73564E"/>
    <w:rsid w:val="2E7531BA"/>
    <w:rsid w:val="2E766A63"/>
    <w:rsid w:val="2E7C28D5"/>
    <w:rsid w:val="2E7C6000"/>
    <w:rsid w:val="2E7D7A9A"/>
    <w:rsid w:val="2E831506"/>
    <w:rsid w:val="2E892F0A"/>
    <w:rsid w:val="2E89643F"/>
    <w:rsid w:val="2E8B0409"/>
    <w:rsid w:val="2E917388"/>
    <w:rsid w:val="2E9301B4"/>
    <w:rsid w:val="2E955A9E"/>
    <w:rsid w:val="2E982B26"/>
    <w:rsid w:val="2E9C2616"/>
    <w:rsid w:val="2EA03D9F"/>
    <w:rsid w:val="2EA3508F"/>
    <w:rsid w:val="2EB77450"/>
    <w:rsid w:val="2EBE25A4"/>
    <w:rsid w:val="2EC1207D"/>
    <w:rsid w:val="2EC260F4"/>
    <w:rsid w:val="2EC34625"/>
    <w:rsid w:val="2EC40CFB"/>
    <w:rsid w:val="2EC4442C"/>
    <w:rsid w:val="2EC66719"/>
    <w:rsid w:val="2EC8340B"/>
    <w:rsid w:val="2ECB4C8D"/>
    <w:rsid w:val="2ECE13F0"/>
    <w:rsid w:val="2ED71321"/>
    <w:rsid w:val="2EDA7CA6"/>
    <w:rsid w:val="2EDC2AD5"/>
    <w:rsid w:val="2EE55832"/>
    <w:rsid w:val="2EE8108A"/>
    <w:rsid w:val="2EE939AC"/>
    <w:rsid w:val="2EED69CE"/>
    <w:rsid w:val="2EEE2746"/>
    <w:rsid w:val="2EFC1307"/>
    <w:rsid w:val="2EFE4399"/>
    <w:rsid w:val="2EFE507F"/>
    <w:rsid w:val="2F000DF7"/>
    <w:rsid w:val="2F064473"/>
    <w:rsid w:val="2F075C84"/>
    <w:rsid w:val="2F0D0E1E"/>
    <w:rsid w:val="2F0E001D"/>
    <w:rsid w:val="2F0F2DE8"/>
    <w:rsid w:val="2F114F7B"/>
    <w:rsid w:val="2F1D7458"/>
    <w:rsid w:val="2F204FF5"/>
    <w:rsid w:val="2F260132"/>
    <w:rsid w:val="2F2B74F6"/>
    <w:rsid w:val="2F2D3FCC"/>
    <w:rsid w:val="2F2F62EC"/>
    <w:rsid w:val="2F30059B"/>
    <w:rsid w:val="2F34284F"/>
    <w:rsid w:val="2F354802"/>
    <w:rsid w:val="2F3E547B"/>
    <w:rsid w:val="2F454629"/>
    <w:rsid w:val="2F4830D6"/>
    <w:rsid w:val="2F4D5B10"/>
    <w:rsid w:val="2F522CD5"/>
    <w:rsid w:val="2F594063"/>
    <w:rsid w:val="2F617278"/>
    <w:rsid w:val="2F635EC6"/>
    <w:rsid w:val="2F650FD7"/>
    <w:rsid w:val="2F6D6CD3"/>
    <w:rsid w:val="2F6E4FDA"/>
    <w:rsid w:val="2F6E6EE5"/>
    <w:rsid w:val="2F7470EF"/>
    <w:rsid w:val="2F7A2AF5"/>
    <w:rsid w:val="2F7C31E7"/>
    <w:rsid w:val="2F807842"/>
    <w:rsid w:val="2F860BD0"/>
    <w:rsid w:val="2F8C268B"/>
    <w:rsid w:val="2F927575"/>
    <w:rsid w:val="2F9E7071"/>
    <w:rsid w:val="2FA4044D"/>
    <w:rsid w:val="2FA43828"/>
    <w:rsid w:val="2FA557EA"/>
    <w:rsid w:val="2FA572A9"/>
    <w:rsid w:val="2FA908CD"/>
    <w:rsid w:val="2FAE2776"/>
    <w:rsid w:val="2FBE036A"/>
    <w:rsid w:val="2FC20C89"/>
    <w:rsid w:val="2FC80370"/>
    <w:rsid w:val="2FCC57D1"/>
    <w:rsid w:val="2FCE023C"/>
    <w:rsid w:val="2FCE2084"/>
    <w:rsid w:val="2FCF4325"/>
    <w:rsid w:val="2FD02CA8"/>
    <w:rsid w:val="2FD54D35"/>
    <w:rsid w:val="2FDE27BA"/>
    <w:rsid w:val="2FE00960"/>
    <w:rsid w:val="2FE4261D"/>
    <w:rsid w:val="2FE84DAE"/>
    <w:rsid w:val="2FEA73B1"/>
    <w:rsid w:val="2FEF0B9D"/>
    <w:rsid w:val="2FF311A2"/>
    <w:rsid w:val="2FF344B8"/>
    <w:rsid w:val="2FFB1D36"/>
    <w:rsid w:val="2FFF78D1"/>
    <w:rsid w:val="301475AA"/>
    <w:rsid w:val="301635E9"/>
    <w:rsid w:val="301B5BF8"/>
    <w:rsid w:val="302769D4"/>
    <w:rsid w:val="30280897"/>
    <w:rsid w:val="302A5A00"/>
    <w:rsid w:val="30316D8E"/>
    <w:rsid w:val="30336797"/>
    <w:rsid w:val="303845C1"/>
    <w:rsid w:val="303B5E5F"/>
    <w:rsid w:val="3047472F"/>
    <w:rsid w:val="304A1E2B"/>
    <w:rsid w:val="304E08DD"/>
    <w:rsid w:val="305E2D47"/>
    <w:rsid w:val="305E56A9"/>
    <w:rsid w:val="30601421"/>
    <w:rsid w:val="30743D28"/>
    <w:rsid w:val="30756943"/>
    <w:rsid w:val="30781A0B"/>
    <w:rsid w:val="30803872"/>
    <w:rsid w:val="308A3ACC"/>
    <w:rsid w:val="309970A9"/>
    <w:rsid w:val="309C4B4F"/>
    <w:rsid w:val="309D189B"/>
    <w:rsid w:val="30A059BD"/>
    <w:rsid w:val="30A32DD3"/>
    <w:rsid w:val="30A72BF5"/>
    <w:rsid w:val="30AE4883"/>
    <w:rsid w:val="30B042E0"/>
    <w:rsid w:val="30BB662C"/>
    <w:rsid w:val="30BD0622"/>
    <w:rsid w:val="30CF01F2"/>
    <w:rsid w:val="30D40891"/>
    <w:rsid w:val="30DB76C4"/>
    <w:rsid w:val="30E17F8A"/>
    <w:rsid w:val="30E4156B"/>
    <w:rsid w:val="30E473F4"/>
    <w:rsid w:val="30E654C8"/>
    <w:rsid w:val="30E77829"/>
    <w:rsid w:val="30EC2209"/>
    <w:rsid w:val="30EE1123"/>
    <w:rsid w:val="30F52E26"/>
    <w:rsid w:val="30F61D90"/>
    <w:rsid w:val="30FA1876"/>
    <w:rsid w:val="31013767"/>
    <w:rsid w:val="3102072B"/>
    <w:rsid w:val="3106021B"/>
    <w:rsid w:val="3106646D"/>
    <w:rsid w:val="31091AB9"/>
    <w:rsid w:val="31093867"/>
    <w:rsid w:val="310C502A"/>
    <w:rsid w:val="310F625E"/>
    <w:rsid w:val="31140B8A"/>
    <w:rsid w:val="3115220C"/>
    <w:rsid w:val="311566B0"/>
    <w:rsid w:val="31194301"/>
    <w:rsid w:val="31197ABC"/>
    <w:rsid w:val="311A3CC6"/>
    <w:rsid w:val="312A0BE6"/>
    <w:rsid w:val="3141280B"/>
    <w:rsid w:val="314504CF"/>
    <w:rsid w:val="31501496"/>
    <w:rsid w:val="3158292C"/>
    <w:rsid w:val="31592A40"/>
    <w:rsid w:val="315F16D9"/>
    <w:rsid w:val="316136A3"/>
    <w:rsid w:val="31615451"/>
    <w:rsid w:val="316164CC"/>
    <w:rsid w:val="316C0E0A"/>
    <w:rsid w:val="316C126A"/>
    <w:rsid w:val="316E7B6E"/>
    <w:rsid w:val="317D6290"/>
    <w:rsid w:val="317E24A7"/>
    <w:rsid w:val="317E5B6A"/>
    <w:rsid w:val="31804BD6"/>
    <w:rsid w:val="31833619"/>
    <w:rsid w:val="3183559A"/>
    <w:rsid w:val="31886E82"/>
    <w:rsid w:val="318A32D9"/>
    <w:rsid w:val="319207DA"/>
    <w:rsid w:val="31973569"/>
    <w:rsid w:val="319B6BB5"/>
    <w:rsid w:val="319C525D"/>
    <w:rsid w:val="319D41AC"/>
    <w:rsid w:val="319D779D"/>
    <w:rsid w:val="319E48F7"/>
    <w:rsid w:val="319E7114"/>
    <w:rsid w:val="31A35A6A"/>
    <w:rsid w:val="31AB5E56"/>
    <w:rsid w:val="31AD0696"/>
    <w:rsid w:val="31B92093"/>
    <w:rsid w:val="31BF7FC8"/>
    <w:rsid w:val="31C61758"/>
    <w:rsid w:val="31C81974"/>
    <w:rsid w:val="31CC3212"/>
    <w:rsid w:val="31CC42B3"/>
    <w:rsid w:val="31D04385"/>
    <w:rsid w:val="31D200FD"/>
    <w:rsid w:val="31D81253"/>
    <w:rsid w:val="31DC3EF1"/>
    <w:rsid w:val="31E65869"/>
    <w:rsid w:val="31E7004C"/>
    <w:rsid w:val="31EA0CA0"/>
    <w:rsid w:val="31EC198F"/>
    <w:rsid w:val="31F03D53"/>
    <w:rsid w:val="31F30D78"/>
    <w:rsid w:val="31F6028F"/>
    <w:rsid w:val="31F95400"/>
    <w:rsid w:val="32052280"/>
    <w:rsid w:val="32052632"/>
    <w:rsid w:val="320648C8"/>
    <w:rsid w:val="3207249C"/>
    <w:rsid w:val="320C7AB3"/>
    <w:rsid w:val="320E382B"/>
    <w:rsid w:val="32144BB9"/>
    <w:rsid w:val="3218234D"/>
    <w:rsid w:val="321B0119"/>
    <w:rsid w:val="321F15E7"/>
    <w:rsid w:val="322137D4"/>
    <w:rsid w:val="32253B4D"/>
    <w:rsid w:val="322A6468"/>
    <w:rsid w:val="322C1F03"/>
    <w:rsid w:val="3234700A"/>
    <w:rsid w:val="32392B34"/>
    <w:rsid w:val="323A2380"/>
    <w:rsid w:val="32445A64"/>
    <w:rsid w:val="32454D73"/>
    <w:rsid w:val="32617DE2"/>
    <w:rsid w:val="326351F9"/>
    <w:rsid w:val="326802E6"/>
    <w:rsid w:val="327411B4"/>
    <w:rsid w:val="327D69D8"/>
    <w:rsid w:val="327F5C14"/>
    <w:rsid w:val="328118AD"/>
    <w:rsid w:val="32861203"/>
    <w:rsid w:val="32867865"/>
    <w:rsid w:val="3291620A"/>
    <w:rsid w:val="32A02478"/>
    <w:rsid w:val="32AF5386"/>
    <w:rsid w:val="32B1065A"/>
    <w:rsid w:val="32BA306B"/>
    <w:rsid w:val="32C5466B"/>
    <w:rsid w:val="32C7387E"/>
    <w:rsid w:val="32CB34CA"/>
    <w:rsid w:val="32CC0341"/>
    <w:rsid w:val="32CC7242"/>
    <w:rsid w:val="32D45A43"/>
    <w:rsid w:val="32DD16C9"/>
    <w:rsid w:val="32E076C4"/>
    <w:rsid w:val="32E12CEE"/>
    <w:rsid w:val="32F61951"/>
    <w:rsid w:val="32FC1ADC"/>
    <w:rsid w:val="33047DAD"/>
    <w:rsid w:val="330F1F13"/>
    <w:rsid w:val="330F4336"/>
    <w:rsid w:val="331A2BAA"/>
    <w:rsid w:val="331D35FA"/>
    <w:rsid w:val="331D7004"/>
    <w:rsid w:val="331F4232"/>
    <w:rsid w:val="332015F6"/>
    <w:rsid w:val="33231866"/>
    <w:rsid w:val="3324727F"/>
    <w:rsid w:val="33260700"/>
    <w:rsid w:val="332669F4"/>
    <w:rsid w:val="332B21BB"/>
    <w:rsid w:val="332C797B"/>
    <w:rsid w:val="33310924"/>
    <w:rsid w:val="333170A5"/>
    <w:rsid w:val="333472C1"/>
    <w:rsid w:val="334338DB"/>
    <w:rsid w:val="33460DA3"/>
    <w:rsid w:val="33466FF4"/>
    <w:rsid w:val="334679BC"/>
    <w:rsid w:val="33484B1B"/>
    <w:rsid w:val="334D611A"/>
    <w:rsid w:val="334E7C57"/>
    <w:rsid w:val="33590AD6"/>
    <w:rsid w:val="335A0AD0"/>
    <w:rsid w:val="335A65FC"/>
    <w:rsid w:val="335C4122"/>
    <w:rsid w:val="33607D79"/>
    <w:rsid w:val="336536F5"/>
    <w:rsid w:val="33705CBA"/>
    <w:rsid w:val="33742790"/>
    <w:rsid w:val="33754416"/>
    <w:rsid w:val="33776FAB"/>
    <w:rsid w:val="33780801"/>
    <w:rsid w:val="33802506"/>
    <w:rsid w:val="338106A2"/>
    <w:rsid w:val="338E144B"/>
    <w:rsid w:val="339156B2"/>
    <w:rsid w:val="339733AC"/>
    <w:rsid w:val="339A3A7E"/>
    <w:rsid w:val="339D1E7E"/>
    <w:rsid w:val="33A260B1"/>
    <w:rsid w:val="33A55380"/>
    <w:rsid w:val="33AA1331"/>
    <w:rsid w:val="33AC2668"/>
    <w:rsid w:val="33B026C0"/>
    <w:rsid w:val="33B10912"/>
    <w:rsid w:val="33C21248"/>
    <w:rsid w:val="33CA542A"/>
    <w:rsid w:val="33CB3284"/>
    <w:rsid w:val="33D2722B"/>
    <w:rsid w:val="33D61749"/>
    <w:rsid w:val="33D823D7"/>
    <w:rsid w:val="33DA1864"/>
    <w:rsid w:val="33DA3B9F"/>
    <w:rsid w:val="33E22FD7"/>
    <w:rsid w:val="33E32A95"/>
    <w:rsid w:val="34000F51"/>
    <w:rsid w:val="34034EE6"/>
    <w:rsid w:val="340D6371"/>
    <w:rsid w:val="340F3362"/>
    <w:rsid w:val="34102937"/>
    <w:rsid w:val="3414569F"/>
    <w:rsid w:val="341E1D1F"/>
    <w:rsid w:val="3421711A"/>
    <w:rsid w:val="342B1D46"/>
    <w:rsid w:val="342D5ABF"/>
    <w:rsid w:val="34376279"/>
    <w:rsid w:val="34430E13"/>
    <w:rsid w:val="34441786"/>
    <w:rsid w:val="344B658A"/>
    <w:rsid w:val="344D103F"/>
    <w:rsid w:val="34540DB5"/>
    <w:rsid w:val="3459697B"/>
    <w:rsid w:val="345D45F6"/>
    <w:rsid w:val="34627E5E"/>
    <w:rsid w:val="34670FD0"/>
    <w:rsid w:val="34692F9B"/>
    <w:rsid w:val="346D235F"/>
    <w:rsid w:val="34754B94"/>
    <w:rsid w:val="34757B91"/>
    <w:rsid w:val="34763909"/>
    <w:rsid w:val="34784F8C"/>
    <w:rsid w:val="347A1103"/>
    <w:rsid w:val="347D08BB"/>
    <w:rsid w:val="34814304"/>
    <w:rsid w:val="3482405C"/>
    <w:rsid w:val="34897199"/>
    <w:rsid w:val="348A2F11"/>
    <w:rsid w:val="348A35AD"/>
    <w:rsid w:val="348D41E3"/>
    <w:rsid w:val="34936269"/>
    <w:rsid w:val="34A4403F"/>
    <w:rsid w:val="34A572CA"/>
    <w:rsid w:val="34AB6505"/>
    <w:rsid w:val="34AC10D9"/>
    <w:rsid w:val="34C208FD"/>
    <w:rsid w:val="34C71F17"/>
    <w:rsid w:val="34C74165"/>
    <w:rsid w:val="34C93A39"/>
    <w:rsid w:val="34CB76EB"/>
    <w:rsid w:val="34CE2DFE"/>
    <w:rsid w:val="34D10B40"/>
    <w:rsid w:val="34D16D92"/>
    <w:rsid w:val="34D43C5C"/>
    <w:rsid w:val="34D66156"/>
    <w:rsid w:val="34D92E02"/>
    <w:rsid w:val="34DA0784"/>
    <w:rsid w:val="34DB0F65"/>
    <w:rsid w:val="34DB111B"/>
    <w:rsid w:val="34E3475B"/>
    <w:rsid w:val="34E853F1"/>
    <w:rsid w:val="34E93CA5"/>
    <w:rsid w:val="34F07218"/>
    <w:rsid w:val="34F37090"/>
    <w:rsid w:val="34F565DC"/>
    <w:rsid w:val="34F734C4"/>
    <w:rsid w:val="3502603E"/>
    <w:rsid w:val="35074561"/>
    <w:rsid w:val="350D20C0"/>
    <w:rsid w:val="350D601C"/>
    <w:rsid w:val="350E3B42"/>
    <w:rsid w:val="3510389D"/>
    <w:rsid w:val="35134CB4"/>
    <w:rsid w:val="35136C66"/>
    <w:rsid w:val="352B46F4"/>
    <w:rsid w:val="352C3FC8"/>
    <w:rsid w:val="352D4226"/>
    <w:rsid w:val="353115DE"/>
    <w:rsid w:val="35350474"/>
    <w:rsid w:val="353C06AF"/>
    <w:rsid w:val="353D35C3"/>
    <w:rsid w:val="353E4427"/>
    <w:rsid w:val="354013A3"/>
    <w:rsid w:val="35415CC5"/>
    <w:rsid w:val="35434F0A"/>
    <w:rsid w:val="354632DC"/>
    <w:rsid w:val="35482D4F"/>
    <w:rsid w:val="354A58C6"/>
    <w:rsid w:val="354C0AF6"/>
    <w:rsid w:val="35583984"/>
    <w:rsid w:val="355E1CD0"/>
    <w:rsid w:val="35633E8E"/>
    <w:rsid w:val="35647C06"/>
    <w:rsid w:val="35647F94"/>
    <w:rsid w:val="35814314"/>
    <w:rsid w:val="35832554"/>
    <w:rsid w:val="35887450"/>
    <w:rsid w:val="358B5C63"/>
    <w:rsid w:val="358E76D1"/>
    <w:rsid w:val="358F4611"/>
    <w:rsid w:val="358F5C9E"/>
    <w:rsid w:val="35906305"/>
    <w:rsid w:val="35956011"/>
    <w:rsid w:val="35957DBF"/>
    <w:rsid w:val="359B0C45"/>
    <w:rsid w:val="359C0B7C"/>
    <w:rsid w:val="35A52FD0"/>
    <w:rsid w:val="35A65B28"/>
    <w:rsid w:val="35A92213"/>
    <w:rsid w:val="35B63C87"/>
    <w:rsid w:val="35B90739"/>
    <w:rsid w:val="35B93AAE"/>
    <w:rsid w:val="35BA7826"/>
    <w:rsid w:val="35C16E06"/>
    <w:rsid w:val="35CD25DC"/>
    <w:rsid w:val="35D730B5"/>
    <w:rsid w:val="35DE0479"/>
    <w:rsid w:val="35E054DE"/>
    <w:rsid w:val="35E075FC"/>
    <w:rsid w:val="35E62CEC"/>
    <w:rsid w:val="35E834F2"/>
    <w:rsid w:val="35E84393"/>
    <w:rsid w:val="35E86141"/>
    <w:rsid w:val="35EF6E20"/>
    <w:rsid w:val="35F44AE6"/>
    <w:rsid w:val="35FD0857"/>
    <w:rsid w:val="35FE7713"/>
    <w:rsid w:val="360A60B7"/>
    <w:rsid w:val="360D5B24"/>
    <w:rsid w:val="360E02EB"/>
    <w:rsid w:val="36154A5C"/>
    <w:rsid w:val="36174C78"/>
    <w:rsid w:val="361B02C4"/>
    <w:rsid w:val="361F7187"/>
    <w:rsid w:val="36211B7F"/>
    <w:rsid w:val="36234419"/>
    <w:rsid w:val="362725AD"/>
    <w:rsid w:val="36272F86"/>
    <w:rsid w:val="362A49AB"/>
    <w:rsid w:val="362A633E"/>
    <w:rsid w:val="36303D59"/>
    <w:rsid w:val="36312800"/>
    <w:rsid w:val="36321AB2"/>
    <w:rsid w:val="363650FE"/>
    <w:rsid w:val="363718D7"/>
    <w:rsid w:val="363A29AF"/>
    <w:rsid w:val="36462E68"/>
    <w:rsid w:val="36495D61"/>
    <w:rsid w:val="364A37C6"/>
    <w:rsid w:val="364F0FC6"/>
    <w:rsid w:val="364F4412"/>
    <w:rsid w:val="36511F38"/>
    <w:rsid w:val="36516FE2"/>
    <w:rsid w:val="36551E6F"/>
    <w:rsid w:val="365C2355"/>
    <w:rsid w:val="365E4655"/>
    <w:rsid w:val="36633B6A"/>
    <w:rsid w:val="366E5548"/>
    <w:rsid w:val="36761506"/>
    <w:rsid w:val="36791156"/>
    <w:rsid w:val="36793B55"/>
    <w:rsid w:val="36807EA9"/>
    <w:rsid w:val="36824423"/>
    <w:rsid w:val="3687595A"/>
    <w:rsid w:val="368A71F8"/>
    <w:rsid w:val="368D6CE8"/>
    <w:rsid w:val="368D7E3C"/>
    <w:rsid w:val="368E3469"/>
    <w:rsid w:val="368E7FBA"/>
    <w:rsid w:val="36925830"/>
    <w:rsid w:val="369611D2"/>
    <w:rsid w:val="36A51A5A"/>
    <w:rsid w:val="36A55DE0"/>
    <w:rsid w:val="36A71B58"/>
    <w:rsid w:val="36A92127"/>
    <w:rsid w:val="36AB3596"/>
    <w:rsid w:val="36AC23CB"/>
    <w:rsid w:val="36B435BD"/>
    <w:rsid w:val="36B918AE"/>
    <w:rsid w:val="36C24BE4"/>
    <w:rsid w:val="36C721FA"/>
    <w:rsid w:val="36C9223C"/>
    <w:rsid w:val="36CA3A99"/>
    <w:rsid w:val="36D20604"/>
    <w:rsid w:val="36DB7A54"/>
    <w:rsid w:val="36E032BC"/>
    <w:rsid w:val="36E24609"/>
    <w:rsid w:val="36E66FBE"/>
    <w:rsid w:val="36EF06B1"/>
    <w:rsid w:val="36F26EEB"/>
    <w:rsid w:val="36F47B2C"/>
    <w:rsid w:val="36FB00F6"/>
    <w:rsid w:val="36FC6F0B"/>
    <w:rsid w:val="3701395E"/>
    <w:rsid w:val="370652F1"/>
    <w:rsid w:val="370945C1"/>
    <w:rsid w:val="370D32F4"/>
    <w:rsid w:val="370E159F"/>
    <w:rsid w:val="37101AA5"/>
    <w:rsid w:val="371245B0"/>
    <w:rsid w:val="371B6378"/>
    <w:rsid w:val="37215DAE"/>
    <w:rsid w:val="372633C5"/>
    <w:rsid w:val="37265173"/>
    <w:rsid w:val="372C4753"/>
    <w:rsid w:val="37346FF9"/>
    <w:rsid w:val="373B3F0A"/>
    <w:rsid w:val="373F6235"/>
    <w:rsid w:val="374266A9"/>
    <w:rsid w:val="37461371"/>
    <w:rsid w:val="374B2E2B"/>
    <w:rsid w:val="374C1FD5"/>
    <w:rsid w:val="374D3DB9"/>
    <w:rsid w:val="37541234"/>
    <w:rsid w:val="3756532C"/>
    <w:rsid w:val="3757101C"/>
    <w:rsid w:val="375A6BCB"/>
    <w:rsid w:val="375F2433"/>
    <w:rsid w:val="37661A13"/>
    <w:rsid w:val="3768578B"/>
    <w:rsid w:val="37700018"/>
    <w:rsid w:val="377326AB"/>
    <w:rsid w:val="377D1E2F"/>
    <w:rsid w:val="377D6D5D"/>
    <w:rsid w:val="37817D99"/>
    <w:rsid w:val="3796189E"/>
    <w:rsid w:val="379E73FF"/>
    <w:rsid w:val="379F4F25"/>
    <w:rsid w:val="37A23F14"/>
    <w:rsid w:val="37A91900"/>
    <w:rsid w:val="37A97B52"/>
    <w:rsid w:val="37AC111B"/>
    <w:rsid w:val="37AD0F3D"/>
    <w:rsid w:val="37AD18D0"/>
    <w:rsid w:val="37AD5764"/>
    <w:rsid w:val="37B0047A"/>
    <w:rsid w:val="37B13334"/>
    <w:rsid w:val="37B22EAA"/>
    <w:rsid w:val="37B81B43"/>
    <w:rsid w:val="37B931E9"/>
    <w:rsid w:val="37BA1D5F"/>
    <w:rsid w:val="37BC24C0"/>
    <w:rsid w:val="37C04B0C"/>
    <w:rsid w:val="37C55CE0"/>
    <w:rsid w:val="37CE1367"/>
    <w:rsid w:val="37DF5322"/>
    <w:rsid w:val="37E65261"/>
    <w:rsid w:val="37E82428"/>
    <w:rsid w:val="37F1257E"/>
    <w:rsid w:val="37F3710C"/>
    <w:rsid w:val="37F75D1F"/>
    <w:rsid w:val="37FC4126"/>
    <w:rsid w:val="37FF378F"/>
    <w:rsid w:val="38016C6B"/>
    <w:rsid w:val="3804054A"/>
    <w:rsid w:val="38062EBF"/>
    <w:rsid w:val="380B4329"/>
    <w:rsid w:val="380B4369"/>
    <w:rsid w:val="380C3D81"/>
    <w:rsid w:val="380D6333"/>
    <w:rsid w:val="3814146F"/>
    <w:rsid w:val="381521ED"/>
    <w:rsid w:val="381E789F"/>
    <w:rsid w:val="382316B2"/>
    <w:rsid w:val="382D42DF"/>
    <w:rsid w:val="38326908"/>
    <w:rsid w:val="383438BF"/>
    <w:rsid w:val="38351804"/>
    <w:rsid w:val="38353194"/>
    <w:rsid w:val="38372DA5"/>
    <w:rsid w:val="383B4C4E"/>
    <w:rsid w:val="383C4522"/>
    <w:rsid w:val="38461678"/>
    <w:rsid w:val="384977AD"/>
    <w:rsid w:val="384F4255"/>
    <w:rsid w:val="38541444"/>
    <w:rsid w:val="385921BC"/>
    <w:rsid w:val="385A7BF7"/>
    <w:rsid w:val="38612308"/>
    <w:rsid w:val="386C187C"/>
    <w:rsid w:val="386D0177"/>
    <w:rsid w:val="38712073"/>
    <w:rsid w:val="38726196"/>
    <w:rsid w:val="387A0B26"/>
    <w:rsid w:val="387A7DCA"/>
    <w:rsid w:val="388C7258"/>
    <w:rsid w:val="388E2BB0"/>
    <w:rsid w:val="388E5E57"/>
    <w:rsid w:val="38903BD0"/>
    <w:rsid w:val="38941CB4"/>
    <w:rsid w:val="38995E18"/>
    <w:rsid w:val="38B51DD9"/>
    <w:rsid w:val="38C06F01"/>
    <w:rsid w:val="38C25A61"/>
    <w:rsid w:val="38CA7D80"/>
    <w:rsid w:val="38D331C0"/>
    <w:rsid w:val="38D8249D"/>
    <w:rsid w:val="38DB1F8D"/>
    <w:rsid w:val="38DD5D05"/>
    <w:rsid w:val="38DE7207"/>
    <w:rsid w:val="38E66746"/>
    <w:rsid w:val="38E759A5"/>
    <w:rsid w:val="38EA6674"/>
    <w:rsid w:val="38EF191E"/>
    <w:rsid w:val="38F16B2D"/>
    <w:rsid w:val="38FE486E"/>
    <w:rsid w:val="39073D16"/>
    <w:rsid w:val="390C5DD5"/>
    <w:rsid w:val="390F1C37"/>
    <w:rsid w:val="390F4F04"/>
    <w:rsid w:val="391060DB"/>
    <w:rsid w:val="391159AF"/>
    <w:rsid w:val="3911775D"/>
    <w:rsid w:val="39195D59"/>
    <w:rsid w:val="392E35B6"/>
    <w:rsid w:val="392F615D"/>
    <w:rsid w:val="393671C3"/>
    <w:rsid w:val="39376789"/>
    <w:rsid w:val="393A4F06"/>
    <w:rsid w:val="393E2723"/>
    <w:rsid w:val="39416057"/>
    <w:rsid w:val="3942025E"/>
    <w:rsid w:val="39423B23"/>
    <w:rsid w:val="394C2E8B"/>
    <w:rsid w:val="39565AB7"/>
    <w:rsid w:val="39623ACD"/>
    <w:rsid w:val="39653E33"/>
    <w:rsid w:val="396B3311"/>
    <w:rsid w:val="396E4BAF"/>
    <w:rsid w:val="39700927"/>
    <w:rsid w:val="39730347"/>
    <w:rsid w:val="397368A1"/>
    <w:rsid w:val="39753A65"/>
    <w:rsid w:val="397550F9"/>
    <w:rsid w:val="39786867"/>
    <w:rsid w:val="39796290"/>
    <w:rsid w:val="397A161B"/>
    <w:rsid w:val="397B107A"/>
    <w:rsid w:val="397D1296"/>
    <w:rsid w:val="398038B2"/>
    <w:rsid w:val="3984249C"/>
    <w:rsid w:val="398B297E"/>
    <w:rsid w:val="398E0DAD"/>
    <w:rsid w:val="398E7B92"/>
    <w:rsid w:val="39962A55"/>
    <w:rsid w:val="39977178"/>
    <w:rsid w:val="399E64C8"/>
    <w:rsid w:val="399F745E"/>
    <w:rsid w:val="39A20CFD"/>
    <w:rsid w:val="39A44A75"/>
    <w:rsid w:val="39A55DD7"/>
    <w:rsid w:val="39A84565"/>
    <w:rsid w:val="39B12CEE"/>
    <w:rsid w:val="39B962BD"/>
    <w:rsid w:val="39D0586A"/>
    <w:rsid w:val="39D1466B"/>
    <w:rsid w:val="39D2513E"/>
    <w:rsid w:val="39D30EB6"/>
    <w:rsid w:val="39D8471E"/>
    <w:rsid w:val="39D864CC"/>
    <w:rsid w:val="39DA7BFD"/>
    <w:rsid w:val="39E26EF0"/>
    <w:rsid w:val="39EF238B"/>
    <w:rsid w:val="39F03816"/>
    <w:rsid w:val="39F350B4"/>
    <w:rsid w:val="39F95FE2"/>
    <w:rsid w:val="39FA4695"/>
    <w:rsid w:val="3A013C75"/>
    <w:rsid w:val="3A042E43"/>
    <w:rsid w:val="3A055DE6"/>
    <w:rsid w:val="3A06303A"/>
    <w:rsid w:val="3A07304D"/>
    <w:rsid w:val="3A082568"/>
    <w:rsid w:val="3A097B1C"/>
    <w:rsid w:val="3A105C66"/>
    <w:rsid w:val="3A1219DE"/>
    <w:rsid w:val="3A157EB6"/>
    <w:rsid w:val="3A1713DB"/>
    <w:rsid w:val="3A1A6593"/>
    <w:rsid w:val="3A1C0AAF"/>
    <w:rsid w:val="3A1D0426"/>
    <w:rsid w:val="3A211C22"/>
    <w:rsid w:val="3A225619"/>
    <w:rsid w:val="3A230F6F"/>
    <w:rsid w:val="3A2A615E"/>
    <w:rsid w:val="3A323E2F"/>
    <w:rsid w:val="3A361345"/>
    <w:rsid w:val="3A377697"/>
    <w:rsid w:val="3A400C37"/>
    <w:rsid w:val="3A437DEA"/>
    <w:rsid w:val="3A445910"/>
    <w:rsid w:val="3A4640C4"/>
    <w:rsid w:val="3A5913BB"/>
    <w:rsid w:val="3A5E6F63"/>
    <w:rsid w:val="3A6F6E31"/>
    <w:rsid w:val="3A742699"/>
    <w:rsid w:val="3A744447"/>
    <w:rsid w:val="3A7B3A28"/>
    <w:rsid w:val="3A9B0006"/>
    <w:rsid w:val="3A9F2EE4"/>
    <w:rsid w:val="3AA34100"/>
    <w:rsid w:val="3AA82343"/>
    <w:rsid w:val="3AAA276F"/>
    <w:rsid w:val="3AAB598F"/>
    <w:rsid w:val="3AAF1923"/>
    <w:rsid w:val="3AB02FA5"/>
    <w:rsid w:val="3AB42A96"/>
    <w:rsid w:val="3AB74334"/>
    <w:rsid w:val="3AC00FE2"/>
    <w:rsid w:val="3AC54CA3"/>
    <w:rsid w:val="3ACD1DA9"/>
    <w:rsid w:val="3ACF4566"/>
    <w:rsid w:val="3AD2116E"/>
    <w:rsid w:val="3ADB2718"/>
    <w:rsid w:val="3ADC001E"/>
    <w:rsid w:val="3ADC128A"/>
    <w:rsid w:val="3ADE3FB6"/>
    <w:rsid w:val="3AE07C38"/>
    <w:rsid w:val="3AE96BE3"/>
    <w:rsid w:val="3AED5FA8"/>
    <w:rsid w:val="3AEE41FA"/>
    <w:rsid w:val="3AF17846"/>
    <w:rsid w:val="3AF90C37"/>
    <w:rsid w:val="3AFE1F63"/>
    <w:rsid w:val="3B024FC6"/>
    <w:rsid w:val="3B03282C"/>
    <w:rsid w:val="3B057795"/>
    <w:rsid w:val="3B0865A7"/>
    <w:rsid w:val="3B0F6F00"/>
    <w:rsid w:val="3B1479D8"/>
    <w:rsid w:val="3B154EF2"/>
    <w:rsid w:val="3B1F7F60"/>
    <w:rsid w:val="3B250AAF"/>
    <w:rsid w:val="3B273268"/>
    <w:rsid w:val="3B307C20"/>
    <w:rsid w:val="3B31058A"/>
    <w:rsid w:val="3B31510A"/>
    <w:rsid w:val="3B3B04C6"/>
    <w:rsid w:val="3B3B31B7"/>
    <w:rsid w:val="3B3F280A"/>
    <w:rsid w:val="3B40257B"/>
    <w:rsid w:val="3B424545"/>
    <w:rsid w:val="3B4741AA"/>
    <w:rsid w:val="3B583D69"/>
    <w:rsid w:val="3B5953EB"/>
    <w:rsid w:val="3B5D312D"/>
    <w:rsid w:val="3B636C38"/>
    <w:rsid w:val="3B64626A"/>
    <w:rsid w:val="3B654124"/>
    <w:rsid w:val="3B675D5A"/>
    <w:rsid w:val="3B6E533A"/>
    <w:rsid w:val="3B7163FF"/>
    <w:rsid w:val="3B742225"/>
    <w:rsid w:val="3B787F67"/>
    <w:rsid w:val="3B7A2D05"/>
    <w:rsid w:val="3B8072CF"/>
    <w:rsid w:val="3B8826EA"/>
    <w:rsid w:val="3B95150F"/>
    <w:rsid w:val="3B954675"/>
    <w:rsid w:val="3B9B3F44"/>
    <w:rsid w:val="3BA1126C"/>
    <w:rsid w:val="3BAF6390"/>
    <w:rsid w:val="3BB32D4D"/>
    <w:rsid w:val="3BB768C4"/>
    <w:rsid w:val="3BB9317F"/>
    <w:rsid w:val="3BC136BC"/>
    <w:rsid w:val="3BC1546A"/>
    <w:rsid w:val="3BC31008"/>
    <w:rsid w:val="3BC92167"/>
    <w:rsid w:val="3BCB0097"/>
    <w:rsid w:val="3BCC3E0F"/>
    <w:rsid w:val="3BD827B4"/>
    <w:rsid w:val="3BDC04F6"/>
    <w:rsid w:val="3BDE43E2"/>
    <w:rsid w:val="3BDF3DFC"/>
    <w:rsid w:val="3BE23E8C"/>
    <w:rsid w:val="3BF21AC7"/>
    <w:rsid w:val="3BF35CBF"/>
    <w:rsid w:val="3BFD046C"/>
    <w:rsid w:val="3BFD0F98"/>
    <w:rsid w:val="3C041E94"/>
    <w:rsid w:val="3C08753D"/>
    <w:rsid w:val="3C0E61D6"/>
    <w:rsid w:val="3C125CC6"/>
    <w:rsid w:val="3C1812A5"/>
    <w:rsid w:val="3C236E6B"/>
    <w:rsid w:val="3C2758E2"/>
    <w:rsid w:val="3C2D10F4"/>
    <w:rsid w:val="3C2E4FB3"/>
    <w:rsid w:val="3C360E0C"/>
    <w:rsid w:val="3C3D6ABB"/>
    <w:rsid w:val="3C40459B"/>
    <w:rsid w:val="3C4509D8"/>
    <w:rsid w:val="3C461E13"/>
    <w:rsid w:val="3C65673D"/>
    <w:rsid w:val="3C6A5B02"/>
    <w:rsid w:val="3C6B1E6D"/>
    <w:rsid w:val="3C6B46A7"/>
    <w:rsid w:val="3C722C35"/>
    <w:rsid w:val="3C752ADF"/>
    <w:rsid w:val="3C7626F9"/>
    <w:rsid w:val="3C793F97"/>
    <w:rsid w:val="3C7C2278"/>
    <w:rsid w:val="3C88242C"/>
    <w:rsid w:val="3C905684"/>
    <w:rsid w:val="3C917532"/>
    <w:rsid w:val="3C925059"/>
    <w:rsid w:val="3C9506A5"/>
    <w:rsid w:val="3C97441D"/>
    <w:rsid w:val="3C983CE2"/>
    <w:rsid w:val="3C9A39AB"/>
    <w:rsid w:val="3CA022C2"/>
    <w:rsid w:val="3CA7037B"/>
    <w:rsid w:val="3CAD4941"/>
    <w:rsid w:val="3CB53D4F"/>
    <w:rsid w:val="3CBE26A7"/>
    <w:rsid w:val="3CC940AC"/>
    <w:rsid w:val="3CCA4CB8"/>
    <w:rsid w:val="3CD636B4"/>
    <w:rsid w:val="3CD70CBD"/>
    <w:rsid w:val="3CDB255C"/>
    <w:rsid w:val="3CEB2CC8"/>
    <w:rsid w:val="3CEB6517"/>
    <w:rsid w:val="3CEF0D1C"/>
    <w:rsid w:val="3CF2201D"/>
    <w:rsid w:val="3CF73821"/>
    <w:rsid w:val="3CF96982"/>
    <w:rsid w:val="3CFB701B"/>
    <w:rsid w:val="3CFC24D2"/>
    <w:rsid w:val="3D0221DE"/>
    <w:rsid w:val="3D0715B4"/>
    <w:rsid w:val="3D0C5CE5"/>
    <w:rsid w:val="3D0F66A9"/>
    <w:rsid w:val="3D115F7D"/>
    <w:rsid w:val="3D147C87"/>
    <w:rsid w:val="3D152858"/>
    <w:rsid w:val="3D22645B"/>
    <w:rsid w:val="3D232155"/>
    <w:rsid w:val="3D26056C"/>
    <w:rsid w:val="3D270F06"/>
    <w:rsid w:val="3D2959BD"/>
    <w:rsid w:val="3D2B2B6E"/>
    <w:rsid w:val="3D2E3D4E"/>
    <w:rsid w:val="3D2F4655"/>
    <w:rsid w:val="3D3659E4"/>
    <w:rsid w:val="3D3B0890"/>
    <w:rsid w:val="3D3D6D72"/>
    <w:rsid w:val="3D3E2AEA"/>
    <w:rsid w:val="3D3E3A49"/>
    <w:rsid w:val="3D4F2F4A"/>
    <w:rsid w:val="3D510A70"/>
    <w:rsid w:val="3D516CC2"/>
    <w:rsid w:val="3D5E6CD7"/>
    <w:rsid w:val="3D605157"/>
    <w:rsid w:val="3D6469F5"/>
    <w:rsid w:val="3D686EC5"/>
    <w:rsid w:val="3D71784F"/>
    <w:rsid w:val="3D7604D6"/>
    <w:rsid w:val="3D864BBD"/>
    <w:rsid w:val="3D8A3F82"/>
    <w:rsid w:val="3D8A5D30"/>
    <w:rsid w:val="3D8E03A8"/>
    <w:rsid w:val="3D915310"/>
    <w:rsid w:val="3D9231A7"/>
    <w:rsid w:val="3D9C7051"/>
    <w:rsid w:val="3D9E7AF3"/>
    <w:rsid w:val="3DAE5EC2"/>
    <w:rsid w:val="3DB1150E"/>
    <w:rsid w:val="3DB37034"/>
    <w:rsid w:val="3DB679C2"/>
    <w:rsid w:val="3DBA3548"/>
    <w:rsid w:val="3DBB238D"/>
    <w:rsid w:val="3DBD5B2A"/>
    <w:rsid w:val="3DC51E8B"/>
    <w:rsid w:val="3DC75B61"/>
    <w:rsid w:val="3DC82421"/>
    <w:rsid w:val="3DD07BE6"/>
    <w:rsid w:val="3DD750A6"/>
    <w:rsid w:val="3DDA4F31"/>
    <w:rsid w:val="3DDF42CD"/>
    <w:rsid w:val="3DE11DF4"/>
    <w:rsid w:val="3DE27F82"/>
    <w:rsid w:val="3DE30DA4"/>
    <w:rsid w:val="3DE47B36"/>
    <w:rsid w:val="3DEE1D95"/>
    <w:rsid w:val="3DF332A7"/>
    <w:rsid w:val="3DF34A2A"/>
    <w:rsid w:val="3DFC4651"/>
    <w:rsid w:val="3E046F06"/>
    <w:rsid w:val="3E082A7B"/>
    <w:rsid w:val="3E190F5B"/>
    <w:rsid w:val="3E1A70B4"/>
    <w:rsid w:val="3E1D5CE2"/>
    <w:rsid w:val="3E1F1FE5"/>
    <w:rsid w:val="3E1F291C"/>
    <w:rsid w:val="3E20246B"/>
    <w:rsid w:val="3E213BCC"/>
    <w:rsid w:val="3E330175"/>
    <w:rsid w:val="3E377C66"/>
    <w:rsid w:val="3E4203B8"/>
    <w:rsid w:val="3E530817"/>
    <w:rsid w:val="3E571C18"/>
    <w:rsid w:val="3E5E274F"/>
    <w:rsid w:val="3E611186"/>
    <w:rsid w:val="3E630A5B"/>
    <w:rsid w:val="3E660FFB"/>
    <w:rsid w:val="3E7231F1"/>
    <w:rsid w:val="3E742E82"/>
    <w:rsid w:val="3E751584"/>
    <w:rsid w:val="3E7F33BB"/>
    <w:rsid w:val="3E810DD1"/>
    <w:rsid w:val="3E88736E"/>
    <w:rsid w:val="3E895FE7"/>
    <w:rsid w:val="3E967F79"/>
    <w:rsid w:val="3E986179"/>
    <w:rsid w:val="3E9C5D1B"/>
    <w:rsid w:val="3EA846BF"/>
    <w:rsid w:val="3EB018F9"/>
    <w:rsid w:val="3EB77BA8"/>
    <w:rsid w:val="3EBB219A"/>
    <w:rsid w:val="3EBE68A5"/>
    <w:rsid w:val="3EBF5788"/>
    <w:rsid w:val="3EC80A9D"/>
    <w:rsid w:val="3EC86B10"/>
    <w:rsid w:val="3ECB1134"/>
    <w:rsid w:val="3ED04E43"/>
    <w:rsid w:val="3ED43706"/>
    <w:rsid w:val="3ED74FA5"/>
    <w:rsid w:val="3ED91FD9"/>
    <w:rsid w:val="3ED93241"/>
    <w:rsid w:val="3EDB2CE7"/>
    <w:rsid w:val="3EDE27D7"/>
    <w:rsid w:val="3EDF71CC"/>
    <w:rsid w:val="3EE33949"/>
    <w:rsid w:val="3EE53B65"/>
    <w:rsid w:val="3EE80F60"/>
    <w:rsid w:val="3EED47C8"/>
    <w:rsid w:val="3EF74FDF"/>
    <w:rsid w:val="3EFB1E0C"/>
    <w:rsid w:val="3EFB5137"/>
    <w:rsid w:val="3F04600C"/>
    <w:rsid w:val="3F0A0037"/>
    <w:rsid w:val="3F1F6C88"/>
    <w:rsid w:val="3F211072"/>
    <w:rsid w:val="3F256BA5"/>
    <w:rsid w:val="3F277CDA"/>
    <w:rsid w:val="3F280E88"/>
    <w:rsid w:val="3F292AAE"/>
    <w:rsid w:val="3F3246EE"/>
    <w:rsid w:val="3F400D9C"/>
    <w:rsid w:val="3F416569"/>
    <w:rsid w:val="3F4A7E6C"/>
    <w:rsid w:val="3F5628D1"/>
    <w:rsid w:val="3F650802"/>
    <w:rsid w:val="3F681962"/>
    <w:rsid w:val="3F6966FA"/>
    <w:rsid w:val="3F6C7DE3"/>
    <w:rsid w:val="3F6D1CBB"/>
    <w:rsid w:val="3F6D76B7"/>
    <w:rsid w:val="3F760C61"/>
    <w:rsid w:val="3F7A2E2A"/>
    <w:rsid w:val="3F7E3672"/>
    <w:rsid w:val="3F823162"/>
    <w:rsid w:val="3F9018A4"/>
    <w:rsid w:val="3F9F0A09"/>
    <w:rsid w:val="3FA43761"/>
    <w:rsid w:val="3FA550A3"/>
    <w:rsid w:val="3FAD7FFA"/>
    <w:rsid w:val="3FB91876"/>
    <w:rsid w:val="3FC4654D"/>
    <w:rsid w:val="3FC75019"/>
    <w:rsid w:val="3FD17C46"/>
    <w:rsid w:val="3FD414E4"/>
    <w:rsid w:val="3FDB58B3"/>
    <w:rsid w:val="3FDD65EB"/>
    <w:rsid w:val="3FDE2A5A"/>
    <w:rsid w:val="3FDF6807"/>
    <w:rsid w:val="3FE267E2"/>
    <w:rsid w:val="3FE456B9"/>
    <w:rsid w:val="3FE47979"/>
    <w:rsid w:val="3FE65119"/>
    <w:rsid w:val="3FEA3F00"/>
    <w:rsid w:val="3FF50E90"/>
    <w:rsid w:val="3FF90F79"/>
    <w:rsid w:val="3FFC1746"/>
    <w:rsid w:val="3FFC5FD6"/>
    <w:rsid w:val="40023439"/>
    <w:rsid w:val="400718BA"/>
    <w:rsid w:val="400B0137"/>
    <w:rsid w:val="401069C0"/>
    <w:rsid w:val="40161DAD"/>
    <w:rsid w:val="402266F3"/>
    <w:rsid w:val="4027308E"/>
    <w:rsid w:val="402C1C31"/>
    <w:rsid w:val="402F7B7E"/>
    <w:rsid w:val="403127A5"/>
    <w:rsid w:val="40354679"/>
    <w:rsid w:val="40373AE6"/>
    <w:rsid w:val="40393AC6"/>
    <w:rsid w:val="404B3E9C"/>
    <w:rsid w:val="404E573A"/>
    <w:rsid w:val="40503261"/>
    <w:rsid w:val="405168FA"/>
    <w:rsid w:val="4054721E"/>
    <w:rsid w:val="40567EA7"/>
    <w:rsid w:val="405E7C21"/>
    <w:rsid w:val="40603B38"/>
    <w:rsid w:val="40610FCA"/>
    <w:rsid w:val="40672358"/>
    <w:rsid w:val="407415D9"/>
    <w:rsid w:val="40797CAB"/>
    <w:rsid w:val="40845671"/>
    <w:rsid w:val="408D1DBF"/>
    <w:rsid w:val="408E3CF4"/>
    <w:rsid w:val="40925A75"/>
    <w:rsid w:val="4092778D"/>
    <w:rsid w:val="409F3682"/>
    <w:rsid w:val="40A235CA"/>
    <w:rsid w:val="40A404F6"/>
    <w:rsid w:val="40A86BF9"/>
    <w:rsid w:val="40AB0497"/>
    <w:rsid w:val="40B30254"/>
    <w:rsid w:val="40B82BB4"/>
    <w:rsid w:val="40B946F2"/>
    <w:rsid w:val="40BA1163"/>
    <w:rsid w:val="40BC26A4"/>
    <w:rsid w:val="40BF5232"/>
    <w:rsid w:val="40CB0300"/>
    <w:rsid w:val="40D26E9C"/>
    <w:rsid w:val="40D32BD9"/>
    <w:rsid w:val="40D52D3F"/>
    <w:rsid w:val="40D67910"/>
    <w:rsid w:val="40E37C31"/>
    <w:rsid w:val="40E439A9"/>
    <w:rsid w:val="40E57BF6"/>
    <w:rsid w:val="40E57EF7"/>
    <w:rsid w:val="40E816EB"/>
    <w:rsid w:val="40ED0AAF"/>
    <w:rsid w:val="40F022F7"/>
    <w:rsid w:val="40F2256A"/>
    <w:rsid w:val="40F36FEB"/>
    <w:rsid w:val="40F43EEE"/>
    <w:rsid w:val="40F7192E"/>
    <w:rsid w:val="40FC7022"/>
    <w:rsid w:val="40FE71FB"/>
    <w:rsid w:val="410C362B"/>
    <w:rsid w:val="410F10A8"/>
    <w:rsid w:val="41180544"/>
    <w:rsid w:val="41186B35"/>
    <w:rsid w:val="41200E85"/>
    <w:rsid w:val="41202308"/>
    <w:rsid w:val="41284EC6"/>
    <w:rsid w:val="4129126B"/>
    <w:rsid w:val="41344D68"/>
    <w:rsid w:val="41350BAE"/>
    <w:rsid w:val="41384420"/>
    <w:rsid w:val="413E39B5"/>
    <w:rsid w:val="413E73B1"/>
    <w:rsid w:val="41456B3D"/>
    <w:rsid w:val="414826DE"/>
    <w:rsid w:val="414C3A28"/>
    <w:rsid w:val="415435EE"/>
    <w:rsid w:val="41593174"/>
    <w:rsid w:val="41631AE6"/>
    <w:rsid w:val="41653A68"/>
    <w:rsid w:val="41656341"/>
    <w:rsid w:val="416C231C"/>
    <w:rsid w:val="41794D28"/>
    <w:rsid w:val="417B430D"/>
    <w:rsid w:val="417B437E"/>
    <w:rsid w:val="417D0188"/>
    <w:rsid w:val="417E3F5F"/>
    <w:rsid w:val="41870F04"/>
    <w:rsid w:val="41956DA5"/>
    <w:rsid w:val="41962EF5"/>
    <w:rsid w:val="419D0727"/>
    <w:rsid w:val="41AF4F73"/>
    <w:rsid w:val="41AF5295"/>
    <w:rsid w:val="41B24EE1"/>
    <w:rsid w:val="41B4781F"/>
    <w:rsid w:val="41B80BED"/>
    <w:rsid w:val="41BD0107"/>
    <w:rsid w:val="41BD4926"/>
    <w:rsid w:val="41BF069E"/>
    <w:rsid w:val="41BF2B6B"/>
    <w:rsid w:val="41C45CB4"/>
    <w:rsid w:val="41C95079"/>
    <w:rsid w:val="41CC4C07"/>
    <w:rsid w:val="41DA54D8"/>
    <w:rsid w:val="41DF2AEE"/>
    <w:rsid w:val="41DF63CA"/>
    <w:rsid w:val="41E50905"/>
    <w:rsid w:val="41E67BCD"/>
    <w:rsid w:val="41EA4FEF"/>
    <w:rsid w:val="41F076E2"/>
    <w:rsid w:val="41F36599"/>
    <w:rsid w:val="41F4630E"/>
    <w:rsid w:val="41F67E38"/>
    <w:rsid w:val="42010A4F"/>
    <w:rsid w:val="42035ED3"/>
    <w:rsid w:val="42062622"/>
    <w:rsid w:val="42067373"/>
    <w:rsid w:val="420A7A0D"/>
    <w:rsid w:val="42134546"/>
    <w:rsid w:val="4217446C"/>
    <w:rsid w:val="4226071D"/>
    <w:rsid w:val="42345025"/>
    <w:rsid w:val="42383FAC"/>
    <w:rsid w:val="42415557"/>
    <w:rsid w:val="42432E31"/>
    <w:rsid w:val="424350BF"/>
    <w:rsid w:val="4249440B"/>
    <w:rsid w:val="424C5CAA"/>
    <w:rsid w:val="424D03FA"/>
    <w:rsid w:val="424D7A44"/>
    <w:rsid w:val="424E5F17"/>
    <w:rsid w:val="42537038"/>
    <w:rsid w:val="42591DC6"/>
    <w:rsid w:val="425A52F8"/>
    <w:rsid w:val="425A6618"/>
    <w:rsid w:val="425B4C26"/>
    <w:rsid w:val="426A06B2"/>
    <w:rsid w:val="426B4382"/>
    <w:rsid w:val="426E07FB"/>
    <w:rsid w:val="42795C26"/>
    <w:rsid w:val="427A483A"/>
    <w:rsid w:val="427F3FCA"/>
    <w:rsid w:val="427F6E56"/>
    <w:rsid w:val="42894CF7"/>
    <w:rsid w:val="428B0580"/>
    <w:rsid w:val="428B1C8E"/>
    <w:rsid w:val="428B3A2F"/>
    <w:rsid w:val="428D254A"/>
    <w:rsid w:val="42905B96"/>
    <w:rsid w:val="42934A30"/>
    <w:rsid w:val="429531AD"/>
    <w:rsid w:val="42956E3C"/>
    <w:rsid w:val="42A15B7C"/>
    <w:rsid w:val="42A67168"/>
    <w:rsid w:val="42B53635"/>
    <w:rsid w:val="42C43A92"/>
    <w:rsid w:val="42C75618"/>
    <w:rsid w:val="42C8214B"/>
    <w:rsid w:val="42CC19E7"/>
    <w:rsid w:val="42D55C9F"/>
    <w:rsid w:val="42E61C5A"/>
    <w:rsid w:val="42E6622B"/>
    <w:rsid w:val="42F425C9"/>
    <w:rsid w:val="42F45C85"/>
    <w:rsid w:val="42F70756"/>
    <w:rsid w:val="42F8373B"/>
    <w:rsid w:val="42F870FB"/>
    <w:rsid w:val="42FA56BA"/>
    <w:rsid w:val="4304048E"/>
    <w:rsid w:val="430417B4"/>
    <w:rsid w:val="43056584"/>
    <w:rsid w:val="43097555"/>
    <w:rsid w:val="431344A2"/>
    <w:rsid w:val="431357B7"/>
    <w:rsid w:val="43144A19"/>
    <w:rsid w:val="431817B5"/>
    <w:rsid w:val="43186116"/>
    <w:rsid w:val="431B718F"/>
    <w:rsid w:val="431D5798"/>
    <w:rsid w:val="431D5917"/>
    <w:rsid w:val="431E6F00"/>
    <w:rsid w:val="432307B8"/>
    <w:rsid w:val="432602A9"/>
    <w:rsid w:val="432F53AF"/>
    <w:rsid w:val="43332923"/>
    <w:rsid w:val="433858A7"/>
    <w:rsid w:val="433B3538"/>
    <w:rsid w:val="433C187A"/>
    <w:rsid w:val="433F3223"/>
    <w:rsid w:val="43434EF5"/>
    <w:rsid w:val="43496D97"/>
    <w:rsid w:val="434B2440"/>
    <w:rsid w:val="434F5399"/>
    <w:rsid w:val="434F5A51"/>
    <w:rsid w:val="435051E9"/>
    <w:rsid w:val="4352109E"/>
    <w:rsid w:val="43543087"/>
    <w:rsid w:val="43555CE3"/>
    <w:rsid w:val="4358201B"/>
    <w:rsid w:val="436112E1"/>
    <w:rsid w:val="436C1A60"/>
    <w:rsid w:val="436C46BC"/>
    <w:rsid w:val="436D4A1C"/>
    <w:rsid w:val="437234EE"/>
    <w:rsid w:val="437349F7"/>
    <w:rsid w:val="43782899"/>
    <w:rsid w:val="437B23A2"/>
    <w:rsid w:val="437C49F9"/>
    <w:rsid w:val="43816C7D"/>
    <w:rsid w:val="438A6A89"/>
    <w:rsid w:val="438C45B0"/>
    <w:rsid w:val="439076D7"/>
    <w:rsid w:val="43961747"/>
    <w:rsid w:val="43993170"/>
    <w:rsid w:val="43996CCD"/>
    <w:rsid w:val="439B1412"/>
    <w:rsid w:val="439C587D"/>
    <w:rsid w:val="439E2C9F"/>
    <w:rsid w:val="43A03A2D"/>
    <w:rsid w:val="43AA2D8E"/>
    <w:rsid w:val="43B458B4"/>
    <w:rsid w:val="43B67B3E"/>
    <w:rsid w:val="43B835F7"/>
    <w:rsid w:val="43BE5B3B"/>
    <w:rsid w:val="43C51803"/>
    <w:rsid w:val="43C7119F"/>
    <w:rsid w:val="43C875B2"/>
    <w:rsid w:val="43C90702"/>
    <w:rsid w:val="43CA157C"/>
    <w:rsid w:val="43CE49E6"/>
    <w:rsid w:val="43DE596D"/>
    <w:rsid w:val="43E30974"/>
    <w:rsid w:val="43E30C8B"/>
    <w:rsid w:val="43E32187"/>
    <w:rsid w:val="43E94C15"/>
    <w:rsid w:val="43F45C41"/>
    <w:rsid w:val="44003433"/>
    <w:rsid w:val="44020066"/>
    <w:rsid w:val="44066D8C"/>
    <w:rsid w:val="44093E52"/>
    <w:rsid w:val="4409606A"/>
    <w:rsid w:val="440E3217"/>
    <w:rsid w:val="441974F0"/>
    <w:rsid w:val="442877BB"/>
    <w:rsid w:val="442C5D93"/>
    <w:rsid w:val="442F5587"/>
    <w:rsid w:val="44395CE5"/>
    <w:rsid w:val="443D58AA"/>
    <w:rsid w:val="44425299"/>
    <w:rsid w:val="444255B6"/>
    <w:rsid w:val="44427364"/>
    <w:rsid w:val="445350CD"/>
    <w:rsid w:val="445B4511"/>
    <w:rsid w:val="445C6678"/>
    <w:rsid w:val="446D1788"/>
    <w:rsid w:val="44796DB2"/>
    <w:rsid w:val="44815212"/>
    <w:rsid w:val="44867251"/>
    <w:rsid w:val="448A2C0E"/>
    <w:rsid w:val="449554F8"/>
    <w:rsid w:val="44965E8E"/>
    <w:rsid w:val="449E6E2C"/>
    <w:rsid w:val="44A771C7"/>
    <w:rsid w:val="44A8366B"/>
    <w:rsid w:val="44A91BD4"/>
    <w:rsid w:val="44AD0C81"/>
    <w:rsid w:val="44AF0EA1"/>
    <w:rsid w:val="44AF6670"/>
    <w:rsid w:val="44B244EA"/>
    <w:rsid w:val="44BF09B5"/>
    <w:rsid w:val="44BF6C07"/>
    <w:rsid w:val="44CA56F4"/>
    <w:rsid w:val="44CC2A01"/>
    <w:rsid w:val="44D17E48"/>
    <w:rsid w:val="44D37FBC"/>
    <w:rsid w:val="44D90BEE"/>
    <w:rsid w:val="44DC1567"/>
    <w:rsid w:val="44E62DB9"/>
    <w:rsid w:val="44EE129A"/>
    <w:rsid w:val="44EF2D17"/>
    <w:rsid w:val="44EF55BF"/>
    <w:rsid w:val="44FC5765"/>
    <w:rsid w:val="44FC728D"/>
    <w:rsid w:val="44FD240B"/>
    <w:rsid w:val="44FE772F"/>
    <w:rsid w:val="4504286C"/>
    <w:rsid w:val="45050ABD"/>
    <w:rsid w:val="450C780B"/>
    <w:rsid w:val="450D7972"/>
    <w:rsid w:val="451707F1"/>
    <w:rsid w:val="451F28F5"/>
    <w:rsid w:val="45214CF9"/>
    <w:rsid w:val="452D1DC2"/>
    <w:rsid w:val="452F20D5"/>
    <w:rsid w:val="45307CB3"/>
    <w:rsid w:val="453942C3"/>
    <w:rsid w:val="4539487A"/>
    <w:rsid w:val="453E640E"/>
    <w:rsid w:val="45401AF6"/>
    <w:rsid w:val="45554E75"/>
    <w:rsid w:val="45594965"/>
    <w:rsid w:val="455C6204"/>
    <w:rsid w:val="455D4CD0"/>
    <w:rsid w:val="45622F8E"/>
    <w:rsid w:val="456417D7"/>
    <w:rsid w:val="45674013"/>
    <w:rsid w:val="456C6AEE"/>
    <w:rsid w:val="456D0411"/>
    <w:rsid w:val="456F0168"/>
    <w:rsid w:val="45703A5D"/>
    <w:rsid w:val="45735CDC"/>
    <w:rsid w:val="45736087"/>
    <w:rsid w:val="4574179F"/>
    <w:rsid w:val="457C0654"/>
    <w:rsid w:val="45885EDD"/>
    <w:rsid w:val="45927F97"/>
    <w:rsid w:val="4594599D"/>
    <w:rsid w:val="459534C4"/>
    <w:rsid w:val="4598047D"/>
    <w:rsid w:val="45A9214C"/>
    <w:rsid w:val="45B24B87"/>
    <w:rsid w:val="45B3056C"/>
    <w:rsid w:val="45B47DEE"/>
    <w:rsid w:val="45BC4EF4"/>
    <w:rsid w:val="45C53DA9"/>
    <w:rsid w:val="45CD0EAF"/>
    <w:rsid w:val="45CD7101"/>
    <w:rsid w:val="45D264C6"/>
    <w:rsid w:val="45E306D3"/>
    <w:rsid w:val="45E618D3"/>
    <w:rsid w:val="45EF0E26"/>
    <w:rsid w:val="45F3762C"/>
    <w:rsid w:val="45FA0767"/>
    <w:rsid w:val="45FB2391"/>
    <w:rsid w:val="45FB3C6E"/>
    <w:rsid w:val="45FD5863"/>
    <w:rsid w:val="460C19D8"/>
    <w:rsid w:val="46113492"/>
    <w:rsid w:val="461A6E7F"/>
    <w:rsid w:val="461E170B"/>
    <w:rsid w:val="461E4800"/>
    <w:rsid w:val="461F45F4"/>
    <w:rsid w:val="46252D4D"/>
    <w:rsid w:val="46281F4A"/>
    <w:rsid w:val="4629409F"/>
    <w:rsid w:val="462D5E4B"/>
    <w:rsid w:val="46340F2E"/>
    <w:rsid w:val="463E447A"/>
    <w:rsid w:val="463F1DAD"/>
    <w:rsid w:val="4641744D"/>
    <w:rsid w:val="464460D8"/>
    <w:rsid w:val="46497656"/>
    <w:rsid w:val="464B4856"/>
    <w:rsid w:val="464C44CA"/>
    <w:rsid w:val="465B64BB"/>
    <w:rsid w:val="465F41FD"/>
    <w:rsid w:val="466E6F92"/>
    <w:rsid w:val="46717A8D"/>
    <w:rsid w:val="46761547"/>
    <w:rsid w:val="467716BD"/>
    <w:rsid w:val="46780E1B"/>
    <w:rsid w:val="46781EDC"/>
    <w:rsid w:val="46787986"/>
    <w:rsid w:val="46832011"/>
    <w:rsid w:val="46865483"/>
    <w:rsid w:val="4686657E"/>
    <w:rsid w:val="46911EDD"/>
    <w:rsid w:val="46916381"/>
    <w:rsid w:val="469519CD"/>
    <w:rsid w:val="46965C2B"/>
    <w:rsid w:val="469A32C4"/>
    <w:rsid w:val="46A00372"/>
    <w:rsid w:val="46A024F9"/>
    <w:rsid w:val="46A94C6E"/>
    <w:rsid w:val="46B14AA9"/>
    <w:rsid w:val="46B75DE7"/>
    <w:rsid w:val="46BA26A3"/>
    <w:rsid w:val="46BA3F93"/>
    <w:rsid w:val="46BD7176"/>
    <w:rsid w:val="46C2653A"/>
    <w:rsid w:val="46CB6E79"/>
    <w:rsid w:val="46CC0A1E"/>
    <w:rsid w:val="46CE3131"/>
    <w:rsid w:val="46D30747"/>
    <w:rsid w:val="46D56D36"/>
    <w:rsid w:val="46E110B6"/>
    <w:rsid w:val="46EA78BA"/>
    <w:rsid w:val="46EB449C"/>
    <w:rsid w:val="46EE5581"/>
    <w:rsid w:val="46EF0FB8"/>
    <w:rsid w:val="46F747E2"/>
    <w:rsid w:val="46F767B4"/>
    <w:rsid w:val="46FA020A"/>
    <w:rsid w:val="46FA32C8"/>
    <w:rsid w:val="46FA5CD4"/>
    <w:rsid w:val="46FC37FA"/>
    <w:rsid w:val="46FD720E"/>
    <w:rsid w:val="46FF28A1"/>
    <w:rsid w:val="470152B5"/>
    <w:rsid w:val="47044500"/>
    <w:rsid w:val="4708382D"/>
    <w:rsid w:val="4727046D"/>
    <w:rsid w:val="47275A0C"/>
    <w:rsid w:val="473C62ED"/>
    <w:rsid w:val="473E02B7"/>
    <w:rsid w:val="473F292A"/>
    <w:rsid w:val="4742752D"/>
    <w:rsid w:val="474844A2"/>
    <w:rsid w:val="474A24E8"/>
    <w:rsid w:val="474B2149"/>
    <w:rsid w:val="474C2D57"/>
    <w:rsid w:val="474D22A8"/>
    <w:rsid w:val="474E2915"/>
    <w:rsid w:val="47520C63"/>
    <w:rsid w:val="47527EBA"/>
    <w:rsid w:val="4759672F"/>
    <w:rsid w:val="475A747A"/>
    <w:rsid w:val="475B0AB9"/>
    <w:rsid w:val="47622DCB"/>
    <w:rsid w:val="4777550E"/>
    <w:rsid w:val="47790EAE"/>
    <w:rsid w:val="477B5067"/>
    <w:rsid w:val="47995B37"/>
    <w:rsid w:val="47A61F91"/>
    <w:rsid w:val="47A84496"/>
    <w:rsid w:val="47AB0353"/>
    <w:rsid w:val="47AD2D46"/>
    <w:rsid w:val="47B04F4E"/>
    <w:rsid w:val="47BF72CF"/>
    <w:rsid w:val="47C137E2"/>
    <w:rsid w:val="47C31F95"/>
    <w:rsid w:val="47C3256A"/>
    <w:rsid w:val="47C54534"/>
    <w:rsid w:val="47CA56A6"/>
    <w:rsid w:val="47CC58C3"/>
    <w:rsid w:val="47DB3D58"/>
    <w:rsid w:val="47DC22FE"/>
    <w:rsid w:val="47E10C42"/>
    <w:rsid w:val="47E349BA"/>
    <w:rsid w:val="47E51FAA"/>
    <w:rsid w:val="47EA599B"/>
    <w:rsid w:val="47F07547"/>
    <w:rsid w:val="47F1305F"/>
    <w:rsid w:val="47F316A8"/>
    <w:rsid w:val="47F47DF4"/>
    <w:rsid w:val="47F778C9"/>
    <w:rsid w:val="480037BE"/>
    <w:rsid w:val="480078A2"/>
    <w:rsid w:val="480229D1"/>
    <w:rsid w:val="48071A78"/>
    <w:rsid w:val="48075F81"/>
    <w:rsid w:val="480B6991"/>
    <w:rsid w:val="480E1F9B"/>
    <w:rsid w:val="48104015"/>
    <w:rsid w:val="48131A1E"/>
    <w:rsid w:val="481570F1"/>
    <w:rsid w:val="48160954"/>
    <w:rsid w:val="481C1C7A"/>
    <w:rsid w:val="481C5CFF"/>
    <w:rsid w:val="481C5D8A"/>
    <w:rsid w:val="48244FC8"/>
    <w:rsid w:val="48256D81"/>
    <w:rsid w:val="4828256E"/>
    <w:rsid w:val="48307BF3"/>
    <w:rsid w:val="48396CD0"/>
    <w:rsid w:val="48403BBB"/>
    <w:rsid w:val="484233CA"/>
    <w:rsid w:val="48446840"/>
    <w:rsid w:val="4846593E"/>
    <w:rsid w:val="48474F49"/>
    <w:rsid w:val="48497720"/>
    <w:rsid w:val="485278B8"/>
    <w:rsid w:val="485C3E3F"/>
    <w:rsid w:val="4867383D"/>
    <w:rsid w:val="486C2C02"/>
    <w:rsid w:val="48735D3E"/>
    <w:rsid w:val="48757D08"/>
    <w:rsid w:val="487725D1"/>
    <w:rsid w:val="487F0414"/>
    <w:rsid w:val="487F0B87"/>
    <w:rsid w:val="48801094"/>
    <w:rsid w:val="4880278C"/>
    <w:rsid w:val="48831CF9"/>
    <w:rsid w:val="48846E06"/>
    <w:rsid w:val="488717E9"/>
    <w:rsid w:val="488C6E00"/>
    <w:rsid w:val="488E25F1"/>
    <w:rsid w:val="48935C5E"/>
    <w:rsid w:val="48964B8D"/>
    <w:rsid w:val="48A24ACF"/>
    <w:rsid w:val="48BA4783"/>
    <w:rsid w:val="48BC5937"/>
    <w:rsid w:val="48C04CFB"/>
    <w:rsid w:val="48C12614"/>
    <w:rsid w:val="48C7608A"/>
    <w:rsid w:val="48D200EF"/>
    <w:rsid w:val="48D569F9"/>
    <w:rsid w:val="48D97274"/>
    <w:rsid w:val="48DC6B38"/>
    <w:rsid w:val="48DD3AFF"/>
    <w:rsid w:val="48DE65EB"/>
    <w:rsid w:val="48DF5182"/>
    <w:rsid w:val="48E4263C"/>
    <w:rsid w:val="48E82D75"/>
    <w:rsid w:val="48F055E1"/>
    <w:rsid w:val="48F30B23"/>
    <w:rsid w:val="48F93616"/>
    <w:rsid w:val="49032876"/>
    <w:rsid w:val="49044BE8"/>
    <w:rsid w:val="490966A2"/>
    <w:rsid w:val="490D37DA"/>
    <w:rsid w:val="49104BE6"/>
    <w:rsid w:val="49115557"/>
    <w:rsid w:val="491330AA"/>
    <w:rsid w:val="49135F9B"/>
    <w:rsid w:val="492359B6"/>
    <w:rsid w:val="49257422"/>
    <w:rsid w:val="4929175E"/>
    <w:rsid w:val="492E435B"/>
    <w:rsid w:val="49301E81"/>
    <w:rsid w:val="493A4AAE"/>
    <w:rsid w:val="493B25FC"/>
    <w:rsid w:val="493D1595"/>
    <w:rsid w:val="49473AA3"/>
    <w:rsid w:val="494B1A56"/>
    <w:rsid w:val="49535B70"/>
    <w:rsid w:val="49543DC1"/>
    <w:rsid w:val="4957635B"/>
    <w:rsid w:val="495C7785"/>
    <w:rsid w:val="495E7E5F"/>
    <w:rsid w:val="49612F6A"/>
    <w:rsid w:val="4963096F"/>
    <w:rsid w:val="49647E23"/>
    <w:rsid w:val="496F302C"/>
    <w:rsid w:val="49705455"/>
    <w:rsid w:val="49784929"/>
    <w:rsid w:val="49792469"/>
    <w:rsid w:val="497A1AB9"/>
    <w:rsid w:val="497C0C22"/>
    <w:rsid w:val="498E1E15"/>
    <w:rsid w:val="499E377B"/>
    <w:rsid w:val="49A34401"/>
    <w:rsid w:val="49A95790"/>
    <w:rsid w:val="49AD1724"/>
    <w:rsid w:val="49AE061C"/>
    <w:rsid w:val="49B07941"/>
    <w:rsid w:val="49B16B7D"/>
    <w:rsid w:val="49C10D2B"/>
    <w:rsid w:val="49C3053C"/>
    <w:rsid w:val="49C8506C"/>
    <w:rsid w:val="49CB665E"/>
    <w:rsid w:val="49CD76D0"/>
    <w:rsid w:val="49CF7047"/>
    <w:rsid w:val="49DE7B2F"/>
    <w:rsid w:val="49E94FE2"/>
    <w:rsid w:val="49EA602A"/>
    <w:rsid w:val="49F033BE"/>
    <w:rsid w:val="49F71AEE"/>
    <w:rsid w:val="4A02381D"/>
    <w:rsid w:val="4A03113E"/>
    <w:rsid w:val="4A101E09"/>
    <w:rsid w:val="4A1E1CDA"/>
    <w:rsid w:val="4A1E7F2C"/>
    <w:rsid w:val="4A204F9D"/>
    <w:rsid w:val="4A213292"/>
    <w:rsid w:val="4A250846"/>
    <w:rsid w:val="4A273284"/>
    <w:rsid w:val="4A2E06ED"/>
    <w:rsid w:val="4A353461"/>
    <w:rsid w:val="4A392FB7"/>
    <w:rsid w:val="4A393509"/>
    <w:rsid w:val="4A4819F2"/>
    <w:rsid w:val="4A515E4F"/>
    <w:rsid w:val="4A6A3171"/>
    <w:rsid w:val="4A796C6B"/>
    <w:rsid w:val="4A7D10F6"/>
    <w:rsid w:val="4A7D1D25"/>
    <w:rsid w:val="4A82670C"/>
    <w:rsid w:val="4A8307AA"/>
    <w:rsid w:val="4A851D59"/>
    <w:rsid w:val="4A876096"/>
    <w:rsid w:val="4A8B6552"/>
    <w:rsid w:val="4A8E548F"/>
    <w:rsid w:val="4A9326C8"/>
    <w:rsid w:val="4A9516D7"/>
    <w:rsid w:val="4A963F66"/>
    <w:rsid w:val="4A9B332A"/>
    <w:rsid w:val="4A9E2E1A"/>
    <w:rsid w:val="4A9F5C76"/>
    <w:rsid w:val="4AA15332"/>
    <w:rsid w:val="4AA30431"/>
    <w:rsid w:val="4AA77687"/>
    <w:rsid w:val="4AAE5753"/>
    <w:rsid w:val="4AAF16B2"/>
    <w:rsid w:val="4AB2411E"/>
    <w:rsid w:val="4AB663B6"/>
    <w:rsid w:val="4ABF743E"/>
    <w:rsid w:val="4AC35898"/>
    <w:rsid w:val="4AC40677"/>
    <w:rsid w:val="4AC97E97"/>
    <w:rsid w:val="4AD80BB8"/>
    <w:rsid w:val="4ADB1D3F"/>
    <w:rsid w:val="4AEC002A"/>
    <w:rsid w:val="4AEC1DD8"/>
    <w:rsid w:val="4AEE78FE"/>
    <w:rsid w:val="4AEF29C0"/>
    <w:rsid w:val="4AF23F9C"/>
    <w:rsid w:val="4AF527D5"/>
    <w:rsid w:val="4AF7099F"/>
    <w:rsid w:val="4B0544F1"/>
    <w:rsid w:val="4B0B04B0"/>
    <w:rsid w:val="4B0D10DC"/>
    <w:rsid w:val="4B0D37D8"/>
    <w:rsid w:val="4B1A7E56"/>
    <w:rsid w:val="4B1E2290"/>
    <w:rsid w:val="4B2154B6"/>
    <w:rsid w:val="4B2607B8"/>
    <w:rsid w:val="4B2C6678"/>
    <w:rsid w:val="4B2E23F0"/>
    <w:rsid w:val="4B321EE0"/>
    <w:rsid w:val="4B410892"/>
    <w:rsid w:val="4B41531D"/>
    <w:rsid w:val="4B441C12"/>
    <w:rsid w:val="4B455725"/>
    <w:rsid w:val="4B46598C"/>
    <w:rsid w:val="4B470C14"/>
    <w:rsid w:val="4B4B73EF"/>
    <w:rsid w:val="4B4E2890"/>
    <w:rsid w:val="4B510FFC"/>
    <w:rsid w:val="4B526753"/>
    <w:rsid w:val="4B5370A1"/>
    <w:rsid w:val="4B55797D"/>
    <w:rsid w:val="4B580BA8"/>
    <w:rsid w:val="4B5875CD"/>
    <w:rsid w:val="4B592F57"/>
    <w:rsid w:val="4B59638C"/>
    <w:rsid w:val="4B5D06BA"/>
    <w:rsid w:val="4B5D551C"/>
    <w:rsid w:val="4B5F07FC"/>
    <w:rsid w:val="4B602D44"/>
    <w:rsid w:val="4B683407"/>
    <w:rsid w:val="4B6978CC"/>
    <w:rsid w:val="4B6B0F4E"/>
    <w:rsid w:val="4B6D2F19"/>
    <w:rsid w:val="4B7066B2"/>
    <w:rsid w:val="4B72420B"/>
    <w:rsid w:val="4B75063F"/>
    <w:rsid w:val="4B86067D"/>
    <w:rsid w:val="4B9A75E1"/>
    <w:rsid w:val="4BA3758B"/>
    <w:rsid w:val="4BAD77B9"/>
    <w:rsid w:val="4BB1002F"/>
    <w:rsid w:val="4BB40B47"/>
    <w:rsid w:val="4BBA5553"/>
    <w:rsid w:val="4BCD29AC"/>
    <w:rsid w:val="4BCE71B6"/>
    <w:rsid w:val="4BCF7F8C"/>
    <w:rsid w:val="4BD034F4"/>
    <w:rsid w:val="4BD436C2"/>
    <w:rsid w:val="4BD44D46"/>
    <w:rsid w:val="4BD61C36"/>
    <w:rsid w:val="4BD66466"/>
    <w:rsid w:val="4BDA03D0"/>
    <w:rsid w:val="4BEA27BB"/>
    <w:rsid w:val="4BF4363A"/>
    <w:rsid w:val="4BF73B08"/>
    <w:rsid w:val="4C162D81"/>
    <w:rsid w:val="4C215AB1"/>
    <w:rsid w:val="4C26376C"/>
    <w:rsid w:val="4C26756B"/>
    <w:rsid w:val="4C2C793C"/>
    <w:rsid w:val="4C3336C2"/>
    <w:rsid w:val="4C39729F"/>
    <w:rsid w:val="4C3D060C"/>
    <w:rsid w:val="4C431ECB"/>
    <w:rsid w:val="4C481290"/>
    <w:rsid w:val="4C4D2D4A"/>
    <w:rsid w:val="4C4F261E"/>
    <w:rsid w:val="4C571C7F"/>
    <w:rsid w:val="4C5873D5"/>
    <w:rsid w:val="4C5B324C"/>
    <w:rsid w:val="4C611889"/>
    <w:rsid w:val="4C6C7EE3"/>
    <w:rsid w:val="4C6D60D6"/>
    <w:rsid w:val="4C6F7458"/>
    <w:rsid w:val="4C702915"/>
    <w:rsid w:val="4C7402D7"/>
    <w:rsid w:val="4C7404D8"/>
    <w:rsid w:val="4C765E29"/>
    <w:rsid w:val="4C850746"/>
    <w:rsid w:val="4C856040"/>
    <w:rsid w:val="4C87625C"/>
    <w:rsid w:val="4C8D3147"/>
    <w:rsid w:val="4C9149E5"/>
    <w:rsid w:val="4C936609"/>
    <w:rsid w:val="4C94022F"/>
    <w:rsid w:val="4C942727"/>
    <w:rsid w:val="4C9749CB"/>
    <w:rsid w:val="4C99055F"/>
    <w:rsid w:val="4C990DDD"/>
    <w:rsid w:val="4CA24E44"/>
    <w:rsid w:val="4CA30BBC"/>
    <w:rsid w:val="4CA44253"/>
    <w:rsid w:val="4CA76CB4"/>
    <w:rsid w:val="4CAA019C"/>
    <w:rsid w:val="4CAA1F6A"/>
    <w:rsid w:val="4CAB3ED0"/>
    <w:rsid w:val="4CB46925"/>
    <w:rsid w:val="4CB90995"/>
    <w:rsid w:val="4CBB2F66"/>
    <w:rsid w:val="4CBD1C7E"/>
    <w:rsid w:val="4CC27294"/>
    <w:rsid w:val="4CC85F9A"/>
    <w:rsid w:val="4CCC1EC1"/>
    <w:rsid w:val="4CD54825"/>
    <w:rsid w:val="4CE216E4"/>
    <w:rsid w:val="4CE2230C"/>
    <w:rsid w:val="4CF3569F"/>
    <w:rsid w:val="4CFA6A2E"/>
    <w:rsid w:val="4CFB6302"/>
    <w:rsid w:val="4D002748"/>
    <w:rsid w:val="4D050F15"/>
    <w:rsid w:val="4D080C5E"/>
    <w:rsid w:val="4D0B0C3B"/>
    <w:rsid w:val="4D0F1DAD"/>
    <w:rsid w:val="4D115B26"/>
    <w:rsid w:val="4D125179"/>
    <w:rsid w:val="4D186F5D"/>
    <w:rsid w:val="4D1C7CA6"/>
    <w:rsid w:val="4D20204F"/>
    <w:rsid w:val="4D2201DD"/>
    <w:rsid w:val="4D261C8A"/>
    <w:rsid w:val="4D274359"/>
    <w:rsid w:val="4D2A5976"/>
    <w:rsid w:val="4D2C6E03"/>
    <w:rsid w:val="4D2D34B3"/>
    <w:rsid w:val="4D381FE8"/>
    <w:rsid w:val="4D39756B"/>
    <w:rsid w:val="4D3C0D8B"/>
    <w:rsid w:val="4D3F7B32"/>
    <w:rsid w:val="4D40640B"/>
    <w:rsid w:val="4D497A62"/>
    <w:rsid w:val="4D510275"/>
    <w:rsid w:val="4D537EEC"/>
    <w:rsid w:val="4D5819A6"/>
    <w:rsid w:val="4D622212"/>
    <w:rsid w:val="4D646107"/>
    <w:rsid w:val="4D662315"/>
    <w:rsid w:val="4D6C37E8"/>
    <w:rsid w:val="4D720F8D"/>
    <w:rsid w:val="4D732900"/>
    <w:rsid w:val="4D744F0A"/>
    <w:rsid w:val="4D7717A3"/>
    <w:rsid w:val="4D7762D0"/>
    <w:rsid w:val="4D78246D"/>
    <w:rsid w:val="4D7E2AC6"/>
    <w:rsid w:val="4D81084D"/>
    <w:rsid w:val="4D866514"/>
    <w:rsid w:val="4D8750D6"/>
    <w:rsid w:val="4D891B60"/>
    <w:rsid w:val="4D8F1EE8"/>
    <w:rsid w:val="4D9A5B1B"/>
    <w:rsid w:val="4DA32B75"/>
    <w:rsid w:val="4DA4699A"/>
    <w:rsid w:val="4DB35443"/>
    <w:rsid w:val="4DB403D4"/>
    <w:rsid w:val="4DBB0392"/>
    <w:rsid w:val="4DBD24C7"/>
    <w:rsid w:val="4DBE3EFF"/>
    <w:rsid w:val="4DBE46F0"/>
    <w:rsid w:val="4DC36154"/>
    <w:rsid w:val="4DCB7853"/>
    <w:rsid w:val="4DCD4142"/>
    <w:rsid w:val="4DCE3A17"/>
    <w:rsid w:val="4DCF7EBB"/>
    <w:rsid w:val="4DD168CA"/>
    <w:rsid w:val="4DD40D1A"/>
    <w:rsid w:val="4DD52FF7"/>
    <w:rsid w:val="4DD53203"/>
    <w:rsid w:val="4DD76D6F"/>
    <w:rsid w:val="4DDC6134"/>
    <w:rsid w:val="4DE56D88"/>
    <w:rsid w:val="4DEB6377"/>
    <w:rsid w:val="4DF321B8"/>
    <w:rsid w:val="4DF330D4"/>
    <w:rsid w:val="4DFA21A5"/>
    <w:rsid w:val="4DFB648B"/>
    <w:rsid w:val="4DFC0148"/>
    <w:rsid w:val="4E09526E"/>
    <w:rsid w:val="4E1026B2"/>
    <w:rsid w:val="4E19097C"/>
    <w:rsid w:val="4E202596"/>
    <w:rsid w:val="4E244DCF"/>
    <w:rsid w:val="4E265601"/>
    <w:rsid w:val="4E2744A8"/>
    <w:rsid w:val="4E2B0E69"/>
    <w:rsid w:val="4E2D4873"/>
    <w:rsid w:val="4E2E7249"/>
    <w:rsid w:val="4E316B3F"/>
    <w:rsid w:val="4E33332E"/>
    <w:rsid w:val="4E355DE9"/>
    <w:rsid w:val="4E4168DE"/>
    <w:rsid w:val="4E4A22E5"/>
    <w:rsid w:val="4E4D5283"/>
    <w:rsid w:val="4E571C5E"/>
    <w:rsid w:val="4E5B4E73"/>
    <w:rsid w:val="4E5C1022"/>
    <w:rsid w:val="4E5C54C6"/>
    <w:rsid w:val="4E612ADD"/>
    <w:rsid w:val="4E6F2068"/>
    <w:rsid w:val="4E742810"/>
    <w:rsid w:val="4E796788"/>
    <w:rsid w:val="4E7F70AE"/>
    <w:rsid w:val="4E816CDB"/>
    <w:rsid w:val="4E8456C0"/>
    <w:rsid w:val="4E8A2033"/>
    <w:rsid w:val="4E8C5DAC"/>
    <w:rsid w:val="4E8D742E"/>
    <w:rsid w:val="4E956D0F"/>
    <w:rsid w:val="4E994437"/>
    <w:rsid w:val="4E9C04DD"/>
    <w:rsid w:val="4E9F661B"/>
    <w:rsid w:val="4EA21C90"/>
    <w:rsid w:val="4EA327A7"/>
    <w:rsid w:val="4EA64BC0"/>
    <w:rsid w:val="4EA84324"/>
    <w:rsid w:val="4EAA7FE0"/>
    <w:rsid w:val="4EB42A04"/>
    <w:rsid w:val="4EB908BA"/>
    <w:rsid w:val="4ED1118F"/>
    <w:rsid w:val="4EE33501"/>
    <w:rsid w:val="4EE75BCF"/>
    <w:rsid w:val="4EEA0D24"/>
    <w:rsid w:val="4EF23735"/>
    <w:rsid w:val="4EF83441"/>
    <w:rsid w:val="4EF86F9D"/>
    <w:rsid w:val="4EFB083B"/>
    <w:rsid w:val="4EFE4427"/>
    <w:rsid w:val="4F046D62"/>
    <w:rsid w:val="4F0A0A7E"/>
    <w:rsid w:val="4F0A5206"/>
    <w:rsid w:val="4F0E5D74"/>
    <w:rsid w:val="4F1253B3"/>
    <w:rsid w:val="4F132029"/>
    <w:rsid w:val="4F1A299D"/>
    <w:rsid w:val="4F22323C"/>
    <w:rsid w:val="4F277882"/>
    <w:rsid w:val="4F2C3699"/>
    <w:rsid w:val="4F2E0C11"/>
    <w:rsid w:val="4F310C05"/>
    <w:rsid w:val="4F334629"/>
    <w:rsid w:val="4F337FD5"/>
    <w:rsid w:val="4F365D17"/>
    <w:rsid w:val="4F381A8F"/>
    <w:rsid w:val="4F3D2C02"/>
    <w:rsid w:val="4F494F77"/>
    <w:rsid w:val="4F5B7611"/>
    <w:rsid w:val="4F6A26EE"/>
    <w:rsid w:val="4F6C798B"/>
    <w:rsid w:val="4F711505"/>
    <w:rsid w:val="4F7222C4"/>
    <w:rsid w:val="4F745F5C"/>
    <w:rsid w:val="4F7620A9"/>
    <w:rsid w:val="4F7811C5"/>
    <w:rsid w:val="4F781E8C"/>
    <w:rsid w:val="4F860A4D"/>
    <w:rsid w:val="4F864D0D"/>
    <w:rsid w:val="4F8829F4"/>
    <w:rsid w:val="4F895E47"/>
    <w:rsid w:val="4F8B7E11"/>
    <w:rsid w:val="4F9754F7"/>
    <w:rsid w:val="4F9B5B7A"/>
    <w:rsid w:val="4F9D18F3"/>
    <w:rsid w:val="4FA02DB5"/>
    <w:rsid w:val="4FA15887"/>
    <w:rsid w:val="4FA52161"/>
    <w:rsid w:val="4FA73122"/>
    <w:rsid w:val="4FA81E61"/>
    <w:rsid w:val="4FAF199D"/>
    <w:rsid w:val="4FB36663"/>
    <w:rsid w:val="4FB77A61"/>
    <w:rsid w:val="4FBA6948"/>
    <w:rsid w:val="4FBC446F"/>
    <w:rsid w:val="4FC04468"/>
    <w:rsid w:val="4FC11A85"/>
    <w:rsid w:val="4FC20DB6"/>
    <w:rsid w:val="4FC44EE7"/>
    <w:rsid w:val="4FC6312F"/>
    <w:rsid w:val="4FC9030D"/>
    <w:rsid w:val="4FC926E8"/>
    <w:rsid w:val="4FCA1312"/>
    <w:rsid w:val="4FCE7CFE"/>
    <w:rsid w:val="4FD23C92"/>
    <w:rsid w:val="4FD5020E"/>
    <w:rsid w:val="4FD651F5"/>
    <w:rsid w:val="4FDC0C9D"/>
    <w:rsid w:val="4FDF37B0"/>
    <w:rsid w:val="4FE17A31"/>
    <w:rsid w:val="4FE37C4D"/>
    <w:rsid w:val="4FF24F7E"/>
    <w:rsid w:val="4FFD31F6"/>
    <w:rsid w:val="500100D3"/>
    <w:rsid w:val="500167C0"/>
    <w:rsid w:val="500E27F0"/>
    <w:rsid w:val="500F3357"/>
    <w:rsid w:val="5012386A"/>
    <w:rsid w:val="501607FA"/>
    <w:rsid w:val="50175B49"/>
    <w:rsid w:val="501E64BB"/>
    <w:rsid w:val="5021177E"/>
    <w:rsid w:val="50265012"/>
    <w:rsid w:val="50292A28"/>
    <w:rsid w:val="502B6EFE"/>
    <w:rsid w:val="502C322B"/>
    <w:rsid w:val="502D0115"/>
    <w:rsid w:val="502E69EF"/>
    <w:rsid w:val="502E736B"/>
    <w:rsid w:val="5034340E"/>
    <w:rsid w:val="50357D7D"/>
    <w:rsid w:val="50371D47"/>
    <w:rsid w:val="504012BB"/>
    <w:rsid w:val="50454464"/>
    <w:rsid w:val="50463BFF"/>
    <w:rsid w:val="50463D38"/>
    <w:rsid w:val="504B2C48"/>
    <w:rsid w:val="505111D4"/>
    <w:rsid w:val="50526B81"/>
    <w:rsid w:val="50533DD3"/>
    <w:rsid w:val="50556FEB"/>
    <w:rsid w:val="50593A6B"/>
    <w:rsid w:val="505C493B"/>
    <w:rsid w:val="505C5AF0"/>
    <w:rsid w:val="50683991"/>
    <w:rsid w:val="50695D94"/>
    <w:rsid w:val="50724B2D"/>
    <w:rsid w:val="507765E7"/>
    <w:rsid w:val="507E231A"/>
    <w:rsid w:val="508B5EE1"/>
    <w:rsid w:val="508C66BF"/>
    <w:rsid w:val="508F3931"/>
    <w:rsid w:val="508F56DF"/>
    <w:rsid w:val="50922C1F"/>
    <w:rsid w:val="50926F7D"/>
    <w:rsid w:val="50970A38"/>
    <w:rsid w:val="50A02BD7"/>
    <w:rsid w:val="50AC4E76"/>
    <w:rsid w:val="50C01AE3"/>
    <w:rsid w:val="50C61E39"/>
    <w:rsid w:val="50C87E50"/>
    <w:rsid w:val="50C90220"/>
    <w:rsid w:val="50E36E07"/>
    <w:rsid w:val="50EA500B"/>
    <w:rsid w:val="50EC48E0"/>
    <w:rsid w:val="50ED0556"/>
    <w:rsid w:val="50F11EF6"/>
    <w:rsid w:val="50F43794"/>
    <w:rsid w:val="50FF5FE6"/>
    <w:rsid w:val="5100482F"/>
    <w:rsid w:val="510734C7"/>
    <w:rsid w:val="510C31D4"/>
    <w:rsid w:val="510D034E"/>
    <w:rsid w:val="511E4CB5"/>
    <w:rsid w:val="512D6CA6"/>
    <w:rsid w:val="512E4EF8"/>
    <w:rsid w:val="513E2C61"/>
    <w:rsid w:val="513F7105"/>
    <w:rsid w:val="514A5D72"/>
    <w:rsid w:val="515244D3"/>
    <w:rsid w:val="5153495F"/>
    <w:rsid w:val="515A06F4"/>
    <w:rsid w:val="516149ED"/>
    <w:rsid w:val="516721B8"/>
    <w:rsid w:val="516A3A56"/>
    <w:rsid w:val="516F138F"/>
    <w:rsid w:val="51703763"/>
    <w:rsid w:val="51735A7D"/>
    <w:rsid w:val="51790DC3"/>
    <w:rsid w:val="517A1653"/>
    <w:rsid w:val="517B5818"/>
    <w:rsid w:val="517D672A"/>
    <w:rsid w:val="518A66C1"/>
    <w:rsid w:val="518B7FBB"/>
    <w:rsid w:val="518E3BE9"/>
    <w:rsid w:val="51A70F5E"/>
    <w:rsid w:val="51AB7C95"/>
    <w:rsid w:val="51B8564E"/>
    <w:rsid w:val="51BB00D2"/>
    <w:rsid w:val="51BC0756"/>
    <w:rsid w:val="51C13FBE"/>
    <w:rsid w:val="51C57F9D"/>
    <w:rsid w:val="51C67B91"/>
    <w:rsid w:val="51C8534D"/>
    <w:rsid w:val="51CC4711"/>
    <w:rsid w:val="51D97076"/>
    <w:rsid w:val="51DD21B5"/>
    <w:rsid w:val="51DE37EB"/>
    <w:rsid w:val="51E101BC"/>
    <w:rsid w:val="51F577C4"/>
    <w:rsid w:val="51F67168"/>
    <w:rsid w:val="51FA75DE"/>
    <w:rsid w:val="51FD48CA"/>
    <w:rsid w:val="52185E35"/>
    <w:rsid w:val="52195BA8"/>
    <w:rsid w:val="522A0E36"/>
    <w:rsid w:val="522B0BEF"/>
    <w:rsid w:val="522D33C9"/>
    <w:rsid w:val="522E2010"/>
    <w:rsid w:val="5230572B"/>
    <w:rsid w:val="5236499B"/>
    <w:rsid w:val="524C5999"/>
    <w:rsid w:val="524D13AE"/>
    <w:rsid w:val="524D5852"/>
    <w:rsid w:val="5257710D"/>
    <w:rsid w:val="525C5166"/>
    <w:rsid w:val="52611BE5"/>
    <w:rsid w:val="527957F0"/>
    <w:rsid w:val="5281374D"/>
    <w:rsid w:val="52833022"/>
    <w:rsid w:val="5285323E"/>
    <w:rsid w:val="52894661"/>
    <w:rsid w:val="52922536"/>
    <w:rsid w:val="52944093"/>
    <w:rsid w:val="52970180"/>
    <w:rsid w:val="52976ACD"/>
    <w:rsid w:val="52A34912"/>
    <w:rsid w:val="52A62876"/>
    <w:rsid w:val="52A64F62"/>
    <w:rsid w:val="52A872F6"/>
    <w:rsid w:val="52AD0C19"/>
    <w:rsid w:val="52AD5CF4"/>
    <w:rsid w:val="52B00912"/>
    <w:rsid w:val="52B94720"/>
    <w:rsid w:val="52BA1C80"/>
    <w:rsid w:val="52C378C2"/>
    <w:rsid w:val="52CD0741"/>
    <w:rsid w:val="52CD2852"/>
    <w:rsid w:val="52D23FA9"/>
    <w:rsid w:val="52D4387D"/>
    <w:rsid w:val="52D50E3F"/>
    <w:rsid w:val="52DB4C0C"/>
    <w:rsid w:val="52DF7C9D"/>
    <w:rsid w:val="52F378B7"/>
    <w:rsid w:val="52F45CCD"/>
    <w:rsid w:val="52F67C97"/>
    <w:rsid w:val="52FC4EAE"/>
    <w:rsid w:val="52FD3174"/>
    <w:rsid w:val="530C74BB"/>
    <w:rsid w:val="53132041"/>
    <w:rsid w:val="53140692"/>
    <w:rsid w:val="532029BB"/>
    <w:rsid w:val="53247051"/>
    <w:rsid w:val="53265EF1"/>
    <w:rsid w:val="53277E51"/>
    <w:rsid w:val="532E7431"/>
    <w:rsid w:val="5334431C"/>
    <w:rsid w:val="533A055D"/>
    <w:rsid w:val="533C1422"/>
    <w:rsid w:val="53400025"/>
    <w:rsid w:val="5343713E"/>
    <w:rsid w:val="53466168"/>
    <w:rsid w:val="53527B6A"/>
    <w:rsid w:val="53535BE7"/>
    <w:rsid w:val="5354220A"/>
    <w:rsid w:val="53581FFE"/>
    <w:rsid w:val="535B3F9E"/>
    <w:rsid w:val="535F3A8F"/>
    <w:rsid w:val="536015B5"/>
    <w:rsid w:val="53671CE5"/>
    <w:rsid w:val="536C1D08"/>
    <w:rsid w:val="5371731E"/>
    <w:rsid w:val="537A21E1"/>
    <w:rsid w:val="537A2C97"/>
    <w:rsid w:val="5386645E"/>
    <w:rsid w:val="53885873"/>
    <w:rsid w:val="5389600F"/>
    <w:rsid w:val="53937294"/>
    <w:rsid w:val="53975914"/>
    <w:rsid w:val="5398113A"/>
    <w:rsid w:val="53992B64"/>
    <w:rsid w:val="539F3E8B"/>
    <w:rsid w:val="539F4700"/>
    <w:rsid w:val="53A2397B"/>
    <w:rsid w:val="53A92F5C"/>
    <w:rsid w:val="53A96ECB"/>
    <w:rsid w:val="53AE0572"/>
    <w:rsid w:val="53B942DB"/>
    <w:rsid w:val="53C658BC"/>
    <w:rsid w:val="53CA4C80"/>
    <w:rsid w:val="53CD2233"/>
    <w:rsid w:val="53CD6AFC"/>
    <w:rsid w:val="53CE29C2"/>
    <w:rsid w:val="53CF6182"/>
    <w:rsid w:val="53D004E8"/>
    <w:rsid w:val="53D1600F"/>
    <w:rsid w:val="53D27D63"/>
    <w:rsid w:val="53D578AD"/>
    <w:rsid w:val="53DD5B02"/>
    <w:rsid w:val="53E71369"/>
    <w:rsid w:val="53E915AA"/>
    <w:rsid w:val="53F02939"/>
    <w:rsid w:val="53F51CFD"/>
    <w:rsid w:val="53F73CC7"/>
    <w:rsid w:val="53FC752F"/>
    <w:rsid w:val="54065CB8"/>
    <w:rsid w:val="540939FA"/>
    <w:rsid w:val="540E7263"/>
    <w:rsid w:val="541A5C08"/>
    <w:rsid w:val="541A62F7"/>
    <w:rsid w:val="54216F96"/>
    <w:rsid w:val="54224678"/>
    <w:rsid w:val="54224ABC"/>
    <w:rsid w:val="5426635A"/>
    <w:rsid w:val="543019E2"/>
    <w:rsid w:val="54324362"/>
    <w:rsid w:val="543B26B5"/>
    <w:rsid w:val="543D5452"/>
    <w:rsid w:val="54413194"/>
    <w:rsid w:val="544859BA"/>
    <w:rsid w:val="54497CC1"/>
    <w:rsid w:val="5454111A"/>
    <w:rsid w:val="54553489"/>
    <w:rsid w:val="545C7321"/>
    <w:rsid w:val="545D5DEC"/>
    <w:rsid w:val="546142C1"/>
    <w:rsid w:val="54651AA6"/>
    <w:rsid w:val="546534C3"/>
    <w:rsid w:val="54662630"/>
    <w:rsid w:val="54685C8E"/>
    <w:rsid w:val="546D21DB"/>
    <w:rsid w:val="547057D6"/>
    <w:rsid w:val="54734435"/>
    <w:rsid w:val="54740720"/>
    <w:rsid w:val="547846DC"/>
    <w:rsid w:val="547C5F7A"/>
    <w:rsid w:val="5481270A"/>
    <w:rsid w:val="54817A35"/>
    <w:rsid w:val="54901A26"/>
    <w:rsid w:val="54910777"/>
    <w:rsid w:val="549E2088"/>
    <w:rsid w:val="54A84FC1"/>
    <w:rsid w:val="54B5148C"/>
    <w:rsid w:val="54B626D6"/>
    <w:rsid w:val="54B9421C"/>
    <w:rsid w:val="54BC5D41"/>
    <w:rsid w:val="54C17E31"/>
    <w:rsid w:val="54E20E07"/>
    <w:rsid w:val="54E65AEA"/>
    <w:rsid w:val="54E81862"/>
    <w:rsid w:val="54EB37B2"/>
    <w:rsid w:val="54F976CF"/>
    <w:rsid w:val="55004DFD"/>
    <w:rsid w:val="55051CE9"/>
    <w:rsid w:val="55055F70"/>
    <w:rsid w:val="550A7A2A"/>
    <w:rsid w:val="551268DF"/>
    <w:rsid w:val="55127748"/>
    <w:rsid w:val="55162159"/>
    <w:rsid w:val="55200136"/>
    <w:rsid w:val="55202DAA"/>
    <w:rsid w:val="55236D3E"/>
    <w:rsid w:val="552503C0"/>
    <w:rsid w:val="552C177F"/>
    <w:rsid w:val="553175EA"/>
    <w:rsid w:val="553C395C"/>
    <w:rsid w:val="553E1482"/>
    <w:rsid w:val="5542608A"/>
    <w:rsid w:val="55476E3D"/>
    <w:rsid w:val="554F4F47"/>
    <w:rsid w:val="55511E04"/>
    <w:rsid w:val="5555098B"/>
    <w:rsid w:val="555667CB"/>
    <w:rsid w:val="55570796"/>
    <w:rsid w:val="555B0EC9"/>
    <w:rsid w:val="556724B5"/>
    <w:rsid w:val="556829A3"/>
    <w:rsid w:val="556B1D07"/>
    <w:rsid w:val="556D01FF"/>
    <w:rsid w:val="5576721A"/>
    <w:rsid w:val="55770C53"/>
    <w:rsid w:val="5579200B"/>
    <w:rsid w:val="557B26D6"/>
    <w:rsid w:val="557D5F54"/>
    <w:rsid w:val="558109BA"/>
    <w:rsid w:val="55820667"/>
    <w:rsid w:val="55911EF9"/>
    <w:rsid w:val="5594179A"/>
    <w:rsid w:val="55962A6C"/>
    <w:rsid w:val="5596306C"/>
    <w:rsid w:val="55966A06"/>
    <w:rsid w:val="559A058E"/>
    <w:rsid w:val="55A35772"/>
    <w:rsid w:val="55A7093B"/>
    <w:rsid w:val="55A9444E"/>
    <w:rsid w:val="55AE4859"/>
    <w:rsid w:val="55BB26F7"/>
    <w:rsid w:val="55BD2CEE"/>
    <w:rsid w:val="55BE0D59"/>
    <w:rsid w:val="55C41BF3"/>
    <w:rsid w:val="55CF73F5"/>
    <w:rsid w:val="55D02A22"/>
    <w:rsid w:val="55D46FCC"/>
    <w:rsid w:val="55D63DB0"/>
    <w:rsid w:val="55D63FD4"/>
    <w:rsid w:val="55DE772F"/>
    <w:rsid w:val="55E0078B"/>
    <w:rsid w:val="55E75444"/>
    <w:rsid w:val="55EB785C"/>
    <w:rsid w:val="55EC5382"/>
    <w:rsid w:val="55EE4C56"/>
    <w:rsid w:val="55FD758F"/>
    <w:rsid w:val="56045C18"/>
    <w:rsid w:val="56075D18"/>
    <w:rsid w:val="560B1CAC"/>
    <w:rsid w:val="5613621A"/>
    <w:rsid w:val="56172BE8"/>
    <w:rsid w:val="561B17C3"/>
    <w:rsid w:val="561C6672"/>
    <w:rsid w:val="5624377C"/>
    <w:rsid w:val="56245892"/>
    <w:rsid w:val="562763BA"/>
    <w:rsid w:val="56284398"/>
    <w:rsid w:val="562C689E"/>
    <w:rsid w:val="5632548A"/>
    <w:rsid w:val="563665FD"/>
    <w:rsid w:val="563C1E65"/>
    <w:rsid w:val="563F72FE"/>
    <w:rsid w:val="56460B2F"/>
    <w:rsid w:val="56503B63"/>
    <w:rsid w:val="56574EF1"/>
    <w:rsid w:val="56607F03"/>
    <w:rsid w:val="56654A8B"/>
    <w:rsid w:val="56675D15"/>
    <w:rsid w:val="56692FD1"/>
    <w:rsid w:val="566969D2"/>
    <w:rsid w:val="566D22E0"/>
    <w:rsid w:val="56755377"/>
    <w:rsid w:val="5678022B"/>
    <w:rsid w:val="56847368"/>
    <w:rsid w:val="56883662"/>
    <w:rsid w:val="5689497F"/>
    <w:rsid w:val="568B1128"/>
    <w:rsid w:val="568C5D7C"/>
    <w:rsid w:val="568D0913"/>
    <w:rsid w:val="568F468B"/>
    <w:rsid w:val="56920C59"/>
    <w:rsid w:val="56A8574D"/>
    <w:rsid w:val="56A861E5"/>
    <w:rsid w:val="56AD2D63"/>
    <w:rsid w:val="56BE6D1E"/>
    <w:rsid w:val="56CC334A"/>
    <w:rsid w:val="56CE6835"/>
    <w:rsid w:val="56D71745"/>
    <w:rsid w:val="56D90A22"/>
    <w:rsid w:val="56DF4D3F"/>
    <w:rsid w:val="56E10C5F"/>
    <w:rsid w:val="56E46059"/>
    <w:rsid w:val="56E91581"/>
    <w:rsid w:val="56FC7A6A"/>
    <w:rsid w:val="5705494D"/>
    <w:rsid w:val="57144CD6"/>
    <w:rsid w:val="57194497"/>
    <w:rsid w:val="571B1AD7"/>
    <w:rsid w:val="571C3A45"/>
    <w:rsid w:val="571E77BD"/>
    <w:rsid w:val="57234DD3"/>
    <w:rsid w:val="57236B81"/>
    <w:rsid w:val="57250B4B"/>
    <w:rsid w:val="572C012C"/>
    <w:rsid w:val="5739721D"/>
    <w:rsid w:val="573D357E"/>
    <w:rsid w:val="57415259"/>
    <w:rsid w:val="574423A7"/>
    <w:rsid w:val="5748423A"/>
    <w:rsid w:val="57507EEA"/>
    <w:rsid w:val="57526FF7"/>
    <w:rsid w:val="575D21D1"/>
    <w:rsid w:val="57671F3B"/>
    <w:rsid w:val="577E200A"/>
    <w:rsid w:val="57800CDE"/>
    <w:rsid w:val="578972BE"/>
    <w:rsid w:val="578C10CB"/>
    <w:rsid w:val="578E4942"/>
    <w:rsid w:val="578F4217"/>
    <w:rsid w:val="57914433"/>
    <w:rsid w:val="57917F8F"/>
    <w:rsid w:val="579655A5"/>
    <w:rsid w:val="57A203EE"/>
    <w:rsid w:val="57A2219C"/>
    <w:rsid w:val="57A23F4A"/>
    <w:rsid w:val="57A44166"/>
    <w:rsid w:val="57AA5E39"/>
    <w:rsid w:val="57AE0B41"/>
    <w:rsid w:val="57B141AA"/>
    <w:rsid w:val="57C31B03"/>
    <w:rsid w:val="57CB4524"/>
    <w:rsid w:val="57CE5321"/>
    <w:rsid w:val="57D32355"/>
    <w:rsid w:val="57D367F9"/>
    <w:rsid w:val="57D60097"/>
    <w:rsid w:val="57D97FC9"/>
    <w:rsid w:val="57E11008"/>
    <w:rsid w:val="57E646D0"/>
    <w:rsid w:val="57F30C49"/>
    <w:rsid w:val="57F67BFD"/>
    <w:rsid w:val="57FB4D95"/>
    <w:rsid w:val="57FC0D0B"/>
    <w:rsid w:val="580663B4"/>
    <w:rsid w:val="5808416D"/>
    <w:rsid w:val="580F61F6"/>
    <w:rsid w:val="58122424"/>
    <w:rsid w:val="581B0494"/>
    <w:rsid w:val="582E3A30"/>
    <w:rsid w:val="583628E4"/>
    <w:rsid w:val="583B1730"/>
    <w:rsid w:val="583F3E8F"/>
    <w:rsid w:val="58421289"/>
    <w:rsid w:val="584C035A"/>
    <w:rsid w:val="584D7D8F"/>
    <w:rsid w:val="584E40D2"/>
    <w:rsid w:val="5852750B"/>
    <w:rsid w:val="58533870"/>
    <w:rsid w:val="58540326"/>
    <w:rsid w:val="58543C7C"/>
    <w:rsid w:val="585711D8"/>
    <w:rsid w:val="585F607F"/>
    <w:rsid w:val="5866766D"/>
    <w:rsid w:val="586B3CD4"/>
    <w:rsid w:val="586C27AA"/>
    <w:rsid w:val="586D7BCC"/>
    <w:rsid w:val="58737694"/>
    <w:rsid w:val="5878114F"/>
    <w:rsid w:val="587B3A60"/>
    <w:rsid w:val="58810003"/>
    <w:rsid w:val="58812764"/>
    <w:rsid w:val="58860183"/>
    <w:rsid w:val="58886898"/>
    <w:rsid w:val="588C2DD7"/>
    <w:rsid w:val="588E2720"/>
    <w:rsid w:val="58931165"/>
    <w:rsid w:val="58953AAF"/>
    <w:rsid w:val="58955833"/>
    <w:rsid w:val="589A2E73"/>
    <w:rsid w:val="58A24650"/>
    <w:rsid w:val="58A67A6A"/>
    <w:rsid w:val="58B32187"/>
    <w:rsid w:val="58B77977"/>
    <w:rsid w:val="58BB404C"/>
    <w:rsid w:val="58BC54DF"/>
    <w:rsid w:val="58C34D85"/>
    <w:rsid w:val="58C6010C"/>
    <w:rsid w:val="58CC6CD5"/>
    <w:rsid w:val="58CF2B27"/>
    <w:rsid w:val="58CF3BC9"/>
    <w:rsid w:val="58D01022"/>
    <w:rsid w:val="58D345D7"/>
    <w:rsid w:val="58D97E3F"/>
    <w:rsid w:val="58DA7713"/>
    <w:rsid w:val="58DD0FB2"/>
    <w:rsid w:val="58F621C4"/>
    <w:rsid w:val="59056ADB"/>
    <w:rsid w:val="590B020F"/>
    <w:rsid w:val="590C007F"/>
    <w:rsid w:val="590C5CE8"/>
    <w:rsid w:val="591744C4"/>
    <w:rsid w:val="591D4C4C"/>
    <w:rsid w:val="592117E6"/>
    <w:rsid w:val="592A069B"/>
    <w:rsid w:val="592B4B74"/>
    <w:rsid w:val="592B7F6F"/>
    <w:rsid w:val="593037D7"/>
    <w:rsid w:val="59387521"/>
    <w:rsid w:val="593E311E"/>
    <w:rsid w:val="593F3A1A"/>
    <w:rsid w:val="59464E27"/>
    <w:rsid w:val="59472518"/>
    <w:rsid w:val="5948238F"/>
    <w:rsid w:val="59491860"/>
    <w:rsid w:val="5952374E"/>
    <w:rsid w:val="595E6596"/>
    <w:rsid w:val="595F53C6"/>
    <w:rsid w:val="596671F9"/>
    <w:rsid w:val="596765A8"/>
    <w:rsid w:val="596A0A97"/>
    <w:rsid w:val="596C0CB3"/>
    <w:rsid w:val="59722B34"/>
    <w:rsid w:val="59771406"/>
    <w:rsid w:val="59777658"/>
    <w:rsid w:val="597F3CED"/>
    <w:rsid w:val="59807204"/>
    <w:rsid w:val="5987789B"/>
    <w:rsid w:val="59891A04"/>
    <w:rsid w:val="59893565"/>
    <w:rsid w:val="598C3104"/>
    <w:rsid w:val="599102D7"/>
    <w:rsid w:val="5996188C"/>
    <w:rsid w:val="59986007"/>
    <w:rsid w:val="599975CF"/>
    <w:rsid w:val="59A77DAF"/>
    <w:rsid w:val="59B150F0"/>
    <w:rsid w:val="59B83EF9"/>
    <w:rsid w:val="59B91A1F"/>
    <w:rsid w:val="59C65499"/>
    <w:rsid w:val="59CA3C2C"/>
    <w:rsid w:val="59CC2070"/>
    <w:rsid w:val="59CD1026"/>
    <w:rsid w:val="59E200C2"/>
    <w:rsid w:val="59E92DD4"/>
    <w:rsid w:val="59EB0FBA"/>
    <w:rsid w:val="59EF0BE9"/>
    <w:rsid w:val="59F1740B"/>
    <w:rsid w:val="59F27755"/>
    <w:rsid w:val="59F607AC"/>
    <w:rsid w:val="59F668BA"/>
    <w:rsid w:val="59F9006D"/>
    <w:rsid w:val="59FB4886"/>
    <w:rsid w:val="5A0A1C8A"/>
    <w:rsid w:val="5A0C7DA1"/>
    <w:rsid w:val="5A13112F"/>
    <w:rsid w:val="5A137381"/>
    <w:rsid w:val="5A19426B"/>
    <w:rsid w:val="5A252034"/>
    <w:rsid w:val="5A253134"/>
    <w:rsid w:val="5A2A0227"/>
    <w:rsid w:val="5A2A46CB"/>
    <w:rsid w:val="5A364E1D"/>
    <w:rsid w:val="5A4527B0"/>
    <w:rsid w:val="5A492DA3"/>
    <w:rsid w:val="5A4C1CF3"/>
    <w:rsid w:val="5A541831"/>
    <w:rsid w:val="5A557999"/>
    <w:rsid w:val="5A5A6D5E"/>
    <w:rsid w:val="5A5C5900"/>
    <w:rsid w:val="5A5C7651"/>
    <w:rsid w:val="5A5D7DD4"/>
    <w:rsid w:val="5A6060D3"/>
    <w:rsid w:val="5A6214EC"/>
    <w:rsid w:val="5A670E91"/>
    <w:rsid w:val="5A690C54"/>
    <w:rsid w:val="5A6C0DE3"/>
    <w:rsid w:val="5A7034FF"/>
    <w:rsid w:val="5A7B6CD4"/>
    <w:rsid w:val="5A7D47FA"/>
    <w:rsid w:val="5A821E11"/>
    <w:rsid w:val="5A826C80"/>
    <w:rsid w:val="5A8738CB"/>
    <w:rsid w:val="5A9F317A"/>
    <w:rsid w:val="5AAE39C0"/>
    <w:rsid w:val="5AB02D8A"/>
    <w:rsid w:val="5AB15EEA"/>
    <w:rsid w:val="5ABA13F3"/>
    <w:rsid w:val="5ABD6133"/>
    <w:rsid w:val="5ACD39D4"/>
    <w:rsid w:val="5ACE14FA"/>
    <w:rsid w:val="5AD7215D"/>
    <w:rsid w:val="5ADF1011"/>
    <w:rsid w:val="5ADF7263"/>
    <w:rsid w:val="5AE605F2"/>
    <w:rsid w:val="5AE6087A"/>
    <w:rsid w:val="5AF17FF5"/>
    <w:rsid w:val="5AF2343A"/>
    <w:rsid w:val="5AF50835"/>
    <w:rsid w:val="5AF70A51"/>
    <w:rsid w:val="5AF739CF"/>
    <w:rsid w:val="5AF76980"/>
    <w:rsid w:val="5AFC1BC3"/>
    <w:rsid w:val="5B046CCA"/>
    <w:rsid w:val="5B0623C2"/>
    <w:rsid w:val="5B0E0624"/>
    <w:rsid w:val="5B1433B1"/>
    <w:rsid w:val="5B1F1D55"/>
    <w:rsid w:val="5B255141"/>
    <w:rsid w:val="5B29257D"/>
    <w:rsid w:val="5B2D33A3"/>
    <w:rsid w:val="5B2D4472"/>
    <w:rsid w:val="5B3A093D"/>
    <w:rsid w:val="5B3D52BC"/>
    <w:rsid w:val="5B432C78"/>
    <w:rsid w:val="5B4E3D07"/>
    <w:rsid w:val="5B4F263B"/>
    <w:rsid w:val="5B503DEF"/>
    <w:rsid w:val="5B537500"/>
    <w:rsid w:val="5B542D30"/>
    <w:rsid w:val="5B555777"/>
    <w:rsid w:val="5B597015"/>
    <w:rsid w:val="5B5B3807"/>
    <w:rsid w:val="5B5D2F8E"/>
    <w:rsid w:val="5B5F03A4"/>
    <w:rsid w:val="5B5F0D29"/>
    <w:rsid w:val="5B602E34"/>
    <w:rsid w:val="5B7200D7"/>
    <w:rsid w:val="5B751274"/>
    <w:rsid w:val="5B760403"/>
    <w:rsid w:val="5B7E082A"/>
    <w:rsid w:val="5B800A46"/>
    <w:rsid w:val="5B8846D8"/>
    <w:rsid w:val="5B906E95"/>
    <w:rsid w:val="5B927AA1"/>
    <w:rsid w:val="5B945A77"/>
    <w:rsid w:val="5B9462A0"/>
    <w:rsid w:val="5B9A0F5B"/>
    <w:rsid w:val="5B9F0C6E"/>
    <w:rsid w:val="5BA52BFF"/>
    <w:rsid w:val="5BAA6EFD"/>
    <w:rsid w:val="5BAD55B3"/>
    <w:rsid w:val="5BB66216"/>
    <w:rsid w:val="5BB674DE"/>
    <w:rsid w:val="5BBA3AEA"/>
    <w:rsid w:val="5BC14BBB"/>
    <w:rsid w:val="5BC87862"/>
    <w:rsid w:val="5BC97600"/>
    <w:rsid w:val="5BCC5A39"/>
    <w:rsid w:val="5BCE1CD7"/>
    <w:rsid w:val="5BD4669C"/>
    <w:rsid w:val="5BD66170"/>
    <w:rsid w:val="5BE27B75"/>
    <w:rsid w:val="5BE736A0"/>
    <w:rsid w:val="5BED59B0"/>
    <w:rsid w:val="5BEE60EB"/>
    <w:rsid w:val="5BEE6D28"/>
    <w:rsid w:val="5BEF797A"/>
    <w:rsid w:val="5BF32AC7"/>
    <w:rsid w:val="5BF33743"/>
    <w:rsid w:val="5BF64864"/>
    <w:rsid w:val="5BFE7BBD"/>
    <w:rsid w:val="5C0B03CE"/>
    <w:rsid w:val="5C0D1BAE"/>
    <w:rsid w:val="5C117407"/>
    <w:rsid w:val="5C1549F1"/>
    <w:rsid w:val="5C19109B"/>
    <w:rsid w:val="5C19127C"/>
    <w:rsid w:val="5C220FDA"/>
    <w:rsid w:val="5C291E4A"/>
    <w:rsid w:val="5C2C64D8"/>
    <w:rsid w:val="5C3E7830"/>
    <w:rsid w:val="5C3E7FB9"/>
    <w:rsid w:val="5C3F03D6"/>
    <w:rsid w:val="5C413B00"/>
    <w:rsid w:val="5C4F1093"/>
    <w:rsid w:val="5C546B1B"/>
    <w:rsid w:val="5C5C328C"/>
    <w:rsid w:val="5C635731"/>
    <w:rsid w:val="5C636D1A"/>
    <w:rsid w:val="5C6B15B0"/>
    <w:rsid w:val="5C780E51"/>
    <w:rsid w:val="5C78796F"/>
    <w:rsid w:val="5C7B7639"/>
    <w:rsid w:val="5C7C4EE8"/>
    <w:rsid w:val="5C7F7EA7"/>
    <w:rsid w:val="5C841E70"/>
    <w:rsid w:val="5C9B365E"/>
    <w:rsid w:val="5C9C18B0"/>
    <w:rsid w:val="5CA169A2"/>
    <w:rsid w:val="5CAB2517"/>
    <w:rsid w:val="5CAE2473"/>
    <w:rsid w:val="5CB4342D"/>
    <w:rsid w:val="5CB53638"/>
    <w:rsid w:val="5CB87D6C"/>
    <w:rsid w:val="5CBB5855"/>
    <w:rsid w:val="5CBC1FF3"/>
    <w:rsid w:val="5CD06C0A"/>
    <w:rsid w:val="5CD34BA6"/>
    <w:rsid w:val="5CD6104A"/>
    <w:rsid w:val="5CD652D2"/>
    <w:rsid w:val="5CD76F03"/>
    <w:rsid w:val="5CD8410E"/>
    <w:rsid w:val="5CDB3A5A"/>
    <w:rsid w:val="5CDD6211"/>
    <w:rsid w:val="5CDD77D2"/>
    <w:rsid w:val="5CE768A3"/>
    <w:rsid w:val="5CE876D7"/>
    <w:rsid w:val="5CE94D5E"/>
    <w:rsid w:val="5CE96177"/>
    <w:rsid w:val="5CEB1EEF"/>
    <w:rsid w:val="5D012C28"/>
    <w:rsid w:val="5D0265C4"/>
    <w:rsid w:val="5D086F45"/>
    <w:rsid w:val="5D0905C7"/>
    <w:rsid w:val="5D1301BE"/>
    <w:rsid w:val="5D196598"/>
    <w:rsid w:val="5D1A3F40"/>
    <w:rsid w:val="5D1F428F"/>
    <w:rsid w:val="5D1F603D"/>
    <w:rsid w:val="5D245401"/>
    <w:rsid w:val="5D251F34"/>
    <w:rsid w:val="5D261179"/>
    <w:rsid w:val="5D272E97"/>
    <w:rsid w:val="5D283143"/>
    <w:rsid w:val="5D284EF1"/>
    <w:rsid w:val="5D2B5EC0"/>
    <w:rsid w:val="5D3D64C3"/>
    <w:rsid w:val="5D494E68"/>
    <w:rsid w:val="5D4B6E32"/>
    <w:rsid w:val="5D4C41DA"/>
    <w:rsid w:val="5D4E60FF"/>
    <w:rsid w:val="5D5201C0"/>
    <w:rsid w:val="5D521F6E"/>
    <w:rsid w:val="5D531DF9"/>
    <w:rsid w:val="5D5F5465"/>
    <w:rsid w:val="5D654BF5"/>
    <w:rsid w:val="5D662FEB"/>
    <w:rsid w:val="5D8059E4"/>
    <w:rsid w:val="5D8A795A"/>
    <w:rsid w:val="5D8D2FA6"/>
    <w:rsid w:val="5D9002B0"/>
    <w:rsid w:val="5D962BBC"/>
    <w:rsid w:val="5DA27E0A"/>
    <w:rsid w:val="5DA550B9"/>
    <w:rsid w:val="5DAE1F83"/>
    <w:rsid w:val="5DAE3718"/>
    <w:rsid w:val="5DAE60E2"/>
    <w:rsid w:val="5DB32D2F"/>
    <w:rsid w:val="5DB5304E"/>
    <w:rsid w:val="5DB70023"/>
    <w:rsid w:val="5DB75A8D"/>
    <w:rsid w:val="5DB76275"/>
    <w:rsid w:val="5DB765C9"/>
    <w:rsid w:val="5DC204BE"/>
    <w:rsid w:val="5DC42740"/>
    <w:rsid w:val="5DCA5944"/>
    <w:rsid w:val="5DCA7D57"/>
    <w:rsid w:val="5DCF10E6"/>
    <w:rsid w:val="5DCF6BE5"/>
    <w:rsid w:val="5DD07337"/>
    <w:rsid w:val="5DD65FD4"/>
    <w:rsid w:val="5DD9135D"/>
    <w:rsid w:val="5DE80B25"/>
    <w:rsid w:val="5DE87E73"/>
    <w:rsid w:val="5DEB67AC"/>
    <w:rsid w:val="5DF30B3D"/>
    <w:rsid w:val="5DF352C9"/>
    <w:rsid w:val="5DF421AE"/>
    <w:rsid w:val="5DF43025"/>
    <w:rsid w:val="5DF45BF7"/>
    <w:rsid w:val="5DF97FF0"/>
    <w:rsid w:val="5E033269"/>
    <w:rsid w:val="5E063985"/>
    <w:rsid w:val="5E0940D5"/>
    <w:rsid w:val="5E0B036F"/>
    <w:rsid w:val="5E0C65C1"/>
    <w:rsid w:val="5E1361EB"/>
    <w:rsid w:val="5E174DCE"/>
    <w:rsid w:val="5E1B02B2"/>
    <w:rsid w:val="5E2A10B8"/>
    <w:rsid w:val="5E2A3937"/>
    <w:rsid w:val="5E345B18"/>
    <w:rsid w:val="5E37585C"/>
    <w:rsid w:val="5E377918"/>
    <w:rsid w:val="5E385608"/>
    <w:rsid w:val="5E3A4C37"/>
    <w:rsid w:val="5E3E6996"/>
    <w:rsid w:val="5E432FD6"/>
    <w:rsid w:val="5E453881"/>
    <w:rsid w:val="5E4F7668"/>
    <w:rsid w:val="5E587A58"/>
    <w:rsid w:val="5E5A37D0"/>
    <w:rsid w:val="5E5F0DE7"/>
    <w:rsid w:val="5E613959"/>
    <w:rsid w:val="5E622685"/>
    <w:rsid w:val="5E633DBC"/>
    <w:rsid w:val="5E636920"/>
    <w:rsid w:val="5E642A0F"/>
    <w:rsid w:val="5E702CD8"/>
    <w:rsid w:val="5E7334FB"/>
    <w:rsid w:val="5E7F7ED1"/>
    <w:rsid w:val="5E8144B4"/>
    <w:rsid w:val="5E8C325E"/>
    <w:rsid w:val="5E8E347A"/>
    <w:rsid w:val="5E8E6FD6"/>
    <w:rsid w:val="5EA06D09"/>
    <w:rsid w:val="5EA27219"/>
    <w:rsid w:val="5EAA74B3"/>
    <w:rsid w:val="5EAE58CA"/>
    <w:rsid w:val="5EB3162D"/>
    <w:rsid w:val="5EB86749"/>
    <w:rsid w:val="5EB96B3B"/>
    <w:rsid w:val="5EB96C39"/>
    <w:rsid w:val="5EBA5DCB"/>
    <w:rsid w:val="5EBA7610"/>
    <w:rsid w:val="5EBB3B43"/>
    <w:rsid w:val="5EBE3143"/>
    <w:rsid w:val="5EC0115A"/>
    <w:rsid w:val="5EC04B2F"/>
    <w:rsid w:val="5EC21376"/>
    <w:rsid w:val="5EC549C2"/>
    <w:rsid w:val="5EC61658"/>
    <w:rsid w:val="5EC96260"/>
    <w:rsid w:val="5ECE04BF"/>
    <w:rsid w:val="5ED0605C"/>
    <w:rsid w:val="5ED819C3"/>
    <w:rsid w:val="5EDD61AF"/>
    <w:rsid w:val="5EDF0761"/>
    <w:rsid w:val="5EE32DB5"/>
    <w:rsid w:val="5EF05EE3"/>
    <w:rsid w:val="5EF332DD"/>
    <w:rsid w:val="5F003BAB"/>
    <w:rsid w:val="5F021772"/>
    <w:rsid w:val="5F04373C"/>
    <w:rsid w:val="5F056649"/>
    <w:rsid w:val="5F08385D"/>
    <w:rsid w:val="5F1112D5"/>
    <w:rsid w:val="5F1C6CD8"/>
    <w:rsid w:val="5F1D47FE"/>
    <w:rsid w:val="5F1D4AC6"/>
    <w:rsid w:val="5F1F40D2"/>
    <w:rsid w:val="5F21609C"/>
    <w:rsid w:val="5F221E14"/>
    <w:rsid w:val="5F226379"/>
    <w:rsid w:val="5F283CF1"/>
    <w:rsid w:val="5F304531"/>
    <w:rsid w:val="5F365320"/>
    <w:rsid w:val="5F385279"/>
    <w:rsid w:val="5F434264"/>
    <w:rsid w:val="5F48171F"/>
    <w:rsid w:val="5F4C3B4E"/>
    <w:rsid w:val="5F515019"/>
    <w:rsid w:val="5F5A3869"/>
    <w:rsid w:val="5F5C16B6"/>
    <w:rsid w:val="5F5D4BFA"/>
    <w:rsid w:val="5F5F4E16"/>
    <w:rsid w:val="5F677827"/>
    <w:rsid w:val="5F6E5994"/>
    <w:rsid w:val="5F6F7297"/>
    <w:rsid w:val="5F7260F7"/>
    <w:rsid w:val="5F7408C2"/>
    <w:rsid w:val="5F750405"/>
    <w:rsid w:val="5F795039"/>
    <w:rsid w:val="5F7A39FE"/>
    <w:rsid w:val="5F7C16C1"/>
    <w:rsid w:val="5F7F1F09"/>
    <w:rsid w:val="5F8061DC"/>
    <w:rsid w:val="5F853C20"/>
    <w:rsid w:val="5F864A57"/>
    <w:rsid w:val="5F932040"/>
    <w:rsid w:val="5F93256A"/>
    <w:rsid w:val="5F961FA8"/>
    <w:rsid w:val="5F99419E"/>
    <w:rsid w:val="5F9F62B4"/>
    <w:rsid w:val="5FA11208"/>
    <w:rsid w:val="5FAD7983"/>
    <w:rsid w:val="5FAE65A6"/>
    <w:rsid w:val="5FB400D8"/>
    <w:rsid w:val="5FB90159"/>
    <w:rsid w:val="5FCD7FD2"/>
    <w:rsid w:val="5FD41360"/>
    <w:rsid w:val="5FD555D1"/>
    <w:rsid w:val="5FDA440D"/>
    <w:rsid w:val="5FDE722C"/>
    <w:rsid w:val="5FDF0E07"/>
    <w:rsid w:val="5FE07D05"/>
    <w:rsid w:val="5FE1572D"/>
    <w:rsid w:val="5FE315A4"/>
    <w:rsid w:val="5FF04408"/>
    <w:rsid w:val="5FFB7CAC"/>
    <w:rsid w:val="5FFC08B7"/>
    <w:rsid w:val="60002A2E"/>
    <w:rsid w:val="6001133A"/>
    <w:rsid w:val="60043F35"/>
    <w:rsid w:val="600B33AA"/>
    <w:rsid w:val="600C285E"/>
    <w:rsid w:val="600C666F"/>
    <w:rsid w:val="6016402C"/>
    <w:rsid w:val="60200102"/>
    <w:rsid w:val="602F6597"/>
    <w:rsid w:val="60357186"/>
    <w:rsid w:val="603D4D71"/>
    <w:rsid w:val="6042276E"/>
    <w:rsid w:val="604653E5"/>
    <w:rsid w:val="604A517F"/>
    <w:rsid w:val="604C539B"/>
    <w:rsid w:val="604F4E8B"/>
    <w:rsid w:val="6051650D"/>
    <w:rsid w:val="605501FF"/>
    <w:rsid w:val="60572FAA"/>
    <w:rsid w:val="605C4ADC"/>
    <w:rsid w:val="606F4BE5"/>
    <w:rsid w:val="607443E8"/>
    <w:rsid w:val="60751C4E"/>
    <w:rsid w:val="607A3A8D"/>
    <w:rsid w:val="607F0083"/>
    <w:rsid w:val="60844B35"/>
    <w:rsid w:val="608E4DD3"/>
    <w:rsid w:val="60A63791"/>
    <w:rsid w:val="60B116A2"/>
    <w:rsid w:val="60B371C8"/>
    <w:rsid w:val="60C359A0"/>
    <w:rsid w:val="60C543AE"/>
    <w:rsid w:val="60CF38D6"/>
    <w:rsid w:val="60D302A0"/>
    <w:rsid w:val="60D3786A"/>
    <w:rsid w:val="60DC191E"/>
    <w:rsid w:val="60E455D3"/>
    <w:rsid w:val="60E56DAF"/>
    <w:rsid w:val="60E96E13"/>
    <w:rsid w:val="60F03F78"/>
    <w:rsid w:val="60FA6BA5"/>
    <w:rsid w:val="61026CD1"/>
    <w:rsid w:val="610324D9"/>
    <w:rsid w:val="610B0DB2"/>
    <w:rsid w:val="610C68D8"/>
    <w:rsid w:val="61151C31"/>
    <w:rsid w:val="6116029C"/>
    <w:rsid w:val="61256779"/>
    <w:rsid w:val="61271964"/>
    <w:rsid w:val="61291238"/>
    <w:rsid w:val="61354081"/>
    <w:rsid w:val="61363955"/>
    <w:rsid w:val="61371BA7"/>
    <w:rsid w:val="613876CD"/>
    <w:rsid w:val="613C2000"/>
    <w:rsid w:val="614132D9"/>
    <w:rsid w:val="615220B5"/>
    <w:rsid w:val="615D5DA3"/>
    <w:rsid w:val="615E06E9"/>
    <w:rsid w:val="61730098"/>
    <w:rsid w:val="61734267"/>
    <w:rsid w:val="6177545F"/>
    <w:rsid w:val="61794DD5"/>
    <w:rsid w:val="617A1A94"/>
    <w:rsid w:val="617E4AC2"/>
    <w:rsid w:val="617F52FC"/>
    <w:rsid w:val="6183274F"/>
    <w:rsid w:val="618A6A6D"/>
    <w:rsid w:val="61932B55"/>
    <w:rsid w:val="61990EF6"/>
    <w:rsid w:val="619A16EB"/>
    <w:rsid w:val="619C1A0A"/>
    <w:rsid w:val="61A62889"/>
    <w:rsid w:val="61AE5BE1"/>
    <w:rsid w:val="61B52ACC"/>
    <w:rsid w:val="61BA4586"/>
    <w:rsid w:val="61C13B66"/>
    <w:rsid w:val="61CA15DB"/>
    <w:rsid w:val="61CA2A1B"/>
    <w:rsid w:val="61CA7449"/>
    <w:rsid w:val="61CA7F7F"/>
    <w:rsid w:val="61CF0B75"/>
    <w:rsid w:val="61D70C94"/>
    <w:rsid w:val="61EF3F57"/>
    <w:rsid w:val="61F47A98"/>
    <w:rsid w:val="62041AED"/>
    <w:rsid w:val="620A72BB"/>
    <w:rsid w:val="620B4A8A"/>
    <w:rsid w:val="620D7B73"/>
    <w:rsid w:val="62193FA5"/>
    <w:rsid w:val="621B5610"/>
    <w:rsid w:val="62210161"/>
    <w:rsid w:val="622239A1"/>
    <w:rsid w:val="622C5484"/>
    <w:rsid w:val="623954AB"/>
    <w:rsid w:val="624C4D88"/>
    <w:rsid w:val="624D0F41"/>
    <w:rsid w:val="62516C98"/>
    <w:rsid w:val="62595DC8"/>
    <w:rsid w:val="625978FB"/>
    <w:rsid w:val="62644E46"/>
    <w:rsid w:val="62644F08"/>
    <w:rsid w:val="626E6014"/>
    <w:rsid w:val="626F0889"/>
    <w:rsid w:val="627209BD"/>
    <w:rsid w:val="62751974"/>
    <w:rsid w:val="62763A0F"/>
    <w:rsid w:val="627B101C"/>
    <w:rsid w:val="62872D5D"/>
    <w:rsid w:val="62875F69"/>
    <w:rsid w:val="628E2301"/>
    <w:rsid w:val="629372B1"/>
    <w:rsid w:val="62946B85"/>
    <w:rsid w:val="62954B40"/>
    <w:rsid w:val="62960501"/>
    <w:rsid w:val="62960B4F"/>
    <w:rsid w:val="629644DB"/>
    <w:rsid w:val="6299419B"/>
    <w:rsid w:val="62AA0157"/>
    <w:rsid w:val="62AE24E4"/>
    <w:rsid w:val="62AF7E63"/>
    <w:rsid w:val="62C14C31"/>
    <w:rsid w:val="62C51434"/>
    <w:rsid w:val="62CA6A4B"/>
    <w:rsid w:val="62D653F0"/>
    <w:rsid w:val="62D75642"/>
    <w:rsid w:val="62D90ACB"/>
    <w:rsid w:val="62E02F60"/>
    <w:rsid w:val="62E07DDB"/>
    <w:rsid w:val="62E73159"/>
    <w:rsid w:val="62F44046"/>
    <w:rsid w:val="62F97DCA"/>
    <w:rsid w:val="62FA024F"/>
    <w:rsid w:val="63001DEA"/>
    <w:rsid w:val="630E3247"/>
    <w:rsid w:val="630F51DE"/>
    <w:rsid w:val="63181564"/>
    <w:rsid w:val="631B2ABB"/>
    <w:rsid w:val="6320473B"/>
    <w:rsid w:val="63247F09"/>
    <w:rsid w:val="632E7C88"/>
    <w:rsid w:val="6333375C"/>
    <w:rsid w:val="6333639E"/>
    <w:rsid w:val="63360D48"/>
    <w:rsid w:val="63367C3C"/>
    <w:rsid w:val="6337715B"/>
    <w:rsid w:val="633A772C"/>
    <w:rsid w:val="633F7939"/>
    <w:rsid w:val="63462575"/>
    <w:rsid w:val="634F5D02"/>
    <w:rsid w:val="63510F10"/>
    <w:rsid w:val="63530298"/>
    <w:rsid w:val="63565FC5"/>
    <w:rsid w:val="63621B3F"/>
    <w:rsid w:val="63681536"/>
    <w:rsid w:val="636B1BE3"/>
    <w:rsid w:val="63712713"/>
    <w:rsid w:val="63760F72"/>
    <w:rsid w:val="637644DD"/>
    <w:rsid w:val="63765E21"/>
    <w:rsid w:val="63780255"/>
    <w:rsid w:val="637D1D0F"/>
    <w:rsid w:val="63847915"/>
    <w:rsid w:val="638E7A78"/>
    <w:rsid w:val="63930436"/>
    <w:rsid w:val="63983E26"/>
    <w:rsid w:val="639926E5"/>
    <w:rsid w:val="639D5F0D"/>
    <w:rsid w:val="639E2E26"/>
    <w:rsid w:val="63A4729C"/>
    <w:rsid w:val="63A538AB"/>
    <w:rsid w:val="63A63014"/>
    <w:rsid w:val="63AE3540"/>
    <w:rsid w:val="63B76FCF"/>
    <w:rsid w:val="63BA4F4D"/>
    <w:rsid w:val="63BD699F"/>
    <w:rsid w:val="63C1632A"/>
    <w:rsid w:val="63C51472"/>
    <w:rsid w:val="63C62EBC"/>
    <w:rsid w:val="63C74D38"/>
    <w:rsid w:val="63CB4828"/>
    <w:rsid w:val="63D277D8"/>
    <w:rsid w:val="63D50F46"/>
    <w:rsid w:val="63D80CF3"/>
    <w:rsid w:val="63D86339"/>
    <w:rsid w:val="63D87CD9"/>
    <w:rsid w:val="63D87EDF"/>
    <w:rsid w:val="63E148F2"/>
    <w:rsid w:val="63E86885"/>
    <w:rsid w:val="63E94CAF"/>
    <w:rsid w:val="63EC7FBA"/>
    <w:rsid w:val="63ED479F"/>
    <w:rsid w:val="63F20A62"/>
    <w:rsid w:val="63F34F6E"/>
    <w:rsid w:val="63F773CC"/>
    <w:rsid w:val="63F934BB"/>
    <w:rsid w:val="63FA510E"/>
    <w:rsid w:val="63FF2DB6"/>
    <w:rsid w:val="63FF624B"/>
    <w:rsid w:val="64002ACC"/>
    <w:rsid w:val="640544B6"/>
    <w:rsid w:val="64094D7B"/>
    <w:rsid w:val="64124205"/>
    <w:rsid w:val="641715C5"/>
    <w:rsid w:val="64287ECD"/>
    <w:rsid w:val="642C7149"/>
    <w:rsid w:val="642F4DB7"/>
    <w:rsid w:val="64306D81"/>
    <w:rsid w:val="6431601E"/>
    <w:rsid w:val="643423CE"/>
    <w:rsid w:val="643465E7"/>
    <w:rsid w:val="643705E5"/>
    <w:rsid w:val="643906D2"/>
    <w:rsid w:val="643F04EE"/>
    <w:rsid w:val="644665A5"/>
    <w:rsid w:val="644D6D40"/>
    <w:rsid w:val="64601415"/>
    <w:rsid w:val="64624D69"/>
    <w:rsid w:val="646436E7"/>
    <w:rsid w:val="64656A2B"/>
    <w:rsid w:val="646709F5"/>
    <w:rsid w:val="646E5883"/>
    <w:rsid w:val="646F1AF7"/>
    <w:rsid w:val="64813139"/>
    <w:rsid w:val="64835103"/>
    <w:rsid w:val="64852C29"/>
    <w:rsid w:val="64994F49"/>
    <w:rsid w:val="64A136AC"/>
    <w:rsid w:val="64A21A2D"/>
    <w:rsid w:val="64AE7728"/>
    <w:rsid w:val="64B32596"/>
    <w:rsid w:val="64B41760"/>
    <w:rsid w:val="64B8268C"/>
    <w:rsid w:val="64BA0954"/>
    <w:rsid w:val="64BF0FBE"/>
    <w:rsid w:val="64C44CD1"/>
    <w:rsid w:val="64C46B0F"/>
    <w:rsid w:val="64C522CA"/>
    <w:rsid w:val="64D424D6"/>
    <w:rsid w:val="64D67929"/>
    <w:rsid w:val="64D771FD"/>
    <w:rsid w:val="64E071AF"/>
    <w:rsid w:val="64E32C5E"/>
    <w:rsid w:val="64E8140A"/>
    <w:rsid w:val="64ED4F09"/>
    <w:rsid w:val="64F03BC7"/>
    <w:rsid w:val="64F43620"/>
    <w:rsid w:val="65045DB0"/>
    <w:rsid w:val="65071940"/>
    <w:rsid w:val="650F6997"/>
    <w:rsid w:val="6511319C"/>
    <w:rsid w:val="6518528B"/>
    <w:rsid w:val="651E61C1"/>
    <w:rsid w:val="65293EFC"/>
    <w:rsid w:val="6531690D"/>
    <w:rsid w:val="65393A14"/>
    <w:rsid w:val="6542775B"/>
    <w:rsid w:val="65431339"/>
    <w:rsid w:val="654E692B"/>
    <w:rsid w:val="654F1F61"/>
    <w:rsid w:val="655705B1"/>
    <w:rsid w:val="655C5D16"/>
    <w:rsid w:val="655D7702"/>
    <w:rsid w:val="655F791E"/>
    <w:rsid w:val="6568776A"/>
    <w:rsid w:val="65705687"/>
    <w:rsid w:val="65750352"/>
    <w:rsid w:val="657607C4"/>
    <w:rsid w:val="65836D12"/>
    <w:rsid w:val="65864EAB"/>
    <w:rsid w:val="658B0713"/>
    <w:rsid w:val="659063F4"/>
    <w:rsid w:val="659118B3"/>
    <w:rsid w:val="6593581A"/>
    <w:rsid w:val="659B21C9"/>
    <w:rsid w:val="659D1F70"/>
    <w:rsid w:val="659F468D"/>
    <w:rsid w:val="65A2780B"/>
    <w:rsid w:val="65A62C9B"/>
    <w:rsid w:val="65A92FAE"/>
    <w:rsid w:val="65AA63F8"/>
    <w:rsid w:val="65AC247B"/>
    <w:rsid w:val="65AD68DC"/>
    <w:rsid w:val="65B53815"/>
    <w:rsid w:val="65BC08CD"/>
    <w:rsid w:val="65BD6A44"/>
    <w:rsid w:val="65C06470"/>
    <w:rsid w:val="65C2496A"/>
    <w:rsid w:val="65C351BB"/>
    <w:rsid w:val="65C66DE5"/>
    <w:rsid w:val="65CA2388"/>
    <w:rsid w:val="65CC7862"/>
    <w:rsid w:val="65D025CA"/>
    <w:rsid w:val="65D113C0"/>
    <w:rsid w:val="65DC0B22"/>
    <w:rsid w:val="65EF6404"/>
    <w:rsid w:val="65F2123A"/>
    <w:rsid w:val="65F536CD"/>
    <w:rsid w:val="65F55B8D"/>
    <w:rsid w:val="65FC33BF"/>
    <w:rsid w:val="660226AB"/>
    <w:rsid w:val="660D7EB0"/>
    <w:rsid w:val="661A3845"/>
    <w:rsid w:val="661B742B"/>
    <w:rsid w:val="661C136B"/>
    <w:rsid w:val="66287D10"/>
    <w:rsid w:val="66293280"/>
    <w:rsid w:val="662E79F1"/>
    <w:rsid w:val="66310F23"/>
    <w:rsid w:val="66317051"/>
    <w:rsid w:val="6635242D"/>
    <w:rsid w:val="663D12E2"/>
    <w:rsid w:val="66405A84"/>
    <w:rsid w:val="664F101C"/>
    <w:rsid w:val="664F20B3"/>
    <w:rsid w:val="665A7595"/>
    <w:rsid w:val="666351EC"/>
    <w:rsid w:val="66635B0A"/>
    <w:rsid w:val="66644AC0"/>
    <w:rsid w:val="66666A8A"/>
    <w:rsid w:val="666D606B"/>
    <w:rsid w:val="666F3B91"/>
    <w:rsid w:val="66715E0B"/>
    <w:rsid w:val="667271DD"/>
    <w:rsid w:val="667319A4"/>
    <w:rsid w:val="66756CCD"/>
    <w:rsid w:val="667C4B77"/>
    <w:rsid w:val="66803AAF"/>
    <w:rsid w:val="66897503"/>
    <w:rsid w:val="668B71A8"/>
    <w:rsid w:val="668D04BB"/>
    <w:rsid w:val="669B6734"/>
    <w:rsid w:val="66A2330F"/>
    <w:rsid w:val="66A75624"/>
    <w:rsid w:val="66A80E51"/>
    <w:rsid w:val="66A920C0"/>
    <w:rsid w:val="66BF4FDA"/>
    <w:rsid w:val="66C70D78"/>
    <w:rsid w:val="66CA7019"/>
    <w:rsid w:val="66CD600C"/>
    <w:rsid w:val="66CD6B09"/>
    <w:rsid w:val="66CF2882"/>
    <w:rsid w:val="66D00171"/>
    <w:rsid w:val="66D4777E"/>
    <w:rsid w:val="66D659BE"/>
    <w:rsid w:val="66D86382"/>
    <w:rsid w:val="66DD5FDE"/>
    <w:rsid w:val="66E271D2"/>
    <w:rsid w:val="66EC51E2"/>
    <w:rsid w:val="66EF2FE9"/>
    <w:rsid w:val="66F0180B"/>
    <w:rsid w:val="66F42D2C"/>
    <w:rsid w:val="66F83536"/>
    <w:rsid w:val="670342D9"/>
    <w:rsid w:val="670631BF"/>
    <w:rsid w:val="67074455"/>
    <w:rsid w:val="670C7632"/>
    <w:rsid w:val="670D5158"/>
    <w:rsid w:val="67114C48"/>
    <w:rsid w:val="67144738"/>
    <w:rsid w:val="671A7EAE"/>
    <w:rsid w:val="671D539B"/>
    <w:rsid w:val="671E4E99"/>
    <w:rsid w:val="672631B5"/>
    <w:rsid w:val="6727446C"/>
    <w:rsid w:val="67283D40"/>
    <w:rsid w:val="672A7AB8"/>
    <w:rsid w:val="672E57FA"/>
    <w:rsid w:val="67442936"/>
    <w:rsid w:val="674C5C80"/>
    <w:rsid w:val="6759120B"/>
    <w:rsid w:val="675C2354"/>
    <w:rsid w:val="67623ACD"/>
    <w:rsid w:val="676254A4"/>
    <w:rsid w:val="67651FE6"/>
    <w:rsid w:val="676866AB"/>
    <w:rsid w:val="67780823"/>
    <w:rsid w:val="677C345E"/>
    <w:rsid w:val="677D5E3A"/>
    <w:rsid w:val="677E1BB2"/>
    <w:rsid w:val="677F29B5"/>
    <w:rsid w:val="67845BDC"/>
    <w:rsid w:val="678D7564"/>
    <w:rsid w:val="67924365"/>
    <w:rsid w:val="67A27F96"/>
    <w:rsid w:val="67AA2F1A"/>
    <w:rsid w:val="67AD24E6"/>
    <w:rsid w:val="67B43172"/>
    <w:rsid w:val="67B5357F"/>
    <w:rsid w:val="67B6134C"/>
    <w:rsid w:val="67B87BBC"/>
    <w:rsid w:val="67C13D0D"/>
    <w:rsid w:val="67C27CF0"/>
    <w:rsid w:val="67C50C16"/>
    <w:rsid w:val="67C7163F"/>
    <w:rsid w:val="67C779FD"/>
    <w:rsid w:val="67C957BE"/>
    <w:rsid w:val="67CC6DC1"/>
    <w:rsid w:val="67CE0D8B"/>
    <w:rsid w:val="67CF59BA"/>
    <w:rsid w:val="67D45554"/>
    <w:rsid w:val="67DD0FCE"/>
    <w:rsid w:val="67DF08A2"/>
    <w:rsid w:val="67E603A1"/>
    <w:rsid w:val="67E73BFB"/>
    <w:rsid w:val="67E92A3F"/>
    <w:rsid w:val="67E97973"/>
    <w:rsid w:val="67F307F2"/>
    <w:rsid w:val="67FA56DC"/>
    <w:rsid w:val="67FB3202"/>
    <w:rsid w:val="680B2AE2"/>
    <w:rsid w:val="68190258"/>
    <w:rsid w:val="68197D1D"/>
    <w:rsid w:val="681A7646"/>
    <w:rsid w:val="68265419"/>
    <w:rsid w:val="68287796"/>
    <w:rsid w:val="682B66F0"/>
    <w:rsid w:val="682E5386"/>
    <w:rsid w:val="683141AE"/>
    <w:rsid w:val="683769C5"/>
    <w:rsid w:val="683869DF"/>
    <w:rsid w:val="68394457"/>
    <w:rsid w:val="683B0442"/>
    <w:rsid w:val="683E1289"/>
    <w:rsid w:val="6842031B"/>
    <w:rsid w:val="684626D0"/>
    <w:rsid w:val="6848469A"/>
    <w:rsid w:val="684F0D74"/>
    <w:rsid w:val="68525518"/>
    <w:rsid w:val="685C7FAA"/>
    <w:rsid w:val="68644AFB"/>
    <w:rsid w:val="686E1C26"/>
    <w:rsid w:val="68752FB5"/>
    <w:rsid w:val="6881195A"/>
    <w:rsid w:val="68866F70"/>
    <w:rsid w:val="688B39BB"/>
    <w:rsid w:val="688D02FE"/>
    <w:rsid w:val="6895087B"/>
    <w:rsid w:val="689A4E04"/>
    <w:rsid w:val="68AA5354"/>
    <w:rsid w:val="68AD6633"/>
    <w:rsid w:val="68AF296B"/>
    <w:rsid w:val="68B015C8"/>
    <w:rsid w:val="68B25FB7"/>
    <w:rsid w:val="68B27D65"/>
    <w:rsid w:val="68B66089"/>
    <w:rsid w:val="68B9093A"/>
    <w:rsid w:val="68BD5959"/>
    <w:rsid w:val="68C50DC0"/>
    <w:rsid w:val="68C74541"/>
    <w:rsid w:val="68CA50AF"/>
    <w:rsid w:val="68CD0327"/>
    <w:rsid w:val="68CF19C3"/>
    <w:rsid w:val="68D75A1D"/>
    <w:rsid w:val="68DA610F"/>
    <w:rsid w:val="68E343C2"/>
    <w:rsid w:val="68EB3277"/>
    <w:rsid w:val="68EC3896"/>
    <w:rsid w:val="68EF3D79"/>
    <w:rsid w:val="68F720F9"/>
    <w:rsid w:val="68FB3547"/>
    <w:rsid w:val="69034A64"/>
    <w:rsid w:val="690906E0"/>
    <w:rsid w:val="690F3409"/>
    <w:rsid w:val="690F7CE8"/>
    <w:rsid w:val="69146C72"/>
    <w:rsid w:val="691B590A"/>
    <w:rsid w:val="691B5B9B"/>
    <w:rsid w:val="69200229"/>
    <w:rsid w:val="692769A5"/>
    <w:rsid w:val="69286279"/>
    <w:rsid w:val="692C5D69"/>
    <w:rsid w:val="69324AFE"/>
    <w:rsid w:val="69335A4E"/>
    <w:rsid w:val="69375810"/>
    <w:rsid w:val="69383054"/>
    <w:rsid w:val="6938470E"/>
    <w:rsid w:val="69434E61"/>
    <w:rsid w:val="69472D1F"/>
    <w:rsid w:val="69474951"/>
    <w:rsid w:val="69482477"/>
    <w:rsid w:val="694C39D8"/>
    <w:rsid w:val="694E2C90"/>
    <w:rsid w:val="695452C0"/>
    <w:rsid w:val="69586B5E"/>
    <w:rsid w:val="695E05FA"/>
    <w:rsid w:val="695E52C5"/>
    <w:rsid w:val="695E550D"/>
    <w:rsid w:val="695F613F"/>
    <w:rsid w:val="696B5954"/>
    <w:rsid w:val="69752779"/>
    <w:rsid w:val="697832A0"/>
    <w:rsid w:val="698E07D2"/>
    <w:rsid w:val="698F00A6"/>
    <w:rsid w:val="69931B43"/>
    <w:rsid w:val="699B4C9D"/>
    <w:rsid w:val="699F1D7B"/>
    <w:rsid w:val="699F29DF"/>
    <w:rsid w:val="69A037F9"/>
    <w:rsid w:val="69A566DF"/>
    <w:rsid w:val="69A91168"/>
    <w:rsid w:val="69A9560C"/>
    <w:rsid w:val="69B05298"/>
    <w:rsid w:val="69B1777C"/>
    <w:rsid w:val="69B47B0D"/>
    <w:rsid w:val="69B61AD7"/>
    <w:rsid w:val="69BA7484"/>
    <w:rsid w:val="69BB3E80"/>
    <w:rsid w:val="69C43D81"/>
    <w:rsid w:val="69C51E99"/>
    <w:rsid w:val="69C72D1C"/>
    <w:rsid w:val="69CF4947"/>
    <w:rsid w:val="69D02B99"/>
    <w:rsid w:val="69D30B2A"/>
    <w:rsid w:val="69DF3FA1"/>
    <w:rsid w:val="69E20B1E"/>
    <w:rsid w:val="69E55F18"/>
    <w:rsid w:val="69E71136"/>
    <w:rsid w:val="69E91EAC"/>
    <w:rsid w:val="69F148BD"/>
    <w:rsid w:val="69F625DD"/>
    <w:rsid w:val="69F813CD"/>
    <w:rsid w:val="69FE0990"/>
    <w:rsid w:val="6A003E96"/>
    <w:rsid w:val="6A014BEB"/>
    <w:rsid w:val="6A07714C"/>
    <w:rsid w:val="6A0875C3"/>
    <w:rsid w:val="6A0C16F7"/>
    <w:rsid w:val="6A116D0D"/>
    <w:rsid w:val="6A131666"/>
    <w:rsid w:val="6A1D220E"/>
    <w:rsid w:val="6A2040BB"/>
    <w:rsid w:val="6A213E02"/>
    <w:rsid w:val="6A223093"/>
    <w:rsid w:val="6A236737"/>
    <w:rsid w:val="6A240245"/>
    <w:rsid w:val="6A246A40"/>
    <w:rsid w:val="6A291C3D"/>
    <w:rsid w:val="6A2B00C7"/>
    <w:rsid w:val="6A2B337B"/>
    <w:rsid w:val="6A2F78E9"/>
    <w:rsid w:val="6A3B3D8A"/>
    <w:rsid w:val="6A4315BC"/>
    <w:rsid w:val="6A447632"/>
    <w:rsid w:val="6A470981"/>
    <w:rsid w:val="6A4E3ABD"/>
    <w:rsid w:val="6A501ECC"/>
    <w:rsid w:val="6A502D67"/>
    <w:rsid w:val="6A503CD9"/>
    <w:rsid w:val="6A5135AE"/>
    <w:rsid w:val="6A53455C"/>
    <w:rsid w:val="6A55309E"/>
    <w:rsid w:val="6A565A24"/>
    <w:rsid w:val="6A5C442C"/>
    <w:rsid w:val="6A5D2611"/>
    <w:rsid w:val="6A5E33F1"/>
    <w:rsid w:val="6A5E607B"/>
    <w:rsid w:val="6A6652AB"/>
    <w:rsid w:val="6A6A1B43"/>
    <w:rsid w:val="6A6D03E7"/>
    <w:rsid w:val="6A6D488B"/>
    <w:rsid w:val="6A6D6639"/>
    <w:rsid w:val="6A710EC5"/>
    <w:rsid w:val="6A7D43A3"/>
    <w:rsid w:val="6A883473"/>
    <w:rsid w:val="6A8B4D12"/>
    <w:rsid w:val="6A8D0C5A"/>
    <w:rsid w:val="6A8F4802"/>
    <w:rsid w:val="6A9330CB"/>
    <w:rsid w:val="6A975464"/>
    <w:rsid w:val="6A9A7F29"/>
    <w:rsid w:val="6A9D5571"/>
    <w:rsid w:val="6A9E67F3"/>
    <w:rsid w:val="6ABC136F"/>
    <w:rsid w:val="6ABE0E9D"/>
    <w:rsid w:val="6AC00E5F"/>
    <w:rsid w:val="6AC07BC2"/>
    <w:rsid w:val="6AC36259"/>
    <w:rsid w:val="6AC51CB0"/>
    <w:rsid w:val="6AD62431"/>
    <w:rsid w:val="6ADE3093"/>
    <w:rsid w:val="6AE62525"/>
    <w:rsid w:val="6AEF27D0"/>
    <w:rsid w:val="6AF208ED"/>
    <w:rsid w:val="6AF418E1"/>
    <w:rsid w:val="6AF44665"/>
    <w:rsid w:val="6AF53CF2"/>
    <w:rsid w:val="6AF63BAB"/>
    <w:rsid w:val="6AF6662F"/>
    <w:rsid w:val="6AF705F9"/>
    <w:rsid w:val="6AFF22A6"/>
    <w:rsid w:val="6B022677"/>
    <w:rsid w:val="6B04242C"/>
    <w:rsid w:val="6B0D7E9E"/>
    <w:rsid w:val="6B0E1F59"/>
    <w:rsid w:val="6B123161"/>
    <w:rsid w:val="6B160FAE"/>
    <w:rsid w:val="6B19056F"/>
    <w:rsid w:val="6B2018FE"/>
    <w:rsid w:val="6B2510BF"/>
    <w:rsid w:val="6B2A1EAA"/>
    <w:rsid w:val="6B310358"/>
    <w:rsid w:val="6B392F68"/>
    <w:rsid w:val="6B431E11"/>
    <w:rsid w:val="6B433C63"/>
    <w:rsid w:val="6B5275DD"/>
    <w:rsid w:val="6B531B61"/>
    <w:rsid w:val="6B593BDA"/>
    <w:rsid w:val="6B5D42BC"/>
    <w:rsid w:val="6B5D66AE"/>
    <w:rsid w:val="6B5E75F1"/>
    <w:rsid w:val="6B626B5A"/>
    <w:rsid w:val="6B652F8C"/>
    <w:rsid w:val="6B675FF6"/>
    <w:rsid w:val="6B686E01"/>
    <w:rsid w:val="6B6C069F"/>
    <w:rsid w:val="6B6E068D"/>
    <w:rsid w:val="6B777A22"/>
    <w:rsid w:val="6B7D28AC"/>
    <w:rsid w:val="6B7E66E0"/>
    <w:rsid w:val="6B7F7BA4"/>
    <w:rsid w:val="6B813847"/>
    <w:rsid w:val="6B826114"/>
    <w:rsid w:val="6B866693"/>
    <w:rsid w:val="6B8D0D5A"/>
    <w:rsid w:val="6B8D52DF"/>
    <w:rsid w:val="6B923E7E"/>
    <w:rsid w:val="6B952015"/>
    <w:rsid w:val="6B964002"/>
    <w:rsid w:val="6B9D2F4E"/>
    <w:rsid w:val="6B9F6CC6"/>
    <w:rsid w:val="6BA122B9"/>
    <w:rsid w:val="6BA37E39"/>
    <w:rsid w:val="6BA73DCD"/>
    <w:rsid w:val="6BAF008F"/>
    <w:rsid w:val="6BB03A43"/>
    <w:rsid w:val="6BB627B8"/>
    <w:rsid w:val="6BB64D1E"/>
    <w:rsid w:val="6BC833B1"/>
    <w:rsid w:val="6BCB0B32"/>
    <w:rsid w:val="6BD526E8"/>
    <w:rsid w:val="6BDD2B5A"/>
    <w:rsid w:val="6BE04BE9"/>
    <w:rsid w:val="6BE20961"/>
    <w:rsid w:val="6BE40B7D"/>
    <w:rsid w:val="6BE55C8C"/>
    <w:rsid w:val="6BE648F5"/>
    <w:rsid w:val="6BE75F78"/>
    <w:rsid w:val="6BE97AB5"/>
    <w:rsid w:val="6BEC065F"/>
    <w:rsid w:val="6BED3E6A"/>
    <w:rsid w:val="6BF27C34"/>
    <w:rsid w:val="6BF30DC0"/>
    <w:rsid w:val="6BFD1C3F"/>
    <w:rsid w:val="6C046B2A"/>
    <w:rsid w:val="6C170751"/>
    <w:rsid w:val="6C223454"/>
    <w:rsid w:val="6C2942A7"/>
    <w:rsid w:val="6C2B1C5F"/>
    <w:rsid w:val="6C3402B0"/>
    <w:rsid w:val="6C34303A"/>
    <w:rsid w:val="6C3460E5"/>
    <w:rsid w:val="6C3467DC"/>
    <w:rsid w:val="6C376EFF"/>
    <w:rsid w:val="6C3C1BEC"/>
    <w:rsid w:val="6C4314E2"/>
    <w:rsid w:val="6C431509"/>
    <w:rsid w:val="6C43155B"/>
    <w:rsid w:val="6C4C3FC0"/>
    <w:rsid w:val="6C4E35E5"/>
    <w:rsid w:val="6C4E49A1"/>
    <w:rsid w:val="6C503059"/>
    <w:rsid w:val="6C5555D7"/>
    <w:rsid w:val="6C5A30D4"/>
    <w:rsid w:val="6C6677E4"/>
    <w:rsid w:val="6C6C46CF"/>
    <w:rsid w:val="6C6D2921"/>
    <w:rsid w:val="6C733C7B"/>
    <w:rsid w:val="6C7672FB"/>
    <w:rsid w:val="6C7812C6"/>
    <w:rsid w:val="6C7C7008"/>
    <w:rsid w:val="6C87482C"/>
    <w:rsid w:val="6C8C6B1F"/>
    <w:rsid w:val="6C8E2897"/>
    <w:rsid w:val="6C8F51D3"/>
    <w:rsid w:val="6C9F4AA4"/>
    <w:rsid w:val="6CA01D88"/>
    <w:rsid w:val="6CAA2A31"/>
    <w:rsid w:val="6CAA6DD3"/>
    <w:rsid w:val="6CB56076"/>
    <w:rsid w:val="6CC111D6"/>
    <w:rsid w:val="6CC12C6C"/>
    <w:rsid w:val="6CC4275D"/>
    <w:rsid w:val="6CC63795"/>
    <w:rsid w:val="6CCB3AEB"/>
    <w:rsid w:val="6CDB3C02"/>
    <w:rsid w:val="6CDC3602"/>
    <w:rsid w:val="6CE03690"/>
    <w:rsid w:val="6CE07597"/>
    <w:rsid w:val="6CE66B6E"/>
    <w:rsid w:val="6CED3A62"/>
    <w:rsid w:val="6CF05300"/>
    <w:rsid w:val="6CF100B0"/>
    <w:rsid w:val="6CF40CFE"/>
    <w:rsid w:val="6CF803C4"/>
    <w:rsid w:val="6D003A4F"/>
    <w:rsid w:val="6D0C7806"/>
    <w:rsid w:val="6D1F1741"/>
    <w:rsid w:val="6D2F66B9"/>
    <w:rsid w:val="6D3451EC"/>
    <w:rsid w:val="6D392803"/>
    <w:rsid w:val="6D4D4500"/>
    <w:rsid w:val="6D4D71AC"/>
    <w:rsid w:val="6D5044B4"/>
    <w:rsid w:val="6D533F13"/>
    <w:rsid w:val="6D5874DD"/>
    <w:rsid w:val="6D59032B"/>
    <w:rsid w:val="6D5B4E6F"/>
    <w:rsid w:val="6D5D3014"/>
    <w:rsid w:val="6D5E0537"/>
    <w:rsid w:val="6D666989"/>
    <w:rsid w:val="6D6C16E7"/>
    <w:rsid w:val="6D77157D"/>
    <w:rsid w:val="6D7C15AC"/>
    <w:rsid w:val="6D7E46BA"/>
    <w:rsid w:val="6D814E03"/>
    <w:rsid w:val="6D8C4707"/>
    <w:rsid w:val="6D9143ED"/>
    <w:rsid w:val="6D965EA7"/>
    <w:rsid w:val="6D9756F1"/>
    <w:rsid w:val="6D9D5488"/>
    <w:rsid w:val="6D9E4D5C"/>
    <w:rsid w:val="6D9F2AC9"/>
    <w:rsid w:val="6DA42BB4"/>
    <w:rsid w:val="6DAA0B17"/>
    <w:rsid w:val="6DAC56CB"/>
    <w:rsid w:val="6DB27667"/>
    <w:rsid w:val="6DC24EEE"/>
    <w:rsid w:val="6DC76061"/>
    <w:rsid w:val="6DCC5A70"/>
    <w:rsid w:val="6DCE5641"/>
    <w:rsid w:val="6DCE5684"/>
    <w:rsid w:val="6DD03C8F"/>
    <w:rsid w:val="6DD24A05"/>
    <w:rsid w:val="6DD644F6"/>
    <w:rsid w:val="6DD662A4"/>
    <w:rsid w:val="6DD844D7"/>
    <w:rsid w:val="6DD93FE6"/>
    <w:rsid w:val="6DDD3AD6"/>
    <w:rsid w:val="6DF42BCE"/>
    <w:rsid w:val="6DF70379"/>
    <w:rsid w:val="6DFB21AE"/>
    <w:rsid w:val="6E012444"/>
    <w:rsid w:val="6E041063"/>
    <w:rsid w:val="6E0631F8"/>
    <w:rsid w:val="6E095716"/>
    <w:rsid w:val="6E097153"/>
    <w:rsid w:val="6E0B75D2"/>
    <w:rsid w:val="6E0E0133"/>
    <w:rsid w:val="6E104660"/>
    <w:rsid w:val="6E124AB5"/>
    <w:rsid w:val="6E127427"/>
    <w:rsid w:val="6E132123"/>
    <w:rsid w:val="6E1644A4"/>
    <w:rsid w:val="6E1B45FE"/>
    <w:rsid w:val="6E237F73"/>
    <w:rsid w:val="6E274B30"/>
    <w:rsid w:val="6E3925DC"/>
    <w:rsid w:val="6E472440"/>
    <w:rsid w:val="6E4A67AD"/>
    <w:rsid w:val="6E4E3D24"/>
    <w:rsid w:val="6E503B34"/>
    <w:rsid w:val="6E511C40"/>
    <w:rsid w:val="6E531FEA"/>
    <w:rsid w:val="6E572038"/>
    <w:rsid w:val="6E5A5127"/>
    <w:rsid w:val="6E5B5A25"/>
    <w:rsid w:val="6E6B148D"/>
    <w:rsid w:val="6E6E0BD2"/>
    <w:rsid w:val="6E6F28B5"/>
    <w:rsid w:val="6E8013D0"/>
    <w:rsid w:val="6E82560D"/>
    <w:rsid w:val="6E873420"/>
    <w:rsid w:val="6E873A42"/>
    <w:rsid w:val="6EA168B2"/>
    <w:rsid w:val="6EA63EC8"/>
    <w:rsid w:val="6EA8659C"/>
    <w:rsid w:val="6EAE5472"/>
    <w:rsid w:val="6EB8009F"/>
    <w:rsid w:val="6EB91CBE"/>
    <w:rsid w:val="6EBB6BBE"/>
    <w:rsid w:val="6EC668B9"/>
    <w:rsid w:val="6ECB50A3"/>
    <w:rsid w:val="6ED30A35"/>
    <w:rsid w:val="6ED63694"/>
    <w:rsid w:val="6ED6693F"/>
    <w:rsid w:val="6ED87134"/>
    <w:rsid w:val="6ED947B8"/>
    <w:rsid w:val="6EE92007"/>
    <w:rsid w:val="6EEA450B"/>
    <w:rsid w:val="6EEF0B8D"/>
    <w:rsid w:val="6EF20A75"/>
    <w:rsid w:val="6EF90AB4"/>
    <w:rsid w:val="6EFC6B33"/>
    <w:rsid w:val="6EFF10BC"/>
    <w:rsid w:val="6F0137AE"/>
    <w:rsid w:val="6F0921B3"/>
    <w:rsid w:val="6F102E94"/>
    <w:rsid w:val="6F125A01"/>
    <w:rsid w:val="6F152DFC"/>
    <w:rsid w:val="6F1B16C0"/>
    <w:rsid w:val="6F1B2B08"/>
    <w:rsid w:val="6F1B2B3E"/>
    <w:rsid w:val="6F1E1A92"/>
    <w:rsid w:val="6F224860"/>
    <w:rsid w:val="6F226265"/>
    <w:rsid w:val="6F280D81"/>
    <w:rsid w:val="6F294DE9"/>
    <w:rsid w:val="6F2D45E9"/>
    <w:rsid w:val="6F4247A9"/>
    <w:rsid w:val="6F437969"/>
    <w:rsid w:val="6F44570A"/>
    <w:rsid w:val="6F48711D"/>
    <w:rsid w:val="6F510DFC"/>
    <w:rsid w:val="6F51652A"/>
    <w:rsid w:val="6F583E39"/>
    <w:rsid w:val="6F5C4ECE"/>
    <w:rsid w:val="6F667AFB"/>
    <w:rsid w:val="6F672FA0"/>
    <w:rsid w:val="6F681671"/>
    <w:rsid w:val="6F8C69E4"/>
    <w:rsid w:val="6F8F7052"/>
    <w:rsid w:val="6F95074E"/>
    <w:rsid w:val="6F985884"/>
    <w:rsid w:val="6F9A6D64"/>
    <w:rsid w:val="6F9D176F"/>
    <w:rsid w:val="6FA00802"/>
    <w:rsid w:val="6FA04DBB"/>
    <w:rsid w:val="6FA348AB"/>
    <w:rsid w:val="6FA629D9"/>
    <w:rsid w:val="6FA661DE"/>
    <w:rsid w:val="6FA7439C"/>
    <w:rsid w:val="6FA75B64"/>
    <w:rsid w:val="6FAB3C50"/>
    <w:rsid w:val="6FAE0D28"/>
    <w:rsid w:val="6FB16FC8"/>
    <w:rsid w:val="6FB22B06"/>
    <w:rsid w:val="6FB33D05"/>
    <w:rsid w:val="6FB57FD6"/>
    <w:rsid w:val="6FB865A9"/>
    <w:rsid w:val="6FBC1EE4"/>
    <w:rsid w:val="6FBD487E"/>
    <w:rsid w:val="6FC565D0"/>
    <w:rsid w:val="6FC9503B"/>
    <w:rsid w:val="6FCA62DC"/>
    <w:rsid w:val="6FCC37D8"/>
    <w:rsid w:val="6FD26D2B"/>
    <w:rsid w:val="6FED1F3B"/>
    <w:rsid w:val="6FEF31AF"/>
    <w:rsid w:val="6FF227A9"/>
    <w:rsid w:val="6FF330E8"/>
    <w:rsid w:val="6FF9096F"/>
    <w:rsid w:val="7000585A"/>
    <w:rsid w:val="700A0487"/>
    <w:rsid w:val="700A66D9"/>
    <w:rsid w:val="700E441B"/>
    <w:rsid w:val="70137F91"/>
    <w:rsid w:val="701A2FA8"/>
    <w:rsid w:val="701E4A76"/>
    <w:rsid w:val="701E7C9C"/>
    <w:rsid w:val="7020378A"/>
    <w:rsid w:val="70205EFC"/>
    <w:rsid w:val="70212F2D"/>
    <w:rsid w:val="70246F97"/>
    <w:rsid w:val="7026092B"/>
    <w:rsid w:val="703025E3"/>
    <w:rsid w:val="703407BE"/>
    <w:rsid w:val="703463DA"/>
    <w:rsid w:val="703D41D4"/>
    <w:rsid w:val="7040659E"/>
    <w:rsid w:val="70441BEA"/>
    <w:rsid w:val="70465FD9"/>
    <w:rsid w:val="70495453"/>
    <w:rsid w:val="704E53B5"/>
    <w:rsid w:val="705160B5"/>
    <w:rsid w:val="70523932"/>
    <w:rsid w:val="705502D7"/>
    <w:rsid w:val="705636CC"/>
    <w:rsid w:val="7060187B"/>
    <w:rsid w:val="706C2EEF"/>
    <w:rsid w:val="70730161"/>
    <w:rsid w:val="707376DD"/>
    <w:rsid w:val="7075449A"/>
    <w:rsid w:val="70755680"/>
    <w:rsid w:val="707F0E75"/>
    <w:rsid w:val="707F2C23"/>
    <w:rsid w:val="70800F28"/>
    <w:rsid w:val="70974410"/>
    <w:rsid w:val="70A16A2A"/>
    <w:rsid w:val="70AB1C6A"/>
    <w:rsid w:val="70AC477F"/>
    <w:rsid w:val="70B53755"/>
    <w:rsid w:val="70B623BC"/>
    <w:rsid w:val="70B95913"/>
    <w:rsid w:val="70BC499E"/>
    <w:rsid w:val="70BE7E62"/>
    <w:rsid w:val="70C1148D"/>
    <w:rsid w:val="70C525FF"/>
    <w:rsid w:val="70D13822"/>
    <w:rsid w:val="70D40854"/>
    <w:rsid w:val="70D7309D"/>
    <w:rsid w:val="70DF36C1"/>
    <w:rsid w:val="70E46F2A"/>
    <w:rsid w:val="70F35943"/>
    <w:rsid w:val="70F64956"/>
    <w:rsid w:val="70F80C27"/>
    <w:rsid w:val="70FC0717"/>
    <w:rsid w:val="70FC4273"/>
    <w:rsid w:val="70FF1FB5"/>
    <w:rsid w:val="7101188A"/>
    <w:rsid w:val="71034B09"/>
    <w:rsid w:val="71066EA0"/>
    <w:rsid w:val="710E07AD"/>
    <w:rsid w:val="71107D1F"/>
    <w:rsid w:val="7119270D"/>
    <w:rsid w:val="711B3B54"/>
    <w:rsid w:val="711E1EDD"/>
    <w:rsid w:val="71203125"/>
    <w:rsid w:val="71272586"/>
    <w:rsid w:val="712C7067"/>
    <w:rsid w:val="713B6CCF"/>
    <w:rsid w:val="715054E2"/>
    <w:rsid w:val="71534142"/>
    <w:rsid w:val="71534C5E"/>
    <w:rsid w:val="71545F00"/>
    <w:rsid w:val="715460FC"/>
    <w:rsid w:val="71557E27"/>
    <w:rsid w:val="71566EDB"/>
    <w:rsid w:val="715B42B1"/>
    <w:rsid w:val="715C2428"/>
    <w:rsid w:val="715E4F2E"/>
    <w:rsid w:val="715E6CDC"/>
    <w:rsid w:val="716778E6"/>
    <w:rsid w:val="71741225"/>
    <w:rsid w:val="718A6742"/>
    <w:rsid w:val="71922E29"/>
    <w:rsid w:val="71926986"/>
    <w:rsid w:val="71973F9C"/>
    <w:rsid w:val="71991452"/>
    <w:rsid w:val="71A843FB"/>
    <w:rsid w:val="71B34752"/>
    <w:rsid w:val="71B7463E"/>
    <w:rsid w:val="71BB2380"/>
    <w:rsid w:val="71BF37A2"/>
    <w:rsid w:val="71C07997"/>
    <w:rsid w:val="71C11019"/>
    <w:rsid w:val="71C52F53"/>
    <w:rsid w:val="71C64881"/>
    <w:rsid w:val="71CE084F"/>
    <w:rsid w:val="71D04C97"/>
    <w:rsid w:val="71D40D4C"/>
    <w:rsid w:val="71D54D90"/>
    <w:rsid w:val="71DB657E"/>
    <w:rsid w:val="71DC5E53"/>
    <w:rsid w:val="71DE1BCB"/>
    <w:rsid w:val="71DF4E34"/>
    <w:rsid w:val="71E01DE7"/>
    <w:rsid w:val="71E0216C"/>
    <w:rsid w:val="71E420F8"/>
    <w:rsid w:val="71E80C9B"/>
    <w:rsid w:val="71E90F83"/>
    <w:rsid w:val="71EC2889"/>
    <w:rsid w:val="71ED0060"/>
    <w:rsid w:val="71EF14CF"/>
    <w:rsid w:val="71EF67FE"/>
    <w:rsid w:val="71F54300"/>
    <w:rsid w:val="71F65F90"/>
    <w:rsid w:val="71F7483A"/>
    <w:rsid w:val="71F916D8"/>
    <w:rsid w:val="72022D1E"/>
    <w:rsid w:val="720255FD"/>
    <w:rsid w:val="72077373"/>
    <w:rsid w:val="72097418"/>
    <w:rsid w:val="720A4CF2"/>
    <w:rsid w:val="721101F2"/>
    <w:rsid w:val="721A20A7"/>
    <w:rsid w:val="721B13BB"/>
    <w:rsid w:val="72233A82"/>
    <w:rsid w:val="7223747E"/>
    <w:rsid w:val="72241CE5"/>
    <w:rsid w:val="7226685E"/>
    <w:rsid w:val="72290DE0"/>
    <w:rsid w:val="722F0678"/>
    <w:rsid w:val="722F429E"/>
    <w:rsid w:val="722F68CA"/>
    <w:rsid w:val="7231158C"/>
    <w:rsid w:val="72352792"/>
    <w:rsid w:val="723914F7"/>
    <w:rsid w:val="723B0DCB"/>
    <w:rsid w:val="72506516"/>
    <w:rsid w:val="72581BA1"/>
    <w:rsid w:val="725A3947"/>
    <w:rsid w:val="726522EC"/>
    <w:rsid w:val="72662706"/>
    <w:rsid w:val="726B17D2"/>
    <w:rsid w:val="726C1704"/>
    <w:rsid w:val="726C71D7"/>
    <w:rsid w:val="727A5D97"/>
    <w:rsid w:val="727D7636"/>
    <w:rsid w:val="727F4D26"/>
    <w:rsid w:val="727F6DD4"/>
    <w:rsid w:val="72807126"/>
    <w:rsid w:val="728741C6"/>
    <w:rsid w:val="7287715F"/>
    <w:rsid w:val="7289641E"/>
    <w:rsid w:val="72930C07"/>
    <w:rsid w:val="729624A5"/>
    <w:rsid w:val="729C3F60"/>
    <w:rsid w:val="729D4773"/>
    <w:rsid w:val="72A000BB"/>
    <w:rsid w:val="72A042BD"/>
    <w:rsid w:val="72A80E17"/>
    <w:rsid w:val="72AF2241"/>
    <w:rsid w:val="72AF2659"/>
    <w:rsid w:val="72B74554"/>
    <w:rsid w:val="72C5419F"/>
    <w:rsid w:val="72C60FDD"/>
    <w:rsid w:val="72CD12B0"/>
    <w:rsid w:val="72CE7E91"/>
    <w:rsid w:val="72D37256"/>
    <w:rsid w:val="72D54D7C"/>
    <w:rsid w:val="72D567B8"/>
    <w:rsid w:val="72D6715D"/>
    <w:rsid w:val="72D74E94"/>
    <w:rsid w:val="72EC6569"/>
    <w:rsid w:val="72FF004B"/>
    <w:rsid w:val="73045661"/>
    <w:rsid w:val="73090EC9"/>
    <w:rsid w:val="73126497"/>
    <w:rsid w:val="731D6723"/>
    <w:rsid w:val="73223D39"/>
    <w:rsid w:val="73284375"/>
    <w:rsid w:val="7329331A"/>
    <w:rsid w:val="733008FC"/>
    <w:rsid w:val="733506E1"/>
    <w:rsid w:val="73382665"/>
    <w:rsid w:val="73397A01"/>
    <w:rsid w:val="733E52DF"/>
    <w:rsid w:val="73400913"/>
    <w:rsid w:val="734A5CA8"/>
    <w:rsid w:val="734D7008"/>
    <w:rsid w:val="73512D60"/>
    <w:rsid w:val="735465E8"/>
    <w:rsid w:val="73553167"/>
    <w:rsid w:val="735C36EF"/>
    <w:rsid w:val="736221E6"/>
    <w:rsid w:val="736B12E1"/>
    <w:rsid w:val="737547B1"/>
    <w:rsid w:val="737A1DBA"/>
    <w:rsid w:val="737D5A2F"/>
    <w:rsid w:val="737E71FF"/>
    <w:rsid w:val="73813156"/>
    <w:rsid w:val="73816DAE"/>
    <w:rsid w:val="738A200A"/>
    <w:rsid w:val="738F78B1"/>
    <w:rsid w:val="739147E4"/>
    <w:rsid w:val="7392169B"/>
    <w:rsid w:val="73970283"/>
    <w:rsid w:val="7399049F"/>
    <w:rsid w:val="739F538A"/>
    <w:rsid w:val="73A123B3"/>
    <w:rsid w:val="73A20C49"/>
    <w:rsid w:val="73A91F8D"/>
    <w:rsid w:val="73B726D3"/>
    <w:rsid w:val="73B83DDD"/>
    <w:rsid w:val="73B92032"/>
    <w:rsid w:val="73B94017"/>
    <w:rsid w:val="73BE3A62"/>
    <w:rsid w:val="73C3118C"/>
    <w:rsid w:val="73D520BB"/>
    <w:rsid w:val="73D651A4"/>
    <w:rsid w:val="73D76476"/>
    <w:rsid w:val="73D96AEE"/>
    <w:rsid w:val="73DF2166"/>
    <w:rsid w:val="73EE611A"/>
    <w:rsid w:val="73F25980"/>
    <w:rsid w:val="73F7395C"/>
    <w:rsid w:val="73FC458A"/>
    <w:rsid w:val="740046F2"/>
    <w:rsid w:val="74025E9D"/>
    <w:rsid w:val="74082F2F"/>
    <w:rsid w:val="74130F6A"/>
    <w:rsid w:val="74136A33"/>
    <w:rsid w:val="74161BCA"/>
    <w:rsid w:val="7416389E"/>
    <w:rsid w:val="74177D94"/>
    <w:rsid w:val="74237D69"/>
    <w:rsid w:val="7427317F"/>
    <w:rsid w:val="743133D5"/>
    <w:rsid w:val="74367D1F"/>
    <w:rsid w:val="7442744C"/>
    <w:rsid w:val="744C31BD"/>
    <w:rsid w:val="745366DF"/>
    <w:rsid w:val="7456013E"/>
    <w:rsid w:val="746565D3"/>
    <w:rsid w:val="746A1E3C"/>
    <w:rsid w:val="746C7EDA"/>
    <w:rsid w:val="74727106"/>
    <w:rsid w:val="74730CF0"/>
    <w:rsid w:val="74760635"/>
    <w:rsid w:val="7477459A"/>
    <w:rsid w:val="747770A6"/>
    <w:rsid w:val="747D56CB"/>
    <w:rsid w:val="747E3DC0"/>
    <w:rsid w:val="7480140F"/>
    <w:rsid w:val="748F3650"/>
    <w:rsid w:val="74933EC7"/>
    <w:rsid w:val="749759D3"/>
    <w:rsid w:val="749919E4"/>
    <w:rsid w:val="749B2AF9"/>
    <w:rsid w:val="749F001F"/>
    <w:rsid w:val="74AF5AA0"/>
    <w:rsid w:val="74B05BD7"/>
    <w:rsid w:val="74BF5CE3"/>
    <w:rsid w:val="74C06FA4"/>
    <w:rsid w:val="74D161F1"/>
    <w:rsid w:val="74D914C1"/>
    <w:rsid w:val="74DD616A"/>
    <w:rsid w:val="74E26E5B"/>
    <w:rsid w:val="74E4399C"/>
    <w:rsid w:val="74E70256"/>
    <w:rsid w:val="74EF3421"/>
    <w:rsid w:val="74F40C47"/>
    <w:rsid w:val="74F811F5"/>
    <w:rsid w:val="74FA37CA"/>
    <w:rsid w:val="75091DD4"/>
    <w:rsid w:val="75093403"/>
    <w:rsid w:val="75096F5F"/>
    <w:rsid w:val="750F047D"/>
    <w:rsid w:val="75174B22"/>
    <w:rsid w:val="75183646"/>
    <w:rsid w:val="75243D99"/>
    <w:rsid w:val="75267B11"/>
    <w:rsid w:val="752F39BB"/>
    <w:rsid w:val="753541F8"/>
    <w:rsid w:val="75372C4D"/>
    <w:rsid w:val="753C7334"/>
    <w:rsid w:val="753D30AC"/>
    <w:rsid w:val="753E657A"/>
    <w:rsid w:val="75447CCB"/>
    <w:rsid w:val="754804AD"/>
    <w:rsid w:val="754A513B"/>
    <w:rsid w:val="754A58C2"/>
    <w:rsid w:val="754B1B31"/>
    <w:rsid w:val="754D6CDC"/>
    <w:rsid w:val="754E52B9"/>
    <w:rsid w:val="75572DCF"/>
    <w:rsid w:val="75587EE6"/>
    <w:rsid w:val="75593E0E"/>
    <w:rsid w:val="755B0389"/>
    <w:rsid w:val="755F39F5"/>
    <w:rsid w:val="75680129"/>
    <w:rsid w:val="75695C4F"/>
    <w:rsid w:val="756A3727"/>
    <w:rsid w:val="756D1BE3"/>
    <w:rsid w:val="757122B1"/>
    <w:rsid w:val="75722D56"/>
    <w:rsid w:val="75736ACE"/>
    <w:rsid w:val="757C223C"/>
    <w:rsid w:val="757F5473"/>
    <w:rsid w:val="75806F43"/>
    <w:rsid w:val="758A3D6D"/>
    <w:rsid w:val="758D4034"/>
    <w:rsid w:val="758F1B5A"/>
    <w:rsid w:val="758F722B"/>
    <w:rsid w:val="7592164A"/>
    <w:rsid w:val="75955D76"/>
    <w:rsid w:val="75970A0E"/>
    <w:rsid w:val="759929D8"/>
    <w:rsid w:val="759B6D66"/>
    <w:rsid w:val="759E0F89"/>
    <w:rsid w:val="759E2DDC"/>
    <w:rsid w:val="75A05083"/>
    <w:rsid w:val="75A414FF"/>
    <w:rsid w:val="75A82C1C"/>
    <w:rsid w:val="75A849CA"/>
    <w:rsid w:val="75AA5BE9"/>
    <w:rsid w:val="75AB0B1D"/>
    <w:rsid w:val="75AB44BA"/>
    <w:rsid w:val="75B710B1"/>
    <w:rsid w:val="75B72DD0"/>
    <w:rsid w:val="75C537CD"/>
    <w:rsid w:val="75CF63FA"/>
    <w:rsid w:val="75D0723E"/>
    <w:rsid w:val="75D3342C"/>
    <w:rsid w:val="75D43CB4"/>
    <w:rsid w:val="75D44189"/>
    <w:rsid w:val="75DE42C8"/>
    <w:rsid w:val="75E31EA6"/>
    <w:rsid w:val="75EC3C1C"/>
    <w:rsid w:val="75ED6880"/>
    <w:rsid w:val="75FB390C"/>
    <w:rsid w:val="75FF1F43"/>
    <w:rsid w:val="76051E1C"/>
    <w:rsid w:val="760836BA"/>
    <w:rsid w:val="761344C4"/>
    <w:rsid w:val="76144927"/>
    <w:rsid w:val="761A519B"/>
    <w:rsid w:val="762510E8"/>
    <w:rsid w:val="762A53DF"/>
    <w:rsid w:val="762D1373"/>
    <w:rsid w:val="762F50EB"/>
    <w:rsid w:val="763C3364"/>
    <w:rsid w:val="763E05F0"/>
    <w:rsid w:val="763E70DC"/>
    <w:rsid w:val="76413426"/>
    <w:rsid w:val="764E7468"/>
    <w:rsid w:val="76592168"/>
    <w:rsid w:val="765B5EE0"/>
    <w:rsid w:val="765D4BC9"/>
    <w:rsid w:val="766823AB"/>
    <w:rsid w:val="766B2D2E"/>
    <w:rsid w:val="76737E5D"/>
    <w:rsid w:val="76767035"/>
    <w:rsid w:val="767C7F17"/>
    <w:rsid w:val="768058ED"/>
    <w:rsid w:val="76830F93"/>
    <w:rsid w:val="76870A83"/>
    <w:rsid w:val="76890629"/>
    <w:rsid w:val="7689090E"/>
    <w:rsid w:val="7698362C"/>
    <w:rsid w:val="76A1046D"/>
    <w:rsid w:val="76A21419"/>
    <w:rsid w:val="76AE24B4"/>
    <w:rsid w:val="76AF0360"/>
    <w:rsid w:val="76B15A13"/>
    <w:rsid w:val="76C07AF1"/>
    <w:rsid w:val="76C23869"/>
    <w:rsid w:val="76C27D0D"/>
    <w:rsid w:val="76D0090C"/>
    <w:rsid w:val="76D17F50"/>
    <w:rsid w:val="76D40BF4"/>
    <w:rsid w:val="76D87530"/>
    <w:rsid w:val="76E01FFD"/>
    <w:rsid w:val="76EE28B0"/>
    <w:rsid w:val="76F61765"/>
    <w:rsid w:val="76FA758D"/>
    <w:rsid w:val="76FC1CC1"/>
    <w:rsid w:val="770025B6"/>
    <w:rsid w:val="7700273A"/>
    <w:rsid w:val="77016413"/>
    <w:rsid w:val="770257DC"/>
    <w:rsid w:val="770B3958"/>
    <w:rsid w:val="770D7A55"/>
    <w:rsid w:val="77147E3D"/>
    <w:rsid w:val="771542E1"/>
    <w:rsid w:val="7722255A"/>
    <w:rsid w:val="772269FE"/>
    <w:rsid w:val="7726718D"/>
    <w:rsid w:val="772A4170"/>
    <w:rsid w:val="77332A95"/>
    <w:rsid w:val="77356FA8"/>
    <w:rsid w:val="773F4EBA"/>
    <w:rsid w:val="774424D0"/>
    <w:rsid w:val="77453E1D"/>
    <w:rsid w:val="774F04E8"/>
    <w:rsid w:val="775040AB"/>
    <w:rsid w:val="775908F0"/>
    <w:rsid w:val="77640DC4"/>
    <w:rsid w:val="77660698"/>
    <w:rsid w:val="7769462C"/>
    <w:rsid w:val="776B6A2F"/>
    <w:rsid w:val="777234E1"/>
    <w:rsid w:val="777332A9"/>
    <w:rsid w:val="777602FF"/>
    <w:rsid w:val="777D59E2"/>
    <w:rsid w:val="777E6FD7"/>
    <w:rsid w:val="778154D2"/>
    <w:rsid w:val="77841E79"/>
    <w:rsid w:val="77894387"/>
    <w:rsid w:val="77896812"/>
    <w:rsid w:val="778A6A42"/>
    <w:rsid w:val="778D107E"/>
    <w:rsid w:val="77901738"/>
    <w:rsid w:val="779637E2"/>
    <w:rsid w:val="779C67B0"/>
    <w:rsid w:val="77A15B74"/>
    <w:rsid w:val="77AD4FDD"/>
    <w:rsid w:val="77B5517C"/>
    <w:rsid w:val="77B840E2"/>
    <w:rsid w:val="77B92EBE"/>
    <w:rsid w:val="77C03812"/>
    <w:rsid w:val="77C80083"/>
    <w:rsid w:val="77D221D2"/>
    <w:rsid w:val="77D42112"/>
    <w:rsid w:val="77D750A5"/>
    <w:rsid w:val="77D84854"/>
    <w:rsid w:val="77DA2E34"/>
    <w:rsid w:val="77DA4BE2"/>
    <w:rsid w:val="77DC33E7"/>
    <w:rsid w:val="77DC3883"/>
    <w:rsid w:val="77E048EF"/>
    <w:rsid w:val="77E12415"/>
    <w:rsid w:val="77E14A5D"/>
    <w:rsid w:val="77E31CE9"/>
    <w:rsid w:val="77F25CB3"/>
    <w:rsid w:val="77F42148"/>
    <w:rsid w:val="78036F40"/>
    <w:rsid w:val="781042B4"/>
    <w:rsid w:val="781520BE"/>
    <w:rsid w:val="781A5A03"/>
    <w:rsid w:val="78232A2D"/>
    <w:rsid w:val="782F4F2E"/>
    <w:rsid w:val="78324A1E"/>
    <w:rsid w:val="783469E8"/>
    <w:rsid w:val="783C5BE7"/>
    <w:rsid w:val="783E7867"/>
    <w:rsid w:val="78436C2C"/>
    <w:rsid w:val="784F3428"/>
    <w:rsid w:val="785173D6"/>
    <w:rsid w:val="78556C5D"/>
    <w:rsid w:val="785B2439"/>
    <w:rsid w:val="78613DFC"/>
    <w:rsid w:val="78663CC5"/>
    <w:rsid w:val="786848E4"/>
    <w:rsid w:val="786A240A"/>
    <w:rsid w:val="78743289"/>
    <w:rsid w:val="787E5EB6"/>
    <w:rsid w:val="787F7C76"/>
    <w:rsid w:val="78803374"/>
    <w:rsid w:val="78833018"/>
    <w:rsid w:val="7888576E"/>
    <w:rsid w:val="788973A4"/>
    <w:rsid w:val="788C05D2"/>
    <w:rsid w:val="788F00C3"/>
    <w:rsid w:val="78946697"/>
    <w:rsid w:val="789D440B"/>
    <w:rsid w:val="78A148CA"/>
    <w:rsid w:val="78A14CC5"/>
    <w:rsid w:val="78A3591C"/>
    <w:rsid w:val="78A91184"/>
    <w:rsid w:val="78AF247F"/>
    <w:rsid w:val="78AF2513"/>
    <w:rsid w:val="78B96EEE"/>
    <w:rsid w:val="78BD19F4"/>
    <w:rsid w:val="78C14570"/>
    <w:rsid w:val="78C95383"/>
    <w:rsid w:val="78CA055A"/>
    <w:rsid w:val="78D37FAF"/>
    <w:rsid w:val="78D41F79"/>
    <w:rsid w:val="78D9133E"/>
    <w:rsid w:val="78D930EC"/>
    <w:rsid w:val="78D94B46"/>
    <w:rsid w:val="78DA16A1"/>
    <w:rsid w:val="78E31E05"/>
    <w:rsid w:val="78EB6A66"/>
    <w:rsid w:val="78F13EA0"/>
    <w:rsid w:val="78F543CA"/>
    <w:rsid w:val="78F97883"/>
    <w:rsid w:val="790240BC"/>
    <w:rsid w:val="791660EE"/>
    <w:rsid w:val="79183C14"/>
    <w:rsid w:val="791A5BDE"/>
    <w:rsid w:val="79206F6D"/>
    <w:rsid w:val="79217DF8"/>
    <w:rsid w:val="792F0F5E"/>
    <w:rsid w:val="792F1E2C"/>
    <w:rsid w:val="793013FB"/>
    <w:rsid w:val="79323C14"/>
    <w:rsid w:val="79336CA0"/>
    <w:rsid w:val="79381C6E"/>
    <w:rsid w:val="793A1DDD"/>
    <w:rsid w:val="793A5A94"/>
    <w:rsid w:val="793D367B"/>
    <w:rsid w:val="793F3897"/>
    <w:rsid w:val="7940799F"/>
    <w:rsid w:val="794F33AE"/>
    <w:rsid w:val="795135CA"/>
    <w:rsid w:val="79532E9E"/>
    <w:rsid w:val="79533C02"/>
    <w:rsid w:val="79534C4C"/>
    <w:rsid w:val="795B1D53"/>
    <w:rsid w:val="795B7FA5"/>
    <w:rsid w:val="795D1F6F"/>
    <w:rsid w:val="796847D4"/>
    <w:rsid w:val="796D3E79"/>
    <w:rsid w:val="79725A1A"/>
    <w:rsid w:val="797604CA"/>
    <w:rsid w:val="798137EF"/>
    <w:rsid w:val="7981531D"/>
    <w:rsid w:val="799446BE"/>
    <w:rsid w:val="79956905"/>
    <w:rsid w:val="79970A95"/>
    <w:rsid w:val="79A33E26"/>
    <w:rsid w:val="79AD5B79"/>
    <w:rsid w:val="79AF6CA3"/>
    <w:rsid w:val="79B80DA2"/>
    <w:rsid w:val="79BC2553"/>
    <w:rsid w:val="79BC6C95"/>
    <w:rsid w:val="79BD2D5E"/>
    <w:rsid w:val="79C96208"/>
    <w:rsid w:val="79CC49FF"/>
    <w:rsid w:val="79D156E1"/>
    <w:rsid w:val="79D73ABD"/>
    <w:rsid w:val="79DA711C"/>
    <w:rsid w:val="79E347EE"/>
    <w:rsid w:val="79E47F9A"/>
    <w:rsid w:val="79E65AC0"/>
    <w:rsid w:val="79EE2BC7"/>
    <w:rsid w:val="79FC3536"/>
    <w:rsid w:val="79FC446D"/>
    <w:rsid w:val="79FC7C02"/>
    <w:rsid w:val="79FE72AE"/>
    <w:rsid w:val="7A083C89"/>
    <w:rsid w:val="7A0A479F"/>
    <w:rsid w:val="7A0F64A3"/>
    <w:rsid w:val="7A252162"/>
    <w:rsid w:val="7A266805"/>
    <w:rsid w:val="7A2744FB"/>
    <w:rsid w:val="7A2A61C1"/>
    <w:rsid w:val="7A2D430B"/>
    <w:rsid w:val="7A2E4BCF"/>
    <w:rsid w:val="7A3727C0"/>
    <w:rsid w:val="7A3F5A08"/>
    <w:rsid w:val="7A4042C1"/>
    <w:rsid w:val="7A4E1BF5"/>
    <w:rsid w:val="7A4E6CCB"/>
    <w:rsid w:val="7A4E724B"/>
    <w:rsid w:val="7A560E98"/>
    <w:rsid w:val="7A56317C"/>
    <w:rsid w:val="7A590988"/>
    <w:rsid w:val="7A60228F"/>
    <w:rsid w:val="7A6261B7"/>
    <w:rsid w:val="7A7262F6"/>
    <w:rsid w:val="7A765096"/>
    <w:rsid w:val="7A7662D3"/>
    <w:rsid w:val="7A7B26AD"/>
    <w:rsid w:val="7A8022CA"/>
    <w:rsid w:val="7A804167"/>
    <w:rsid w:val="7A85177D"/>
    <w:rsid w:val="7A861773"/>
    <w:rsid w:val="7A8B5862"/>
    <w:rsid w:val="7A8D0632"/>
    <w:rsid w:val="7A8E3EA8"/>
    <w:rsid w:val="7A965738"/>
    <w:rsid w:val="7A990D85"/>
    <w:rsid w:val="7A9A4D50"/>
    <w:rsid w:val="7A9D6BF8"/>
    <w:rsid w:val="7A9E5172"/>
    <w:rsid w:val="7A9E639B"/>
    <w:rsid w:val="7AA05093"/>
    <w:rsid w:val="7AA27235"/>
    <w:rsid w:val="7AA63A6B"/>
    <w:rsid w:val="7AAC6D0A"/>
    <w:rsid w:val="7AB43E11"/>
    <w:rsid w:val="7AB72CB1"/>
    <w:rsid w:val="7AB91427"/>
    <w:rsid w:val="7ABC7113"/>
    <w:rsid w:val="7ABE07EB"/>
    <w:rsid w:val="7ABF6982"/>
    <w:rsid w:val="7AC10D53"/>
    <w:rsid w:val="7AC202DC"/>
    <w:rsid w:val="7AC8166A"/>
    <w:rsid w:val="7AD312E0"/>
    <w:rsid w:val="7AE353C8"/>
    <w:rsid w:val="7AE45DA3"/>
    <w:rsid w:val="7AE5221C"/>
    <w:rsid w:val="7AEC26E1"/>
    <w:rsid w:val="7AEC35AA"/>
    <w:rsid w:val="7AEF6BF7"/>
    <w:rsid w:val="7AF82898"/>
    <w:rsid w:val="7AF84562"/>
    <w:rsid w:val="7B114DBF"/>
    <w:rsid w:val="7B160627"/>
    <w:rsid w:val="7B191EC6"/>
    <w:rsid w:val="7B1B5C3E"/>
    <w:rsid w:val="7B1C3FC8"/>
    <w:rsid w:val="7B1D19B6"/>
    <w:rsid w:val="7B1F4EF6"/>
    <w:rsid w:val="7B212602"/>
    <w:rsid w:val="7B2C1BF9"/>
    <w:rsid w:val="7B3358D3"/>
    <w:rsid w:val="7B372CA0"/>
    <w:rsid w:val="7B3806ED"/>
    <w:rsid w:val="7B3E1B55"/>
    <w:rsid w:val="7B450F0D"/>
    <w:rsid w:val="7B4927AB"/>
    <w:rsid w:val="7B4C229B"/>
    <w:rsid w:val="7B4C3AF0"/>
    <w:rsid w:val="7B533D66"/>
    <w:rsid w:val="7B547D03"/>
    <w:rsid w:val="7B5D7E5F"/>
    <w:rsid w:val="7B5F413B"/>
    <w:rsid w:val="7B62386D"/>
    <w:rsid w:val="7B665665"/>
    <w:rsid w:val="7B6909BC"/>
    <w:rsid w:val="7B694307"/>
    <w:rsid w:val="7B7B6301"/>
    <w:rsid w:val="7B8B4B71"/>
    <w:rsid w:val="7B917CAE"/>
    <w:rsid w:val="7B935DD7"/>
    <w:rsid w:val="7B967BD1"/>
    <w:rsid w:val="7B977B5A"/>
    <w:rsid w:val="7BA01E73"/>
    <w:rsid w:val="7BA479E1"/>
    <w:rsid w:val="7BA93249"/>
    <w:rsid w:val="7BAE0860"/>
    <w:rsid w:val="7BAE10F1"/>
    <w:rsid w:val="7BB155A5"/>
    <w:rsid w:val="7BB23971"/>
    <w:rsid w:val="7BB34E4F"/>
    <w:rsid w:val="7BBA15A2"/>
    <w:rsid w:val="7BC10593"/>
    <w:rsid w:val="7BC42486"/>
    <w:rsid w:val="7BC7397F"/>
    <w:rsid w:val="7BC84306"/>
    <w:rsid w:val="7BC957DC"/>
    <w:rsid w:val="7BCD2490"/>
    <w:rsid w:val="7BCF3686"/>
    <w:rsid w:val="7BDC361F"/>
    <w:rsid w:val="7BE10C35"/>
    <w:rsid w:val="7BE2675B"/>
    <w:rsid w:val="7BEB6D35"/>
    <w:rsid w:val="7BEC1388"/>
    <w:rsid w:val="7BED469D"/>
    <w:rsid w:val="7BF1074D"/>
    <w:rsid w:val="7BF349BF"/>
    <w:rsid w:val="7BF72207"/>
    <w:rsid w:val="7C0E1C0B"/>
    <w:rsid w:val="7C0F6076"/>
    <w:rsid w:val="7C10151B"/>
    <w:rsid w:val="7C183290"/>
    <w:rsid w:val="7C190478"/>
    <w:rsid w:val="7C1F361E"/>
    <w:rsid w:val="7C2003FA"/>
    <w:rsid w:val="7C2540DA"/>
    <w:rsid w:val="7C2D5C29"/>
    <w:rsid w:val="7C2F276E"/>
    <w:rsid w:val="7C307313"/>
    <w:rsid w:val="7C320FAC"/>
    <w:rsid w:val="7C331284"/>
    <w:rsid w:val="7C3F595C"/>
    <w:rsid w:val="7C43369E"/>
    <w:rsid w:val="7C460A98"/>
    <w:rsid w:val="7C4A67DB"/>
    <w:rsid w:val="7C50445F"/>
    <w:rsid w:val="7C52743D"/>
    <w:rsid w:val="7C650735"/>
    <w:rsid w:val="7C6714F1"/>
    <w:rsid w:val="7C6851B6"/>
    <w:rsid w:val="7C6B6A0D"/>
    <w:rsid w:val="7C6C48A2"/>
    <w:rsid w:val="7C6F7FEF"/>
    <w:rsid w:val="7C75312C"/>
    <w:rsid w:val="7C790345"/>
    <w:rsid w:val="7C7F3FAA"/>
    <w:rsid w:val="7C81401C"/>
    <w:rsid w:val="7C8415C1"/>
    <w:rsid w:val="7C9725F4"/>
    <w:rsid w:val="7C9A10AF"/>
    <w:rsid w:val="7C9F06E9"/>
    <w:rsid w:val="7CA13487"/>
    <w:rsid w:val="7CA630AA"/>
    <w:rsid w:val="7CAD0B17"/>
    <w:rsid w:val="7CAF6064"/>
    <w:rsid w:val="7CB00608"/>
    <w:rsid w:val="7CB21899"/>
    <w:rsid w:val="7CB60E62"/>
    <w:rsid w:val="7CB73744"/>
    <w:rsid w:val="7CB77BE8"/>
    <w:rsid w:val="7CB9570E"/>
    <w:rsid w:val="7CBC110D"/>
    <w:rsid w:val="7CC16371"/>
    <w:rsid w:val="7CC608A2"/>
    <w:rsid w:val="7CC7607D"/>
    <w:rsid w:val="7CC9511A"/>
    <w:rsid w:val="7CCD11BA"/>
    <w:rsid w:val="7CD04806"/>
    <w:rsid w:val="7CD662C0"/>
    <w:rsid w:val="7CD84404"/>
    <w:rsid w:val="7CDD576B"/>
    <w:rsid w:val="7CE368C4"/>
    <w:rsid w:val="7CF07AE8"/>
    <w:rsid w:val="7CF44998"/>
    <w:rsid w:val="7CFE1373"/>
    <w:rsid w:val="7D0050EB"/>
    <w:rsid w:val="7D0A41BC"/>
    <w:rsid w:val="7D0F532E"/>
    <w:rsid w:val="7D1172F8"/>
    <w:rsid w:val="7D1A3464"/>
    <w:rsid w:val="7D1C7BBB"/>
    <w:rsid w:val="7D225061"/>
    <w:rsid w:val="7D2B22C6"/>
    <w:rsid w:val="7D2F3C22"/>
    <w:rsid w:val="7D386CF3"/>
    <w:rsid w:val="7D3B476E"/>
    <w:rsid w:val="7D3C4514"/>
    <w:rsid w:val="7D3D633F"/>
    <w:rsid w:val="7D414530"/>
    <w:rsid w:val="7D4236B6"/>
    <w:rsid w:val="7D545437"/>
    <w:rsid w:val="7D5611AF"/>
    <w:rsid w:val="7D5B26CE"/>
    <w:rsid w:val="7D5C0A0C"/>
    <w:rsid w:val="7D607994"/>
    <w:rsid w:val="7D6165EA"/>
    <w:rsid w:val="7D631405"/>
    <w:rsid w:val="7D637428"/>
    <w:rsid w:val="7D6531A0"/>
    <w:rsid w:val="7D761E4A"/>
    <w:rsid w:val="7D796C4C"/>
    <w:rsid w:val="7D7D04EA"/>
    <w:rsid w:val="7D8442E1"/>
    <w:rsid w:val="7D8A2C07"/>
    <w:rsid w:val="7D8C5909"/>
    <w:rsid w:val="7D8C697F"/>
    <w:rsid w:val="7D8E6B9B"/>
    <w:rsid w:val="7D926232"/>
    <w:rsid w:val="7D957F29"/>
    <w:rsid w:val="7D9D0B8C"/>
    <w:rsid w:val="7DA9788C"/>
    <w:rsid w:val="7DBF3EB2"/>
    <w:rsid w:val="7DC9372F"/>
    <w:rsid w:val="7DCF4ABD"/>
    <w:rsid w:val="7DD52A5E"/>
    <w:rsid w:val="7DD87739"/>
    <w:rsid w:val="7DDA7C07"/>
    <w:rsid w:val="7DDD542C"/>
    <w:rsid w:val="7DDE2AC8"/>
    <w:rsid w:val="7DE06CCB"/>
    <w:rsid w:val="7DE14F1D"/>
    <w:rsid w:val="7DE247F1"/>
    <w:rsid w:val="7DE44A0D"/>
    <w:rsid w:val="7DE71E07"/>
    <w:rsid w:val="7DE74C42"/>
    <w:rsid w:val="7DE762AB"/>
    <w:rsid w:val="7DEB5F81"/>
    <w:rsid w:val="7DEE16E1"/>
    <w:rsid w:val="7DF51375"/>
    <w:rsid w:val="7DF76C71"/>
    <w:rsid w:val="7E02493B"/>
    <w:rsid w:val="7E032932"/>
    <w:rsid w:val="7E094473"/>
    <w:rsid w:val="7E0E1A8A"/>
    <w:rsid w:val="7E0E451E"/>
    <w:rsid w:val="7E174404"/>
    <w:rsid w:val="7E1D6C72"/>
    <w:rsid w:val="7E200065"/>
    <w:rsid w:val="7E205444"/>
    <w:rsid w:val="7E233581"/>
    <w:rsid w:val="7E2C1F01"/>
    <w:rsid w:val="7E2F7C88"/>
    <w:rsid w:val="7E327297"/>
    <w:rsid w:val="7E396EED"/>
    <w:rsid w:val="7E3A223F"/>
    <w:rsid w:val="7E3A63DB"/>
    <w:rsid w:val="7E3C2153"/>
    <w:rsid w:val="7E3F1C43"/>
    <w:rsid w:val="7E3F60E7"/>
    <w:rsid w:val="7E4D25B2"/>
    <w:rsid w:val="7E4E0F14"/>
    <w:rsid w:val="7E582C7E"/>
    <w:rsid w:val="7E5A1F01"/>
    <w:rsid w:val="7E6244C1"/>
    <w:rsid w:val="7E653B6B"/>
    <w:rsid w:val="7E6A6E3D"/>
    <w:rsid w:val="7E6F4FA7"/>
    <w:rsid w:val="7E6F7C10"/>
    <w:rsid w:val="7E7E5441"/>
    <w:rsid w:val="7E856CEC"/>
    <w:rsid w:val="7E861BCE"/>
    <w:rsid w:val="7E8D6E52"/>
    <w:rsid w:val="7E955D07"/>
    <w:rsid w:val="7E9A50CB"/>
    <w:rsid w:val="7E9E2E0E"/>
    <w:rsid w:val="7E9F0934"/>
    <w:rsid w:val="7EA366EB"/>
    <w:rsid w:val="7EA71774"/>
    <w:rsid w:val="7EAA17B2"/>
    <w:rsid w:val="7EAE6C7D"/>
    <w:rsid w:val="7EB15E95"/>
    <w:rsid w:val="7EBB05F9"/>
    <w:rsid w:val="7ECC134E"/>
    <w:rsid w:val="7ECD6898"/>
    <w:rsid w:val="7ED002D9"/>
    <w:rsid w:val="7ED06B33"/>
    <w:rsid w:val="7EDC0758"/>
    <w:rsid w:val="7EDC1B88"/>
    <w:rsid w:val="7EE51BF5"/>
    <w:rsid w:val="7EEC1DCB"/>
    <w:rsid w:val="7EF76A42"/>
    <w:rsid w:val="7EF81DE7"/>
    <w:rsid w:val="7F032C71"/>
    <w:rsid w:val="7F03365B"/>
    <w:rsid w:val="7F047EC2"/>
    <w:rsid w:val="7F054C3B"/>
    <w:rsid w:val="7F0C388E"/>
    <w:rsid w:val="7F111831"/>
    <w:rsid w:val="7F1552F0"/>
    <w:rsid w:val="7F17671C"/>
    <w:rsid w:val="7F1906E6"/>
    <w:rsid w:val="7F1A38DC"/>
    <w:rsid w:val="7F1E5692"/>
    <w:rsid w:val="7F213D58"/>
    <w:rsid w:val="7F2B0BA3"/>
    <w:rsid w:val="7F2B7F60"/>
    <w:rsid w:val="7F402117"/>
    <w:rsid w:val="7F413799"/>
    <w:rsid w:val="7F4431B3"/>
    <w:rsid w:val="7F445AA5"/>
    <w:rsid w:val="7F4D0493"/>
    <w:rsid w:val="7F516619"/>
    <w:rsid w:val="7F534B9B"/>
    <w:rsid w:val="7F554904"/>
    <w:rsid w:val="7F5931D8"/>
    <w:rsid w:val="7F597D89"/>
    <w:rsid w:val="7F67242C"/>
    <w:rsid w:val="7F7D2A23"/>
    <w:rsid w:val="7F875650"/>
    <w:rsid w:val="7F8F2578"/>
    <w:rsid w:val="7F906D27"/>
    <w:rsid w:val="7F932247"/>
    <w:rsid w:val="7F946A12"/>
    <w:rsid w:val="7F9D4E73"/>
    <w:rsid w:val="7FA300D7"/>
    <w:rsid w:val="7FA3630A"/>
    <w:rsid w:val="7FA53D28"/>
    <w:rsid w:val="7FB36445"/>
    <w:rsid w:val="7FB704E8"/>
    <w:rsid w:val="7FBD3767"/>
    <w:rsid w:val="7FC40652"/>
    <w:rsid w:val="7FC56178"/>
    <w:rsid w:val="7FC84403"/>
    <w:rsid w:val="7FC91F48"/>
    <w:rsid w:val="7FCF1FFF"/>
    <w:rsid w:val="7FD5236A"/>
    <w:rsid w:val="7FE1106C"/>
    <w:rsid w:val="7FE725A7"/>
    <w:rsid w:val="7FE80BDA"/>
    <w:rsid w:val="7FF41D4E"/>
    <w:rsid w:val="7FF52F01"/>
    <w:rsid w:val="7FFA2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nhideWhenUsed="0" w:uiPriority="9" w:semiHidden="0" w:name="heading 5"/>
    <w:lsdException w:qFormat="1" w:uiPriority="0" w:name="heading 6"/>
    <w:lsdException w:qFormat="1" w:uiPriority="9"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iPriority="99"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4"/>
    <w:qFormat/>
    <w:uiPriority w:val="9"/>
    <w:pPr>
      <w:keepNext/>
      <w:keepLines/>
      <w:spacing w:before="120" w:after="120" w:line="360" w:lineRule="auto"/>
      <w:outlineLvl w:val="0"/>
    </w:pPr>
    <w:rPr>
      <w:b/>
      <w:bCs/>
      <w:kern w:val="44"/>
      <w:sz w:val="32"/>
      <w:szCs w:val="44"/>
    </w:rPr>
  </w:style>
  <w:style w:type="paragraph" w:styleId="3">
    <w:name w:val="heading 2"/>
    <w:basedOn w:val="1"/>
    <w:next w:val="1"/>
    <w:link w:val="53"/>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55"/>
    <w:autoRedefine/>
    <w:qFormat/>
    <w:uiPriority w:val="9"/>
    <w:pPr>
      <w:keepNext/>
      <w:keepLines/>
      <w:spacing w:before="260" w:after="260" w:line="416" w:lineRule="auto"/>
      <w:outlineLvl w:val="2"/>
    </w:pPr>
    <w:rPr>
      <w:b/>
      <w:bCs/>
      <w:sz w:val="32"/>
      <w:szCs w:val="32"/>
    </w:rPr>
  </w:style>
  <w:style w:type="paragraph" w:styleId="5">
    <w:name w:val="heading 4"/>
    <w:basedOn w:val="1"/>
    <w:next w:val="1"/>
    <w:link w:val="56"/>
    <w:autoRedefine/>
    <w:unhideWhenUsed/>
    <w:qFormat/>
    <w:uiPriority w:val="9"/>
    <w:pPr>
      <w:keepNext/>
      <w:keepLines/>
      <w:numPr>
        <w:ilvl w:val="3"/>
        <w:numId w:val="1"/>
      </w:numPr>
      <w:outlineLvl w:val="3"/>
    </w:pPr>
    <w:rPr>
      <w:rFonts w:ascii="宋体" w:hAnsi="宋体"/>
      <w:bCs/>
      <w:szCs w:val="28"/>
    </w:rPr>
  </w:style>
  <w:style w:type="paragraph" w:styleId="6">
    <w:name w:val="heading 5"/>
    <w:basedOn w:val="1"/>
    <w:next w:val="1"/>
    <w:link w:val="57"/>
    <w:autoRedefine/>
    <w:qFormat/>
    <w:uiPriority w:val="9"/>
    <w:pPr>
      <w:keepNext/>
      <w:keepLines/>
      <w:spacing w:before="280" w:after="290" w:line="372" w:lineRule="auto"/>
      <w:outlineLvl w:val="4"/>
    </w:pPr>
    <w:rPr>
      <w:b/>
      <w:bCs/>
      <w:sz w:val="28"/>
      <w:szCs w:val="28"/>
    </w:rPr>
  </w:style>
  <w:style w:type="paragraph" w:styleId="7">
    <w:name w:val="heading 7"/>
    <w:basedOn w:val="1"/>
    <w:next w:val="1"/>
    <w:link w:val="72"/>
    <w:semiHidden/>
    <w:unhideWhenUsed/>
    <w:qFormat/>
    <w:uiPriority w:val="9"/>
    <w:pPr>
      <w:keepNext/>
      <w:keepLines/>
      <w:widowControl/>
      <w:adjustRightInd w:val="0"/>
      <w:snapToGrid w:val="0"/>
      <w:spacing w:before="240" w:after="64" w:line="320" w:lineRule="auto"/>
      <w:jc w:val="left"/>
      <w:outlineLvl w:val="6"/>
    </w:pPr>
    <w:rPr>
      <w:rFonts w:ascii="Tahoma" w:hAnsi="Tahoma" w:eastAsia="微软雅黑" w:cstheme="minorBidi"/>
      <w:b/>
      <w:bCs/>
      <w:kern w:val="0"/>
      <w:sz w:val="24"/>
      <w:szCs w:val="24"/>
    </w:rPr>
  </w:style>
  <w:style w:type="character" w:default="1" w:styleId="36">
    <w:name w:val="Default Paragraph Font"/>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8">
    <w:name w:val="toc 7"/>
    <w:basedOn w:val="1"/>
    <w:next w:val="1"/>
    <w:autoRedefine/>
    <w:unhideWhenUsed/>
    <w:qFormat/>
    <w:uiPriority w:val="39"/>
    <w:pPr>
      <w:ind w:left="2520" w:leftChars="1200"/>
    </w:pPr>
  </w:style>
  <w:style w:type="paragraph" w:styleId="9">
    <w:name w:val="toa heading"/>
    <w:basedOn w:val="1"/>
    <w:next w:val="1"/>
    <w:autoRedefine/>
    <w:qFormat/>
    <w:uiPriority w:val="99"/>
    <w:rPr>
      <w:rFonts w:ascii="Arial" w:hAnsi="Arial" w:cs="Arial"/>
      <w:sz w:val="24"/>
    </w:rPr>
  </w:style>
  <w:style w:type="paragraph" w:styleId="10">
    <w:name w:val="annotation text"/>
    <w:basedOn w:val="1"/>
    <w:autoRedefine/>
    <w:qFormat/>
    <w:uiPriority w:val="0"/>
    <w:pPr>
      <w:jc w:val="left"/>
    </w:pPr>
  </w:style>
  <w:style w:type="paragraph" w:styleId="11">
    <w:name w:val="Body Text"/>
    <w:basedOn w:val="1"/>
    <w:next w:val="12"/>
    <w:link w:val="52"/>
    <w:autoRedefine/>
    <w:qFormat/>
    <w:uiPriority w:val="99"/>
    <w:pPr>
      <w:spacing w:after="120"/>
    </w:pPr>
  </w:style>
  <w:style w:type="paragraph" w:styleId="12">
    <w:name w:val="header"/>
    <w:basedOn w:val="1"/>
    <w:next w:val="13"/>
    <w:link w:val="6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13">
    <w:name w:val="Quote1"/>
    <w:basedOn w:val="1"/>
    <w:next w:val="1"/>
    <w:autoRedefine/>
    <w:qFormat/>
    <w:uiPriority w:val="99"/>
    <w:pPr>
      <w:widowControl/>
      <w:wordWrap w:val="0"/>
      <w:spacing w:before="200" w:after="160"/>
      <w:ind w:left="864" w:right="864"/>
      <w:jc w:val="center"/>
    </w:pPr>
    <w:rPr>
      <w:rFonts w:ascii="宋体"/>
      <w:i/>
      <w:color w:val="404040"/>
    </w:rPr>
  </w:style>
  <w:style w:type="paragraph" w:styleId="14">
    <w:name w:val="Body Text Indent"/>
    <w:basedOn w:val="1"/>
    <w:autoRedefine/>
    <w:qFormat/>
    <w:uiPriority w:val="0"/>
    <w:pPr>
      <w:spacing w:after="120"/>
      <w:ind w:left="420" w:leftChars="200"/>
    </w:pPr>
    <w:rPr>
      <w:sz w:val="21"/>
      <w:szCs w:val="21"/>
    </w:rPr>
  </w:style>
  <w:style w:type="paragraph" w:styleId="15">
    <w:name w:val="List 2"/>
    <w:basedOn w:val="1"/>
    <w:autoRedefine/>
    <w:qFormat/>
    <w:uiPriority w:val="0"/>
    <w:pPr>
      <w:ind w:left="100" w:leftChars="200" w:hanging="200" w:hangingChars="200"/>
    </w:pPr>
    <w:rPr>
      <w:szCs w:val="20"/>
    </w:rPr>
  </w:style>
  <w:style w:type="paragraph" w:styleId="16">
    <w:name w:val="toc 5"/>
    <w:basedOn w:val="1"/>
    <w:next w:val="1"/>
    <w:autoRedefine/>
    <w:qFormat/>
    <w:uiPriority w:val="39"/>
    <w:pPr>
      <w:tabs>
        <w:tab w:val="right" w:leader="dot" w:pos="8296"/>
      </w:tabs>
      <w:ind w:left="1050" w:leftChars="500"/>
    </w:pPr>
  </w:style>
  <w:style w:type="paragraph" w:styleId="17">
    <w:name w:val="toc 3"/>
    <w:basedOn w:val="1"/>
    <w:next w:val="1"/>
    <w:autoRedefine/>
    <w:qFormat/>
    <w:uiPriority w:val="39"/>
    <w:pPr>
      <w:ind w:left="840"/>
    </w:pPr>
  </w:style>
  <w:style w:type="paragraph" w:styleId="18">
    <w:name w:val="Plain Text"/>
    <w:basedOn w:val="1"/>
    <w:link w:val="58"/>
    <w:autoRedefine/>
    <w:qFormat/>
    <w:uiPriority w:val="99"/>
    <w:rPr>
      <w:rFonts w:ascii="宋体" w:hAnsi="Courier New" w:cs="Courier New"/>
      <w:szCs w:val="21"/>
    </w:rPr>
  </w:style>
  <w:style w:type="paragraph" w:styleId="19">
    <w:name w:val="toc 8"/>
    <w:basedOn w:val="1"/>
    <w:next w:val="1"/>
    <w:autoRedefine/>
    <w:unhideWhenUsed/>
    <w:qFormat/>
    <w:uiPriority w:val="39"/>
    <w:pPr>
      <w:ind w:left="2940" w:leftChars="1400"/>
    </w:pPr>
  </w:style>
  <w:style w:type="paragraph" w:styleId="20">
    <w:name w:val="Date"/>
    <w:basedOn w:val="1"/>
    <w:next w:val="1"/>
    <w:link w:val="59"/>
    <w:autoRedefine/>
    <w:qFormat/>
    <w:uiPriority w:val="99"/>
    <w:pPr>
      <w:ind w:left="100"/>
    </w:pPr>
  </w:style>
  <w:style w:type="paragraph" w:styleId="21">
    <w:name w:val="Balloon Text"/>
    <w:basedOn w:val="1"/>
    <w:link w:val="88"/>
    <w:autoRedefine/>
    <w:qFormat/>
    <w:uiPriority w:val="0"/>
    <w:rPr>
      <w:sz w:val="18"/>
      <w:szCs w:val="18"/>
    </w:rPr>
  </w:style>
  <w:style w:type="paragraph" w:styleId="22">
    <w:name w:val="footer"/>
    <w:basedOn w:val="1"/>
    <w:link w:val="60"/>
    <w:autoRedefine/>
    <w:qFormat/>
    <w:uiPriority w:val="0"/>
    <w:pPr>
      <w:tabs>
        <w:tab w:val="center" w:pos="4153"/>
        <w:tab w:val="right" w:pos="8306"/>
      </w:tabs>
      <w:snapToGrid w:val="0"/>
      <w:jc w:val="left"/>
    </w:pPr>
    <w:rPr>
      <w:sz w:val="18"/>
      <w:szCs w:val="18"/>
    </w:rPr>
  </w:style>
  <w:style w:type="paragraph" w:styleId="23">
    <w:name w:val="toc 1"/>
    <w:basedOn w:val="1"/>
    <w:next w:val="1"/>
    <w:autoRedefine/>
    <w:qFormat/>
    <w:uiPriority w:val="39"/>
  </w:style>
  <w:style w:type="paragraph" w:styleId="24">
    <w:name w:val="toc 4"/>
    <w:basedOn w:val="1"/>
    <w:next w:val="1"/>
    <w:autoRedefine/>
    <w:qFormat/>
    <w:uiPriority w:val="39"/>
    <w:pPr>
      <w:tabs>
        <w:tab w:val="left" w:pos="1890"/>
        <w:tab w:val="right" w:leader="dot" w:pos="8296"/>
      </w:tabs>
      <w:ind w:left="630" w:leftChars="300"/>
    </w:pPr>
  </w:style>
  <w:style w:type="paragraph" w:styleId="25">
    <w:name w:val="Subtitle"/>
    <w:basedOn w:val="1"/>
    <w:next w:val="1"/>
    <w:autoRedefine/>
    <w:qFormat/>
    <w:uiPriority w:val="0"/>
    <w:pPr>
      <w:spacing w:before="120" w:after="120" w:line="360" w:lineRule="auto"/>
      <w:outlineLvl w:val="1"/>
    </w:pPr>
    <w:rPr>
      <w:rFonts w:ascii="Cambria" w:hAnsi="Cambria"/>
      <w:b/>
      <w:bCs/>
      <w:kern w:val="28"/>
      <w:sz w:val="30"/>
      <w:szCs w:val="32"/>
    </w:rPr>
  </w:style>
  <w:style w:type="paragraph" w:styleId="26">
    <w:name w:val="toc 6"/>
    <w:basedOn w:val="1"/>
    <w:next w:val="1"/>
    <w:autoRedefine/>
    <w:unhideWhenUsed/>
    <w:qFormat/>
    <w:uiPriority w:val="39"/>
    <w:pPr>
      <w:ind w:left="2100" w:leftChars="1000"/>
    </w:pPr>
  </w:style>
  <w:style w:type="paragraph" w:styleId="27">
    <w:name w:val="toc 2"/>
    <w:basedOn w:val="1"/>
    <w:next w:val="1"/>
    <w:autoRedefine/>
    <w:qFormat/>
    <w:uiPriority w:val="39"/>
    <w:pPr>
      <w:ind w:left="420"/>
    </w:pPr>
  </w:style>
  <w:style w:type="paragraph" w:styleId="28">
    <w:name w:val="toc 9"/>
    <w:basedOn w:val="1"/>
    <w:next w:val="1"/>
    <w:autoRedefine/>
    <w:unhideWhenUsed/>
    <w:qFormat/>
    <w:uiPriority w:val="39"/>
    <w:pPr>
      <w:ind w:left="3360" w:leftChars="1600"/>
    </w:pPr>
  </w:style>
  <w:style w:type="paragraph" w:styleId="29">
    <w:name w:val="Body Text 2"/>
    <w:basedOn w:val="1"/>
    <w:link w:val="73"/>
    <w:autoRedefine/>
    <w:unhideWhenUsed/>
    <w:qFormat/>
    <w:uiPriority w:val="99"/>
    <w:pPr>
      <w:spacing w:after="120" w:line="480" w:lineRule="auto"/>
    </w:pPr>
  </w:style>
  <w:style w:type="paragraph" w:styleId="30">
    <w:name w:val="HTML Preformatted"/>
    <w:basedOn w:val="1"/>
    <w:link w:val="62"/>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1">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2">
    <w:name w:val="Body Text First Indent"/>
    <w:basedOn w:val="11"/>
    <w:autoRedefine/>
    <w:qFormat/>
    <w:uiPriority w:val="0"/>
    <w:pPr>
      <w:ind w:firstLine="420" w:firstLineChars="100"/>
    </w:pPr>
    <w:rPr>
      <w:szCs w:val="24"/>
    </w:rPr>
  </w:style>
  <w:style w:type="paragraph" w:styleId="33">
    <w:name w:val="Body Text First Indent 2"/>
    <w:basedOn w:val="14"/>
    <w:autoRedefine/>
    <w:qFormat/>
    <w:uiPriority w:val="0"/>
    <w:pPr>
      <w:ind w:firstLine="420" w:firstLineChars="200"/>
    </w:pPr>
    <w:rPr>
      <w:szCs w:val="24"/>
    </w:r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autoRedefine/>
    <w:qFormat/>
    <w:uiPriority w:val="0"/>
    <w:rPr>
      <w:b/>
    </w:rPr>
  </w:style>
  <w:style w:type="character" w:styleId="38">
    <w:name w:val="page number"/>
    <w:basedOn w:val="36"/>
    <w:unhideWhenUsed/>
    <w:qFormat/>
    <w:uiPriority w:val="99"/>
  </w:style>
  <w:style w:type="character" w:styleId="39">
    <w:name w:val="FollowedHyperlink"/>
    <w:autoRedefine/>
    <w:unhideWhenUsed/>
    <w:qFormat/>
    <w:uiPriority w:val="99"/>
    <w:rPr>
      <w:color w:val="000000"/>
      <w:u w:val="none"/>
    </w:rPr>
  </w:style>
  <w:style w:type="character" w:styleId="40">
    <w:name w:val="Emphasis"/>
    <w:basedOn w:val="36"/>
    <w:autoRedefine/>
    <w:qFormat/>
    <w:uiPriority w:val="20"/>
    <w:rPr>
      <w:color w:val="CC0000"/>
    </w:rPr>
  </w:style>
  <w:style w:type="character" w:styleId="41">
    <w:name w:val="HTML Definition"/>
    <w:basedOn w:val="36"/>
    <w:autoRedefine/>
    <w:qFormat/>
    <w:uiPriority w:val="0"/>
  </w:style>
  <w:style w:type="character" w:styleId="42">
    <w:name w:val="HTML Typewriter"/>
    <w:basedOn w:val="36"/>
    <w:autoRedefine/>
    <w:qFormat/>
    <w:uiPriority w:val="0"/>
    <w:rPr>
      <w:rFonts w:hint="default" w:ascii="monospace" w:hAnsi="monospace" w:eastAsia="monospace" w:cs="monospace"/>
      <w:sz w:val="20"/>
    </w:rPr>
  </w:style>
  <w:style w:type="character" w:styleId="43">
    <w:name w:val="HTML Acronym"/>
    <w:basedOn w:val="36"/>
    <w:autoRedefine/>
    <w:qFormat/>
    <w:uiPriority w:val="0"/>
  </w:style>
  <w:style w:type="character" w:styleId="44">
    <w:name w:val="HTML Variable"/>
    <w:basedOn w:val="36"/>
    <w:autoRedefine/>
    <w:qFormat/>
    <w:uiPriority w:val="0"/>
  </w:style>
  <w:style w:type="character" w:styleId="45">
    <w:name w:val="Hyperlink"/>
    <w:basedOn w:val="36"/>
    <w:autoRedefine/>
    <w:qFormat/>
    <w:uiPriority w:val="99"/>
    <w:rPr>
      <w:color w:val="0000FF"/>
      <w:u w:val="single"/>
    </w:rPr>
  </w:style>
  <w:style w:type="character" w:styleId="46">
    <w:name w:val="HTML Code"/>
    <w:basedOn w:val="36"/>
    <w:autoRedefine/>
    <w:qFormat/>
    <w:uiPriority w:val="0"/>
    <w:rPr>
      <w:rFonts w:hint="default" w:ascii="monospace" w:hAnsi="monospace" w:eastAsia="monospace" w:cs="monospace"/>
      <w:sz w:val="20"/>
    </w:rPr>
  </w:style>
  <w:style w:type="character" w:styleId="47">
    <w:name w:val="HTML Cite"/>
    <w:basedOn w:val="36"/>
    <w:autoRedefine/>
    <w:unhideWhenUsed/>
    <w:qFormat/>
    <w:uiPriority w:val="99"/>
    <w:rPr>
      <w:color w:val="008000"/>
    </w:rPr>
  </w:style>
  <w:style w:type="character" w:styleId="48">
    <w:name w:val="HTML Keyboard"/>
    <w:basedOn w:val="36"/>
    <w:autoRedefine/>
    <w:qFormat/>
    <w:uiPriority w:val="0"/>
    <w:rPr>
      <w:rFonts w:hint="default" w:ascii="monospace" w:hAnsi="monospace" w:eastAsia="monospace" w:cs="monospace"/>
      <w:sz w:val="20"/>
    </w:rPr>
  </w:style>
  <w:style w:type="character" w:styleId="49">
    <w:name w:val="HTML Sample"/>
    <w:basedOn w:val="36"/>
    <w:autoRedefine/>
    <w:qFormat/>
    <w:uiPriority w:val="0"/>
    <w:rPr>
      <w:rFonts w:ascii="monospace" w:hAnsi="monospace" w:eastAsia="monospace" w:cs="monospace"/>
    </w:rPr>
  </w:style>
  <w:style w:type="paragraph" w:customStyle="1" w:styleId="50">
    <w:name w:val="节1"/>
    <w:basedOn w:val="1"/>
    <w:next w:val="1"/>
    <w:autoRedefine/>
    <w:qFormat/>
    <w:uiPriority w:val="0"/>
    <w:pPr>
      <w:adjustRightInd w:val="0"/>
      <w:snapToGrid w:val="0"/>
      <w:spacing w:before="120" w:after="120" w:line="312" w:lineRule="auto"/>
      <w:ind w:firstLine="567"/>
      <w:textAlignment w:val="baseline"/>
    </w:pPr>
    <w:rPr>
      <w:rFonts w:ascii="宋体" w:hAnsi="Courier New"/>
      <w:b/>
      <w:bCs/>
      <w:spacing w:val="6"/>
      <w:kern w:val="0"/>
      <w:sz w:val="32"/>
      <w:szCs w:val="21"/>
    </w:rPr>
  </w:style>
  <w:style w:type="paragraph" w:customStyle="1" w:styleId="51">
    <w:name w:val="正文文本 21"/>
    <w:basedOn w:val="1"/>
    <w:autoRedefine/>
    <w:qFormat/>
    <w:uiPriority w:val="0"/>
    <w:pPr>
      <w:spacing w:after="120" w:line="480" w:lineRule="auto"/>
    </w:pPr>
    <w:rPr>
      <w:sz w:val="28"/>
      <w:szCs w:val="28"/>
    </w:rPr>
  </w:style>
  <w:style w:type="character" w:customStyle="1" w:styleId="52">
    <w:name w:val="正文文本 Char"/>
    <w:basedOn w:val="36"/>
    <w:link w:val="11"/>
    <w:autoRedefine/>
    <w:qFormat/>
    <w:uiPriority w:val="99"/>
    <w:rPr>
      <w:rFonts w:ascii="Calibri" w:hAnsi="Calibri"/>
      <w:kern w:val="2"/>
      <w:sz w:val="21"/>
      <w:szCs w:val="22"/>
    </w:rPr>
  </w:style>
  <w:style w:type="character" w:customStyle="1" w:styleId="53">
    <w:name w:val="标题 2 Char"/>
    <w:link w:val="3"/>
    <w:autoRedefine/>
    <w:qFormat/>
    <w:uiPriority w:val="9"/>
    <w:rPr>
      <w:rFonts w:ascii="Cambria" w:hAnsi="Cambria"/>
      <w:b/>
      <w:bCs/>
      <w:sz w:val="32"/>
      <w:szCs w:val="32"/>
    </w:rPr>
  </w:style>
  <w:style w:type="character" w:customStyle="1" w:styleId="54">
    <w:name w:val="标题 1 Char"/>
    <w:basedOn w:val="36"/>
    <w:link w:val="2"/>
    <w:autoRedefine/>
    <w:qFormat/>
    <w:uiPriority w:val="9"/>
    <w:rPr>
      <w:rFonts w:ascii="Calibri" w:hAnsi="Calibri"/>
      <w:b/>
      <w:bCs/>
      <w:kern w:val="44"/>
      <w:sz w:val="32"/>
      <w:szCs w:val="44"/>
    </w:rPr>
  </w:style>
  <w:style w:type="character" w:customStyle="1" w:styleId="55">
    <w:name w:val="标题 3 Char"/>
    <w:basedOn w:val="36"/>
    <w:link w:val="4"/>
    <w:autoRedefine/>
    <w:qFormat/>
    <w:uiPriority w:val="9"/>
    <w:rPr>
      <w:rFonts w:ascii="Calibri" w:hAnsi="Calibri"/>
      <w:b/>
      <w:bCs/>
      <w:kern w:val="2"/>
      <w:sz w:val="32"/>
      <w:szCs w:val="32"/>
    </w:rPr>
  </w:style>
  <w:style w:type="character" w:customStyle="1" w:styleId="56">
    <w:name w:val="标题 4 Char"/>
    <w:basedOn w:val="36"/>
    <w:link w:val="5"/>
    <w:autoRedefine/>
    <w:qFormat/>
    <w:uiPriority w:val="9"/>
    <w:rPr>
      <w:rFonts w:ascii="宋体" w:hAnsi="宋体"/>
      <w:bCs/>
      <w:kern w:val="2"/>
      <w:sz w:val="21"/>
      <w:szCs w:val="28"/>
    </w:rPr>
  </w:style>
  <w:style w:type="character" w:customStyle="1" w:styleId="57">
    <w:name w:val="标题 5 Char"/>
    <w:basedOn w:val="36"/>
    <w:link w:val="6"/>
    <w:autoRedefine/>
    <w:qFormat/>
    <w:uiPriority w:val="9"/>
    <w:rPr>
      <w:rFonts w:ascii="Calibri" w:hAnsi="Calibri"/>
      <w:b/>
      <w:bCs/>
      <w:kern w:val="2"/>
      <w:sz w:val="28"/>
      <w:szCs w:val="28"/>
    </w:rPr>
  </w:style>
  <w:style w:type="character" w:customStyle="1" w:styleId="58">
    <w:name w:val="纯文本 Char1"/>
    <w:basedOn w:val="36"/>
    <w:link w:val="18"/>
    <w:autoRedefine/>
    <w:qFormat/>
    <w:uiPriority w:val="99"/>
    <w:rPr>
      <w:rFonts w:ascii="宋体" w:hAnsi="Courier New" w:cs="Courier New"/>
      <w:kern w:val="2"/>
      <w:sz w:val="21"/>
      <w:szCs w:val="21"/>
    </w:rPr>
  </w:style>
  <w:style w:type="character" w:customStyle="1" w:styleId="59">
    <w:name w:val="日期 Char"/>
    <w:basedOn w:val="36"/>
    <w:link w:val="20"/>
    <w:autoRedefine/>
    <w:qFormat/>
    <w:uiPriority w:val="99"/>
    <w:rPr>
      <w:rFonts w:ascii="Calibri" w:hAnsi="Calibri"/>
      <w:kern w:val="2"/>
      <w:sz w:val="21"/>
      <w:szCs w:val="22"/>
    </w:rPr>
  </w:style>
  <w:style w:type="character" w:customStyle="1" w:styleId="60">
    <w:name w:val="页脚 Char"/>
    <w:basedOn w:val="36"/>
    <w:link w:val="22"/>
    <w:autoRedefine/>
    <w:qFormat/>
    <w:uiPriority w:val="0"/>
    <w:rPr>
      <w:rFonts w:ascii="Calibri" w:hAnsi="Calibri"/>
      <w:kern w:val="2"/>
      <w:sz w:val="18"/>
      <w:szCs w:val="18"/>
    </w:rPr>
  </w:style>
  <w:style w:type="character" w:customStyle="1" w:styleId="61">
    <w:name w:val="页眉 Char"/>
    <w:basedOn w:val="36"/>
    <w:link w:val="12"/>
    <w:autoRedefine/>
    <w:qFormat/>
    <w:uiPriority w:val="0"/>
    <w:rPr>
      <w:rFonts w:ascii="Calibri" w:hAnsi="Calibri"/>
      <w:kern w:val="2"/>
      <w:sz w:val="18"/>
      <w:szCs w:val="22"/>
    </w:rPr>
  </w:style>
  <w:style w:type="character" w:customStyle="1" w:styleId="62">
    <w:name w:val="HTML 预设格式 Char"/>
    <w:basedOn w:val="36"/>
    <w:link w:val="30"/>
    <w:autoRedefine/>
    <w:qFormat/>
    <w:uiPriority w:val="99"/>
    <w:rPr>
      <w:rFonts w:ascii="宋体" w:hAnsi="宋体" w:cs="宋体"/>
      <w:sz w:val="24"/>
      <w:szCs w:val="22"/>
    </w:rPr>
  </w:style>
  <w:style w:type="character" w:customStyle="1" w:styleId="63">
    <w:name w:val="Char Char Char"/>
    <w:autoRedefine/>
    <w:qFormat/>
    <w:uiPriority w:val="0"/>
    <w:rPr>
      <w:rFonts w:ascii="宋体" w:hAnsi="Courier New" w:eastAsia="宋体"/>
      <w:kern w:val="2"/>
      <w:sz w:val="21"/>
      <w:lang w:val="en-US" w:eastAsia="zh-CN" w:bidi="ar-SA"/>
    </w:rPr>
  </w:style>
  <w:style w:type="paragraph" w:customStyle="1" w:styleId="64">
    <w:name w:val="正文_0"/>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65">
    <w:name w:val="正文_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66">
    <w:name w:val="标题3"/>
    <w:basedOn w:val="1"/>
    <w:autoRedefine/>
    <w:qFormat/>
    <w:uiPriority w:val="0"/>
    <w:pPr>
      <w:spacing w:before="120" w:after="120" w:line="360" w:lineRule="auto"/>
      <w:outlineLvl w:val="2"/>
    </w:pPr>
    <w:rPr>
      <w:rFonts w:ascii="黑体" w:hAnsi="宋体"/>
      <w:sz w:val="24"/>
    </w:rPr>
  </w:style>
  <w:style w:type="paragraph" w:customStyle="1" w:styleId="67">
    <w:name w:val="标题 2_1"/>
    <w:basedOn w:val="68"/>
    <w:autoRedefine/>
    <w:semiHidden/>
    <w:qFormat/>
    <w:uiPriority w:val="0"/>
    <w:pPr>
      <w:snapToGrid w:val="0"/>
      <w:spacing w:before="100" w:beforeAutospacing="1" w:after="100" w:afterAutospacing="1" w:line="360" w:lineRule="auto"/>
      <w:jc w:val="center"/>
      <w:outlineLvl w:val="1"/>
    </w:pPr>
    <w:rPr>
      <w:rFonts w:ascii="宋体" w:hAnsi="宋体" w:cs="宋体"/>
      <w:b/>
      <w:bCs/>
      <w:kern w:val="0"/>
    </w:rPr>
  </w:style>
  <w:style w:type="paragraph" w:customStyle="1" w:styleId="68">
    <w:name w:val="正文_1_0"/>
    <w:basedOn w:val="69"/>
    <w:autoRedefine/>
    <w:qFormat/>
    <w:uiPriority w:val="0"/>
    <w:rPr>
      <w:szCs w:val="21"/>
    </w:rPr>
  </w:style>
  <w:style w:type="paragraph" w:customStyle="1" w:styleId="69">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0">
    <w:name w:val="10_0"/>
    <w:autoRedefine/>
    <w:qFormat/>
    <w:uiPriority w:val="0"/>
    <w:rPr>
      <w:rFonts w:hint="default" w:ascii="Times New Roman" w:hAnsi="Times New Roman" w:cs="Times New Roman"/>
    </w:rPr>
  </w:style>
  <w:style w:type="paragraph" w:customStyle="1" w:styleId="71">
    <w:name w:val="_Style 6"/>
    <w:basedOn w:val="2"/>
    <w:next w:val="1"/>
    <w:autoRedefine/>
    <w:qFormat/>
    <w:uiPriority w:val="0"/>
    <w:pPr>
      <w:outlineLvl w:val="9"/>
    </w:pPr>
  </w:style>
  <w:style w:type="character" w:customStyle="1" w:styleId="72">
    <w:name w:val="标题 7 Char"/>
    <w:basedOn w:val="36"/>
    <w:link w:val="7"/>
    <w:autoRedefine/>
    <w:semiHidden/>
    <w:qFormat/>
    <w:uiPriority w:val="9"/>
    <w:rPr>
      <w:rFonts w:ascii="Tahoma" w:hAnsi="Tahoma" w:eastAsia="微软雅黑" w:cstheme="minorBidi"/>
      <w:b/>
      <w:bCs/>
      <w:sz w:val="24"/>
      <w:szCs w:val="24"/>
    </w:rPr>
  </w:style>
  <w:style w:type="character" w:customStyle="1" w:styleId="73">
    <w:name w:val="正文文本 2 Char"/>
    <w:basedOn w:val="36"/>
    <w:link w:val="29"/>
    <w:autoRedefine/>
    <w:qFormat/>
    <w:uiPriority w:val="99"/>
    <w:rPr>
      <w:rFonts w:ascii="Calibri" w:hAnsi="Calibri"/>
      <w:kern w:val="2"/>
      <w:sz w:val="21"/>
      <w:szCs w:val="22"/>
    </w:rPr>
  </w:style>
  <w:style w:type="character" w:customStyle="1" w:styleId="74">
    <w:name w:val="apple-converted-space"/>
    <w:basedOn w:val="36"/>
    <w:autoRedefine/>
    <w:qFormat/>
    <w:uiPriority w:val="0"/>
  </w:style>
  <w:style w:type="character" w:customStyle="1" w:styleId="75">
    <w:name w:val="纯文本 Char"/>
    <w:autoRedefine/>
    <w:qFormat/>
    <w:uiPriority w:val="99"/>
    <w:rPr>
      <w:rFonts w:ascii="宋体" w:hAnsi="Courier New" w:cs="Courier New"/>
      <w:kern w:val="2"/>
      <w:sz w:val="21"/>
      <w:szCs w:val="21"/>
    </w:rPr>
  </w:style>
  <w:style w:type="paragraph" w:customStyle="1" w:styleId="76">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7">
    <w:name w:val="_Style 3"/>
    <w:basedOn w:val="2"/>
    <w:next w:val="1"/>
    <w:autoRedefine/>
    <w:qFormat/>
    <w:uiPriority w:val="0"/>
    <w:pPr>
      <w:pageBreakBefore/>
      <w:spacing w:before="200" w:after="200"/>
      <w:jc w:val="center"/>
      <w:outlineLvl w:val="9"/>
    </w:pPr>
    <w:rPr>
      <w:bCs w:val="0"/>
      <w:sz w:val="28"/>
      <w:szCs w:val="22"/>
    </w:rPr>
  </w:style>
  <w:style w:type="paragraph" w:customStyle="1" w:styleId="78">
    <w:name w:val="样式 仿宋_GB2312 四号 行距: 固定值 29 磅"/>
    <w:basedOn w:val="1"/>
    <w:autoRedefine/>
    <w:qFormat/>
    <w:uiPriority w:val="0"/>
    <w:pPr>
      <w:spacing w:line="580" w:lineRule="exact"/>
      <w:ind w:firstLine="560"/>
    </w:pPr>
    <w:rPr>
      <w:rFonts w:ascii="仿宋_GB2312" w:hAnsi="宋体" w:eastAsia="仿宋_GB2312" w:cs="宋体"/>
      <w:sz w:val="30"/>
      <w:szCs w:val="20"/>
    </w:rPr>
  </w:style>
  <w:style w:type="paragraph" w:customStyle="1" w:styleId="79">
    <w:name w:val="hr"/>
    <w:basedOn w:val="1"/>
    <w:autoRedefine/>
    <w:qFormat/>
    <w:uiPriority w:val="0"/>
    <w:pPr>
      <w:jc w:val="left"/>
    </w:pPr>
    <w:rPr>
      <w:vanish/>
      <w:color w:val="CCCCCC"/>
      <w:kern w:val="0"/>
    </w:rPr>
  </w:style>
  <w:style w:type="paragraph" w:customStyle="1" w:styleId="80">
    <w:name w:val="z-窗体顶端1"/>
    <w:basedOn w:val="1"/>
    <w:next w:val="1"/>
    <w:link w:val="81"/>
    <w:autoRedefine/>
    <w:qFormat/>
    <w:uiPriority w:val="0"/>
    <w:pPr>
      <w:pBdr>
        <w:bottom w:val="single" w:color="auto" w:sz="6" w:space="1"/>
      </w:pBdr>
      <w:jc w:val="center"/>
    </w:pPr>
    <w:rPr>
      <w:rFonts w:ascii="Arial"/>
      <w:vanish/>
      <w:sz w:val="16"/>
    </w:rPr>
  </w:style>
  <w:style w:type="character" w:customStyle="1" w:styleId="81">
    <w:name w:val="z-窗体顶端 Char"/>
    <w:basedOn w:val="36"/>
    <w:link w:val="80"/>
    <w:autoRedefine/>
    <w:qFormat/>
    <w:uiPriority w:val="0"/>
    <w:rPr>
      <w:rFonts w:ascii="Arial" w:hAnsi="Calibri"/>
      <w:vanish/>
      <w:kern w:val="2"/>
      <w:sz w:val="16"/>
      <w:szCs w:val="22"/>
    </w:rPr>
  </w:style>
  <w:style w:type="paragraph" w:customStyle="1" w:styleId="82">
    <w:name w:val="z-窗体底端1"/>
    <w:basedOn w:val="1"/>
    <w:next w:val="1"/>
    <w:link w:val="83"/>
    <w:autoRedefine/>
    <w:qFormat/>
    <w:uiPriority w:val="0"/>
    <w:pPr>
      <w:pBdr>
        <w:top w:val="single" w:color="auto" w:sz="6" w:space="1"/>
      </w:pBdr>
      <w:jc w:val="center"/>
    </w:pPr>
    <w:rPr>
      <w:rFonts w:ascii="Arial"/>
      <w:vanish/>
      <w:sz w:val="16"/>
    </w:rPr>
  </w:style>
  <w:style w:type="character" w:customStyle="1" w:styleId="83">
    <w:name w:val="z-窗体底端 Char"/>
    <w:basedOn w:val="36"/>
    <w:link w:val="82"/>
    <w:autoRedefine/>
    <w:qFormat/>
    <w:uiPriority w:val="0"/>
    <w:rPr>
      <w:rFonts w:ascii="Arial" w:hAnsi="Calibri"/>
      <w:vanish/>
      <w:kern w:val="2"/>
      <w:sz w:val="16"/>
      <w:szCs w:val="22"/>
    </w:rPr>
  </w:style>
  <w:style w:type="character" w:customStyle="1" w:styleId="84">
    <w:name w:val="sugg-loading"/>
    <w:basedOn w:val="36"/>
    <w:autoRedefine/>
    <w:qFormat/>
    <w:uiPriority w:val="0"/>
  </w:style>
  <w:style w:type="character" w:customStyle="1" w:styleId="85">
    <w:name w:val="page-cur"/>
    <w:basedOn w:val="36"/>
    <w:autoRedefine/>
    <w:qFormat/>
    <w:uiPriority w:val="0"/>
    <w:rPr>
      <w:b/>
      <w:color w:val="333333"/>
      <w:bdr w:val="single" w:color="E5E5E5" w:sz="6" w:space="0"/>
      <w:shd w:val="clear" w:color="auto" w:fill="F2F2F2"/>
    </w:rPr>
  </w:style>
  <w:style w:type="paragraph" w:customStyle="1" w:styleId="86">
    <w:name w:val="Normal_0"/>
    <w:autoRedefine/>
    <w:qFormat/>
    <w:uiPriority w:val="0"/>
    <w:pPr>
      <w:widowControl w:val="0"/>
      <w:jc w:val="both"/>
    </w:pPr>
    <w:rPr>
      <w:rFonts w:ascii="Calibri" w:hAnsi="Calibri" w:eastAsia="宋体" w:cs="Times New Roman"/>
      <w:lang w:val="en-US" w:eastAsia="zh-CN" w:bidi="ar-SA"/>
    </w:rPr>
  </w:style>
  <w:style w:type="paragraph" w:customStyle="1" w:styleId="87">
    <w:name w:val="样式 标题 3 + (中文) 黑体 小四 非加粗 段前: 7.8 磅 段后: 0 磅 行距: 固定值 20 磅"/>
    <w:basedOn w:val="4"/>
    <w:autoRedefine/>
    <w:qFormat/>
    <w:uiPriority w:val="0"/>
    <w:pPr>
      <w:spacing w:before="0" w:after="0" w:line="400" w:lineRule="exact"/>
    </w:pPr>
    <w:rPr>
      <w:rFonts w:eastAsia="黑体" w:cs="宋体"/>
      <w:b w:val="0"/>
      <w:bCs w:val="0"/>
      <w:sz w:val="24"/>
      <w:szCs w:val="20"/>
    </w:rPr>
  </w:style>
  <w:style w:type="character" w:customStyle="1" w:styleId="88">
    <w:name w:val="批注框文本 Char"/>
    <w:basedOn w:val="36"/>
    <w:link w:val="21"/>
    <w:autoRedefine/>
    <w:qFormat/>
    <w:uiPriority w:val="0"/>
    <w:rPr>
      <w:rFonts w:ascii="Calibri" w:hAnsi="Calibri"/>
      <w:kern w:val="2"/>
      <w:sz w:val="18"/>
      <w:szCs w:val="18"/>
    </w:rPr>
  </w:style>
  <w:style w:type="paragraph" w:styleId="89">
    <w:name w:val="List Paragraph"/>
    <w:basedOn w:val="1"/>
    <w:autoRedefine/>
    <w:qFormat/>
    <w:uiPriority w:val="34"/>
    <w:pPr>
      <w:ind w:firstLine="420" w:firstLineChars="200"/>
    </w:pPr>
  </w:style>
  <w:style w:type="paragraph" w:customStyle="1" w:styleId="90">
    <w:name w:val="样式 纯文本文章正文 + 左  0 字符"/>
    <w:basedOn w:val="1"/>
    <w:autoRedefine/>
    <w:semiHidden/>
    <w:qFormat/>
    <w:uiPriority w:val="99"/>
    <w:pPr>
      <w:ind w:firstLine="560"/>
    </w:pPr>
    <w:rPr>
      <w:rFonts w:hAnsi="Courier New"/>
      <w:szCs w:val="20"/>
    </w:rPr>
  </w:style>
  <w:style w:type="character" w:customStyle="1" w:styleId="91">
    <w:name w:val="a_p_2"/>
    <w:basedOn w:val="36"/>
    <w:qFormat/>
    <w:uiPriority w:val="0"/>
    <w:rPr>
      <w:sz w:val="27"/>
      <w:szCs w:val="27"/>
    </w:rPr>
  </w:style>
  <w:style w:type="character" w:customStyle="1" w:styleId="92">
    <w:name w:val="a_p_21"/>
    <w:basedOn w:val="36"/>
    <w:qFormat/>
    <w:uiPriority w:val="0"/>
  </w:style>
  <w:style w:type="character" w:customStyle="1" w:styleId="93">
    <w:name w:val="a_p_1"/>
    <w:basedOn w:val="36"/>
    <w:qFormat/>
    <w:uiPriority w:val="0"/>
    <w:rPr>
      <w:sz w:val="27"/>
      <w:szCs w:val="27"/>
    </w:rPr>
  </w:style>
  <w:style w:type="character" w:customStyle="1" w:styleId="94">
    <w:name w:val="a_p_3"/>
    <w:basedOn w:val="36"/>
    <w:qFormat/>
    <w:uiPriority w:val="0"/>
    <w:rPr>
      <w:sz w:val="27"/>
      <w:szCs w:val="27"/>
    </w:rPr>
  </w:style>
  <w:style w:type="character" w:customStyle="1" w:styleId="95">
    <w:name w:val="ul_li_a_1"/>
    <w:basedOn w:val="36"/>
    <w:qFormat/>
    <w:uiPriority w:val="0"/>
    <w:rPr>
      <w:b/>
      <w:bCs/>
      <w:color w:val="FFFFFF"/>
    </w:rPr>
  </w:style>
  <w:style w:type="character" w:customStyle="1" w:styleId="96">
    <w:name w:val="exap"/>
    <w:basedOn w:val="36"/>
    <w:qFormat/>
    <w:uiPriority w:val="0"/>
    <w:rPr>
      <w:sz w:val="27"/>
      <w:szCs w:val="27"/>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Info spid="_x0000_s2052"/>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115955-1636-4837-BD7B-527C87E45660}">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156</Pages>
  <Words>16227</Words>
  <Characters>18010</Characters>
  <Lines>673</Lines>
  <Paragraphs>189</Paragraphs>
  <TotalTime>3</TotalTime>
  <ScaleCrop>false</ScaleCrop>
  <LinksUpToDate>false</LinksUpToDate>
  <CharactersWithSpaces>18793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2020-03-16T08:15:00Z</dcterms:created>
  <dc:creator>Administrator</dc:creator>
  <cp:lastModifiedBy>Administrator</cp:lastModifiedBy>
  <cp:lastPrinted>2026-03-10T01:26:00Z</cp:lastPrinted>
  <dcterms:modified xsi:type="dcterms:W3CDTF">2026-05-08T10:31:24Z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58B6221779D3454FB37E094D8758858F</vt:lpwstr>
  </property>
  <property fmtid="{D5CDD505-2E9C-101B-9397-08002B2CF9AE}" pid="4" name="commondata">
    <vt:lpwstr>eyJoZGlkIjoiYWNmM2E1YTZlZWQ3YWZiZmM2NzAxZjM4NjE4OTViYzAifQ==</vt:lpwstr>
  </property>
  <property fmtid="{D5CDD505-2E9C-101B-9397-08002B2CF9AE}" pid="5" name="KSOTemplateDocerSaveRecord">
    <vt:lpwstr>eyJoZGlkIjoiZWRiNmYwYWE0Y2NjNjc1NTdkMTg5ZDZhN2NiY2Y4MzIiLCJ1c2VySWQiOiI0NjUxODM1MzEifQ==</vt:lpwstr>
  </property>
</Properties>
</file>