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797E56">
      <w:pPr>
        <w:spacing w:line="360" w:lineRule="exact"/>
        <w:jc w:val="right"/>
        <w:rPr>
          <w:rFonts w:hint="eastAsia" w:ascii="黑体" w:hAnsi="黑体" w:eastAsia="黑体" w:cs="黑体"/>
          <w:b/>
          <w:bCs w:val="0"/>
          <w:color w:val="auto"/>
          <w:sz w:val="24"/>
          <w:szCs w:val="24"/>
          <w:highlight w:val="none"/>
        </w:rPr>
      </w:pPr>
      <w:r>
        <w:rPr>
          <w:rFonts w:hint="eastAsia" w:ascii="黑体" w:hAnsi="黑体" w:eastAsia="黑体" w:cs="黑体"/>
          <w:b/>
          <w:bCs w:val="0"/>
          <w:color w:val="auto"/>
          <w:sz w:val="24"/>
          <w:szCs w:val="24"/>
          <w:highlight w:val="none"/>
        </w:rPr>
        <w:t>项目编号：E1507002026051101001</w:t>
      </w:r>
    </w:p>
    <w:p w14:paraId="0307A81C">
      <w:pPr>
        <w:spacing w:line="360" w:lineRule="exact"/>
        <w:jc w:val="right"/>
        <w:rPr>
          <w:rFonts w:hint="default" w:ascii="黑体" w:hAnsi="黑体" w:eastAsia="黑体" w:cs="黑体"/>
          <w:b/>
          <w:bCs w:val="0"/>
          <w:color w:val="auto"/>
          <w:sz w:val="24"/>
          <w:szCs w:val="24"/>
          <w:highlight w:val="none"/>
          <w:lang w:val="en-US" w:eastAsia="zh-CN"/>
        </w:rPr>
      </w:pPr>
      <w:r>
        <w:rPr>
          <w:rFonts w:hint="eastAsia" w:ascii="黑体" w:hAnsi="黑体" w:eastAsia="黑体" w:cs="黑体"/>
          <w:b/>
          <w:bCs w:val="0"/>
          <w:color w:val="auto"/>
          <w:sz w:val="24"/>
          <w:szCs w:val="24"/>
          <w:highlight w:val="none"/>
          <w:lang w:val="en-US" w:eastAsia="zh-CN"/>
        </w:rPr>
        <w:t>标段编号：E1507002026051101001001/002/003/004/005</w:t>
      </w:r>
    </w:p>
    <w:p w14:paraId="0437CC49">
      <w:pPr>
        <w:spacing w:line="360" w:lineRule="exact"/>
        <w:jc w:val="center"/>
        <w:rPr>
          <w:rFonts w:hint="eastAsia" w:ascii="黑体" w:hAnsi="黑体" w:eastAsia="黑体" w:cs="黑体"/>
          <w:color w:val="auto"/>
          <w:szCs w:val="21"/>
          <w:highlight w:val="none"/>
        </w:rPr>
      </w:pPr>
    </w:p>
    <w:p w14:paraId="5CAA6A16">
      <w:pPr>
        <w:widowControl/>
        <w:tabs>
          <w:tab w:val="left" w:pos="3828"/>
        </w:tabs>
        <w:autoSpaceDE w:val="0"/>
        <w:autoSpaceDN w:val="0"/>
        <w:spacing w:line="640" w:lineRule="exact"/>
        <w:ind w:left="-215" w:right="-414"/>
        <w:jc w:val="center"/>
        <w:textAlignment w:val="bottom"/>
        <w:rPr>
          <w:rFonts w:hint="eastAsia" w:ascii="黑体" w:hAnsi="黑体" w:eastAsia="黑体" w:cs="黑体"/>
          <w:b/>
          <w:snapToGrid w:val="0"/>
          <w:color w:val="auto"/>
          <w:spacing w:val="12"/>
          <w:sz w:val="44"/>
          <w:szCs w:val="44"/>
          <w:highlight w:val="none"/>
        </w:rPr>
      </w:pPr>
      <w:r>
        <w:rPr>
          <w:rFonts w:hint="eastAsia" w:ascii="黑体" w:hAnsi="黑体" w:eastAsia="黑体" w:cs="黑体"/>
          <w:b/>
          <w:snapToGrid w:val="0"/>
          <w:color w:val="auto"/>
          <w:spacing w:val="12"/>
          <w:sz w:val="44"/>
          <w:szCs w:val="44"/>
          <w:highlight w:val="none"/>
        </w:rPr>
        <w:t>中 华 人 民 共 和 国</w:t>
      </w:r>
    </w:p>
    <w:p w14:paraId="66A0714A">
      <w:pPr>
        <w:widowControl/>
        <w:tabs>
          <w:tab w:val="left" w:pos="3828"/>
        </w:tabs>
        <w:autoSpaceDE w:val="0"/>
        <w:autoSpaceDN w:val="0"/>
        <w:spacing w:line="640" w:lineRule="exact"/>
        <w:ind w:left="-215" w:right="-414"/>
        <w:jc w:val="center"/>
        <w:textAlignment w:val="bottom"/>
        <w:rPr>
          <w:rFonts w:hint="eastAsia" w:ascii="黑体" w:hAnsi="黑体" w:eastAsia="黑体" w:cs="黑体"/>
          <w:b/>
          <w:snapToGrid w:val="0"/>
          <w:color w:val="auto"/>
          <w:spacing w:val="12"/>
          <w:sz w:val="32"/>
          <w:szCs w:val="32"/>
          <w:highlight w:val="none"/>
        </w:rPr>
      </w:pPr>
      <w:r>
        <w:rPr>
          <w:rFonts w:hint="eastAsia" w:ascii="黑体" w:hAnsi="黑体" w:eastAsia="黑体" w:cs="黑体"/>
          <w:b/>
          <w:snapToGrid w:val="0"/>
          <w:color w:val="auto"/>
          <w:spacing w:val="12"/>
          <w:sz w:val="44"/>
          <w:szCs w:val="44"/>
          <w:highlight w:val="none"/>
        </w:rPr>
        <w:t>内 蒙 古 自 治 区</w:t>
      </w:r>
    </w:p>
    <w:p w14:paraId="00AB6177">
      <w:pPr>
        <w:widowControl/>
        <w:pBdr>
          <w:top w:val="thinThickSmallGap" w:color="auto" w:sz="18" w:space="1"/>
        </w:pBdr>
        <w:autoSpaceDE w:val="0"/>
        <w:autoSpaceDN w:val="0"/>
        <w:spacing w:line="720" w:lineRule="exact"/>
        <w:jc w:val="center"/>
        <w:textAlignment w:val="bottom"/>
        <w:rPr>
          <w:rFonts w:hint="eastAsia" w:ascii="黑体" w:hAnsi="黑体" w:eastAsia="黑体" w:cs="黑体"/>
          <w:b/>
          <w:bCs/>
          <w:color w:val="auto"/>
          <w:sz w:val="44"/>
          <w:szCs w:val="44"/>
          <w:highlight w:val="none"/>
          <w:lang w:eastAsia="zh-CN"/>
        </w:rPr>
      </w:pPr>
    </w:p>
    <w:p w14:paraId="4283840C">
      <w:pPr>
        <w:widowControl/>
        <w:pBdr>
          <w:top w:val="thinThickSmallGap" w:color="auto" w:sz="18" w:space="1"/>
        </w:pBdr>
        <w:autoSpaceDE w:val="0"/>
        <w:autoSpaceDN w:val="0"/>
        <w:spacing w:line="720" w:lineRule="exact"/>
        <w:jc w:val="center"/>
        <w:textAlignment w:val="bottom"/>
        <w:rPr>
          <w:rFonts w:hint="default" w:ascii="黑体" w:hAnsi="黑体" w:eastAsia="黑体" w:cs="黑体"/>
          <w:b/>
          <w:bCs/>
          <w:color w:val="auto"/>
          <w:sz w:val="40"/>
          <w:szCs w:val="40"/>
          <w:highlight w:val="none"/>
          <w:lang w:val="en-US" w:eastAsia="zh-CN"/>
        </w:rPr>
      </w:pPr>
      <w:r>
        <w:rPr>
          <w:rFonts w:hint="eastAsia" w:ascii="黑体" w:hAnsi="黑体" w:eastAsia="黑体" w:cs="黑体"/>
          <w:b/>
          <w:bCs/>
          <w:color w:val="auto"/>
          <w:sz w:val="40"/>
          <w:szCs w:val="40"/>
          <w:highlight w:val="none"/>
          <w:lang w:eastAsia="zh-CN"/>
        </w:rPr>
        <w:t>2026年新巴尔虎左旗生命安全防护工程</w:t>
      </w:r>
      <w:r>
        <w:rPr>
          <w:rFonts w:hint="eastAsia" w:ascii="黑体" w:hAnsi="黑体" w:eastAsia="黑体" w:cs="黑体"/>
          <w:b/>
          <w:bCs/>
          <w:color w:val="auto"/>
          <w:sz w:val="40"/>
          <w:szCs w:val="40"/>
          <w:highlight w:val="none"/>
          <w:lang w:val="en-US" w:eastAsia="zh-CN"/>
        </w:rPr>
        <w:t>施工招标</w:t>
      </w:r>
    </w:p>
    <w:p w14:paraId="70FF00F8">
      <w:pPr>
        <w:shd w:val="clear" w:color="auto" w:fill="auto"/>
        <w:adjustRightInd w:val="0"/>
        <w:spacing w:line="440" w:lineRule="exact"/>
        <w:jc w:val="center"/>
        <w:rPr>
          <w:rFonts w:eastAsia="仿宋_GB2312"/>
          <w:color w:val="auto"/>
          <w:sz w:val="31"/>
          <w:szCs w:val="31"/>
          <w:highlight w:val="none"/>
        </w:rPr>
      </w:pPr>
    </w:p>
    <w:p w14:paraId="2D25BBB5">
      <w:pPr>
        <w:shd w:val="clear" w:color="auto" w:fill="auto"/>
        <w:spacing w:line="860" w:lineRule="exact"/>
        <w:jc w:val="center"/>
        <w:rPr>
          <w:rFonts w:eastAsia="黑体"/>
          <w:color w:val="auto"/>
          <w:sz w:val="72"/>
          <w:szCs w:val="72"/>
          <w:highlight w:val="none"/>
        </w:rPr>
      </w:pPr>
    </w:p>
    <w:p w14:paraId="19F96D16">
      <w:pPr>
        <w:shd w:val="clear" w:color="auto" w:fill="auto"/>
        <w:spacing w:line="860" w:lineRule="exact"/>
        <w:jc w:val="center"/>
        <w:rPr>
          <w:rFonts w:eastAsia="黑体"/>
          <w:color w:val="auto"/>
          <w:sz w:val="72"/>
          <w:szCs w:val="72"/>
          <w:highlight w:val="none"/>
        </w:rPr>
      </w:pPr>
    </w:p>
    <w:p w14:paraId="43C5A49D">
      <w:pPr>
        <w:shd w:val="clear" w:color="auto" w:fill="auto"/>
        <w:spacing w:line="860" w:lineRule="exact"/>
        <w:jc w:val="center"/>
        <w:rPr>
          <w:rFonts w:eastAsia="黑体"/>
          <w:color w:val="auto"/>
          <w:sz w:val="50"/>
          <w:szCs w:val="50"/>
          <w:highlight w:val="none"/>
        </w:rPr>
      </w:pPr>
      <w:r>
        <w:rPr>
          <w:rFonts w:eastAsia="黑体"/>
          <w:color w:val="auto"/>
          <w:sz w:val="72"/>
          <w:szCs w:val="72"/>
          <w:highlight w:val="none"/>
        </w:rPr>
        <w:t>招 标 文 件</w:t>
      </w:r>
    </w:p>
    <w:p w14:paraId="15F8F69E">
      <w:pPr>
        <w:shd w:val="clear" w:color="auto" w:fill="auto"/>
        <w:spacing w:line="440" w:lineRule="exact"/>
        <w:rPr>
          <w:color w:val="auto"/>
          <w:sz w:val="20"/>
          <w:szCs w:val="20"/>
          <w:highlight w:val="none"/>
        </w:rPr>
      </w:pPr>
    </w:p>
    <w:p w14:paraId="42FC78B2">
      <w:pPr>
        <w:spacing w:line="360" w:lineRule="auto"/>
        <w:jc w:val="center"/>
        <w:rPr>
          <w:rFonts w:hint="eastAsia" w:ascii="黑体" w:hAnsi="黑体" w:eastAsia="黑体" w:cs="黑体"/>
          <w:b/>
          <w:color w:val="000000"/>
          <w:sz w:val="40"/>
          <w:szCs w:val="40"/>
          <w:highlight w:val="none"/>
        </w:rPr>
      </w:pPr>
      <w:r>
        <w:rPr>
          <w:rFonts w:hint="eastAsia" w:ascii="黑体" w:hAnsi="黑体" w:eastAsia="黑体" w:cs="黑体"/>
          <w:b/>
          <w:color w:val="000000"/>
          <w:sz w:val="40"/>
          <w:szCs w:val="40"/>
          <w:highlight w:val="none"/>
        </w:rPr>
        <w:t>【</w:t>
      </w:r>
      <w:r>
        <w:rPr>
          <w:rFonts w:hint="eastAsia" w:ascii="黑体" w:hAnsi="黑体" w:eastAsia="黑体" w:cs="黑体"/>
          <w:b/>
          <w:color w:val="000000"/>
          <w:sz w:val="40"/>
          <w:szCs w:val="40"/>
          <w:highlight w:val="none"/>
          <w:lang w:val="en-US" w:eastAsia="zh-CN"/>
        </w:rPr>
        <w:t>项目专用本</w:t>
      </w:r>
      <w:r>
        <w:rPr>
          <w:rFonts w:hint="eastAsia" w:ascii="黑体" w:hAnsi="黑体" w:eastAsia="黑体" w:cs="黑体"/>
          <w:b/>
          <w:color w:val="000000"/>
          <w:sz w:val="40"/>
          <w:szCs w:val="40"/>
          <w:highlight w:val="none"/>
        </w:rPr>
        <w:t>】</w:t>
      </w:r>
    </w:p>
    <w:p w14:paraId="15AC321F">
      <w:pPr>
        <w:spacing w:line="360" w:lineRule="exact"/>
        <w:jc w:val="center"/>
        <w:rPr>
          <w:rFonts w:hint="eastAsia" w:ascii="黑体" w:hAnsi="黑体" w:eastAsia="黑体" w:cs="黑体"/>
          <w:color w:val="000000"/>
          <w:szCs w:val="21"/>
          <w:highlight w:val="none"/>
        </w:rPr>
      </w:pPr>
      <w:r>
        <w:rPr>
          <w:rFonts w:hint="eastAsia" w:ascii="黑体" w:hAnsi="黑体" w:eastAsia="黑体" w:cs="黑体"/>
          <w:b/>
          <w:color w:val="auto"/>
          <w:sz w:val="32"/>
          <w:szCs w:val="32"/>
          <w:highlight w:val="none"/>
          <w:u w:val="none"/>
          <w:lang w:eastAsia="zh-CN"/>
        </w:rPr>
        <w:t>（施工第一</w:t>
      </w:r>
      <w:r>
        <w:rPr>
          <w:rFonts w:hint="eastAsia" w:ascii="黑体" w:hAnsi="黑体" w:eastAsia="黑体" w:cs="黑体"/>
          <w:b/>
          <w:color w:val="auto"/>
          <w:sz w:val="32"/>
          <w:szCs w:val="32"/>
          <w:highlight w:val="none"/>
          <w:u w:val="none"/>
          <w:lang w:val="en-US" w:eastAsia="zh-CN"/>
        </w:rPr>
        <w:t>/二/三/四/五</w:t>
      </w:r>
      <w:r>
        <w:rPr>
          <w:rFonts w:hint="eastAsia" w:ascii="黑体" w:hAnsi="黑体" w:eastAsia="黑体" w:cs="黑体"/>
          <w:b/>
          <w:color w:val="auto"/>
          <w:sz w:val="32"/>
          <w:szCs w:val="32"/>
          <w:highlight w:val="none"/>
          <w:u w:val="none"/>
          <w:lang w:eastAsia="zh-CN"/>
        </w:rPr>
        <w:t>标段）</w:t>
      </w:r>
    </w:p>
    <w:p w14:paraId="7AFE0C2E">
      <w:pPr>
        <w:shd w:val="clear" w:color="auto" w:fill="auto"/>
        <w:spacing w:line="440" w:lineRule="exact"/>
        <w:rPr>
          <w:color w:val="auto"/>
          <w:sz w:val="20"/>
          <w:szCs w:val="20"/>
          <w:highlight w:val="none"/>
        </w:rPr>
      </w:pPr>
    </w:p>
    <w:p w14:paraId="4A63AF3E">
      <w:pPr>
        <w:shd w:val="clear" w:color="auto" w:fill="auto"/>
        <w:spacing w:line="440" w:lineRule="exact"/>
        <w:rPr>
          <w:color w:val="auto"/>
          <w:sz w:val="20"/>
          <w:szCs w:val="20"/>
          <w:highlight w:val="none"/>
        </w:rPr>
      </w:pPr>
    </w:p>
    <w:p w14:paraId="47FBB375">
      <w:pPr>
        <w:shd w:val="clear" w:color="auto" w:fill="auto"/>
        <w:spacing w:line="440" w:lineRule="exact"/>
        <w:rPr>
          <w:color w:val="auto"/>
          <w:sz w:val="20"/>
          <w:szCs w:val="20"/>
          <w:highlight w:val="none"/>
        </w:rPr>
      </w:pPr>
    </w:p>
    <w:p w14:paraId="2A38C5C1">
      <w:pPr>
        <w:shd w:val="clear" w:color="auto" w:fill="auto"/>
        <w:spacing w:line="440" w:lineRule="exact"/>
        <w:rPr>
          <w:rFonts w:hint="eastAsia"/>
          <w:color w:val="auto"/>
          <w:sz w:val="20"/>
          <w:szCs w:val="20"/>
          <w:highlight w:val="none"/>
        </w:rPr>
      </w:pPr>
    </w:p>
    <w:p w14:paraId="4B62DAAB">
      <w:pPr>
        <w:shd w:val="clear" w:color="auto" w:fill="auto"/>
        <w:spacing w:line="440" w:lineRule="exact"/>
        <w:rPr>
          <w:rFonts w:hint="eastAsia"/>
          <w:color w:val="auto"/>
          <w:sz w:val="20"/>
          <w:szCs w:val="20"/>
          <w:highlight w:val="none"/>
        </w:rPr>
      </w:pPr>
    </w:p>
    <w:tbl>
      <w:tblPr>
        <w:tblStyle w:val="22"/>
        <w:tblW w:w="9657" w:type="dxa"/>
        <w:jc w:val="center"/>
        <w:tblLayout w:type="fixed"/>
        <w:tblCellMar>
          <w:top w:w="0" w:type="dxa"/>
          <w:left w:w="28" w:type="dxa"/>
          <w:bottom w:w="0" w:type="dxa"/>
          <w:right w:w="28" w:type="dxa"/>
        </w:tblCellMar>
      </w:tblPr>
      <w:tblGrid>
        <w:gridCol w:w="2274"/>
        <w:gridCol w:w="7383"/>
      </w:tblGrid>
      <w:tr w14:paraId="4BFE33F7">
        <w:tblPrEx>
          <w:tblCellMar>
            <w:top w:w="0" w:type="dxa"/>
            <w:left w:w="28" w:type="dxa"/>
            <w:bottom w:w="0" w:type="dxa"/>
            <w:right w:w="28" w:type="dxa"/>
          </w:tblCellMar>
        </w:tblPrEx>
        <w:trPr>
          <w:trHeight w:val="714" w:hRule="atLeast"/>
          <w:jc w:val="center"/>
        </w:trPr>
        <w:tc>
          <w:tcPr>
            <w:tcW w:w="2274" w:type="dxa"/>
            <w:noWrap w:val="0"/>
            <w:vAlign w:val="center"/>
          </w:tcPr>
          <w:p w14:paraId="3DE8D6A5">
            <w:pPr>
              <w:jc w:val="center"/>
              <w:rPr>
                <w:rFonts w:ascii="Arial" w:hAnsi="Arial" w:eastAsia="黑体" w:cs="Arial"/>
                <w:b/>
                <w:color w:val="auto"/>
                <w:spacing w:val="20"/>
                <w:sz w:val="32"/>
                <w:szCs w:val="32"/>
                <w:highlight w:val="none"/>
              </w:rPr>
            </w:pPr>
            <w:r>
              <w:rPr>
                <w:rFonts w:ascii="Arial" w:hAnsi="Arial" w:eastAsia="黑体" w:cs="Arial"/>
                <w:b/>
                <w:color w:val="auto"/>
                <w:sz w:val="32"/>
                <w:szCs w:val="32"/>
                <w:highlight w:val="none"/>
              </w:rPr>
              <w:t xml:space="preserve">招 </w:t>
            </w:r>
            <w:r>
              <w:rPr>
                <w:rFonts w:hint="eastAsia" w:ascii="Arial" w:hAnsi="Arial" w:eastAsia="黑体" w:cs="Arial"/>
                <w:b/>
                <w:color w:val="auto"/>
                <w:sz w:val="32"/>
                <w:szCs w:val="32"/>
                <w:highlight w:val="none"/>
                <w:lang w:val="en-US" w:eastAsia="zh-CN"/>
              </w:rPr>
              <w:t xml:space="preserve">  </w:t>
            </w:r>
            <w:r>
              <w:rPr>
                <w:rFonts w:ascii="Arial" w:hAnsi="Arial" w:eastAsia="黑体" w:cs="Arial"/>
                <w:b/>
                <w:color w:val="auto"/>
                <w:sz w:val="32"/>
                <w:szCs w:val="32"/>
                <w:highlight w:val="none"/>
              </w:rPr>
              <w:t xml:space="preserve">标 </w:t>
            </w:r>
            <w:r>
              <w:rPr>
                <w:rFonts w:hint="eastAsia" w:ascii="Arial" w:hAnsi="Arial" w:eastAsia="黑体" w:cs="Arial"/>
                <w:b/>
                <w:color w:val="auto"/>
                <w:sz w:val="32"/>
                <w:szCs w:val="32"/>
                <w:highlight w:val="none"/>
                <w:lang w:val="en-US" w:eastAsia="zh-CN"/>
              </w:rPr>
              <w:t xml:space="preserve">  </w:t>
            </w:r>
            <w:r>
              <w:rPr>
                <w:rFonts w:ascii="Arial" w:hAnsi="Arial" w:eastAsia="黑体" w:cs="Arial"/>
                <w:b/>
                <w:color w:val="auto"/>
                <w:sz w:val="32"/>
                <w:szCs w:val="32"/>
                <w:highlight w:val="none"/>
              </w:rPr>
              <w:t>人：</w:t>
            </w:r>
          </w:p>
        </w:tc>
        <w:tc>
          <w:tcPr>
            <w:tcW w:w="7383" w:type="dxa"/>
            <w:noWrap w:val="0"/>
            <w:vAlign w:val="center"/>
          </w:tcPr>
          <w:p w14:paraId="4C291A5F">
            <w:pPr>
              <w:snapToGrid w:val="0"/>
              <w:jc w:val="distribute"/>
              <w:rPr>
                <w:rFonts w:hint="eastAsia" w:ascii="Arial" w:hAnsi="Arial" w:eastAsia="黑体" w:cs="Arial"/>
                <w:b/>
                <w:color w:val="auto"/>
                <w:sz w:val="32"/>
                <w:szCs w:val="32"/>
                <w:highlight w:val="none"/>
                <w:lang w:eastAsia="zh-CN"/>
              </w:rPr>
            </w:pPr>
            <w:r>
              <w:rPr>
                <w:rFonts w:hint="eastAsia" w:ascii="黑体" w:hAnsi="黑体" w:eastAsia="黑体" w:cs="黑体"/>
                <w:b/>
                <w:color w:val="auto"/>
                <w:sz w:val="28"/>
                <w:szCs w:val="28"/>
                <w:highlight w:val="none"/>
                <w:lang w:eastAsia="zh-CN"/>
              </w:rPr>
              <w:t>新巴尔虎左旗住房建设和交通运输局</w:t>
            </w:r>
            <w:r>
              <w:rPr>
                <w:rFonts w:hint="eastAsia" w:ascii="Arial" w:hAnsi="Arial" w:eastAsia="黑体" w:cs="Arial"/>
                <w:b/>
                <w:color w:val="auto"/>
                <w:sz w:val="28"/>
                <w:szCs w:val="28"/>
                <w:highlight w:val="none"/>
                <w:lang w:eastAsia="zh-CN"/>
              </w:rPr>
              <w:t>（盖单位章）</w:t>
            </w:r>
          </w:p>
        </w:tc>
      </w:tr>
      <w:tr w14:paraId="6186DB68">
        <w:tblPrEx>
          <w:tblCellMar>
            <w:top w:w="0" w:type="dxa"/>
            <w:left w:w="28" w:type="dxa"/>
            <w:bottom w:w="0" w:type="dxa"/>
            <w:right w:w="28" w:type="dxa"/>
          </w:tblCellMar>
        </w:tblPrEx>
        <w:trPr>
          <w:trHeight w:val="714" w:hRule="atLeast"/>
          <w:jc w:val="center"/>
        </w:trPr>
        <w:tc>
          <w:tcPr>
            <w:tcW w:w="2274" w:type="dxa"/>
            <w:noWrap w:val="0"/>
            <w:vAlign w:val="center"/>
          </w:tcPr>
          <w:p w14:paraId="10596E38">
            <w:pPr>
              <w:jc w:val="center"/>
              <w:rPr>
                <w:rFonts w:ascii="Arial" w:hAnsi="Arial" w:eastAsia="黑体" w:cs="Arial"/>
                <w:b/>
                <w:color w:val="auto"/>
                <w:spacing w:val="20"/>
                <w:sz w:val="32"/>
                <w:szCs w:val="32"/>
                <w:highlight w:val="none"/>
              </w:rPr>
            </w:pPr>
            <w:r>
              <w:rPr>
                <w:rFonts w:ascii="Arial" w:hAnsi="Arial" w:eastAsia="黑体" w:cs="Arial"/>
                <w:b/>
                <w:color w:val="auto"/>
                <w:sz w:val="32"/>
                <w:szCs w:val="32"/>
                <w:highlight w:val="none"/>
              </w:rPr>
              <w:t>招标代理</w:t>
            </w:r>
            <w:r>
              <w:rPr>
                <w:rFonts w:hint="eastAsia" w:ascii="Arial" w:hAnsi="Arial" w:eastAsia="黑体" w:cs="Arial"/>
                <w:b/>
                <w:color w:val="auto"/>
                <w:sz w:val="32"/>
                <w:szCs w:val="32"/>
                <w:highlight w:val="none"/>
                <w:lang w:val="en-US" w:eastAsia="zh-CN"/>
              </w:rPr>
              <w:t>机构</w:t>
            </w:r>
            <w:r>
              <w:rPr>
                <w:rFonts w:ascii="Arial" w:hAnsi="Arial" w:eastAsia="黑体" w:cs="Arial"/>
                <w:b/>
                <w:color w:val="auto"/>
                <w:sz w:val="32"/>
                <w:szCs w:val="32"/>
                <w:highlight w:val="none"/>
              </w:rPr>
              <w:t>：</w:t>
            </w:r>
          </w:p>
        </w:tc>
        <w:tc>
          <w:tcPr>
            <w:tcW w:w="7383" w:type="dxa"/>
            <w:noWrap w:val="0"/>
            <w:vAlign w:val="center"/>
          </w:tcPr>
          <w:p w14:paraId="12F72C05">
            <w:pPr>
              <w:jc w:val="distribute"/>
              <w:rPr>
                <w:rFonts w:hint="eastAsia" w:ascii="Arial" w:hAnsi="Arial" w:eastAsia="黑体" w:cs="Arial"/>
                <w:b/>
                <w:color w:val="auto"/>
                <w:spacing w:val="20"/>
                <w:sz w:val="32"/>
                <w:szCs w:val="32"/>
                <w:highlight w:val="none"/>
                <w:lang w:eastAsia="zh-CN"/>
              </w:rPr>
            </w:pPr>
            <w:r>
              <w:rPr>
                <w:rFonts w:hint="eastAsia" w:ascii="Arial" w:hAnsi="Arial" w:eastAsia="黑体" w:cs="Arial"/>
                <w:b/>
                <w:color w:val="auto"/>
                <w:sz w:val="28"/>
                <w:szCs w:val="28"/>
                <w:highlight w:val="none"/>
                <w:lang w:eastAsia="zh-CN"/>
              </w:rPr>
              <w:t>东信工程项目管理有限公司（盖单位章）</w:t>
            </w:r>
          </w:p>
        </w:tc>
      </w:tr>
    </w:tbl>
    <w:p w14:paraId="0F984ABD">
      <w:pPr>
        <w:shd w:val="clear" w:color="auto" w:fill="auto"/>
        <w:spacing w:line="440" w:lineRule="exact"/>
        <w:rPr>
          <w:color w:val="auto"/>
          <w:sz w:val="20"/>
          <w:szCs w:val="20"/>
          <w:highlight w:val="none"/>
        </w:rPr>
      </w:pPr>
    </w:p>
    <w:p w14:paraId="4E87B290">
      <w:pPr>
        <w:shd w:val="clear" w:color="auto" w:fill="auto"/>
        <w:spacing w:line="700" w:lineRule="exact"/>
        <w:jc w:val="center"/>
        <w:rPr>
          <w:b/>
          <w:bCs/>
          <w:color w:val="auto"/>
          <w:sz w:val="20"/>
          <w:szCs w:val="20"/>
          <w:highlight w:val="none"/>
          <w:u w:val="single"/>
        </w:rPr>
      </w:pPr>
      <w:r>
        <w:rPr>
          <w:rFonts w:hint="eastAsia" w:ascii="黑体" w:hAnsi="黑体" w:eastAsia="黑体" w:cs="黑体"/>
          <w:b/>
          <w:sz w:val="32"/>
          <w:szCs w:val="32"/>
          <w:highlight w:val="none"/>
        </w:rPr>
        <w:t>二</w:t>
      </w:r>
      <w:r>
        <w:rPr>
          <w:rFonts w:hint="eastAsia" w:ascii="黑体" w:hAnsi="黑体" w:eastAsia="黑体" w:cs="黑体"/>
          <w:b/>
          <w:sz w:val="32"/>
          <w:szCs w:val="32"/>
          <w:highlight w:val="none"/>
          <w:lang w:eastAsia="zh-CN"/>
        </w:rPr>
        <w:t>〇二</w:t>
      </w:r>
      <w:r>
        <w:rPr>
          <w:rFonts w:hint="eastAsia" w:ascii="黑体" w:hAnsi="黑体" w:eastAsia="黑体" w:cs="黑体"/>
          <w:b/>
          <w:sz w:val="32"/>
          <w:szCs w:val="32"/>
          <w:highlight w:val="none"/>
          <w:lang w:val="en-US" w:eastAsia="zh-CN"/>
        </w:rPr>
        <w:t>六</w:t>
      </w:r>
      <w:r>
        <w:rPr>
          <w:rFonts w:hint="eastAsia" w:ascii="黑体" w:hAnsi="黑体" w:eastAsia="黑体" w:cs="黑体"/>
          <w:b/>
          <w:sz w:val="32"/>
          <w:szCs w:val="32"/>
          <w:highlight w:val="none"/>
        </w:rPr>
        <w:t>年</w:t>
      </w:r>
      <w:r>
        <w:rPr>
          <w:rFonts w:hint="eastAsia" w:ascii="黑体" w:hAnsi="黑体" w:eastAsia="黑体" w:cs="黑体"/>
          <w:b/>
          <w:sz w:val="32"/>
          <w:szCs w:val="32"/>
          <w:highlight w:val="none"/>
          <w:lang w:val="en-US" w:eastAsia="zh-CN"/>
        </w:rPr>
        <w:t>五</w:t>
      </w:r>
      <w:r>
        <w:rPr>
          <w:rFonts w:hint="eastAsia" w:ascii="黑体" w:hAnsi="黑体" w:eastAsia="黑体" w:cs="黑体"/>
          <w:b/>
          <w:sz w:val="32"/>
          <w:szCs w:val="32"/>
          <w:highlight w:val="none"/>
        </w:rPr>
        <w:t>月·</w:t>
      </w:r>
      <w:r>
        <w:rPr>
          <w:rFonts w:hint="eastAsia" w:ascii="黑体" w:hAnsi="黑体" w:eastAsia="黑体" w:cs="黑体"/>
          <w:b/>
          <w:sz w:val="32"/>
          <w:szCs w:val="32"/>
          <w:highlight w:val="none"/>
          <w:lang w:eastAsia="zh-CN"/>
        </w:rPr>
        <w:t>呼伦贝尔市</w:t>
      </w:r>
    </w:p>
    <w:p w14:paraId="43EC8C97">
      <w:pPr>
        <w:pStyle w:val="5"/>
        <w:shd w:val="clear" w:color="auto" w:fill="auto"/>
        <w:spacing w:line="440" w:lineRule="exact"/>
        <w:ind w:firstLine="0" w:firstLineChars="0"/>
        <w:jc w:val="center"/>
        <w:rPr>
          <w:rFonts w:eastAsia="黑体"/>
          <w:color w:val="auto"/>
          <w:sz w:val="29"/>
          <w:szCs w:val="29"/>
          <w:highlight w:val="none"/>
        </w:rPr>
      </w:pPr>
    </w:p>
    <w:p w14:paraId="0DD829FD">
      <w:pPr>
        <w:shd w:val="clear" w:color="auto" w:fill="auto"/>
        <w:spacing w:line="400" w:lineRule="atLeast"/>
        <w:jc w:val="center"/>
        <w:rPr>
          <w:rFonts w:hint="eastAsia"/>
          <w:color w:val="auto"/>
          <w:sz w:val="20"/>
          <w:szCs w:val="20"/>
          <w:highlight w:val="none"/>
        </w:rPr>
      </w:pPr>
      <w:r>
        <w:rPr>
          <w:color w:val="auto"/>
          <w:sz w:val="20"/>
          <w:szCs w:val="20"/>
          <w:highlight w:val="none"/>
        </w:rPr>
        <w:br w:type="page"/>
      </w:r>
    </w:p>
    <w:p w14:paraId="2469B637">
      <w:pPr>
        <w:spacing w:line="480" w:lineRule="auto"/>
        <w:jc w:val="center"/>
        <w:rPr>
          <w:rFonts w:eastAsia="黑体"/>
          <w:color w:val="auto"/>
          <w:sz w:val="29"/>
          <w:szCs w:val="29"/>
          <w:highlight w:val="none"/>
        </w:rPr>
      </w:pPr>
      <w:r>
        <w:rPr>
          <w:rFonts w:hint="eastAsia" w:ascii="黑体" w:hAnsi="黑体" w:eastAsia="黑体" w:cs="黑体"/>
          <w:b/>
          <w:color w:val="auto"/>
          <w:sz w:val="36"/>
          <w:szCs w:val="36"/>
          <w:highlight w:val="none"/>
          <w:u w:val="thick"/>
          <w:lang w:val="zh-CN"/>
        </w:rPr>
        <w:t>目  录</w:t>
      </w:r>
    </w:p>
    <w:p w14:paraId="353C8247">
      <w:pPr>
        <w:pStyle w:val="14"/>
        <w:tabs>
          <w:tab w:val="right" w:leader="dot" w:pos="8675"/>
          <w:tab w:val="clear" w:pos="425"/>
          <w:tab w:val="clear" w:pos="8805"/>
        </w:tabs>
        <w:rPr>
          <w:rFonts w:hint="eastAsia" w:ascii="黑体" w:hAnsi="黑体" w:eastAsia="黑体" w:cs="黑体"/>
          <w:b/>
          <w:bCs/>
          <w:sz w:val="21"/>
          <w:szCs w:val="21"/>
          <w:highlight w:val="none"/>
        </w:rPr>
      </w:pPr>
      <w:r>
        <w:rPr>
          <w:highlight w:val="none"/>
        </w:rPr>
        <w:fldChar w:fldCharType="begin"/>
      </w:r>
      <w:r>
        <w:rPr>
          <w:highlight w:val="none"/>
        </w:rPr>
        <w:instrText xml:space="preserve">TOC \o "1-2" \h \u </w:instrText>
      </w:r>
      <w:r>
        <w:rPr>
          <w:highlight w:val="none"/>
        </w:rPr>
        <w:fldChar w:fldCharType="separate"/>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_Toc27306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招标文件编制说明</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_Toc27306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- 5 -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3A1B68B7">
      <w:pPr>
        <w:pStyle w:val="14"/>
        <w:tabs>
          <w:tab w:val="right" w:leader="dot" w:pos="8675"/>
          <w:tab w:val="clear" w:pos="425"/>
          <w:tab w:val="clear" w:pos="8805"/>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_Toc22609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第一章  招标公告</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_Toc22609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- 7 -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123098F4">
      <w:pPr>
        <w:pStyle w:val="14"/>
        <w:tabs>
          <w:tab w:val="right" w:leader="dot" w:pos="8675"/>
          <w:tab w:val="clear" w:pos="425"/>
          <w:tab w:val="clear" w:pos="8805"/>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_Toc13272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第二章  投标人须知</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_Toc13272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- 11 -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66B7719B">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_Toc16598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附录1  资格审查条件（资质最低</w:t>
      </w:r>
      <w:r>
        <w:rPr>
          <w:rFonts w:hint="eastAsia" w:ascii="黑体" w:hAnsi="黑体" w:eastAsia="黑体" w:cs="黑体"/>
          <w:b/>
          <w:bCs/>
          <w:sz w:val="21"/>
          <w:szCs w:val="21"/>
          <w:highlight w:val="none"/>
          <w:lang w:eastAsia="zh-CN"/>
        </w:rPr>
        <w:t>要求</w:t>
      </w:r>
      <w:r>
        <w:rPr>
          <w:rFonts w:hint="eastAsia" w:ascii="黑体" w:hAnsi="黑体" w:eastAsia="黑体" w:cs="黑体"/>
          <w:b/>
          <w:bCs/>
          <w:sz w:val="21"/>
          <w:szCs w:val="21"/>
          <w:highlight w:val="none"/>
        </w:rPr>
        <w:t>）</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_Toc16598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- 28 -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50C7BB88">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_Toc20389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附录2  资格审查条件（财务最低要求）</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_Toc20389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- 28 -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05A9B501">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_Toc11150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xml:space="preserve">附录3 </w:t>
      </w:r>
      <w:r>
        <w:rPr>
          <w:rFonts w:hint="eastAsia" w:ascii="黑体" w:hAnsi="黑体" w:eastAsia="黑体" w:cs="黑体"/>
          <w:b/>
          <w:bCs/>
          <w:sz w:val="21"/>
          <w:szCs w:val="21"/>
          <w:highlight w:val="none"/>
          <w:lang w:eastAsia="zh-CN"/>
        </w:rPr>
        <w:t xml:space="preserve"> </w:t>
      </w:r>
      <w:r>
        <w:rPr>
          <w:rFonts w:hint="eastAsia" w:ascii="黑体" w:hAnsi="黑体" w:eastAsia="黑体" w:cs="黑体"/>
          <w:b/>
          <w:bCs/>
          <w:sz w:val="21"/>
          <w:szCs w:val="21"/>
          <w:highlight w:val="none"/>
        </w:rPr>
        <w:t>资格审查条件（业绩最低要求）</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_Toc11150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- 29 -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0D4F45BA">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_Toc24898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附录4  资格审查条件（信誉最低要求）</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_Toc24898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- 29 -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635E483C">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_Toc31883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附录5  资格审查条件（项目经理和项目总工最低要求）</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_Toc31883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- 30 -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60125498">
      <w:pPr>
        <w:pStyle w:val="14"/>
        <w:tabs>
          <w:tab w:val="right" w:leader="dot" w:pos="8675"/>
          <w:tab w:val="clear" w:pos="425"/>
          <w:tab w:val="clear" w:pos="8805"/>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_Toc3928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第三章  评标办法</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_Toc3928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- 58 -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6B69B803">
      <w:pPr>
        <w:pStyle w:val="14"/>
        <w:tabs>
          <w:tab w:val="right" w:leader="dot" w:pos="8675"/>
          <w:tab w:val="clear" w:pos="425"/>
          <w:tab w:val="clear" w:pos="8805"/>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_Toc31713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第四章  合同条款及格式</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_Toc31713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- 68 -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669BF7B5">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_Toc13971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第一节  通用合同条款</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_Toc13971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- 69 -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1ABF7E39">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_Toc25439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第二节  专用合同条款</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_Toc25439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- 70 -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62FA9D91">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_Toc21998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第三节  合同附件格式</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_Toc21998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- 127 -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4AE77529">
      <w:pPr>
        <w:pStyle w:val="14"/>
        <w:tabs>
          <w:tab w:val="right" w:leader="dot" w:pos="8675"/>
          <w:tab w:val="clear" w:pos="425"/>
          <w:tab w:val="clear" w:pos="8805"/>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_Toc31213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lang w:val="en-US" w:eastAsia="zh-CN"/>
        </w:rPr>
        <w:t>第五章</w:t>
      </w:r>
      <w:r>
        <w:rPr>
          <w:rFonts w:hint="eastAsia" w:ascii="黑体" w:hAnsi="黑体" w:eastAsia="黑体" w:cs="黑体"/>
          <w:b/>
          <w:bCs/>
          <w:sz w:val="21"/>
          <w:szCs w:val="21"/>
          <w:highlight w:val="none"/>
        </w:rPr>
        <w:t xml:space="preserve"> 工程量清单</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_Toc31213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- 145 -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2473647A">
      <w:pPr>
        <w:pStyle w:val="14"/>
        <w:tabs>
          <w:tab w:val="right" w:leader="dot" w:pos="8675"/>
          <w:tab w:val="clear" w:pos="425"/>
          <w:tab w:val="clear" w:pos="8805"/>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_Toc15979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lang w:val="en-US" w:eastAsia="zh-CN"/>
        </w:rPr>
        <w:t>第六章</w:t>
      </w:r>
      <w:r>
        <w:rPr>
          <w:rFonts w:hint="eastAsia" w:ascii="黑体" w:hAnsi="黑体" w:eastAsia="黑体" w:cs="黑体"/>
          <w:b/>
          <w:bCs/>
          <w:sz w:val="21"/>
          <w:szCs w:val="21"/>
          <w:highlight w:val="none"/>
        </w:rPr>
        <w:t xml:space="preserve"> 图纸</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_Toc15979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- 147 -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2C54951F">
      <w:pPr>
        <w:pStyle w:val="14"/>
        <w:tabs>
          <w:tab w:val="right" w:leader="dot" w:pos="8675"/>
          <w:tab w:val="clear" w:pos="425"/>
          <w:tab w:val="clear" w:pos="8805"/>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_Toc13730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第七章  技术规范</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_Toc13730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- 149 -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1FFE7801">
      <w:pPr>
        <w:pStyle w:val="14"/>
        <w:tabs>
          <w:tab w:val="right" w:leader="dot" w:pos="8675"/>
          <w:tab w:val="clear" w:pos="425"/>
          <w:tab w:val="clear" w:pos="8805"/>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_Toc28706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第八章  工程量清单计量规则</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_Toc28706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- 150 -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31DFA05A">
      <w:pPr>
        <w:pStyle w:val="14"/>
        <w:tabs>
          <w:tab w:val="right" w:leader="dot" w:pos="8675"/>
          <w:tab w:val="clear" w:pos="425"/>
          <w:tab w:val="clear" w:pos="8805"/>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_Toc26002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第九章  投标文件格式</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_Toc26002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- 152 -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30B2CD10">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_Toc25596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一、投标函及投标函附录</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_Toc25596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- 155 -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00B18460">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_Toc12372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二、授权委托书或法定代表人身份证明</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_Toc12372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- 157 -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29E67285">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_Toc1436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三、联合体协议书</w:t>
      </w:r>
      <w:r>
        <w:rPr>
          <w:rFonts w:hint="eastAsia" w:ascii="黑体" w:hAnsi="黑体" w:eastAsia="黑体" w:cs="黑体"/>
          <w:b/>
          <w:bCs/>
          <w:sz w:val="21"/>
          <w:szCs w:val="21"/>
          <w:highlight w:val="none"/>
          <w:lang w:eastAsia="zh-CN"/>
        </w:rPr>
        <w:t>（</w:t>
      </w:r>
      <w:r>
        <w:rPr>
          <w:rFonts w:hint="eastAsia" w:ascii="黑体" w:hAnsi="黑体" w:eastAsia="黑体" w:cs="黑体"/>
          <w:b/>
          <w:bCs/>
          <w:sz w:val="21"/>
          <w:szCs w:val="21"/>
          <w:highlight w:val="none"/>
          <w:lang w:val="en-US" w:eastAsia="zh-CN"/>
        </w:rPr>
        <w:t>不适用</w:t>
      </w:r>
      <w:r>
        <w:rPr>
          <w:rFonts w:hint="eastAsia" w:ascii="黑体" w:hAnsi="黑体" w:eastAsia="黑体" w:cs="黑体"/>
          <w:b/>
          <w:bCs/>
          <w:sz w:val="21"/>
          <w:szCs w:val="21"/>
          <w:highlight w:val="none"/>
          <w:lang w:eastAsia="zh-CN"/>
        </w:rPr>
        <w:t>）</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_Toc1436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- 159 -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12740D21">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_Toc4475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四、投标保证金</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_Toc4475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- 160 -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5D9D80BB">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_Toc2489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lang w:val="en-US" w:eastAsia="zh-CN"/>
        </w:rPr>
        <w:t>五、施工组织设计</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_Toc2489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- 161 -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2165DE91">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_Toc24413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lang w:val="en-US" w:eastAsia="zh-CN"/>
        </w:rPr>
        <w:t>六</w:t>
      </w:r>
      <w:r>
        <w:rPr>
          <w:rFonts w:hint="eastAsia" w:ascii="黑体" w:hAnsi="黑体" w:eastAsia="黑体" w:cs="黑体"/>
          <w:b/>
          <w:bCs/>
          <w:sz w:val="21"/>
          <w:szCs w:val="21"/>
          <w:highlight w:val="none"/>
        </w:rPr>
        <w:t>、项目管理机构</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_Toc24413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- 162 -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4C10B6C2">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_Toc11658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lang w:val="en-US" w:eastAsia="zh-CN"/>
        </w:rPr>
        <w:t>七</w:t>
      </w:r>
      <w:r>
        <w:rPr>
          <w:rFonts w:hint="eastAsia" w:ascii="黑体" w:hAnsi="黑体" w:eastAsia="黑体" w:cs="黑体"/>
          <w:b/>
          <w:bCs/>
          <w:sz w:val="21"/>
          <w:szCs w:val="21"/>
          <w:highlight w:val="none"/>
        </w:rPr>
        <w:t>、拟分包项目情况表</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_Toc11658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- 163 -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53070304">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_Toc30503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lang w:val="en-US" w:eastAsia="zh-CN"/>
        </w:rPr>
        <w:t>八</w:t>
      </w:r>
      <w:r>
        <w:rPr>
          <w:rFonts w:hint="eastAsia" w:ascii="黑体" w:hAnsi="黑体" w:eastAsia="黑体" w:cs="黑体"/>
          <w:b/>
          <w:bCs/>
          <w:sz w:val="21"/>
          <w:szCs w:val="21"/>
          <w:highlight w:val="none"/>
        </w:rPr>
        <w:t>、资格审查资料</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_Toc30503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- 164 -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2AF295FF">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_Toc10273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lang w:val="en-US" w:eastAsia="zh-CN"/>
        </w:rPr>
        <w:t>九</w:t>
      </w:r>
      <w:r>
        <w:rPr>
          <w:rFonts w:hint="eastAsia" w:ascii="黑体" w:hAnsi="黑体" w:eastAsia="黑体" w:cs="黑体"/>
          <w:b/>
          <w:bCs/>
          <w:sz w:val="21"/>
          <w:szCs w:val="21"/>
          <w:highlight w:val="none"/>
        </w:rPr>
        <w:t>、其他</w:t>
      </w:r>
      <w:r>
        <w:rPr>
          <w:rFonts w:hint="eastAsia" w:ascii="黑体" w:hAnsi="黑体" w:eastAsia="黑体" w:cs="黑体"/>
          <w:b/>
          <w:bCs/>
          <w:sz w:val="21"/>
          <w:szCs w:val="21"/>
          <w:highlight w:val="none"/>
          <w:lang w:eastAsia="zh-CN"/>
        </w:rPr>
        <w:t>资料</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_Toc10273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- 170 -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7504A1C1">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_Toc2860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一、投标函</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_Toc2860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- 173 -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3BF38099">
      <w:pPr>
        <w:pStyle w:val="17"/>
        <w:tabs>
          <w:tab w:val="right" w:leader="dot" w:pos="8675"/>
          <w:tab w:val="clear" w:pos="1386"/>
          <w:tab w:val="clear" w:pos="9230"/>
        </w:tabs>
        <w:rPr>
          <w:rFonts w:hint="eastAsia" w:ascii="黑体" w:hAnsi="黑体" w:eastAsia="黑体" w:cs="黑体"/>
          <w:b/>
          <w:bCs/>
          <w:sz w:val="21"/>
          <w:szCs w:val="21"/>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_Toc22262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二、已标价工程量清单</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_Toc22262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- 174 -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4605F387">
      <w:pPr>
        <w:pStyle w:val="17"/>
        <w:tabs>
          <w:tab w:val="right" w:leader="dot" w:pos="8675"/>
          <w:tab w:val="clear" w:pos="1386"/>
          <w:tab w:val="clear" w:pos="9230"/>
        </w:tabs>
        <w:rPr>
          <w:highlight w:val="none"/>
        </w:rPr>
      </w:pP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HYPERLINK \l _Toc28297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三、合同用款估算表</w:t>
      </w:r>
      <w:r>
        <w:rPr>
          <w:rFonts w:hint="eastAsia" w:ascii="黑体" w:hAnsi="黑体" w:eastAsia="黑体" w:cs="黑体"/>
          <w:b/>
          <w:bCs/>
          <w:sz w:val="21"/>
          <w:szCs w:val="21"/>
          <w:highlight w:val="none"/>
        </w:rPr>
        <w:tab/>
      </w:r>
      <w:r>
        <w:rPr>
          <w:rFonts w:hint="eastAsia" w:ascii="黑体" w:hAnsi="黑体" w:eastAsia="黑体" w:cs="黑体"/>
          <w:b/>
          <w:bCs/>
          <w:sz w:val="21"/>
          <w:szCs w:val="21"/>
          <w:highlight w:val="none"/>
        </w:rPr>
        <w:fldChar w:fldCharType="begin"/>
      </w:r>
      <w:r>
        <w:rPr>
          <w:rFonts w:hint="eastAsia" w:ascii="黑体" w:hAnsi="黑体" w:eastAsia="黑体" w:cs="黑体"/>
          <w:b/>
          <w:bCs/>
          <w:sz w:val="21"/>
          <w:szCs w:val="21"/>
          <w:highlight w:val="none"/>
        </w:rPr>
        <w:instrText xml:space="preserve"> PAGEREF _Toc28297 \h </w:instrText>
      </w:r>
      <w:r>
        <w:rPr>
          <w:rFonts w:hint="eastAsia" w:ascii="黑体" w:hAnsi="黑体" w:eastAsia="黑体" w:cs="黑体"/>
          <w:b/>
          <w:bCs/>
          <w:sz w:val="21"/>
          <w:szCs w:val="21"/>
          <w:highlight w:val="none"/>
        </w:rPr>
        <w:fldChar w:fldCharType="separate"/>
      </w:r>
      <w:r>
        <w:rPr>
          <w:rFonts w:hint="eastAsia" w:ascii="黑体" w:hAnsi="黑体" w:eastAsia="黑体" w:cs="黑体"/>
          <w:b/>
          <w:bCs/>
          <w:sz w:val="21"/>
          <w:szCs w:val="21"/>
          <w:highlight w:val="none"/>
        </w:rPr>
        <w:t>- 175 -</w:t>
      </w:r>
      <w:r>
        <w:rPr>
          <w:rFonts w:hint="eastAsia" w:ascii="黑体" w:hAnsi="黑体" w:eastAsia="黑体" w:cs="黑体"/>
          <w:b/>
          <w:bCs/>
          <w:sz w:val="21"/>
          <w:szCs w:val="21"/>
          <w:highlight w:val="none"/>
        </w:rPr>
        <w:fldChar w:fldCharType="end"/>
      </w:r>
      <w:r>
        <w:rPr>
          <w:rFonts w:hint="eastAsia" w:ascii="黑体" w:hAnsi="黑体" w:eastAsia="黑体" w:cs="黑体"/>
          <w:b/>
          <w:bCs/>
          <w:sz w:val="21"/>
          <w:szCs w:val="21"/>
          <w:highlight w:val="none"/>
        </w:rPr>
        <w:fldChar w:fldCharType="end"/>
      </w:r>
    </w:p>
    <w:p w14:paraId="3B632AB0">
      <w:pPr>
        <w:pStyle w:val="21"/>
        <w:ind w:left="0" w:leftChars="0" w:firstLine="0" w:firstLineChars="0"/>
        <w:rPr>
          <w:highlight w:val="none"/>
        </w:rPr>
        <w:sectPr>
          <w:footerReference r:id="rId7" w:type="first"/>
          <w:headerReference r:id="rId4" w:type="default"/>
          <w:footerReference r:id="rId6" w:type="default"/>
          <w:headerReference r:id="rId5" w:type="even"/>
          <w:footnotePr>
            <w:numFmt w:val="decimalEnclosedCircleChinese"/>
            <w:numRestart w:val="eachPage"/>
          </w:footnotePr>
          <w:pgSz w:w="11907" w:h="16840"/>
          <w:pgMar w:top="1588" w:right="1588" w:bottom="1474" w:left="1644" w:header="851" w:footer="851" w:gutter="0"/>
          <w:pgBorders>
            <w:top w:val="none" w:sz="0" w:space="0"/>
            <w:left w:val="none" w:sz="0" w:space="0"/>
            <w:bottom w:val="none" w:sz="0" w:space="0"/>
            <w:right w:val="none" w:sz="0" w:space="0"/>
          </w:pgBorders>
          <w:pgNumType w:fmt="numberInDash" w:start="1"/>
          <w:cols w:space="720" w:num="1"/>
          <w:titlePg/>
          <w:docGrid w:linePitch="312" w:charSpace="0"/>
        </w:sectPr>
      </w:pPr>
      <w:r>
        <w:rPr>
          <w:highlight w:val="none"/>
        </w:rPr>
        <w:fldChar w:fldCharType="end"/>
      </w:r>
    </w:p>
    <w:p w14:paraId="3EBDDD07">
      <w:pPr>
        <w:pStyle w:val="2"/>
        <w:bidi w:val="0"/>
        <w:rPr>
          <w:rFonts w:hint="eastAsia" w:ascii="黑体" w:hAnsi="黑体" w:eastAsia="黑体" w:cs="黑体"/>
          <w:b/>
          <w:color w:val="auto"/>
          <w:szCs w:val="36"/>
          <w:highlight w:val="none"/>
        </w:rPr>
      </w:pPr>
      <w:bookmarkStart w:id="0" w:name="_Toc391905256"/>
      <w:bookmarkStart w:id="1" w:name="_Toc516133668"/>
      <w:bookmarkStart w:id="2" w:name="_Toc508008177"/>
      <w:bookmarkStart w:id="3" w:name="_Toc27306"/>
      <w:r>
        <w:rPr>
          <w:rFonts w:hint="eastAsia"/>
          <w:highlight w:val="none"/>
        </w:rPr>
        <w:t>招标文件编制说明</w:t>
      </w:r>
      <w:bookmarkEnd w:id="0"/>
      <w:bookmarkEnd w:id="1"/>
      <w:bookmarkEnd w:id="2"/>
      <w:bookmarkEnd w:id="3"/>
    </w:p>
    <w:p w14:paraId="64F677A4">
      <w:pPr>
        <w:spacing w:line="360" w:lineRule="auto"/>
        <w:ind w:firstLine="420" w:firstLineChars="200"/>
        <w:rPr>
          <w:rFonts w:ascii="黑体" w:hAnsi="黑体" w:eastAsia="黑体" w:cs="黑体"/>
          <w:b/>
          <w:color w:val="auto"/>
          <w:highlight w:val="none"/>
        </w:rPr>
      </w:pPr>
      <w:r>
        <w:rPr>
          <w:rFonts w:hint="eastAsia" w:ascii="黑体" w:hAnsi="黑体" w:eastAsia="黑体" w:cs="黑体"/>
          <w:color w:val="auto"/>
          <w:highlight w:val="none"/>
        </w:rPr>
        <w:t>一、</w:t>
      </w:r>
      <w:r>
        <w:rPr>
          <w:rFonts w:hint="eastAsia" w:ascii="黑体" w:hAnsi="黑体" w:eastAsia="黑体" w:cs="黑体"/>
          <w:b/>
          <w:bCs/>
          <w:color w:val="auto"/>
          <w:highlight w:val="none"/>
          <w:lang w:eastAsia="zh-CN"/>
        </w:rPr>
        <w:t>2026年新巴尔虎左旗生命安全防护工程</w:t>
      </w:r>
      <w:r>
        <w:rPr>
          <w:rFonts w:hint="eastAsia" w:ascii="黑体" w:hAnsi="黑体" w:eastAsia="黑体" w:cs="黑体"/>
          <w:color w:val="auto"/>
          <w:highlight w:val="none"/>
          <w:lang w:val="en-US" w:eastAsia="zh-CN"/>
        </w:rPr>
        <w:t>施工招标文件</w:t>
      </w:r>
      <w:r>
        <w:rPr>
          <w:rFonts w:hint="eastAsia" w:ascii="黑体" w:hAnsi="黑体" w:eastAsia="黑体" w:cs="黑体"/>
          <w:color w:val="auto"/>
          <w:highlight w:val="none"/>
        </w:rPr>
        <w:t>由</w:t>
      </w:r>
      <w:r>
        <w:rPr>
          <w:rFonts w:hint="eastAsia" w:ascii="黑体" w:hAnsi="黑体" w:eastAsia="黑体" w:cs="黑体"/>
          <w:color w:val="auto"/>
          <w:highlight w:val="none"/>
          <w:lang w:eastAsia="zh-CN"/>
        </w:rPr>
        <w:t>（</w:t>
      </w:r>
      <w:r>
        <w:rPr>
          <w:rFonts w:hint="eastAsia" w:ascii="黑体" w:hAnsi="黑体" w:eastAsia="黑体" w:cs="黑体"/>
          <w:color w:val="auto"/>
          <w:highlight w:val="none"/>
        </w:rPr>
        <w:t>国家九部委联合编制的《标准施工招标文件》（以下简称《标准文件》）、交通运输部《公路工程标准施工招标文件》（2018年版）（以下简称《公路工程标准文件》）</w:t>
      </w:r>
      <w:r>
        <w:rPr>
          <w:rFonts w:hint="eastAsia" w:ascii="黑体" w:hAnsi="黑体" w:eastAsia="黑体" w:cs="黑体"/>
          <w:color w:val="auto"/>
          <w:highlight w:val="none"/>
          <w:lang w:eastAsia="zh-CN"/>
        </w:rPr>
        <w:t>）《内蒙古自治区公路工程标准施工电子招标文件》（2025年版）</w:t>
      </w:r>
      <w:r>
        <w:rPr>
          <w:rFonts w:hint="eastAsia" w:ascii="黑体" w:hAnsi="黑体" w:eastAsia="黑体" w:cs="黑体"/>
          <w:color w:val="auto"/>
          <w:highlight w:val="none"/>
        </w:rPr>
        <w:t>和招标人委托招标代理机构根据本项目实际编制的《项目专用本》共同组成。</w:t>
      </w:r>
    </w:p>
    <w:p w14:paraId="15EF39B5">
      <w:pPr>
        <w:spacing w:line="360" w:lineRule="auto"/>
        <w:ind w:firstLine="420" w:firstLineChars="200"/>
        <w:rPr>
          <w:rFonts w:ascii="黑体" w:hAnsi="黑体" w:eastAsia="黑体" w:cs="黑体"/>
          <w:color w:val="auto"/>
          <w:highlight w:val="none"/>
        </w:rPr>
      </w:pPr>
      <w:r>
        <w:rPr>
          <w:rFonts w:hint="eastAsia" w:ascii="黑体" w:hAnsi="黑体" w:eastAsia="黑体" w:cs="黑体"/>
          <w:color w:val="auto"/>
          <w:highlight w:val="none"/>
        </w:rPr>
        <w:t>二、</w:t>
      </w:r>
      <w:r>
        <w:rPr>
          <w:rFonts w:hint="eastAsia" w:ascii="黑体" w:hAnsi="黑体" w:eastAsia="黑体" w:cs="黑体"/>
          <w:color w:val="auto"/>
          <w:highlight w:val="none"/>
          <w:lang w:eastAsia="zh-CN"/>
        </w:rPr>
        <w:t>《内蒙古自治区公路工程标准施工电子招标文件》（2025年版）</w:t>
      </w:r>
      <w:r>
        <w:rPr>
          <w:rFonts w:hint="eastAsia" w:ascii="黑体" w:hAnsi="黑体" w:eastAsia="黑体" w:cs="黑体"/>
          <w:color w:val="auto"/>
          <w:highlight w:val="none"/>
        </w:rPr>
        <w:t>是交通运输部《公路工程标准施工招标文件》（2018年版）的补充和细化，招标人在编制项目招标文件时应同时参考使用。</w:t>
      </w:r>
      <w:r>
        <w:rPr>
          <w:rFonts w:hint="eastAsia" w:ascii="黑体" w:hAnsi="黑体" w:eastAsia="黑体" w:cs="黑体"/>
          <w:color w:val="auto"/>
          <w:highlight w:val="none"/>
          <w:lang w:eastAsia="zh-CN"/>
        </w:rPr>
        <w:t>《内蒙古自治区公路工程标准施工电子招标文件》（2025年版）</w:t>
      </w:r>
      <w:r>
        <w:rPr>
          <w:rFonts w:hint="eastAsia" w:ascii="黑体" w:hAnsi="黑体" w:eastAsia="黑体" w:cs="黑体"/>
          <w:color w:val="auto"/>
          <w:highlight w:val="none"/>
        </w:rPr>
        <w:t>中未尽事宜以《公路工程标准施工招标文件》（2018年版）为准。</w:t>
      </w:r>
    </w:p>
    <w:p w14:paraId="3F4ABE38">
      <w:pPr>
        <w:spacing w:line="360" w:lineRule="auto"/>
        <w:ind w:firstLine="420" w:firstLineChars="200"/>
        <w:rPr>
          <w:rFonts w:ascii="黑体" w:hAnsi="黑体" w:eastAsia="黑体" w:cs="黑体"/>
          <w:color w:val="auto"/>
          <w:highlight w:val="none"/>
        </w:rPr>
      </w:pPr>
      <w:r>
        <w:rPr>
          <w:rFonts w:hint="eastAsia" w:ascii="黑体" w:hAnsi="黑体" w:eastAsia="黑体" w:cs="黑体"/>
          <w:color w:val="auto"/>
          <w:highlight w:val="none"/>
        </w:rPr>
        <w:t>三、</w:t>
      </w:r>
      <w:r>
        <w:rPr>
          <w:rFonts w:hint="eastAsia" w:ascii="黑体" w:hAnsi="黑体" w:eastAsia="黑体" w:cs="黑体"/>
          <w:color w:val="auto"/>
          <w:highlight w:val="none"/>
          <w:lang w:eastAsia="zh-CN"/>
        </w:rPr>
        <w:t>《内蒙古自治区公路工程标准施工电子招标文件》（2025年版）</w:t>
      </w:r>
      <w:r>
        <w:rPr>
          <w:rFonts w:hint="eastAsia" w:ascii="黑体" w:hAnsi="黑体" w:eastAsia="黑体" w:cs="黑体"/>
          <w:color w:val="auto"/>
          <w:highlight w:val="none"/>
        </w:rPr>
        <w:t>中的投标人须知、评标办法、合同通用条款、公路工程专用合同条款、技术规范和相关的表格格式是供所有招标文件通用的标准化条款和规范；针对本项目实际对</w:t>
      </w:r>
      <w:r>
        <w:rPr>
          <w:rFonts w:hint="eastAsia" w:ascii="黑体" w:hAnsi="黑体" w:eastAsia="黑体" w:cs="黑体"/>
          <w:color w:val="auto"/>
          <w:highlight w:val="none"/>
          <w:lang w:eastAsia="zh-CN"/>
        </w:rPr>
        <w:t>《内蒙古自治区公路工程标准施工电子招标文件》（2025年版）</w:t>
      </w:r>
      <w:r>
        <w:rPr>
          <w:rFonts w:hint="eastAsia" w:ascii="黑体" w:hAnsi="黑体" w:eastAsia="黑体" w:cs="黑体"/>
          <w:color w:val="auto"/>
          <w:highlight w:val="none"/>
        </w:rPr>
        <w:t>所作的修改、补充和细化，分别编在《项目专用本》的投标人须知前附表、评标办法前附表、项目专用合同条款、技术规范及有关表格中。凡《项目专用本》与《内蒙古自治区公路工程标准施工招标文件》对同一条款的规定和要求或数据有不一致之处，以《项目专用本》规定为准；《项目专用本》未列入的，仍按</w:t>
      </w:r>
      <w:r>
        <w:rPr>
          <w:rFonts w:hint="eastAsia" w:ascii="黑体" w:hAnsi="黑体" w:eastAsia="黑体" w:cs="黑体"/>
          <w:color w:val="auto"/>
          <w:highlight w:val="none"/>
          <w:lang w:eastAsia="zh-CN"/>
        </w:rPr>
        <w:t>《内蒙古自治区公路工程标准施工电子招标文件》（2025年版）</w:t>
      </w:r>
      <w:r>
        <w:rPr>
          <w:rFonts w:hint="eastAsia" w:ascii="黑体" w:hAnsi="黑体" w:eastAsia="黑体" w:cs="黑体"/>
          <w:color w:val="auto"/>
          <w:highlight w:val="none"/>
        </w:rPr>
        <w:t>和《公路工程标准施工招标文件》（2018年版）的规定和要求执行。</w:t>
      </w:r>
    </w:p>
    <w:p w14:paraId="4CA2E516">
      <w:pPr>
        <w:spacing w:line="360" w:lineRule="auto"/>
        <w:ind w:firstLine="420" w:firstLineChars="200"/>
        <w:rPr>
          <w:rFonts w:ascii="黑体" w:hAnsi="黑体" w:eastAsia="黑体" w:cs="黑体"/>
          <w:color w:val="auto"/>
          <w:highlight w:val="none"/>
        </w:rPr>
      </w:pPr>
      <w:r>
        <w:rPr>
          <w:rFonts w:hint="eastAsia" w:ascii="黑体" w:hAnsi="黑体" w:eastAsia="黑体" w:cs="黑体"/>
          <w:color w:val="auto"/>
          <w:highlight w:val="none"/>
        </w:rPr>
        <w:t>三、投标人应将《项目专用本》</w:t>
      </w:r>
      <w:r>
        <w:rPr>
          <w:rFonts w:hint="eastAsia" w:ascii="黑体" w:hAnsi="黑体" w:eastAsia="黑体" w:cs="黑体"/>
          <w:color w:val="auto"/>
          <w:highlight w:val="none"/>
          <w:lang w:eastAsia="zh-CN"/>
        </w:rPr>
        <w:t>《内蒙古自治区公路工程标准施工电子招标文件》（2025年版）</w:t>
      </w:r>
      <w:r>
        <w:rPr>
          <w:rFonts w:hint="eastAsia" w:ascii="黑体" w:hAnsi="黑体" w:eastAsia="黑体" w:cs="黑体"/>
          <w:color w:val="auto"/>
          <w:highlight w:val="none"/>
        </w:rPr>
        <w:t>和《公路工程标准施工招标文件》（2018年版）结合阅读，并按要求认真编制投标文件，完整地反映招标文件的规定和内容，避免投标文件因未按规定编制而被拒绝。</w:t>
      </w:r>
    </w:p>
    <w:p w14:paraId="519EC3B2">
      <w:pPr>
        <w:spacing w:line="360" w:lineRule="auto"/>
        <w:ind w:firstLine="420" w:firstLineChars="200"/>
        <w:rPr>
          <w:rFonts w:ascii="Arial" w:hAnsi="Arial" w:eastAsia="黑体" w:cs="Arial"/>
          <w:color w:val="auto"/>
          <w:szCs w:val="21"/>
          <w:highlight w:val="none"/>
        </w:rPr>
      </w:pPr>
      <w:r>
        <w:rPr>
          <w:rFonts w:hint="eastAsia" w:ascii="黑体" w:hAnsi="黑体" w:eastAsia="黑体" w:cs="黑体"/>
          <w:color w:val="auto"/>
          <w:highlight w:val="none"/>
        </w:rPr>
        <w:t>四、</w:t>
      </w:r>
      <w:r>
        <w:rPr>
          <w:rFonts w:hint="eastAsia" w:ascii="黑体" w:hAnsi="黑体" w:eastAsia="黑体" w:cs="黑体"/>
          <w:color w:val="auto"/>
          <w:highlight w:val="none"/>
          <w:lang w:eastAsia="zh-CN"/>
        </w:rPr>
        <w:t>《内蒙古自治区公路工程标准施工电子招标文件》（2025年版）</w:t>
      </w:r>
      <w:r>
        <w:rPr>
          <w:rFonts w:hint="eastAsia" w:ascii="黑体" w:hAnsi="黑体" w:eastAsia="黑体" w:cs="黑体"/>
          <w:color w:val="auto"/>
          <w:highlight w:val="none"/>
        </w:rPr>
        <w:t>和《公路工程标准施工招标文件》（2018年版）由投标人自备。</w:t>
      </w:r>
    </w:p>
    <w:p w14:paraId="47AF6038">
      <w:pPr>
        <w:pStyle w:val="41"/>
        <w:tabs>
          <w:tab w:val="clear" w:pos="4320"/>
          <w:tab w:val="clear" w:pos="8640"/>
        </w:tabs>
        <w:adjustRightInd/>
        <w:spacing w:line="240" w:lineRule="auto"/>
        <w:ind w:firstLine="420" w:firstLineChars="200"/>
        <w:textAlignment w:val="auto"/>
        <w:rPr>
          <w:rFonts w:ascii="Arial" w:hAnsi="Arial" w:eastAsia="黑体" w:cs="Arial"/>
          <w:color w:val="auto"/>
          <w:szCs w:val="21"/>
          <w:highlight w:val="none"/>
        </w:rPr>
      </w:pPr>
    </w:p>
    <w:p w14:paraId="16FCC3DC">
      <w:pPr>
        <w:pStyle w:val="41"/>
        <w:keepNext w:val="0"/>
        <w:keepLines w:val="0"/>
        <w:pageBreakBefore w:val="0"/>
        <w:widowControl w:val="0"/>
        <w:tabs>
          <w:tab w:val="clear" w:pos="4320"/>
          <w:tab w:val="clear" w:pos="8640"/>
        </w:tabs>
        <w:kinsoku/>
        <w:wordWrap/>
        <w:overflowPunct/>
        <w:topLinePunct w:val="0"/>
        <w:autoSpaceDE/>
        <w:autoSpaceDN/>
        <w:bidi w:val="0"/>
        <w:adjustRightInd/>
        <w:snapToGrid/>
        <w:spacing w:line="240" w:lineRule="auto"/>
        <w:textAlignment w:val="auto"/>
        <w:rPr>
          <w:rFonts w:ascii="Arial" w:hAnsi="Arial" w:eastAsia="黑体" w:cs="Arial"/>
          <w:color w:val="auto"/>
          <w:szCs w:val="21"/>
          <w:highlight w:val="none"/>
        </w:rPr>
      </w:pPr>
    </w:p>
    <w:p w14:paraId="05CB4602">
      <w:pPr>
        <w:pStyle w:val="41"/>
        <w:keepNext w:val="0"/>
        <w:keepLines w:val="0"/>
        <w:pageBreakBefore w:val="0"/>
        <w:widowControl w:val="0"/>
        <w:tabs>
          <w:tab w:val="clear" w:pos="4320"/>
          <w:tab w:val="clear" w:pos="8640"/>
        </w:tabs>
        <w:kinsoku/>
        <w:wordWrap/>
        <w:overflowPunct/>
        <w:topLinePunct w:val="0"/>
        <w:autoSpaceDE/>
        <w:autoSpaceDN/>
        <w:bidi w:val="0"/>
        <w:adjustRightInd/>
        <w:snapToGrid/>
        <w:spacing w:line="240" w:lineRule="auto"/>
        <w:ind w:firstLine="210" w:firstLineChars="100"/>
        <w:textAlignment w:val="auto"/>
        <w:rPr>
          <w:rFonts w:ascii="Arial" w:hAnsi="Arial" w:eastAsia="黑体" w:cs="Arial"/>
          <w:color w:val="auto"/>
          <w:szCs w:val="21"/>
          <w:highlight w:val="none"/>
        </w:rPr>
      </w:pPr>
      <w:r>
        <w:rPr>
          <w:rFonts w:ascii="Arial" w:hAnsi="Arial" w:eastAsia="黑体" w:cs="Arial"/>
          <w:color w:val="auto"/>
          <w:szCs w:val="21"/>
          <w:highlight w:val="none"/>
        </w:rPr>
        <w:t>1. 招标文件中提到的时间除有特别说明外，均指“北京时间”。</w:t>
      </w:r>
    </w:p>
    <w:p w14:paraId="0DF1AFC3">
      <w:pPr>
        <w:pStyle w:val="41"/>
        <w:keepNext w:val="0"/>
        <w:keepLines w:val="0"/>
        <w:pageBreakBefore w:val="0"/>
        <w:widowControl w:val="0"/>
        <w:tabs>
          <w:tab w:val="clear" w:pos="4320"/>
          <w:tab w:val="clear" w:pos="8640"/>
        </w:tabs>
        <w:kinsoku/>
        <w:wordWrap/>
        <w:overflowPunct/>
        <w:topLinePunct w:val="0"/>
        <w:autoSpaceDE/>
        <w:autoSpaceDN/>
        <w:bidi w:val="0"/>
        <w:adjustRightInd/>
        <w:snapToGrid/>
        <w:spacing w:line="240" w:lineRule="auto"/>
        <w:ind w:firstLine="210" w:firstLineChars="100"/>
        <w:textAlignment w:val="auto"/>
        <w:rPr>
          <w:rFonts w:ascii="Arial" w:hAnsi="Arial" w:eastAsia="黑体" w:cs="Arial"/>
          <w:color w:val="auto"/>
          <w:szCs w:val="21"/>
          <w:highlight w:val="none"/>
        </w:rPr>
      </w:pPr>
      <w:r>
        <w:rPr>
          <w:rFonts w:ascii="Arial" w:hAnsi="Arial" w:eastAsia="黑体" w:cs="Arial"/>
          <w:color w:val="auto"/>
          <w:szCs w:val="21"/>
          <w:highlight w:val="none"/>
        </w:rPr>
        <w:t>2. 招标文件中提到的货币单位除有特别说明外，均指人民币“元”。</w:t>
      </w:r>
    </w:p>
    <w:p w14:paraId="3ED3B20A">
      <w:pPr>
        <w:pStyle w:val="41"/>
        <w:keepNext w:val="0"/>
        <w:keepLines w:val="0"/>
        <w:pageBreakBefore w:val="0"/>
        <w:widowControl w:val="0"/>
        <w:tabs>
          <w:tab w:val="clear" w:pos="4320"/>
          <w:tab w:val="clear" w:pos="8640"/>
        </w:tabs>
        <w:kinsoku/>
        <w:wordWrap/>
        <w:overflowPunct/>
        <w:topLinePunct w:val="0"/>
        <w:autoSpaceDE/>
        <w:autoSpaceDN/>
        <w:bidi w:val="0"/>
        <w:adjustRightInd/>
        <w:snapToGrid/>
        <w:spacing w:line="240" w:lineRule="auto"/>
        <w:ind w:firstLine="210" w:firstLineChars="100"/>
        <w:textAlignment w:val="auto"/>
        <w:rPr>
          <w:rFonts w:hint="eastAsia" w:ascii="Arial" w:hAnsi="Arial" w:eastAsia="黑体" w:cs="Arial"/>
          <w:color w:val="auto"/>
          <w:szCs w:val="21"/>
          <w:highlight w:val="none"/>
        </w:rPr>
      </w:pPr>
      <w:r>
        <w:rPr>
          <w:rFonts w:hint="eastAsia" w:ascii="Arial" w:hAnsi="Arial" w:eastAsia="黑体" w:cs="Arial"/>
          <w:color w:val="auto"/>
          <w:szCs w:val="21"/>
          <w:highlight w:val="none"/>
        </w:rPr>
        <w:t>3</w:t>
      </w:r>
      <w:r>
        <w:rPr>
          <w:rFonts w:ascii="Arial" w:hAnsi="Arial" w:eastAsia="黑体" w:cs="Arial"/>
          <w:color w:val="auto"/>
          <w:szCs w:val="21"/>
          <w:highlight w:val="none"/>
        </w:rPr>
        <w:t>. 招标文件中提到的“近5年”除有特别说明外，均指20</w:t>
      </w:r>
      <w:r>
        <w:rPr>
          <w:rFonts w:hint="eastAsia" w:ascii="Arial" w:hAnsi="Arial" w:eastAsia="黑体" w:cs="Arial"/>
          <w:color w:val="auto"/>
          <w:szCs w:val="21"/>
          <w:highlight w:val="none"/>
          <w:lang w:val="en-US" w:eastAsia="zh-CN"/>
        </w:rPr>
        <w:t>21</w:t>
      </w:r>
      <w:r>
        <w:rPr>
          <w:rFonts w:ascii="Arial" w:hAnsi="Arial" w:eastAsia="黑体" w:cs="Arial"/>
          <w:color w:val="auto"/>
          <w:szCs w:val="21"/>
          <w:highlight w:val="none"/>
        </w:rPr>
        <w:t>年</w:t>
      </w:r>
      <w:r>
        <w:rPr>
          <w:rFonts w:hint="eastAsia" w:ascii="Arial" w:hAnsi="Arial" w:eastAsia="黑体" w:cs="Arial"/>
          <w:color w:val="auto"/>
          <w:szCs w:val="21"/>
          <w:highlight w:val="none"/>
          <w:lang w:val="en-US" w:eastAsia="zh-CN"/>
        </w:rPr>
        <w:t>1</w:t>
      </w:r>
      <w:r>
        <w:rPr>
          <w:rFonts w:hint="eastAsia" w:ascii="Arial" w:hAnsi="Arial" w:eastAsia="黑体" w:cs="Arial"/>
          <w:color w:val="auto"/>
          <w:szCs w:val="21"/>
          <w:highlight w:val="none"/>
        </w:rPr>
        <w:t>月1日</w:t>
      </w:r>
      <w:r>
        <w:rPr>
          <w:rFonts w:ascii="Arial" w:hAnsi="Arial" w:eastAsia="黑体" w:cs="Arial"/>
          <w:color w:val="auto"/>
          <w:szCs w:val="21"/>
          <w:highlight w:val="none"/>
        </w:rPr>
        <w:t>至投标文件递交截止时间；招标文件中提到的“近3年”除有特别说明外，均指20</w:t>
      </w:r>
      <w:r>
        <w:rPr>
          <w:rFonts w:hint="eastAsia" w:ascii="Arial" w:hAnsi="Arial" w:eastAsia="黑体" w:cs="Arial"/>
          <w:color w:val="auto"/>
          <w:szCs w:val="21"/>
          <w:highlight w:val="none"/>
          <w:lang w:val="en-US" w:eastAsia="zh-CN"/>
        </w:rPr>
        <w:t>23</w:t>
      </w:r>
      <w:r>
        <w:rPr>
          <w:rFonts w:ascii="Arial" w:hAnsi="Arial" w:eastAsia="黑体" w:cs="Arial"/>
          <w:color w:val="auto"/>
          <w:szCs w:val="21"/>
          <w:highlight w:val="none"/>
        </w:rPr>
        <w:t>年</w:t>
      </w:r>
      <w:r>
        <w:rPr>
          <w:rFonts w:hint="eastAsia" w:ascii="Arial" w:hAnsi="Arial" w:eastAsia="黑体" w:cs="Arial"/>
          <w:color w:val="auto"/>
          <w:szCs w:val="21"/>
          <w:highlight w:val="none"/>
          <w:lang w:val="en-US" w:eastAsia="zh-CN"/>
        </w:rPr>
        <w:t>1</w:t>
      </w:r>
      <w:r>
        <w:rPr>
          <w:rFonts w:hint="eastAsia" w:ascii="Arial" w:hAnsi="Arial" w:eastAsia="黑体" w:cs="Arial"/>
          <w:color w:val="auto"/>
          <w:szCs w:val="21"/>
          <w:highlight w:val="none"/>
        </w:rPr>
        <w:t>月1日</w:t>
      </w:r>
      <w:r>
        <w:rPr>
          <w:rFonts w:ascii="Arial" w:hAnsi="Arial" w:eastAsia="黑体" w:cs="Arial"/>
          <w:color w:val="auto"/>
          <w:szCs w:val="21"/>
          <w:highlight w:val="none"/>
        </w:rPr>
        <w:t>至投标文件递交截止时间。</w:t>
      </w:r>
    </w:p>
    <w:p w14:paraId="3FF679FE">
      <w:pPr>
        <w:pStyle w:val="41"/>
        <w:keepNext w:val="0"/>
        <w:keepLines w:val="0"/>
        <w:pageBreakBefore w:val="0"/>
        <w:widowControl w:val="0"/>
        <w:tabs>
          <w:tab w:val="clear" w:pos="4320"/>
          <w:tab w:val="clear" w:pos="8640"/>
        </w:tabs>
        <w:kinsoku/>
        <w:wordWrap/>
        <w:overflowPunct/>
        <w:topLinePunct w:val="0"/>
        <w:autoSpaceDE/>
        <w:autoSpaceDN/>
        <w:bidi w:val="0"/>
        <w:adjustRightInd/>
        <w:snapToGrid/>
        <w:spacing w:line="240" w:lineRule="auto"/>
        <w:ind w:firstLine="204" w:firstLineChars="100"/>
        <w:textAlignment w:val="auto"/>
        <w:rPr>
          <w:rFonts w:hint="eastAsia" w:ascii="Arial" w:hAnsi="Arial" w:eastAsia="黑体" w:cs="Arial"/>
          <w:color w:val="auto"/>
          <w:spacing w:val="-3"/>
          <w:szCs w:val="21"/>
          <w:highlight w:val="none"/>
        </w:rPr>
      </w:pPr>
      <w:r>
        <w:rPr>
          <w:rFonts w:hint="eastAsia" w:ascii="Arial" w:hAnsi="Arial" w:eastAsia="黑体" w:cs="Arial"/>
          <w:color w:val="auto"/>
          <w:spacing w:val="-3"/>
          <w:szCs w:val="21"/>
          <w:highlight w:val="none"/>
        </w:rPr>
        <w:t>4</w:t>
      </w:r>
      <w:r>
        <w:rPr>
          <w:rFonts w:ascii="Arial" w:hAnsi="Arial" w:eastAsia="黑体" w:cs="Arial"/>
          <w:color w:val="auto"/>
          <w:szCs w:val="21"/>
          <w:highlight w:val="none"/>
        </w:rPr>
        <w:t>.</w:t>
      </w:r>
      <w:r>
        <w:rPr>
          <w:rFonts w:hint="eastAsia" w:ascii="Arial" w:hAnsi="Arial" w:eastAsia="黑体" w:cs="Arial"/>
          <w:color w:val="auto"/>
          <w:szCs w:val="21"/>
          <w:highlight w:val="none"/>
        </w:rPr>
        <w:t xml:space="preserve"> </w:t>
      </w:r>
      <w:r>
        <w:rPr>
          <w:rFonts w:hint="eastAsia" w:ascii="Arial" w:hAnsi="Arial" w:eastAsia="黑体" w:cs="Arial"/>
          <w:color w:val="auto"/>
          <w:spacing w:val="-3"/>
          <w:szCs w:val="21"/>
          <w:highlight w:val="none"/>
        </w:rPr>
        <w:t>招标文件中提到的</w:t>
      </w:r>
      <w:r>
        <w:rPr>
          <w:rFonts w:ascii="Arial" w:hAnsi="Arial" w:eastAsia="黑体" w:cs="Arial"/>
          <w:color w:val="auto"/>
          <w:spacing w:val="-3"/>
          <w:szCs w:val="21"/>
          <w:highlight w:val="none"/>
        </w:rPr>
        <w:t>”</w:t>
      </w:r>
      <w:r>
        <w:rPr>
          <w:rFonts w:hint="eastAsia" w:ascii="Arial" w:hAnsi="Arial" w:eastAsia="黑体" w:cs="Arial"/>
          <w:color w:val="auto"/>
          <w:spacing w:val="-3"/>
          <w:szCs w:val="21"/>
          <w:highlight w:val="none"/>
        </w:rPr>
        <w:t>身份证</w:t>
      </w:r>
      <w:r>
        <w:rPr>
          <w:rFonts w:ascii="Arial" w:hAnsi="Arial" w:eastAsia="黑体" w:cs="Arial"/>
          <w:color w:val="auto"/>
          <w:spacing w:val="-3"/>
          <w:szCs w:val="21"/>
          <w:highlight w:val="none"/>
        </w:rPr>
        <w:t>”</w:t>
      </w:r>
      <w:r>
        <w:rPr>
          <w:rFonts w:hint="eastAsia" w:ascii="Arial" w:hAnsi="Arial" w:eastAsia="黑体" w:cs="Arial"/>
          <w:color w:val="auto"/>
          <w:spacing w:val="-3"/>
          <w:szCs w:val="21"/>
          <w:highlight w:val="none"/>
        </w:rPr>
        <w:t>除有特别说明外，均指第二代身份证（包括正反面）且在有效期内。</w:t>
      </w:r>
    </w:p>
    <w:p w14:paraId="0085EED8">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210" w:firstLineChars="100"/>
        <w:jc w:val="both"/>
        <w:textAlignment w:val="auto"/>
        <w:rPr>
          <w:rFonts w:eastAsia="黑体"/>
          <w:color w:val="auto"/>
          <w:sz w:val="29"/>
          <w:szCs w:val="29"/>
          <w:highlight w:val="none"/>
        </w:rPr>
      </w:pPr>
      <w:r>
        <w:rPr>
          <w:rFonts w:hint="eastAsia" w:ascii="Arial" w:hAnsi="Arial" w:eastAsia="黑体" w:cs="Arial"/>
          <w:color w:val="auto"/>
          <w:szCs w:val="21"/>
          <w:highlight w:val="none"/>
        </w:rPr>
        <w:t>5</w:t>
      </w:r>
      <w:r>
        <w:rPr>
          <w:rFonts w:ascii="Arial" w:hAnsi="Arial" w:eastAsia="黑体" w:cs="Arial"/>
          <w:color w:val="auto"/>
          <w:szCs w:val="21"/>
          <w:highlight w:val="none"/>
        </w:rPr>
        <w:t>. 招标文件中提到的“内蒙古自治区公路施工企业信用评价”实施细则请参阅内蒙古自治区交通运输厅关于印发《</w:t>
      </w:r>
      <w:r>
        <w:rPr>
          <w:rFonts w:hint="eastAsia" w:ascii="Arial" w:hAnsi="Arial" w:eastAsia="黑体" w:cs="Arial"/>
          <w:color w:val="auto"/>
          <w:szCs w:val="21"/>
          <w:highlight w:val="none"/>
        </w:rPr>
        <w:t>内蒙古自治区公路工程施工企业信用评价实施细则</w:t>
      </w:r>
      <w:r>
        <w:rPr>
          <w:rFonts w:ascii="Arial" w:hAnsi="Arial" w:eastAsia="黑体" w:cs="Arial"/>
          <w:color w:val="auto"/>
          <w:szCs w:val="21"/>
          <w:highlight w:val="none"/>
        </w:rPr>
        <w:t>》的通知（内交发〔2019〕22号）。</w:t>
      </w:r>
    </w:p>
    <w:p w14:paraId="0A431AD9">
      <w:pPr>
        <w:pStyle w:val="21"/>
        <w:rPr>
          <w:rFonts w:eastAsia="黑体"/>
          <w:color w:val="auto"/>
          <w:sz w:val="29"/>
          <w:szCs w:val="29"/>
          <w:highlight w:val="none"/>
        </w:rPr>
      </w:pPr>
    </w:p>
    <w:p w14:paraId="0BCED632">
      <w:pPr>
        <w:pStyle w:val="21"/>
        <w:rPr>
          <w:rFonts w:eastAsia="黑体"/>
          <w:color w:val="auto"/>
          <w:sz w:val="29"/>
          <w:szCs w:val="29"/>
          <w:highlight w:val="none"/>
        </w:rPr>
      </w:pPr>
    </w:p>
    <w:p w14:paraId="66DE618C">
      <w:pPr>
        <w:pStyle w:val="21"/>
        <w:rPr>
          <w:rFonts w:eastAsia="黑体"/>
          <w:color w:val="auto"/>
          <w:sz w:val="29"/>
          <w:szCs w:val="29"/>
          <w:highlight w:val="none"/>
        </w:rPr>
      </w:pPr>
    </w:p>
    <w:p w14:paraId="117A7B17">
      <w:pPr>
        <w:pStyle w:val="21"/>
        <w:rPr>
          <w:rFonts w:eastAsia="黑体"/>
          <w:color w:val="auto"/>
          <w:sz w:val="29"/>
          <w:szCs w:val="29"/>
          <w:highlight w:val="none"/>
        </w:rPr>
      </w:pPr>
    </w:p>
    <w:p w14:paraId="14DD9D4B">
      <w:pPr>
        <w:pStyle w:val="21"/>
        <w:rPr>
          <w:rFonts w:eastAsia="黑体"/>
          <w:color w:val="auto"/>
          <w:sz w:val="29"/>
          <w:szCs w:val="29"/>
          <w:highlight w:val="none"/>
        </w:rPr>
      </w:pPr>
    </w:p>
    <w:p w14:paraId="264B2DD1">
      <w:pPr>
        <w:pStyle w:val="21"/>
        <w:rPr>
          <w:rFonts w:eastAsia="黑体"/>
          <w:color w:val="auto"/>
          <w:sz w:val="29"/>
          <w:szCs w:val="29"/>
          <w:highlight w:val="none"/>
        </w:rPr>
      </w:pPr>
    </w:p>
    <w:p w14:paraId="7E0C64A6">
      <w:pPr>
        <w:pStyle w:val="21"/>
        <w:rPr>
          <w:rFonts w:eastAsia="黑体"/>
          <w:color w:val="auto"/>
          <w:sz w:val="29"/>
          <w:szCs w:val="29"/>
          <w:highlight w:val="none"/>
        </w:rPr>
      </w:pPr>
    </w:p>
    <w:p w14:paraId="56F44C89">
      <w:pPr>
        <w:pStyle w:val="21"/>
        <w:rPr>
          <w:rFonts w:eastAsia="黑体"/>
          <w:color w:val="auto"/>
          <w:sz w:val="29"/>
          <w:szCs w:val="29"/>
          <w:highlight w:val="none"/>
        </w:rPr>
      </w:pPr>
    </w:p>
    <w:p w14:paraId="3693CD07">
      <w:pPr>
        <w:pStyle w:val="21"/>
        <w:rPr>
          <w:rFonts w:eastAsia="黑体"/>
          <w:color w:val="auto"/>
          <w:sz w:val="29"/>
          <w:szCs w:val="29"/>
          <w:highlight w:val="none"/>
        </w:rPr>
      </w:pPr>
    </w:p>
    <w:p w14:paraId="691817C0">
      <w:pPr>
        <w:pStyle w:val="21"/>
        <w:rPr>
          <w:rFonts w:eastAsia="黑体"/>
          <w:color w:val="auto"/>
          <w:sz w:val="29"/>
          <w:szCs w:val="29"/>
          <w:highlight w:val="none"/>
        </w:rPr>
      </w:pPr>
    </w:p>
    <w:p w14:paraId="7E14AD02">
      <w:pPr>
        <w:shd w:val="clear" w:color="auto" w:fill="auto"/>
        <w:spacing w:line="440" w:lineRule="exact"/>
        <w:jc w:val="center"/>
        <w:rPr>
          <w:rFonts w:eastAsia="黑体"/>
          <w:color w:val="auto"/>
          <w:sz w:val="29"/>
          <w:szCs w:val="29"/>
          <w:highlight w:val="none"/>
        </w:rPr>
      </w:pPr>
    </w:p>
    <w:p w14:paraId="324F15B8">
      <w:pPr>
        <w:shd w:val="clear" w:color="auto" w:fill="auto"/>
        <w:topLinePunct/>
        <w:spacing w:line="240" w:lineRule="atLeast"/>
        <w:ind w:right="31" w:rightChars="15"/>
        <w:jc w:val="center"/>
        <w:rPr>
          <w:rFonts w:hint="eastAsia" w:eastAsia="黑体"/>
          <w:color w:val="auto"/>
          <w:sz w:val="76"/>
          <w:szCs w:val="76"/>
          <w:highlight w:val="none"/>
        </w:rPr>
      </w:pPr>
      <w:r>
        <w:rPr>
          <w:rFonts w:eastAsia="黑体"/>
          <w:color w:val="auto"/>
          <w:sz w:val="76"/>
          <w:szCs w:val="76"/>
          <w:highlight w:val="none"/>
        </w:rPr>
        <w:t>第  一  卷</w:t>
      </w:r>
    </w:p>
    <w:p w14:paraId="777AF6DE">
      <w:pPr>
        <w:shd w:val="clear" w:color="auto" w:fill="auto"/>
        <w:topLinePunct/>
        <w:spacing w:line="440" w:lineRule="exact"/>
        <w:ind w:right="31" w:rightChars="15"/>
        <w:jc w:val="center"/>
        <w:rPr>
          <w:rFonts w:eastAsia="黑体"/>
          <w:color w:val="auto"/>
          <w:sz w:val="36"/>
          <w:szCs w:val="36"/>
          <w:highlight w:val="none"/>
        </w:rPr>
        <w:sectPr>
          <w:headerReference r:id="rId8" w:type="default"/>
          <w:footerReference r:id="rId9" w:type="default"/>
          <w:footnotePr>
            <w:numFmt w:val="decimalEnclosedCircleChinese"/>
            <w:numRestart w:val="eachPage"/>
          </w:footnotePr>
          <w:pgSz w:w="11907" w:h="16840"/>
          <w:pgMar w:top="1588" w:right="1531" w:bottom="1644" w:left="1588" w:header="851" w:footer="851" w:gutter="0"/>
          <w:pgBorders>
            <w:top w:val="none" w:sz="0" w:space="0"/>
            <w:left w:val="none" w:sz="0" w:space="0"/>
            <w:bottom w:val="none" w:sz="0" w:space="0"/>
            <w:right w:val="none" w:sz="0" w:space="0"/>
          </w:pgBorders>
          <w:pgNumType w:fmt="numberInDash"/>
          <w:cols w:space="720" w:num="1"/>
          <w:docGrid w:linePitch="312" w:charSpace="0"/>
        </w:sectPr>
      </w:pPr>
    </w:p>
    <w:p w14:paraId="3735325E">
      <w:pPr>
        <w:pStyle w:val="2"/>
        <w:bidi w:val="0"/>
        <w:rPr>
          <w:rFonts w:eastAsia="黑体"/>
          <w:color w:val="auto"/>
          <w:sz w:val="17"/>
          <w:szCs w:val="17"/>
          <w:highlight w:val="none"/>
        </w:rPr>
      </w:pPr>
      <w:bookmarkStart w:id="4" w:name="_Toc234832844"/>
      <w:bookmarkStart w:id="5" w:name="_Toc501257032"/>
      <w:bookmarkStart w:id="6" w:name="_Toc22609"/>
      <w:r>
        <w:rPr>
          <w:rFonts w:hint="eastAsia"/>
          <w:highlight w:val="none"/>
        </w:rPr>
        <w:t>第一章  招标公告</w:t>
      </w:r>
      <w:bookmarkEnd w:id="4"/>
      <w:bookmarkEnd w:id="5"/>
      <w:bookmarkEnd w:id="6"/>
    </w:p>
    <w:p w14:paraId="4D4E780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0" w:firstLine="0"/>
        <w:jc w:val="center"/>
        <w:textAlignment w:val="auto"/>
        <w:rPr>
          <w:rFonts w:hint="eastAsia" w:ascii="黑体" w:hAnsi="黑体" w:eastAsia="黑体" w:cs="黑体"/>
          <w:i w:val="0"/>
          <w:iCs w:val="0"/>
          <w:caps w:val="0"/>
          <w:color w:val="000000"/>
          <w:spacing w:val="0"/>
          <w:sz w:val="32"/>
          <w:szCs w:val="32"/>
          <w:highlight w:val="none"/>
        </w:rPr>
      </w:pPr>
      <w:r>
        <w:rPr>
          <w:rStyle w:val="25"/>
          <w:rFonts w:hint="eastAsia" w:ascii="黑体" w:hAnsi="黑体" w:eastAsia="黑体" w:cs="黑体"/>
          <w:b/>
          <w:bCs/>
          <w:i w:val="0"/>
          <w:iCs w:val="0"/>
          <w:caps w:val="0"/>
          <w:color w:val="000000"/>
          <w:spacing w:val="0"/>
          <w:sz w:val="32"/>
          <w:szCs w:val="32"/>
          <w:highlight w:val="none"/>
          <w:shd w:val="clear" w:color="auto" w:fill="FFFFFF"/>
          <w:lang w:eastAsia="zh-CN"/>
        </w:rPr>
        <w:t>2026年新巴尔虎左旗生命安全防护工程</w:t>
      </w:r>
      <w:r>
        <w:rPr>
          <w:rStyle w:val="25"/>
          <w:rFonts w:hint="eastAsia" w:ascii="黑体" w:hAnsi="黑体" w:eastAsia="黑体" w:cs="黑体"/>
          <w:b/>
          <w:bCs/>
          <w:i w:val="0"/>
          <w:iCs w:val="0"/>
          <w:caps w:val="0"/>
          <w:color w:val="000000"/>
          <w:spacing w:val="0"/>
          <w:sz w:val="32"/>
          <w:szCs w:val="32"/>
          <w:highlight w:val="none"/>
          <w:shd w:val="clear" w:color="auto" w:fill="FFFFFF"/>
          <w:lang w:val="en-US" w:eastAsia="zh-CN"/>
        </w:rPr>
        <w:t>施工</w:t>
      </w:r>
      <w:r>
        <w:rPr>
          <w:rStyle w:val="25"/>
          <w:rFonts w:hint="eastAsia" w:ascii="黑体" w:hAnsi="黑体" w:eastAsia="黑体" w:cs="黑体"/>
          <w:b/>
          <w:bCs/>
          <w:i w:val="0"/>
          <w:iCs w:val="0"/>
          <w:caps w:val="0"/>
          <w:color w:val="000000"/>
          <w:spacing w:val="0"/>
          <w:sz w:val="32"/>
          <w:szCs w:val="32"/>
          <w:highlight w:val="none"/>
          <w:shd w:val="clear" w:color="auto" w:fill="FFFFFF"/>
        </w:rPr>
        <w:t>招标公告</w:t>
      </w:r>
    </w:p>
    <w:p w14:paraId="7D0372A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0" w:firstLine="0"/>
        <w:jc w:val="center"/>
        <w:textAlignment w:val="auto"/>
        <w:rPr>
          <w:rStyle w:val="25"/>
          <w:rFonts w:hint="eastAsia" w:ascii="黑体" w:hAnsi="黑体" w:eastAsia="黑体" w:cs="黑体"/>
          <w:b/>
          <w:bCs/>
          <w:i w:val="0"/>
          <w:iCs w:val="0"/>
          <w:caps w:val="0"/>
          <w:color w:val="000000"/>
          <w:spacing w:val="0"/>
          <w:sz w:val="21"/>
          <w:szCs w:val="21"/>
          <w:highlight w:val="none"/>
          <w:shd w:val="clear" w:color="auto" w:fill="FFFFFF"/>
        </w:rPr>
      </w:pPr>
      <w:r>
        <w:rPr>
          <w:rStyle w:val="25"/>
          <w:rFonts w:hint="eastAsia" w:ascii="黑体" w:hAnsi="黑体" w:eastAsia="黑体" w:cs="黑体"/>
          <w:b/>
          <w:bCs/>
          <w:i w:val="0"/>
          <w:iCs w:val="0"/>
          <w:caps w:val="0"/>
          <w:color w:val="000000"/>
          <w:spacing w:val="0"/>
          <w:sz w:val="21"/>
          <w:szCs w:val="21"/>
          <w:highlight w:val="none"/>
          <w:shd w:val="clear" w:color="auto" w:fill="FFFFFF"/>
        </w:rPr>
        <w:t>项目编号：</w:t>
      </w:r>
      <w:r>
        <w:rPr>
          <w:rFonts w:hint="eastAsia" w:ascii="黑体" w:hAnsi="黑体" w:eastAsia="黑体" w:cs="黑体"/>
          <w:b/>
          <w:bCs w:val="0"/>
          <w:color w:val="auto"/>
          <w:sz w:val="24"/>
          <w:szCs w:val="24"/>
          <w:highlight w:val="none"/>
        </w:rPr>
        <w:t>E1507002026051101001</w:t>
      </w:r>
    </w:p>
    <w:p w14:paraId="7E5A8A0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jc w:val="both"/>
        <w:textAlignment w:val="auto"/>
        <w:rPr>
          <w:rFonts w:hint="eastAsia" w:ascii="黑体" w:hAnsi="黑体" w:eastAsia="黑体" w:cs="黑体"/>
          <w:b/>
          <w:bCs/>
          <w:i w:val="0"/>
          <w:iCs w:val="0"/>
          <w:caps w:val="0"/>
          <w:color w:val="000000"/>
          <w:spacing w:val="0"/>
          <w:sz w:val="21"/>
          <w:szCs w:val="21"/>
          <w:highlight w:val="none"/>
        </w:rPr>
      </w:pPr>
      <w:r>
        <w:rPr>
          <w:rStyle w:val="25"/>
          <w:rFonts w:hint="eastAsia" w:ascii="黑体" w:hAnsi="黑体" w:eastAsia="黑体" w:cs="黑体"/>
          <w:b/>
          <w:bCs/>
          <w:i w:val="0"/>
          <w:iCs w:val="0"/>
          <w:caps w:val="0"/>
          <w:color w:val="000000"/>
          <w:spacing w:val="0"/>
          <w:sz w:val="21"/>
          <w:szCs w:val="21"/>
          <w:highlight w:val="none"/>
          <w:shd w:val="clear" w:color="auto" w:fill="FFFFFF"/>
          <w:lang w:val="en-US" w:eastAsia="zh-CN"/>
        </w:rPr>
        <w:t>1.</w:t>
      </w:r>
      <w:r>
        <w:rPr>
          <w:rStyle w:val="25"/>
          <w:rFonts w:hint="eastAsia" w:ascii="黑体" w:hAnsi="黑体" w:eastAsia="黑体" w:cs="黑体"/>
          <w:b/>
          <w:bCs/>
          <w:i w:val="0"/>
          <w:iCs w:val="0"/>
          <w:caps w:val="0"/>
          <w:color w:val="000000"/>
          <w:spacing w:val="0"/>
          <w:sz w:val="21"/>
          <w:szCs w:val="21"/>
          <w:highlight w:val="none"/>
          <w:shd w:val="clear" w:color="auto" w:fill="FFFFFF"/>
        </w:rPr>
        <w:t>招标条件</w:t>
      </w:r>
    </w:p>
    <w:p w14:paraId="5A3ECC2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b w:val="0"/>
          <w:bCs w:val="0"/>
          <w:i w:val="0"/>
          <w:iCs w:val="0"/>
          <w:caps w:val="0"/>
          <w:color w:val="000000"/>
          <w:spacing w:val="0"/>
          <w:sz w:val="21"/>
          <w:szCs w:val="21"/>
          <w:highlight w:val="none"/>
          <w:u w:val="none"/>
          <w:shd w:val="clear" w:color="auto" w:fill="FFFFFF"/>
          <w:lang w:val="en-US" w:eastAsia="zh-CN"/>
        </w:rPr>
      </w:pPr>
      <w:r>
        <w:rPr>
          <w:rFonts w:hint="eastAsia" w:ascii="黑体" w:hAnsi="黑体" w:eastAsia="黑体" w:cs="黑体"/>
          <w:b w:val="0"/>
          <w:bCs w:val="0"/>
          <w:i w:val="0"/>
          <w:iCs w:val="0"/>
          <w:caps w:val="0"/>
          <w:color w:val="000000"/>
          <w:spacing w:val="0"/>
          <w:sz w:val="21"/>
          <w:szCs w:val="21"/>
          <w:highlight w:val="none"/>
          <w:shd w:val="clear" w:color="auto" w:fill="FFFFFF"/>
          <w:lang w:val="en-US" w:eastAsia="zh-CN"/>
        </w:rPr>
        <w:t>本招标项目</w:t>
      </w:r>
      <w:r>
        <w:rPr>
          <w:rFonts w:hint="eastAsia" w:ascii="黑体" w:hAnsi="黑体" w:eastAsia="黑体" w:cs="黑体"/>
          <w:b/>
          <w:bCs/>
          <w:i w:val="0"/>
          <w:iCs w:val="0"/>
          <w:caps w:val="0"/>
          <w:color w:val="000000"/>
          <w:spacing w:val="0"/>
          <w:sz w:val="21"/>
          <w:szCs w:val="21"/>
          <w:highlight w:val="none"/>
          <w:u w:val="single"/>
          <w:shd w:val="clear" w:color="auto" w:fill="FFFFFF"/>
          <w:lang w:val="en-US" w:eastAsia="zh-CN"/>
        </w:rPr>
        <w:t>2026年新巴尔虎左旗生命安全防护工程</w:t>
      </w:r>
      <w:r>
        <w:rPr>
          <w:rFonts w:hint="eastAsia" w:ascii="黑体" w:hAnsi="黑体" w:eastAsia="黑体" w:cs="黑体"/>
          <w:b w:val="0"/>
          <w:bCs w:val="0"/>
          <w:i w:val="0"/>
          <w:iCs w:val="0"/>
          <w:caps w:val="0"/>
          <w:color w:val="000000"/>
          <w:spacing w:val="0"/>
          <w:sz w:val="21"/>
          <w:szCs w:val="21"/>
          <w:highlight w:val="none"/>
          <w:u w:val="none"/>
          <w:shd w:val="clear" w:color="auto" w:fill="FFFFFF"/>
          <w:lang w:val="en-US" w:eastAsia="zh-CN"/>
        </w:rPr>
        <w:t>已由</w:t>
      </w:r>
      <w:r>
        <w:rPr>
          <w:rFonts w:hint="eastAsia" w:ascii="黑体" w:hAnsi="黑体" w:eastAsia="黑体" w:cs="黑体"/>
          <w:b/>
          <w:bCs/>
          <w:i w:val="0"/>
          <w:iCs w:val="0"/>
          <w:caps w:val="0"/>
          <w:color w:val="000000"/>
          <w:spacing w:val="0"/>
          <w:sz w:val="21"/>
          <w:szCs w:val="21"/>
          <w:highlight w:val="none"/>
          <w:u w:val="single"/>
          <w:shd w:val="clear" w:color="auto" w:fill="FFFFFF"/>
          <w:lang w:val="en-US" w:eastAsia="zh-CN"/>
        </w:rPr>
        <w:t>新巴尔虎左旗住房建设和交通运输局</w:t>
      </w:r>
      <w:r>
        <w:rPr>
          <w:rFonts w:hint="eastAsia" w:ascii="黑体" w:hAnsi="黑体" w:eastAsia="黑体" w:cs="黑体"/>
          <w:b w:val="0"/>
          <w:bCs w:val="0"/>
          <w:i w:val="0"/>
          <w:iCs w:val="0"/>
          <w:caps w:val="0"/>
          <w:color w:val="000000"/>
          <w:spacing w:val="0"/>
          <w:sz w:val="21"/>
          <w:szCs w:val="21"/>
          <w:highlight w:val="none"/>
          <w:u w:val="none"/>
          <w:shd w:val="clear" w:color="auto" w:fill="FFFFFF"/>
          <w:lang w:val="en-US" w:eastAsia="zh-CN"/>
        </w:rPr>
        <w:t>以</w:t>
      </w:r>
      <w:r>
        <w:rPr>
          <w:rFonts w:hint="eastAsia" w:ascii="黑体" w:hAnsi="黑体" w:eastAsia="黑体" w:cs="黑体"/>
          <w:b/>
          <w:bCs/>
          <w:i w:val="0"/>
          <w:iCs w:val="0"/>
          <w:caps w:val="0"/>
          <w:color w:val="000000"/>
          <w:spacing w:val="0"/>
          <w:sz w:val="21"/>
          <w:szCs w:val="21"/>
          <w:highlight w:val="none"/>
          <w:u w:val="single"/>
          <w:shd w:val="clear" w:color="auto" w:fill="FFFFFF"/>
          <w:lang w:val="en-US" w:eastAsia="zh-CN"/>
        </w:rPr>
        <w:t>《</w:t>
      </w:r>
      <w:r>
        <w:rPr>
          <w:rFonts w:hint="eastAsia" w:ascii="黑体" w:hAnsi="黑体" w:eastAsia="黑体" w:cs="黑体"/>
          <w:b/>
          <w:bCs/>
          <w:i w:val="0"/>
          <w:iCs w:val="0"/>
          <w:caps w:val="0"/>
          <w:color w:val="000000"/>
          <w:spacing w:val="0"/>
          <w:sz w:val="21"/>
          <w:szCs w:val="21"/>
          <w:highlight w:val="none"/>
          <w:u w:val="single"/>
          <w:shd w:val="clear" w:color="auto" w:fill="FFFFFF"/>
          <w:lang w:val="en-US" w:eastAsia="zh-CN"/>
        </w:rPr>
        <w:t>关于C017线(K5+603-K18+271)段生命防护工程一阶段施工图设计的批复》（新左建交字【2026】136号）、《关于C024线(K0+000-K1+000)段生命防护工程一阶段施工图设计的批复》（新左建交字【2026】137号）、《关于C029线(K0+000-K5+000)段生命防护工程一阶段施工图设计的批复》（新左建交字【2026】138号）、《关于X348(K32+003-K39+581)段生命防护工程一阶段施工图设计的批复》（新左建交字【2026】139号）《关于Y007线(K0+000-K5+629)段生命防护工程一阶段施工图设计的批复》（新左建交字【2026】140号）、《关于X347线(K242+531-K253+531)段生命防护工程一阶段施工图设计的批复》（新左建交字【2026】196号）、《关于Y004线(K0+000-K12+000)段生命防护工程一阶段施工图设计的批复》（新左建交字【2026】197号）、《关于Y004线(K12+000-K24+953)段生命防护工程一阶段施工图设计的批复》（新左建交字【2026】198号）</w:t>
      </w:r>
      <w:r>
        <w:rPr>
          <w:rFonts w:hint="eastAsia" w:ascii="黑体" w:hAnsi="黑体" w:eastAsia="黑体" w:cs="黑体"/>
          <w:b w:val="0"/>
          <w:bCs w:val="0"/>
          <w:i w:val="0"/>
          <w:iCs w:val="0"/>
          <w:caps w:val="0"/>
          <w:color w:val="000000"/>
          <w:spacing w:val="0"/>
          <w:sz w:val="21"/>
          <w:szCs w:val="21"/>
          <w:highlight w:val="none"/>
          <w:u w:val="none"/>
          <w:shd w:val="clear" w:color="auto" w:fill="FFFFFF"/>
          <w:lang w:val="en-US" w:eastAsia="zh-CN"/>
        </w:rPr>
        <w:t>批准建设，招标人为</w:t>
      </w:r>
      <w:r>
        <w:rPr>
          <w:rFonts w:hint="eastAsia" w:ascii="黑体" w:hAnsi="黑体" w:eastAsia="黑体" w:cs="黑体"/>
          <w:b/>
          <w:bCs/>
          <w:i w:val="0"/>
          <w:iCs w:val="0"/>
          <w:caps w:val="0"/>
          <w:color w:val="000000"/>
          <w:spacing w:val="0"/>
          <w:sz w:val="21"/>
          <w:szCs w:val="21"/>
          <w:highlight w:val="none"/>
          <w:u w:val="single"/>
          <w:shd w:val="clear" w:color="auto" w:fill="FFFFFF"/>
          <w:lang w:eastAsia="zh-CN"/>
        </w:rPr>
        <w:t>新巴尔虎左旗住房建设和交通运输局</w:t>
      </w:r>
      <w:r>
        <w:rPr>
          <w:rFonts w:hint="eastAsia" w:ascii="黑体" w:hAnsi="黑体" w:eastAsia="黑体" w:cs="黑体"/>
          <w:b w:val="0"/>
          <w:bCs w:val="0"/>
          <w:i w:val="0"/>
          <w:iCs w:val="0"/>
          <w:caps w:val="0"/>
          <w:color w:val="000000"/>
          <w:spacing w:val="0"/>
          <w:sz w:val="21"/>
          <w:szCs w:val="21"/>
          <w:highlight w:val="none"/>
          <w:u w:val="none"/>
          <w:shd w:val="clear" w:color="auto" w:fill="FFFFFF"/>
          <w:lang w:eastAsia="zh-CN"/>
        </w:rPr>
        <w:t>，</w:t>
      </w:r>
      <w:r>
        <w:rPr>
          <w:rFonts w:hint="eastAsia" w:ascii="黑体" w:hAnsi="黑体" w:eastAsia="黑体" w:cs="黑体"/>
          <w:b w:val="0"/>
          <w:bCs w:val="0"/>
          <w:i w:val="0"/>
          <w:iCs w:val="0"/>
          <w:caps w:val="0"/>
          <w:color w:val="000000"/>
          <w:spacing w:val="0"/>
          <w:sz w:val="21"/>
          <w:szCs w:val="21"/>
          <w:highlight w:val="none"/>
          <w:u w:val="none"/>
          <w:shd w:val="clear" w:color="auto" w:fill="FFFFFF"/>
          <w:lang w:val="en-US" w:eastAsia="zh-CN"/>
        </w:rPr>
        <w:t>建设资金来自</w:t>
      </w:r>
      <w:r>
        <w:rPr>
          <w:rFonts w:hint="eastAsia" w:ascii="黑体" w:hAnsi="黑体" w:eastAsia="黑体" w:cs="黑体"/>
          <w:b/>
          <w:bCs/>
          <w:i w:val="0"/>
          <w:iCs w:val="0"/>
          <w:caps w:val="0"/>
          <w:color w:val="000000"/>
          <w:spacing w:val="0"/>
          <w:sz w:val="21"/>
          <w:szCs w:val="21"/>
          <w:highlight w:val="none"/>
          <w:u w:val="thick"/>
          <w:shd w:val="clear" w:color="auto" w:fill="FFFFFF"/>
          <w:lang w:val="en-US" w:eastAsia="zh-CN"/>
        </w:rPr>
        <w:t>上级补助</w:t>
      </w:r>
      <w:r>
        <w:rPr>
          <w:rFonts w:hint="eastAsia" w:ascii="黑体" w:hAnsi="黑体" w:eastAsia="黑体" w:cs="黑体"/>
          <w:b w:val="0"/>
          <w:bCs w:val="0"/>
          <w:i w:val="0"/>
          <w:iCs w:val="0"/>
          <w:caps w:val="0"/>
          <w:color w:val="000000"/>
          <w:spacing w:val="0"/>
          <w:sz w:val="21"/>
          <w:szCs w:val="21"/>
          <w:highlight w:val="none"/>
          <w:u w:val="none"/>
          <w:shd w:val="clear" w:color="auto" w:fill="FFFFFF"/>
          <w:lang w:val="en-US" w:eastAsia="zh-CN"/>
        </w:rPr>
        <w:t>，项目已具备招标条件，现采用资格后审的方式对该项目进行公开招标。</w:t>
      </w:r>
    </w:p>
    <w:p w14:paraId="538D678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jc w:val="both"/>
        <w:textAlignment w:val="auto"/>
        <w:rPr>
          <w:rFonts w:hint="eastAsia" w:ascii="黑体" w:hAnsi="黑体" w:eastAsia="黑体" w:cs="黑体"/>
          <w:b/>
          <w:bCs/>
          <w:i w:val="0"/>
          <w:iCs w:val="0"/>
          <w:caps w:val="0"/>
          <w:color w:val="000000"/>
          <w:spacing w:val="0"/>
          <w:sz w:val="21"/>
          <w:szCs w:val="21"/>
          <w:highlight w:val="none"/>
        </w:rPr>
      </w:pPr>
      <w:r>
        <w:rPr>
          <w:rStyle w:val="25"/>
          <w:rFonts w:hint="eastAsia" w:ascii="黑体" w:hAnsi="黑体" w:eastAsia="黑体" w:cs="黑体"/>
          <w:b/>
          <w:bCs/>
          <w:i w:val="0"/>
          <w:iCs w:val="0"/>
          <w:caps w:val="0"/>
          <w:color w:val="000000"/>
          <w:spacing w:val="0"/>
          <w:sz w:val="21"/>
          <w:szCs w:val="21"/>
          <w:highlight w:val="none"/>
          <w:shd w:val="clear" w:color="auto" w:fill="FFFFFF"/>
          <w:lang w:val="en-US" w:eastAsia="zh-CN"/>
        </w:rPr>
        <w:t>2.</w:t>
      </w:r>
      <w:r>
        <w:rPr>
          <w:rStyle w:val="25"/>
          <w:rFonts w:hint="eastAsia" w:ascii="黑体" w:hAnsi="黑体" w:eastAsia="黑体" w:cs="黑体"/>
          <w:b/>
          <w:bCs/>
          <w:i w:val="0"/>
          <w:iCs w:val="0"/>
          <w:caps w:val="0"/>
          <w:color w:val="000000"/>
          <w:spacing w:val="0"/>
          <w:sz w:val="21"/>
          <w:szCs w:val="21"/>
          <w:highlight w:val="none"/>
          <w:shd w:val="clear" w:color="auto" w:fill="FFFFFF"/>
        </w:rPr>
        <w:t>项目概况与招标范围</w:t>
      </w:r>
    </w:p>
    <w:p w14:paraId="04DE80B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rPr>
      </w:pPr>
      <w:r>
        <w:rPr>
          <w:rFonts w:hint="eastAsia" w:ascii="黑体" w:hAnsi="黑体" w:eastAsia="黑体" w:cs="黑体"/>
          <w:i w:val="0"/>
          <w:iCs w:val="0"/>
          <w:caps w:val="0"/>
          <w:color w:val="000000"/>
          <w:spacing w:val="0"/>
          <w:sz w:val="21"/>
          <w:szCs w:val="21"/>
          <w:highlight w:val="none"/>
          <w:shd w:val="clear" w:color="auto" w:fill="FFFFFF"/>
        </w:rPr>
        <w:t>2.1</w:t>
      </w:r>
      <w:r>
        <w:rPr>
          <w:rFonts w:hint="eastAsia" w:ascii="黑体" w:hAnsi="黑体" w:eastAsia="黑体" w:cs="黑体"/>
          <w:i w:val="0"/>
          <w:iCs w:val="0"/>
          <w:caps w:val="0"/>
          <w:color w:val="000000"/>
          <w:spacing w:val="0"/>
          <w:sz w:val="21"/>
          <w:szCs w:val="21"/>
          <w:highlight w:val="none"/>
          <w:shd w:val="clear" w:color="auto" w:fill="FFFFFF"/>
          <w:lang w:val="en-US" w:eastAsia="zh-CN"/>
        </w:rPr>
        <w:t>招</w:t>
      </w:r>
      <w:r>
        <w:rPr>
          <w:rFonts w:hint="eastAsia" w:ascii="黑体" w:hAnsi="黑体" w:eastAsia="黑体" w:cs="黑体"/>
          <w:i w:val="0"/>
          <w:iCs w:val="0"/>
          <w:caps w:val="0"/>
          <w:color w:val="000000"/>
          <w:spacing w:val="0"/>
          <w:sz w:val="21"/>
          <w:szCs w:val="21"/>
          <w:highlight w:val="none"/>
          <w:shd w:val="clear" w:color="auto" w:fill="FFFFFF"/>
          <w:lang w:val="en-US" w:eastAsia="zh-CN"/>
        </w:rPr>
        <w:t>标</w:t>
      </w:r>
      <w:r>
        <w:rPr>
          <w:rFonts w:hint="eastAsia" w:ascii="黑体" w:hAnsi="黑体" w:eastAsia="黑体" w:cs="黑体"/>
          <w:i w:val="0"/>
          <w:iCs w:val="0"/>
          <w:caps w:val="0"/>
          <w:color w:val="000000"/>
          <w:spacing w:val="0"/>
          <w:sz w:val="21"/>
          <w:szCs w:val="21"/>
          <w:highlight w:val="none"/>
          <w:shd w:val="clear" w:color="auto" w:fill="FFFFFF"/>
        </w:rPr>
        <w:t>项目名称：</w:t>
      </w:r>
      <w:r>
        <w:rPr>
          <w:rFonts w:hint="eastAsia" w:ascii="黑体" w:hAnsi="黑体" w:eastAsia="黑体" w:cs="黑体"/>
          <w:i w:val="0"/>
          <w:iCs w:val="0"/>
          <w:caps w:val="0"/>
          <w:color w:val="000000"/>
          <w:spacing w:val="0"/>
          <w:sz w:val="21"/>
          <w:szCs w:val="21"/>
          <w:highlight w:val="none"/>
          <w:shd w:val="clear" w:color="auto" w:fill="FFFFFF"/>
          <w:lang w:eastAsia="zh-CN"/>
        </w:rPr>
        <w:t>2026年新巴尔虎左旗生命安全防护工程</w:t>
      </w:r>
    </w:p>
    <w:p w14:paraId="6C616B8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rPr>
      </w:pPr>
      <w:r>
        <w:rPr>
          <w:rFonts w:hint="eastAsia" w:ascii="黑体" w:hAnsi="黑体" w:eastAsia="黑体" w:cs="黑体"/>
          <w:i w:val="0"/>
          <w:iCs w:val="0"/>
          <w:caps w:val="0"/>
          <w:color w:val="000000"/>
          <w:spacing w:val="0"/>
          <w:sz w:val="21"/>
          <w:szCs w:val="21"/>
          <w:highlight w:val="none"/>
          <w:shd w:val="clear" w:color="auto" w:fill="FFFFFF"/>
        </w:rPr>
        <w:t>2.2建设地点：</w:t>
      </w:r>
      <w:r>
        <w:rPr>
          <w:rFonts w:hint="eastAsia" w:ascii="黑体" w:hAnsi="黑体" w:eastAsia="黑体" w:cs="黑体"/>
          <w:i w:val="0"/>
          <w:iCs w:val="0"/>
          <w:caps w:val="0"/>
          <w:color w:val="000000"/>
          <w:spacing w:val="0"/>
          <w:sz w:val="21"/>
          <w:szCs w:val="21"/>
          <w:highlight w:val="none"/>
          <w:shd w:val="clear" w:color="auto" w:fill="FFFFFF"/>
          <w:lang w:val="en-US" w:eastAsia="zh-CN"/>
        </w:rPr>
        <w:t>呼伦贝尔市新巴尔虎左旗境内</w:t>
      </w:r>
    </w:p>
    <w:p w14:paraId="3998589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shd w:val="clear" w:color="auto" w:fill="FFFFFF"/>
        </w:rPr>
      </w:pPr>
      <w:r>
        <w:rPr>
          <w:rFonts w:hint="eastAsia" w:ascii="黑体" w:hAnsi="黑体" w:eastAsia="黑体" w:cs="黑体"/>
          <w:i w:val="0"/>
          <w:iCs w:val="0"/>
          <w:caps w:val="0"/>
          <w:color w:val="000000"/>
          <w:spacing w:val="0"/>
          <w:sz w:val="21"/>
          <w:szCs w:val="21"/>
          <w:highlight w:val="none"/>
          <w:shd w:val="clear" w:color="auto" w:fill="FFFFFF"/>
        </w:rPr>
        <w:t>2</w:t>
      </w:r>
      <w:r>
        <w:rPr>
          <w:rFonts w:hint="eastAsia" w:ascii="黑体" w:hAnsi="黑体" w:eastAsia="黑体" w:cs="黑体"/>
          <w:i w:val="0"/>
          <w:iCs w:val="0"/>
          <w:caps w:val="0"/>
          <w:color w:val="000000"/>
          <w:spacing w:val="0"/>
          <w:sz w:val="21"/>
          <w:szCs w:val="21"/>
          <w:highlight w:val="none"/>
          <w:shd w:val="clear" w:color="auto" w:fill="FFFFFF"/>
        </w:rPr>
        <w:t>.3</w:t>
      </w:r>
      <w:r>
        <w:rPr>
          <w:rFonts w:hint="eastAsia" w:ascii="黑体" w:hAnsi="黑体" w:eastAsia="黑体" w:cs="黑体"/>
          <w:i w:val="0"/>
          <w:iCs w:val="0"/>
          <w:caps w:val="0"/>
          <w:color w:val="000000"/>
          <w:spacing w:val="0"/>
          <w:sz w:val="21"/>
          <w:szCs w:val="21"/>
          <w:highlight w:val="none"/>
          <w:shd w:val="clear" w:color="auto" w:fill="FFFFFF"/>
          <w:lang w:val="en-US" w:eastAsia="zh-CN"/>
        </w:rPr>
        <w:t>招标</w:t>
      </w:r>
      <w:r>
        <w:rPr>
          <w:rFonts w:hint="eastAsia" w:ascii="黑体" w:hAnsi="黑体" w:eastAsia="黑体" w:cs="黑体"/>
          <w:i w:val="0"/>
          <w:iCs w:val="0"/>
          <w:caps w:val="0"/>
          <w:color w:val="000000"/>
          <w:spacing w:val="0"/>
          <w:sz w:val="21"/>
          <w:szCs w:val="21"/>
          <w:highlight w:val="none"/>
          <w:shd w:val="clear" w:color="auto" w:fill="FFFFFF"/>
        </w:rPr>
        <w:t>规模：</w:t>
      </w:r>
    </w:p>
    <w:p w14:paraId="5C7F1C8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b/>
          <w:bCs/>
          <w:i w:val="0"/>
          <w:iCs w:val="0"/>
          <w:caps w:val="0"/>
          <w:color w:val="000000"/>
          <w:spacing w:val="0"/>
          <w:sz w:val="21"/>
          <w:szCs w:val="21"/>
          <w:highlight w:val="none"/>
          <w:shd w:val="clear" w:color="auto" w:fill="FFFFFF"/>
          <w:lang w:val="en-US" w:eastAsia="zh-CN"/>
        </w:rPr>
        <w:t>施工第一标段：</w:t>
      </w:r>
      <w:r>
        <w:rPr>
          <w:rFonts w:hint="eastAsia" w:ascii="黑体" w:hAnsi="黑体" w:eastAsia="黑体" w:cs="黑体"/>
          <w:i w:val="0"/>
          <w:iCs w:val="0"/>
          <w:caps w:val="0"/>
          <w:color w:val="000000"/>
          <w:spacing w:val="0"/>
          <w:sz w:val="21"/>
          <w:szCs w:val="21"/>
          <w:highlight w:val="none"/>
          <w:shd w:val="clear" w:color="auto" w:fill="FFFFFF"/>
          <w:lang w:val="en-US" w:eastAsia="zh-CN"/>
        </w:rPr>
        <w:t>1.X348（K32+003-K39+581）段生命防护工程主要针对该路线原有交通标志、防雪网等交安设施不全。通过增设、完善公路相关的交安设施防止和减轻交通事故危害，从而保证交通顺畅及行车的安全，共处理隐患7.578km。本项目共设置交通标志3个、防雪网7300米。2.C024线（K0+000-K1+000）段生命防护工程主要针对该路有交通标志、防雪网等交安设施不全的情况。通过增设、完路相关的交安设施防止和减轻交通事故危害，从而保证交通顺畅及行车的安全，共处理隐患1.0km。本项目共设置交通标志1个、防雪网972米。3.Y007线（K0+000-K5+629）段生命防护工程主要针对该路线原有交通标志、防雪网等交安设施不全的问题。通过增设、完善公路相关的交安设施，防止和减轻交通事故危害，从而保证交通顺畅及行车安全，共处理隐患5.629km。本项目共设置交通标志3个、防雪网5448米。</w:t>
      </w:r>
    </w:p>
    <w:p w14:paraId="06E1C62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b/>
          <w:bCs/>
          <w:i w:val="0"/>
          <w:iCs w:val="0"/>
          <w:caps w:val="0"/>
          <w:color w:val="000000"/>
          <w:spacing w:val="0"/>
          <w:sz w:val="21"/>
          <w:szCs w:val="21"/>
          <w:highlight w:val="none"/>
          <w:shd w:val="clear" w:color="auto" w:fill="FFFFFF"/>
          <w:lang w:val="en-US" w:eastAsia="zh-CN"/>
        </w:rPr>
        <w:t>施工第二标段：</w:t>
      </w:r>
      <w:r>
        <w:rPr>
          <w:rFonts w:hint="eastAsia" w:ascii="黑体" w:hAnsi="黑体" w:eastAsia="黑体" w:cs="黑体"/>
          <w:i w:val="0"/>
          <w:iCs w:val="0"/>
          <w:caps w:val="0"/>
          <w:color w:val="000000"/>
          <w:spacing w:val="0"/>
          <w:sz w:val="21"/>
          <w:szCs w:val="21"/>
          <w:highlight w:val="none"/>
          <w:shd w:val="clear" w:color="auto" w:fill="FFFFFF"/>
          <w:lang w:val="en-US" w:eastAsia="zh-CN"/>
        </w:rPr>
        <w:t>1.C017线（K5+603-K18+271）段生命防护工程主要针对该路线原有交通标志、防雪网等交安设施不全的情况。通过增设、完善公路相关的交安设施防止和减轻交通事故危害，从而保证交通顺畅及行车的安全，共处理隐患12.668km。本项目共设置错车道42个、防雪网10559米。2.C029线（K0+000-K5+000）段生命防护工程主要针对该路线原有交通标志、防雪网等交安设施不全的情况。通过增设、完善公路相关的交安设施防止和减轻交通事故危害，从而保证交通顺畅及行车的安全，共处理隐患5.0km。本项目共设置交通标志3个、防雪网4800米。</w:t>
      </w:r>
    </w:p>
    <w:p w14:paraId="1F3B4FE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b/>
          <w:bCs/>
          <w:i w:val="0"/>
          <w:iCs w:val="0"/>
          <w:caps w:val="0"/>
          <w:color w:val="000000"/>
          <w:spacing w:val="0"/>
          <w:sz w:val="21"/>
          <w:szCs w:val="21"/>
          <w:highlight w:val="none"/>
          <w:shd w:val="clear" w:color="auto" w:fill="FFFFFF"/>
          <w:lang w:val="en-US" w:eastAsia="zh-CN"/>
        </w:rPr>
        <w:t>施工第三标段：</w:t>
      </w:r>
      <w:r>
        <w:rPr>
          <w:rFonts w:hint="eastAsia" w:ascii="黑体" w:hAnsi="黑体" w:eastAsia="黑体" w:cs="黑体"/>
          <w:i w:val="0"/>
          <w:iCs w:val="0"/>
          <w:caps w:val="0"/>
          <w:color w:val="000000"/>
          <w:spacing w:val="0"/>
          <w:sz w:val="21"/>
          <w:szCs w:val="21"/>
          <w:highlight w:val="none"/>
          <w:shd w:val="clear" w:color="auto" w:fill="FFFFFF"/>
          <w:lang w:val="en-US" w:eastAsia="zh-CN"/>
        </w:rPr>
        <w:t>本项目路线起点位于X347线K242+531处，终点位于X347线K253+531处，路线全长11.0km，位于新巴尔虎左旗境内。旧路原有路基宽6.5m，路面宽4.5m。新建钢筋混凝土路面463.049米，新增标志标线90.7m²。</w:t>
      </w:r>
    </w:p>
    <w:p w14:paraId="024CC02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b/>
          <w:bCs/>
          <w:i w:val="0"/>
          <w:iCs w:val="0"/>
          <w:caps w:val="0"/>
          <w:color w:val="000000"/>
          <w:spacing w:val="0"/>
          <w:sz w:val="21"/>
          <w:szCs w:val="21"/>
          <w:highlight w:val="none"/>
          <w:shd w:val="clear" w:color="auto" w:fill="FFFFFF"/>
          <w:lang w:val="en-US" w:eastAsia="zh-CN"/>
        </w:rPr>
        <w:t>施工第四标段：</w:t>
      </w:r>
      <w:r>
        <w:rPr>
          <w:rFonts w:hint="eastAsia" w:ascii="黑体" w:hAnsi="黑体" w:eastAsia="黑体" w:cs="黑体"/>
          <w:i w:val="0"/>
          <w:iCs w:val="0"/>
          <w:caps w:val="0"/>
          <w:color w:val="000000"/>
          <w:spacing w:val="0"/>
          <w:sz w:val="21"/>
          <w:szCs w:val="21"/>
          <w:highlight w:val="none"/>
          <w:shd w:val="clear" w:color="auto" w:fill="FFFFFF"/>
          <w:lang w:val="en-US" w:eastAsia="zh-CN"/>
        </w:rPr>
        <w:t>本项目路线起点位于Y004线K0+000处，终点位于Y004线K12+000处，路线全长12km，位于新巴尔虎左旗境内。旧路原有路基宽6.5m，路面宽4.5m。本项目共设置防雪网9000米，路肩补土方3360立方米。</w:t>
      </w:r>
    </w:p>
    <w:p w14:paraId="35FB814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b/>
          <w:bCs/>
          <w:i w:val="0"/>
          <w:iCs w:val="0"/>
          <w:caps w:val="0"/>
          <w:color w:val="000000"/>
          <w:spacing w:val="0"/>
          <w:sz w:val="21"/>
          <w:szCs w:val="21"/>
          <w:highlight w:val="none"/>
          <w:shd w:val="clear" w:color="auto" w:fill="FFFFFF"/>
          <w:lang w:val="en-US" w:eastAsia="zh-CN"/>
        </w:rPr>
        <w:t>施工第五标段：</w:t>
      </w:r>
      <w:r>
        <w:rPr>
          <w:rFonts w:hint="eastAsia" w:ascii="黑体" w:hAnsi="黑体" w:eastAsia="黑体" w:cs="黑体"/>
          <w:i w:val="0"/>
          <w:iCs w:val="0"/>
          <w:caps w:val="0"/>
          <w:color w:val="000000"/>
          <w:spacing w:val="0"/>
          <w:sz w:val="21"/>
          <w:szCs w:val="21"/>
          <w:highlight w:val="none"/>
          <w:shd w:val="clear" w:color="auto" w:fill="FFFFFF"/>
          <w:lang w:val="en-US" w:eastAsia="zh-CN"/>
        </w:rPr>
        <w:t>本项目路线起点位于Y004线K12+000处，终点位于Y004线K24+953处，路线全长12.953km，位于新巴尔虎左旗境内。旧路原有路基宽6.5m，路面宽4.5m。本项目共设置交通标线6053.3平方米、防雪网4100米，路肩补土方730立方米，新建4.5m宽水泥混凝土路305.717米，新建6.5m宽水泥混凝土路355.954米。</w:t>
      </w:r>
    </w:p>
    <w:p w14:paraId="0A0F763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default"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i w:val="0"/>
          <w:iCs w:val="0"/>
          <w:caps w:val="0"/>
          <w:color w:val="000000"/>
          <w:spacing w:val="0"/>
          <w:sz w:val="21"/>
          <w:szCs w:val="21"/>
          <w:highlight w:val="none"/>
          <w:shd w:val="clear" w:color="auto" w:fill="FFFFFF"/>
        </w:rPr>
        <w:t>2.</w:t>
      </w:r>
      <w:r>
        <w:rPr>
          <w:rFonts w:hint="eastAsia" w:ascii="黑体" w:hAnsi="黑体" w:eastAsia="黑体" w:cs="黑体"/>
          <w:i w:val="0"/>
          <w:iCs w:val="0"/>
          <w:caps w:val="0"/>
          <w:color w:val="000000"/>
          <w:spacing w:val="0"/>
          <w:sz w:val="21"/>
          <w:szCs w:val="21"/>
          <w:highlight w:val="none"/>
          <w:shd w:val="clear" w:color="auto" w:fill="FFFFFF"/>
        </w:rPr>
        <w:t>4</w:t>
      </w:r>
      <w:r>
        <w:rPr>
          <w:rFonts w:hint="eastAsia" w:ascii="黑体" w:hAnsi="黑体" w:eastAsia="黑体" w:cs="黑体"/>
          <w:i w:val="0"/>
          <w:iCs w:val="0"/>
          <w:caps w:val="0"/>
          <w:color w:val="000000"/>
          <w:spacing w:val="0"/>
          <w:sz w:val="21"/>
          <w:szCs w:val="21"/>
          <w:highlight w:val="none"/>
          <w:shd w:val="clear" w:color="auto" w:fill="FFFFFF"/>
          <w:lang w:val="en-US" w:eastAsia="zh-CN"/>
        </w:rPr>
        <w:t>项目计划投资</w:t>
      </w:r>
      <w:r>
        <w:rPr>
          <w:rFonts w:hint="eastAsia" w:ascii="黑体" w:hAnsi="黑体" w:eastAsia="黑体" w:cs="黑体"/>
          <w:i w:val="0"/>
          <w:iCs w:val="0"/>
          <w:caps w:val="0"/>
          <w:color w:val="000000"/>
          <w:spacing w:val="0"/>
          <w:sz w:val="21"/>
          <w:szCs w:val="21"/>
          <w:highlight w:val="none"/>
          <w:shd w:val="clear" w:color="auto" w:fill="FFFFFF"/>
        </w:rPr>
        <w:t>：</w:t>
      </w:r>
      <w:r>
        <w:rPr>
          <w:rFonts w:hint="eastAsia" w:ascii="黑体" w:hAnsi="黑体" w:eastAsia="黑体" w:cs="黑体"/>
          <w:i w:val="0"/>
          <w:iCs w:val="0"/>
          <w:caps w:val="0"/>
          <w:color w:val="000000"/>
          <w:spacing w:val="0"/>
          <w:sz w:val="21"/>
          <w:szCs w:val="21"/>
          <w:highlight w:val="none"/>
          <w:u w:val="thick"/>
          <w:shd w:val="clear" w:color="auto" w:fill="FFFFFF"/>
          <w:lang w:val="en-US" w:eastAsia="zh-CN"/>
        </w:rPr>
        <w:t>1320.4042</w:t>
      </w:r>
      <w:r>
        <w:rPr>
          <w:rFonts w:hint="eastAsia" w:ascii="黑体" w:hAnsi="黑体" w:eastAsia="黑体" w:cs="黑体"/>
          <w:i w:val="0"/>
          <w:iCs w:val="0"/>
          <w:caps w:val="0"/>
          <w:color w:val="000000"/>
          <w:spacing w:val="0"/>
          <w:sz w:val="21"/>
          <w:szCs w:val="21"/>
          <w:highlight w:val="none"/>
          <w:shd w:val="clear" w:color="auto" w:fill="FFFFFF"/>
          <w:lang w:val="en-US" w:eastAsia="zh-CN"/>
        </w:rPr>
        <w:t>万元</w:t>
      </w:r>
    </w:p>
    <w:p w14:paraId="241D7AF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i w:val="0"/>
          <w:iCs w:val="0"/>
          <w:caps w:val="0"/>
          <w:color w:val="000000"/>
          <w:spacing w:val="0"/>
          <w:sz w:val="21"/>
          <w:szCs w:val="21"/>
          <w:highlight w:val="none"/>
          <w:shd w:val="clear" w:color="auto" w:fill="FFFFFF"/>
          <w:lang w:val="en-US" w:eastAsia="zh-CN"/>
        </w:rPr>
        <w:t xml:space="preserve">2.5标段划分： </w:t>
      </w:r>
    </w:p>
    <w:p w14:paraId="44927CE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lang w:val="en-US" w:eastAsia="zh-CN"/>
        </w:rPr>
        <w:t>施工第一标段：</w:t>
      </w:r>
      <w:r>
        <w:rPr>
          <w:rFonts w:hint="eastAsia" w:ascii="黑体" w:hAnsi="黑体" w:eastAsia="黑体" w:cs="黑体"/>
          <w:i w:val="0"/>
          <w:iCs w:val="0"/>
          <w:caps w:val="0"/>
          <w:color w:val="000000"/>
          <w:spacing w:val="0"/>
          <w:sz w:val="21"/>
          <w:szCs w:val="21"/>
          <w:highlight w:val="none"/>
          <w:shd w:val="clear" w:color="auto" w:fill="FFFFFF"/>
          <w:lang w:val="en-US" w:eastAsia="zh-CN"/>
        </w:rPr>
        <w:t xml:space="preserve"> </w:t>
      </w:r>
    </w:p>
    <w:tbl>
      <w:tblPr>
        <w:tblStyle w:val="23"/>
        <w:tblW w:w="9214" w:type="dxa"/>
        <w:tblInd w:w="-233"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199"/>
        <w:gridCol w:w="2745"/>
        <w:gridCol w:w="1545"/>
        <w:gridCol w:w="3725"/>
      </w:tblGrid>
      <w:tr w14:paraId="2914F26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199" w:type="dxa"/>
            <w:noWrap w:val="0"/>
            <w:vAlign w:val="center"/>
          </w:tcPr>
          <w:p w14:paraId="1448FEBF">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标段编号</w:t>
            </w:r>
          </w:p>
        </w:tc>
        <w:tc>
          <w:tcPr>
            <w:tcW w:w="2745" w:type="dxa"/>
            <w:noWrap w:val="0"/>
            <w:vAlign w:val="center"/>
          </w:tcPr>
          <w:p w14:paraId="0D1877B4">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val="0"/>
                <w:color w:val="auto"/>
                <w:sz w:val="24"/>
                <w:szCs w:val="24"/>
                <w:highlight w:val="none"/>
                <w:lang w:val="en-US" w:eastAsia="zh-CN"/>
              </w:rPr>
              <w:t>E1507002026051101001001</w:t>
            </w:r>
          </w:p>
        </w:tc>
        <w:tc>
          <w:tcPr>
            <w:tcW w:w="1545" w:type="dxa"/>
            <w:noWrap w:val="0"/>
            <w:vAlign w:val="center"/>
          </w:tcPr>
          <w:p w14:paraId="51AC8442">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标段名称</w:t>
            </w:r>
          </w:p>
        </w:tc>
        <w:tc>
          <w:tcPr>
            <w:tcW w:w="3725" w:type="dxa"/>
            <w:noWrap w:val="0"/>
            <w:vAlign w:val="center"/>
          </w:tcPr>
          <w:p w14:paraId="1B30B644">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i w:val="0"/>
                <w:iCs w:val="0"/>
                <w:caps w:val="0"/>
                <w:color w:val="000000"/>
                <w:spacing w:val="0"/>
                <w:sz w:val="21"/>
                <w:szCs w:val="21"/>
                <w:highlight w:val="none"/>
                <w:shd w:val="clear" w:color="auto" w:fill="FFFFFF"/>
                <w:lang w:eastAsia="zh-CN"/>
              </w:rPr>
              <w:t>2026年新巴尔虎左旗生命安全防护工程</w:t>
            </w:r>
            <w:r>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t>施工第一标段</w:t>
            </w:r>
          </w:p>
        </w:tc>
      </w:tr>
      <w:tr w14:paraId="51B518D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199" w:type="dxa"/>
            <w:noWrap w:val="0"/>
            <w:vAlign w:val="center"/>
          </w:tcPr>
          <w:p w14:paraId="7C77DE30">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招标范围</w:t>
            </w:r>
          </w:p>
        </w:tc>
        <w:tc>
          <w:tcPr>
            <w:tcW w:w="8015" w:type="dxa"/>
            <w:gridSpan w:val="3"/>
            <w:noWrap w:val="0"/>
            <w:vAlign w:val="center"/>
          </w:tcPr>
          <w:p w14:paraId="2D8A060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i w:val="0"/>
                <w:iCs w:val="0"/>
                <w:caps w:val="0"/>
                <w:color w:val="000000"/>
                <w:spacing w:val="0"/>
                <w:sz w:val="21"/>
                <w:szCs w:val="21"/>
                <w:highlight w:val="none"/>
                <w:shd w:val="clear" w:color="auto" w:fill="FFFFFF"/>
                <w:lang w:val="en-US" w:eastAsia="zh-CN"/>
              </w:rPr>
              <w:t>①1.X348（K32+003-K39+581）段生命防护工程主要针对该路线原有交通标志、防雪网等交安设施不全。通过增设、完善公路相关的交安设施防止和减轻交通事故危害，从而保证交通顺畅及行车的安全，共处理隐患7.578km。本项目共设置交通标志3个、防雪网7300米。2.C024线（K0+000-K1+000）段生命防护工程主要针对该路有交通标志、防雪网等交安设施不全的情况。通过增设、完路相关的交安设施防止和减轻交通事故危害，从而保证交通顺畅及行车的安全，共处理隐患1.0km。本项目共设置交通标志1个、防雪网972米。3.Y007线（K0+000-K5+629）段生命防护工程主要针对该路线原有交通标志、防雪网等交安设施不全的问题。通过增设、完善公路相关的交安设施，防止和减轻交通事故危害，从而保证交通顺畅及行车安全，共处理隐患5.629km。本项目共设置交通标志3个、防雪网5448米。</w:t>
            </w:r>
          </w:p>
          <w:p w14:paraId="7F30FBC0">
            <w:pPr>
              <w:pStyle w:val="21"/>
              <w:ind w:left="0" w:leftChars="0" w:firstLine="0" w:firstLineChars="0"/>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lang w:val="en-US" w:eastAsia="zh-CN"/>
              </w:rPr>
              <w:t>具体内容详见工程量固化清单及施工图纸全部内容。</w:t>
            </w:r>
          </w:p>
        </w:tc>
      </w:tr>
      <w:tr w14:paraId="0913395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9" w:type="dxa"/>
            <w:noWrap w:val="0"/>
            <w:vAlign w:val="center"/>
          </w:tcPr>
          <w:p w14:paraId="02FD817C">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i w:val="0"/>
                <w:iCs w:val="0"/>
                <w:caps w:val="0"/>
                <w:color w:val="000000"/>
                <w:spacing w:val="0"/>
                <w:sz w:val="21"/>
                <w:szCs w:val="21"/>
                <w:highlight w:val="none"/>
                <w:shd w:val="clear" w:color="auto" w:fill="FFFFFF"/>
                <w:vertAlign w:val="baseline"/>
              </w:rPr>
            </w:pPr>
            <w:r>
              <w:rPr>
                <w:rFonts w:hint="eastAsia" w:ascii="黑体" w:hAnsi="黑体" w:eastAsia="黑体" w:cs="黑体"/>
                <w:b/>
                <w:bCs/>
                <w:i w:val="0"/>
                <w:iCs w:val="0"/>
                <w:caps w:val="0"/>
                <w:color w:val="000000"/>
                <w:spacing w:val="0"/>
                <w:sz w:val="21"/>
                <w:szCs w:val="21"/>
                <w:highlight w:val="none"/>
                <w:shd w:val="clear" w:color="auto" w:fill="FFFFFF"/>
                <w:vertAlign w:val="baseline"/>
              </w:rPr>
              <w:t>合同估算价（万元）</w:t>
            </w:r>
          </w:p>
        </w:tc>
        <w:tc>
          <w:tcPr>
            <w:tcW w:w="2745" w:type="dxa"/>
            <w:noWrap w:val="0"/>
            <w:vAlign w:val="center"/>
          </w:tcPr>
          <w:p w14:paraId="6C078C96">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t>238.9745</w:t>
            </w:r>
          </w:p>
        </w:tc>
        <w:tc>
          <w:tcPr>
            <w:tcW w:w="1545" w:type="dxa"/>
            <w:noWrap w:val="0"/>
            <w:vAlign w:val="center"/>
          </w:tcPr>
          <w:p w14:paraId="40B7F96D">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工期（日历天）</w:t>
            </w:r>
          </w:p>
        </w:tc>
        <w:tc>
          <w:tcPr>
            <w:tcW w:w="3725" w:type="dxa"/>
            <w:noWrap w:val="0"/>
            <w:vAlign w:val="center"/>
          </w:tcPr>
          <w:p w14:paraId="106FDB8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default" w:ascii="黑体" w:hAnsi="黑体" w:eastAsia="黑体" w:cs="黑体"/>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t>138</w:t>
            </w:r>
          </w:p>
        </w:tc>
      </w:tr>
    </w:tbl>
    <w:p w14:paraId="63AA5E1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right="0" w:firstLine="422" w:firstLineChars="200"/>
        <w:jc w:val="both"/>
        <w:textAlignment w:val="auto"/>
        <w:rPr>
          <w:rFonts w:hint="eastAsia" w:ascii="黑体" w:hAnsi="黑体" w:eastAsia="黑体" w:cs="黑体"/>
          <w:b/>
          <w:bCs/>
          <w:i w:val="0"/>
          <w:iCs w:val="0"/>
          <w:caps w:val="0"/>
          <w:color w:val="000000"/>
          <w:spacing w:val="0"/>
          <w:sz w:val="21"/>
          <w:szCs w:val="21"/>
          <w:highlight w:val="none"/>
          <w:shd w:val="clear" w:color="auto" w:fill="FFFFFF"/>
          <w:lang w:val="en-US" w:eastAsia="zh-CN"/>
        </w:rPr>
      </w:pPr>
    </w:p>
    <w:p w14:paraId="0DEF8D7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right="0" w:firstLine="422" w:firstLineChars="20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b/>
          <w:bCs/>
          <w:i w:val="0"/>
          <w:iCs w:val="0"/>
          <w:caps w:val="0"/>
          <w:color w:val="000000"/>
          <w:spacing w:val="0"/>
          <w:sz w:val="21"/>
          <w:szCs w:val="21"/>
          <w:highlight w:val="none"/>
          <w:shd w:val="clear" w:color="auto" w:fill="FFFFFF"/>
          <w:lang w:val="en-US" w:eastAsia="zh-CN"/>
        </w:rPr>
        <w:t>施工第二标段：</w:t>
      </w:r>
      <w:r>
        <w:rPr>
          <w:rFonts w:hint="eastAsia" w:ascii="黑体" w:hAnsi="黑体" w:eastAsia="黑体" w:cs="黑体"/>
          <w:i w:val="0"/>
          <w:iCs w:val="0"/>
          <w:caps w:val="0"/>
          <w:color w:val="000000"/>
          <w:spacing w:val="0"/>
          <w:sz w:val="21"/>
          <w:szCs w:val="21"/>
          <w:highlight w:val="none"/>
          <w:shd w:val="clear" w:color="auto" w:fill="FFFFFF"/>
          <w:lang w:val="en-US" w:eastAsia="zh-CN"/>
        </w:rPr>
        <w:t xml:space="preserve"> </w:t>
      </w:r>
    </w:p>
    <w:tbl>
      <w:tblPr>
        <w:tblStyle w:val="23"/>
        <w:tblW w:w="9214" w:type="dxa"/>
        <w:tblInd w:w="-233"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288"/>
        <w:gridCol w:w="2656"/>
        <w:gridCol w:w="1545"/>
        <w:gridCol w:w="3725"/>
      </w:tblGrid>
      <w:tr w14:paraId="7F77C6B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1288" w:type="dxa"/>
            <w:noWrap w:val="0"/>
            <w:vAlign w:val="center"/>
          </w:tcPr>
          <w:p w14:paraId="191B7584">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标段编号</w:t>
            </w:r>
          </w:p>
        </w:tc>
        <w:tc>
          <w:tcPr>
            <w:tcW w:w="2656" w:type="dxa"/>
            <w:noWrap w:val="0"/>
            <w:vAlign w:val="center"/>
          </w:tcPr>
          <w:p w14:paraId="1EB8CE33">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default"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val="0"/>
                <w:color w:val="auto"/>
                <w:sz w:val="24"/>
                <w:szCs w:val="24"/>
                <w:highlight w:val="none"/>
                <w:lang w:val="en-US" w:eastAsia="zh-CN"/>
              </w:rPr>
              <w:t>E1507002026051101001002</w:t>
            </w:r>
          </w:p>
        </w:tc>
        <w:tc>
          <w:tcPr>
            <w:tcW w:w="1545" w:type="dxa"/>
            <w:noWrap w:val="0"/>
            <w:vAlign w:val="center"/>
          </w:tcPr>
          <w:p w14:paraId="502214C9">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标段名称</w:t>
            </w:r>
          </w:p>
        </w:tc>
        <w:tc>
          <w:tcPr>
            <w:tcW w:w="3725" w:type="dxa"/>
            <w:noWrap w:val="0"/>
            <w:vAlign w:val="center"/>
          </w:tcPr>
          <w:p w14:paraId="3608881D">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i w:val="0"/>
                <w:iCs w:val="0"/>
                <w:caps w:val="0"/>
                <w:color w:val="000000"/>
                <w:spacing w:val="0"/>
                <w:sz w:val="21"/>
                <w:szCs w:val="21"/>
                <w:highlight w:val="none"/>
                <w:shd w:val="clear" w:color="auto" w:fill="FFFFFF"/>
                <w:lang w:eastAsia="zh-CN"/>
              </w:rPr>
              <w:t>2026年新巴尔虎左旗生命安全防护工程</w:t>
            </w:r>
            <w:r>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t>施工第二标段</w:t>
            </w:r>
          </w:p>
        </w:tc>
      </w:tr>
      <w:tr w14:paraId="6124851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1288" w:type="dxa"/>
            <w:noWrap w:val="0"/>
            <w:vAlign w:val="center"/>
          </w:tcPr>
          <w:p w14:paraId="6C1A3009">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招标范围</w:t>
            </w:r>
          </w:p>
        </w:tc>
        <w:tc>
          <w:tcPr>
            <w:tcW w:w="7926" w:type="dxa"/>
            <w:gridSpan w:val="3"/>
            <w:noWrap w:val="0"/>
            <w:vAlign w:val="center"/>
          </w:tcPr>
          <w:p w14:paraId="4CA2F0E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right="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i w:val="0"/>
                <w:iCs w:val="0"/>
                <w:caps w:val="0"/>
                <w:color w:val="000000"/>
                <w:spacing w:val="0"/>
                <w:sz w:val="21"/>
                <w:szCs w:val="21"/>
                <w:highlight w:val="none"/>
                <w:shd w:val="clear" w:color="auto" w:fill="FFFFFF"/>
                <w:lang w:val="en-US" w:eastAsia="zh-CN"/>
              </w:rPr>
              <w:t>②1.C017线（K5+603-K18+271）段生命防护工程主要针对该路线原有交通标志、防雪网等交安设施不全的情况。通过增设、完善公路相关的交安设施防止和减轻交通事故危害，从而保证交通顺畅及行车的安全，共处理隐患12.668km。本项目共设置错车道42个、防雪网10559米。2.C029线（K0+000-K5+000）段生命防护工程主要针对该路线原有交通标志、防雪网等交安设施不全的情况。通过增设、完善公路相关的交安设施防止和减轻交通事故危害，从而保证交通顺畅及行车的安全，共处理隐患5.0km。本项目共设置交通标志3个、防雪网4800米。</w:t>
            </w:r>
          </w:p>
          <w:p w14:paraId="7B37C9A9">
            <w:pPr>
              <w:pStyle w:val="21"/>
              <w:ind w:left="0" w:leftChars="0" w:firstLine="0" w:firstLineChars="0"/>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lang w:val="en-US" w:eastAsia="zh-CN"/>
              </w:rPr>
              <w:t>具体内容详见工程量固化清单及施工图纸全部内容。</w:t>
            </w:r>
          </w:p>
        </w:tc>
      </w:tr>
      <w:tr w14:paraId="7F47F88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288" w:type="dxa"/>
            <w:noWrap w:val="0"/>
            <w:vAlign w:val="center"/>
          </w:tcPr>
          <w:p w14:paraId="787E7D20">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i w:val="0"/>
                <w:iCs w:val="0"/>
                <w:caps w:val="0"/>
                <w:color w:val="000000"/>
                <w:spacing w:val="0"/>
                <w:sz w:val="21"/>
                <w:szCs w:val="21"/>
                <w:highlight w:val="none"/>
                <w:shd w:val="clear" w:color="auto" w:fill="FFFFFF"/>
                <w:vertAlign w:val="baseline"/>
              </w:rPr>
            </w:pPr>
            <w:r>
              <w:rPr>
                <w:rFonts w:hint="eastAsia" w:ascii="黑体" w:hAnsi="黑体" w:eastAsia="黑体" w:cs="黑体"/>
                <w:b/>
                <w:bCs/>
                <w:i w:val="0"/>
                <w:iCs w:val="0"/>
                <w:caps w:val="0"/>
                <w:color w:val="000000"/>
                <w:spacing w:val="0"/>
                <w:sz w:val="21"/>
                <w:szCs w:val="21"/>
                <w:highlight w:val="none"/>
                <w:shd w:val="clear" w:color="auto" w:fill="FFFFFF"/>
                <w:vertAlign w:val="baseline"/>
              </w:rPr>
              <w:t>合同估算价（万元）</w:t>
            </w:r>
          </w:p>
        </w:tc>
        <w:tc>
          <w:tcPr>
            <w:tcW w:w="2656" w:type="dxa"/>
            <w:noWrap w:val="0"/>
            <w:vAlign w:val="center"/>
          </w:tcPr>
          <w:p w14:paraId="615BF1D1">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t>298.574</w:t>
            </w:r>
          </w:p>
        </w:tc>
        <w:tc>
          <w:tcPr>
            <w:tcW w:w="1545" w:type="dxa"/>
            <w:noWrap w:val="0"/>
            <w:vAlign w:val="center"/>
          </w:tcPr>
          <w:p w14:paraId="47013A93">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jc w:val="center"/>
              <w:textAlignment w:val="auto"/>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工期（日历天）</w:t>
            </w:r>
          </w:p>
        </w:tc>
        <w:tc>
          <w:tcPr>
            <w:tcW w:w="3725" w:type="dxa"/>
            <w:noWrap w:val="0"/>
            <w:vAlign w:val="center"/>
          </w:tcPr>
          <w:p w14:paraId="0597CC2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240" w:lineRule="auto"/>
              <w:ind w:left="0" w:leftChars="0" w:right="0" w:rightChars="0"/>
              <w:jc w:val="center"/>
              <w:textAlignment w:val="auto"/>
              <w:rPr>
                <w:rFonts w:hint="default" w:ascii="黑体" w:hAnsi="黑体" w:eastAsia="黑体" w:cs="黑体"/>
                <w:i w:val="0"/>
                <w:iCs w:val="0"/>
                <w:caps w:val="0"/>
                <w:color w:val="000000"/>
                <w:spacing w:val="0"/>
                <w:sz w:val="21"/>
                <w:szCs w:val="21"/>
                <w:highlight w:val="none"/>
                <w:shd w:val="clear" w:color="auto" w:fill="FFFFFF"/>
                <w:vertAlign w:val="baseline"/>
                <w:lang w:val="en-US"/>
              </w:rPr>
            </w:pPr>
            <w:r>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t>138</w:t>
            </w:r>
          </w:p>
        </w:tc>
      </w:tr>
    </w:tbl>
    <w:p w14:paraId="2C4135B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right="0" w:firstLine="210" w:firstLineChars="10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p>
    <w:p w14:paraId="54D385D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lang w:val="en-US" w:eastAsia="zh-CN"/>
        </w:rPr>
        <w:t>施工第三标段：</w:t>
      </w:r>
      <w:r>
        <w:rPr>
          <w:rFonts w:hint="eastAsia" w:ascii="黑体" w:hAnsi="黑体" w:eastAsia="黑体" w:cs="黑体"/>
          <w:i w:val="0"/>
          <w:iCs w:val="0"/>
          <w:caps w:val="0"/>
          <w:color w:val="000000"/>
          <w:spacing w:val="0"/>
          <w:sz w:val="21"/>
          <w:szCs w:val="21"/>
          <w:highlight w:val="none"/>
          <w:shd w:val="clear" w:color="auto" w:fill="FFFFFF"/>
          <w:lang w:val="en-US" w:eastAsia="zh-CN"/>
        </w:rPr>
        <w:t xml:space="preserve"> </w:t>
      </w:r>
    </w:p>
    <w:tbl>
      <w:tblPr>
        <w:tblStyle w:val="23"/>
        <w:tblW w:w="9214" w:type="dxa"/>
        <w:tblInd w:w="-233"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288"/>
        <w:gridCol w:w="2671"/>
        <w:gridCol w:w="1545"/>
        <w:gridCol w:w="3710"/>
      </w:tblGrid>
      <w:tr w14:paraId="0F477C4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1288" w:type="dxa"/>
            <w:noWrap w:val="0"/>
            <w:vAlign w:val="center"/>
          </w:tcPr>
          <w:p w14:paraId="0E381977">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标段编号</w:t>
            </w:r>
          </w:p>
        </w:tc>
        <w:tc>
          <w:tcPr>
            <w:tcW w:w="2671" w:type="dxa"/>
            <w:noWrap w:val="0"/>
            <w:vAlign w:val="center"/>
          </w:tcPr>
          <w:p w14:paraId="056E5A85">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default" w:ascii="黑体" w:hAnsi="黑体" w:eastAsia="黑体" w:cs="黑体"/>
                <w:b w:val="0"/>
                <w:bCs w:val="0"/>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val="0"/>
                <w:color w:val="auto"/>
                <w:sz w:val="24"/>
                <w:szCs w:val="24"/>
                <w:highlight w:val="none"/>
                <w:lang w:val="en-US" w:eastAsia="zh-CN"/>
              </w:rPr>
              <w:t>E1507002026051101001003</w:t>
            </w:r>
          </w:p>
        </w:tc>
        <w:tc>
          <w:tcPr>
            <w:tcW w:w="1545" w:type="dxa"/>
            <w:noWrap w:val="0"/>
            <w:vAlign w:val="center"/>
          </w:tcPr>
          <w:p w14:paraId="4B988793">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标段名称</w:t>
            </w:r>
          </w:p>
        </w:tc>
        <w:tc>
          <w:tcPr>
            <w:tcW w:w="3710" w:type="dxa"/>
            <w:noWrap w:val="0"/>
            <w:vAlign w:val="center"/>
          </w:tcPr>
          <w:p w14:paraId="7AF74637">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i w:val="0"/>
                <w:iCs w:val="0"/>
                <w:caps w:val="0"/>
                <w:color w:val="000000"/>
                <w:spacing w:val="0"/>
                <w:sz w:val="21"/>
                <w:szCs w:val="21"/>
                <w:highlight w:val="none"/>
                <w:shd w:val="clear" w:color="auto" w:fill="FFFFFF"/>
                <w:lang w:eastAsia="zh-CN"/>
              </w:rPr>
              <w:t>2026年新巴尔虎左旗生命安全防护工程</w:t>
            </w:r>
            <w:r>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t>施工第三标段</w:t>
            </w:r>
          </w:p>
        </w:tc>
      </w:tr>
      <w:tr w14:paraId="7412FD8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1288" w:type="dxa"/>
            <w:noWrap w:val="0"/>
            <w:vAlign w:val="center"/>
          </w:tcPr>
          <w:p w14:paraId="4E800F25">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招标范围</w:t>
            </w:r>
          </w:p>
        </w:tc>
        <w:tc>
          <w:tcPr>
            <w:tcW w:w="7926" w:type="dxa"/>
            <w:gridSpan w:val="3"/>
            <w:noWrap w:val="0"/>
            <w:vAlign w:val="center"/>
          </w:tcPr>
          <w:p w14:paraId="6E06AEB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right="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i w:val="0"/>
                <w:iCs w:val="0"/>
                <w:caps w:val="0"/>
                <w:color w:val="000000"/>
                <w:spacing w:val="0"/>
                <w:sz w:val="21"/>
                <w:szCs w:val="21"/>
                <w:highlight w:val="none"/>
                <w:shd w:val="clear" w:color="auto" w:fill="FFFFFF"/>
                <w:lang w:val="en-US" w:eastAsia="zh-CN"/>
              </w:rPr>
              <w:t>③本项目路线起点位于X347线K242+531处，终点位于X347线K253+531处，路线全长11.0km，位于新巴尔虎左旗境内。旧路原有路基宽6.5m，路面宽4.5m。新建钢筋混凝土路面463.049米，新增标志标线90.7m²。</w:t>
            </w:r>
          </w:p>
          <w:p w14:paraId="44DFD0CE">
            <w:pPr>
              <w:pStyle w:val="21"/>
              <w:ind w:left="0" w:leftChars="0" w:firstLine="0" w:firstLineChars="0"/>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lang w:val="en-US" w:eastAsia="zh-CN"/>
              </w:rPr>
              <w:t>具体内容详见工程量固化清单及施工图纸全部内容。</w:t>
            </w:r>
          </w:p>
        </w:tc>
      </w:tr>
      <w:tr w14:paraId="3223433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288" w:type="dxa"/>
            <w:noWrap w:val="0"/>
            <w:vAlign w:val="center"/>
          </w:tcPr>
          <w:p w14:paraId="0A54F23E">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i w:val="0"/>
                <w:iCs w:val="0"/>
                <w:caps w:val="0"/>
                <w:color w:val="000000"/>
                <w:spacing w:val="0"/>
                <w:sz w:val="21"/>
                <w:szCs w:val="21"/>
                <w:highlight w:val="none"/>
                <w:shd w:val="clear" w:color="auto" w:fill="FFFFFF"/>
                <w:vertAlign w:val="baseline"/>
              </w:rPr>
            </w:pPr>
            <w:r>
              <w:rPr>
                <w:rFonts w:hint="eastAsia" w:ascii="黑体" w:hAnsi="黑体" w:eastAsia="黑体" w:cs="黑体"/>
                <w:b/>
                <w:bCs/>
                <w:i w:val="0"/>
                <w:iCs w:val="0"/>
                <w:caps w:val="0"/>
                <w:color w:val="000000"/>
                <w:spacing w:val="0"/>
                <w:sz w:val="21"/>
                <w:szCs w:val="21"/>
                <w:highlight w:val="none"/>
                <w:shd w:val="clear" w:color="auto" w:fill="FFFFFF"/>
                <w:vertAlign w:val="baseline"/>
              </w:rPr>
              <w:t>合同估算价（万元）</w:t>
            </w:r>
          </w:p>
        </w:tc>
        <w:tc>
          <w:tcPr>
            <w:tcW w:w="2671" w:type="dxa"/>
            <w:noWrap w:val="0"/>
            <w:vAlign w:val="center"/>
          </w:tcPr>
          <w:p w14:paraId="342B1D2B">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t>174.2759</w:t>
            </w:r>
          </w:p>
        </w:tc>
        <w:tc>
          <w:tcPr>
            <w:tcW w:w="1545" w:type="dxa"/>
            <w:noWrap w:val="0"/>
            <w:vAlign w:val="center"/>
          </w:tcPr>
          <w:p w14:paraId="0401082D">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jc w:val="center"/>
              <w:textAlignment w:val="auto"/>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工期（日历天）</w:t>
            </w:r>
          </w:p>
        </w:tc>
        <w:tc>
          <w:tcPr>
            <w:tcW w:w="3710" w:type="dxa"/>
            <w:noWrap w:val="0"/>
            <w:vAlign w:val="center"/>
          </w:tcPr>
          <w:p w14:paraId="2A8B6BC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240" w:lineRule="auto"/>
              <w:ind w:left="0" w:leftChars="0" w:right="0" w:rightChars="0"/>
              <w:jc w:val="center"/>
              <w:textAlignment w:val="auto"/>
              <w:rPr>
                <w:rFonts w:hint="default" w:ascii="黑体" w:hAnsi="黑体" w:eastAsia="黑体" w:cs="黑体"/>
                <w:i w:val="0"/>
                <w:iCs w:val="0"/>
                <w:caps w:val="0"/>
                <w:color w:val="000000"/>
                <w:spacing w:val="0"/>
                <w:sz w:val="21"/>
                <w:szCs w:val="21"/>
                <w:highlight w:val="none"/>
                <w:shd w:val="clear" w:color="auto" w:fill="FFFFFF"/>
                <w:vertAlign w:val="baseline"/>
                <w:lang w:val="en-US"/>
              </w:rPr>
            </w:pPr>
            <w:r>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t>138</w:t>
            </w:r>
          </w:p>
        </w:tc>
      </w:tr>
    </w:tbl>
    <w:p w14:paraId="18DEEEE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jc w:val="both"/>
        <w:textAlignment w:val="auto"/>
        <w:rPr>
          <w:rFonts w:hint="eastAsia" w:ascii="黑体" w:hAnsi="黑体" w:eastAsia="黑体" w:cs="黑体"/>
          <w:b/>
          <w:bCs/>
          <w:i w:val="0"/>
          <w:iCs w:val="0"/>
          <w:caps w:val="0"/>
          <w:color w:val="000000"/>
          <w:spacing w:val="0"/>
          <w:sz w:val="21"/>
          <w:szCs w:val="21"/>
          <w:highlight w:val="none"/>
          <w:shd w:val="clear" w:color="auto" w:fill="FFFFFF"/>
          <w:lang w:val="en-US" w:eastAsia="zh-CN"/>
        </w:rPr>
      </w:pPr>
    </w:p>
    <w:p w14:paraId="508E9B8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lang w:val="en-US" w:eastAsia="zh-CN"/>
        </w:rPr>
        <w:t>施工第四标段：</w:t>
      </w:r>
      <w:r>
        <w:rPr>
          <w:rFonts w:hint="eastAsia" w:ascii="黑体" w:hAnsi="黑体" w:eastAsia="黑体" w:cs="黑体"/>
          <w:i w:val="0"/>
          <w:iCs w:val="0"/>
          <w:caps w:val="0"/>
          <w:color w:val="000000"/>
          <w:spacing w:val="0"/>
          <w:sz w:val="21"/>
          <w:szCs w:val="21"/>
          <w:highlight w:val="none"/>
          <w:shd w:val="clear" w:color="auto" w:fill="FFFFFF"/>
          <w:lang w:val="en-US" w:eastAsia="zh-CN"/>
        </w:rPr>
        <w:t xml:space="preserve"> </w:t>
      </w:r>
    </w:p>
    <w:tbl>
      <w:tblPr>
        <w:tblStyle w:val="23"/>
        <w:tblW w:w="9214" w:type="dxa"/>
        <w:tblInd w:w="-233"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288"/>
        <w:gridCol w:w="2671"/>
        <w:gridCol w:w="1545"/>
        <w:gridCol w:w="3710"/>
      </w:tblGrid>
      <w:tr w14:paraId="56E4EA4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849" w:hRule="atLeast"/>
        </w:trPr>
        <w:tc>
          <w:tcPr>
            <w:tcW w:w="1288" w:type="dxa"/>
            <w:noWrap w:val="0"/>
            <w:vAlign w:val="center"/>
          </w:tcPr>
          <w:p w14:paraId="398270B2">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标段编号</w:t>
            </w:r>
          </w:p>
        </w:tc>
        <w:tc>
          <w:tcPr>
            <w:tcW w:w="2671" w:type="dxa"/>
            <w:noWrap w:val="0"/>
            <w:vAlign w:val="center"/>
          </w:tcPr>
          <w:p w14:paraId="088DF567">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default" w:ascii="黑体" w:hAnsi="黑体" w:eastAsia="黑体" w:cs="黑体"/>
                <w:b w:val="0"/>
                <w:bCs w:val="0"/>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val="0"/>
                <w:color w:val="auto"/>
                <w:sz w:val="24"/>
                <w:szCs w:val="24"/>
                <w:highlight w:val="none"/>
                <w:lang w:val="en-US" w:eastAsia="zh-CN"/>
              </w:rPr>
              <w:t>E1507002026051101001004</w:t>
            </w:r>
          </w:p>
        </w:tc>
        <w:tc>
          <w:tcPr>
            <w:tcW w:w="1545" w:type="dxa"/>
            <w:noWrap w:val="0"/>
            <w:vAlign w:val="center"/>
          </w:tcPr>
          <w:p w14:paraId="76C98004">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标段名称</w:t>
            </w:r>
          </w:p>
        </w:tc>
        <w:tc>
          <w:tcPr>
            <w:tcW w:w="3710" w:type="dxa"/>
            <w:noWrap w:val="0"/>
            <w:vAlign w:val="center"/>
          </w:tcPr>
          <w:p w14:paraId="1EB87A12">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i w:val="0"/>
                <w:iCs w:val="0"/>
                <w:caps w:val="0"/>
                <w:color w:val="000000"/>
                <w:spacing w:val="0"/>
                <w:sz w:val="21"/>
                <w:szCs w:val="21"/>
                <w:highlight w:val="none"/>
                <w:shd w:val="clear" w:color="auto" w:fill="FFFFFF"/>
                <w:lang w:eastAsia="zh-CN"/>
              </w:rPr>
              <w:t>2026年新巴尔虎左旗生命安全防护工程</w:t>
            </w:r>
            <w:r>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t>施工第四标段</w:t>
            </w:r>
          </w:p>
        </w:tc>
      </w:tr>
      <w:tr w14:paraId="5B166D4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1288" w:type="dxa"/>
            <w:noWrap w:val="0"/>
            <w:vAlign w:val="center"/>
          </w:tcPr>
          <w:p w14:paraId="0E162033">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招标范围</w:t>
            </w:r>
          </w:p>
        </w:tc>
        <w:tc>
          <w:tcPr>
            <w:tcW w:w="7926" w:type="dxa"/>
            <w:gridSpan w:val="3"/>
            <w:noWrap w:val="0"/>
            <w:vAlign w:val="center"/>
          </w:tcPr>
          <w:p w14:paraId="4E4749F0">
            <w:pPr>
              <w:pStyle w:val="21"/>
              <w:ind w:left="0" w:leftChars="0" w:firstLine="0" w:firstLineChars="0"/>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i w:val="0"/>
                <w:iCs w:val="0"/>
                <w:caps w:val="0"/>
                <w:color w:val="000000"/>
                <w:spacing w:val="0"/>
                <w:sz w:val="21"/>
                <w:szCs w:val="21"/>
                <w:highlight w:val="none"/>
                <w:shd w:val="clear" w:color="auto" w:fill="FFFFFF"/>
                <w:lang w:val="en-US" w:eastAsia="zh-CN"/>
              </w:rPr>
              <w:t>④本项目路线起点位于Y004线K0+000处，终点位于Y004线K12+000处，路线全长12km，位于新巴尔虎左旗境内。旧路原有路基宽6.5m，路面宽4.5m。本项目共设置防雪网9000米，路肩补土方3360立方米。</w:t>
            </w:r>
            <w:r>
              <w:rPr>
                <w:rFonts w:hint="eastAsia" w:ascii="黑体" w:hAnsi="黑体" w:eastAsia="黑体" w:cs="黑体"/>
                <w:b/>
                <w:bCs/>
                <w:i w:val="0"/>
                <w:iCs w:val="0"/>
                <w:caps w:val="0"/>
                <w:color w:val="000000"/>
                <w:spacing w:val="0"/>
                <w:sz w:val="21"/>
                <w:szCs w:val="21"/>
                <w:highlight w:val="none"/>
                <w:shd w:val="clear" w:color="auto" w:fill="FFFFFF"/>
                <w:lang w:val="en-US" w:eastAsia="zh-CN"/>
              </w:rPr>
              <w:t>具体内容详见工程量固化清单及施工图纸全部内容。</w:t>
            </w:r>
          </w:p>
        </w:tc>
      </w:tr>
      <w:tr w14:paraId="21FD8F9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288" w:type="dxa"/>
            <w:noWrap w:val="0"/>
            <w:vAlign w:val="center"/>
          </w:tcPr>
          <w:p w14:paraId="75CEE6B5">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i w:val="0"/>
                <w:iCs w:val="0"/>
                <w:caps w:val="0"/>
                <w:color w:val="000000"/>
                <w:spacing w:val="0"/>
                <w:sz w:val="21"/>
                <w:szCs w:val="21"/>
                <w:highlight w:val="none"/>
                <w:shd w:val="clear" w:color="auto" w:fill="FFFFFF"/>
                <w:vertAlign w:val="baseline"/>
              </w:rPr>
            </w:pPr>
            <w:r>
              <w:rPr>
                <w:rFonts w:hint="eastAsia" w:ascii="黑体" w:hAnsi="黑体" w:eastAsia="黑体" w:cs="黑体"/>
                <w:b/>
                <w:bCs/>
                <w:i w:val="0"/>
                <w:iCs w:val="0"/>
                <w:caps w:val="0"/>
                <w:color w:val="000000"/>
                <w:spacing w:val="0"/>
                <w:sz w:val="21"/>
                <w:szCs w:val="21"/>
                <w:highlight w:val="none"/>
                <w:shd w:val="clear" w:color="auto" w:fill="FFFFFF"/>
                <w:vertAlign w:val="baseline"/>
              </w:rPr>
              <w:t>合同估算价（万元）</w:t>
            </w:r>
          </w:p>
        </w:tc>
        <w:tc>
          <w:tcPr>
            <w:tcW w:w="2671" w:type="dxa"/>
            <w:noWrap w:val="0"/>
            <w:vAlign w:val="center"/>
          </w:tcPr>
          <w:p w14:paraId="624506E7">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t>218.4415</w:t>
            </w:r>
          </w:p>
        </w:tc>
        <w:tc>
          <w:tcPr>
            <w:tcW w:w="1545" w:type="dxa"/>
            <w:noWrap w:val="0"/>
            <w:vAlign w:val="center"/>
          </w:tcPr>
          <w:p w14:paraId="4598BA54">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jc w:val="center"/>
              <w:textAlignment w:val="auto"/>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工期（日历天）</w:t>
            </w:r>
          </w:p>
        </w:tc>
        <w:tc>
          <w:tcPr>
            <w:tcW w:w="3710" w:type="dxa"/>
            <w:noWrap w:val="0"/>
            <w:vAlign w:val="center"/>
          </w:tcPr>
          <w:p w14:paraId="21050D6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240" w:lineRule="auto"/>
              <w:ind w:left="0" w:leftChars="0" w:right="0" w:rightChars="0"/>
              <w:jc w:val="center"/>
              <w:textAlignment w:val="auto"/>
              <w:rPr>
                <w:rFonts w:hint="default" w:ascii="黑体" w:hAnsi="黑体" w:eastAsia="黑体" w:cs="黑体"/>
                <w:i w:val="0"/>
                <w:iCs w:val="0"/>
                <w:caps w:val="0"/>
                <w:color w:val="000000"/>
                <w:spacing w:val="0"/>
                <w:sz w:val="21"/>
                <w:szCs w:val="21"/>
                <w:highlight w:val="none"/>
                <w:shd w:val="clear" w:color="auto" w:fill="FFFFFF"/>
                <w:vertAlign w:val="baseline"/>
                <w:lang w:val="en-US"/>
              </w:rPr>
            </w:pPr>
            <w:r>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t>138</w:t>
            </w:r>
          </w:p>
        </w:tc>
      </w:tr>
    </w:tbl>
    <w:p w14:paraId="22E222A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jc w:val="both"/>
        <w:textAlignment w:val="auto"/>
        <w:rPr>
          <w:rFonts w:hint="eastAsia" w:ascii="黑体" w:hAnsi="黑体" w:eastAsia="黑体" w:cs="黑体"/>
          <w:b/>
          <w:bCs/>
          <w:i w:val="0"/>
          <w:iCs w:val="0"/>
          <w:caps w:val="0"/>
          <w:color w:val="000000"/>
          <w:spacing w:val="0"/>
          <w:sz w:val="21"/>
          <w:szCs w:val="21"/>
          <w:highlight w:val="none"/>
          <w:shd w:val="clear" w:color="auto" w:fill="FFFFFF"/>
          <w:lang w:val="en-US" w:eastAsia="zh-CN"/>
        </w:rPr>
      </w:pPr>
    </w:p>
    <w:p w14:paraId="7EDD580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lang w:val="en-US" w:eastAsia="zh-CN"/>
        </w:rPr>
        <w:t>施工第五标段：</w:t>
      </w:r>
      <w:r>
        <w:rPr>
          <w:rFonts w:hint="eastAsia" w:ascii="黑体" w:hAnsi="黑体" w:eastAsia="黑体" w:cs="黑体"/>
          <w:i w:val="0"/>
          <w:iCs w:val="0"/>
          <w:caps w:val="0"/>
          <w:color w:val="000000"/>
          <w:spacing w:val="0"/>
          <w:sz w:val="21"/>
          <w:szCs w:val="21"/>
          <w:highlight w:val="none"/>
          <w:shd w:val="clear" w:color="auto" w:fill="FFFFFF"/>
          <w:lang w:val="en-US" w:eastAsia="zh-CN"/>
        </w:rPr>
        <w:t xml:space="preserve"> </w:t>
      </w:r>
    </w:p>
    <w:tbl>
      <w:tblPr>
        <w:tblStyle w:val="23"/>
        <w:tblW w:w="9214" w:type="dxa"/>
        <w:tblInd w:w="-233"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288"/>
        <w:gridCol w:w="2671"/>
        <w:gridCol w:w="1545"/>
        <w:gridCol w:w="3710"/>
      </w:tblGrid>
      <w:tr w14:paraId="718151E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1288" w:type="dxa"/>
            <w:noWrap w:val="0"/>
            <w:vAlign w:val="center"/>
          </w:tcPr>
          <w:p w14:paraId="042B67A9">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标段编号</w:t>
            </w:r>
          </w:p>
        </w:tc>
        <w:tc>
          <w:tcPr>
            <w:tcW w:w="2671" w:type="dxa"/>
            <w:noWrap w:val="0"/>
            <w:vAlign w:val="center"/>
          </w:tcPr>
          <w:p w14:paraId="7E074FCD">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default" w:ascii="黑体" w:hAnsi="黑体" w:eastAsia="黑体" w:cs="黑体"/>
                <w:b w:val="0"/>
                <w:bCs w:val="0"/>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val="0"/>
                <w:color w:val="auto"/>
                <w:sz w:val="24"/>
                <w:szCs w:val="24"/>
                <w:highlight w:val="none"/>
                <w:lang w:val="en-US" w:eastAsia="zh-CN"/>
              </w:rPr>
              <w:t>E1507002026051101001005</w:t>
            </w:r>
          </w:p>
        </w:tc>
        <w:tc>
          <w:tcPr>
            <w:tcW w:w="1545" w:type="dxa"/>
            <w:noWrap w:val="0"/>
            <w:vAlign w:val="center"/>
          </w:tcPr>
          <w:p w14:paraId="629FAEFF">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标段名称</w:t>
            </w:r>
          </w:p>
        </w:tc>
        <w:tc>
          <w:tcPr>
            <w:tcW w:w="3710" w:type="dxa"/>
            <w:noWrap w:val="0"/>
            <w:vAlign w:val="center"/>
          </w:tcPr>
          <w:p w14:paraId="4F9E2408">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i w:val="0"/>
                <w:iCs w:val="0"/>
                <w:caps w:val="0"/>
                <w:color w:val="000000"/>
                <w:spacing w:val="0"/>
                <w:sz w:val="21"/>
                <w:szCs w:val="21"/>
                <w:highlight w:val="none"/>
                <w:shd w:val="clear" w:color="auto" w:fill="FFFFFF"/>
                <w:lang w:eastAsia="zh-CN"/>
              </w:rPr>
              <w:t>2026年新巴尔虎左旗生命安全防护工程</w:t>
            </w:r>
            <w:r>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t>施工第五标段</w:t>
            </w:r>
          </w:p>
        </w:tc>
      </w:tr>
      <w:tr w14:paraId="2AB28BA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1288" w:type="dxa"/>
            <w:noWrap w:val="0"/>
            <w:vAlign w:val="center"/>
          </w:tcPr>
          <w:p w14:paraId="0A7C4C62">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招标范围</w:t>
            </w:r>
          </w:p>
        </w:tc>
        <w:tc>
          <w:tcPr>
            <w:tcW w:w="7926" w:type="dxa"/>
            <w:gridSpan w:val="3"/>
            <w:noWrap w:val="0"/>
            <w:vAlign w:val="center"/>
          </w:tcPr>
          <w:p w14:paraId="5474C8E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i w:val="0"/>
                <w:iCs w:val="0"/>
                <w:caps w:val="0"/>
                <w:color w:val="000000"/>
                <w:spacing w:val="0"/>
                <w:sz w:val="21"/>
                <w:szCs w:val="21"/>
                <w:highlight w:val="none"/>
                <w:shd w:val="clear" w:color="auto" w:fill="FFFFFF"/>
                <w:lang w:val="en-US" w:eastAsia="zh-CN"/>
              </w:rPr>
              <w:t>⑤本项目路线起点位于Y004线K12+000处，终点位于Y004线K24+953处，路线全长12.953km，位于新巴尔虎左旗境内。旧路原有路基宽6.5m，路面宽4.5m。本项目共设置交通标线6053.3平方米、防雪网4100米，路肩补土方730立方米，新建4.5m宽水泥混凝土路305.717米，新建6.5m宽水泥混凝土路355.954米。</w:t>
            </w:r>
          </w:p>
          <w:p w14:paraId="05BF827D">
            <w:pPr>
              <w:pStyle w:val="21"/>
              <w:ind w:left="0" w:leftChars="0" w:firstLine="0" w:firstLineChars="0"/>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lang w:val="en-US" w:eastAsia="zh-CN"/>
              </w:rPr>
              <w:t>具体内容详见工程量固化清单及施工图纸全部内容。</w:t>
            </w:r>
          </w:p>
        </w:tc>
      </w:tr>
      <w:tr w14:paraId="61F450D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288" w:type="dxa"/>
            <w:noWrap w:val="0"/>
            <w:vAlign w:val="center"/>
          </w:tcPr>
          <w:p w14:paraId="460B8180">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i w:val="0"/>
                <w:iCs w:val="0"/>
                <w:caps w:val="0"/>
                <w:color w:val="000000"/>
                <w:spacing w:val="0"/>
                <w:sz w:val="21"/>
                <w:szCs w:val="21"/>
                <w:highlight w:val="none"/>
                <w:shd w:val="clear" w:color="auto" w:fill="FFFFFF"/>
                <w:vertAlign w:val="baseline"/>
              </w:rPr>
            </w:pPr>
            <w:r>
              <w:rPr>
                <w:rFonts w:hint="eastAsia" w:ascii="黑体" w:hAnsi="黑体" w:eastAsia="黑体" w:cs="黑体"/>
                <w:b/>
                <w:bCs/>
                <w:i w:val="0"/>
                <w:iCs w:val="0"/>
                <w:caps w:val="0"/>
                <w:color w:val="000000"/>
                <w:spacing w:val="0"/>
                <w:sz w:val="21"/>
                <w:szCs w:val="21"/>
                <w:highlight w:val="none"/>
                <w:shd w:val="clear" w:color="auto" w:fill="FFFFFF"/>
                <w:vertAlign w:val="baseline"/>
              </w:rPr>
              <w:t>合同估算价（万元）</w:t>
            </w:r>
          </w:p>
        </w:tc>
        <w:tc>
          <w:tcPr>
            <w:tcW w:w="2671" w:type="dxa"/>
            <w:noWrap w:val="0"/>
            <w:vAlign w:val="center"/>
          </w:tcPr>
          <w:p w14:paraId="5C5E00C0">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jc w:val="center"/>
              <w:textAlignment w:val="auto"/>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t>189.9278</w:t>
            </w:r>
          </w:p>
        </w:tc>
        <w:tc>
          <w:tcPr>
            <w:tcW w:w="1545" w:type="dxa"/>
            <w:noWrap w:val="0"/>
            <w:vAlign w:val="center"/>
          </w:tcPr>
          <w:p w14:paraId="52CC20E6">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jc w:val="center"/>
              <w:textAlignment w:val="auto"/>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pPr>
            <w:r>
              <w:rPr>
                <w:rFonts w:hint="eastAsia" w:ascii="黑体" w:hAnsi="黑体" w:eastAsia="黑体" w:cs="黑体"/>
                <w:b/>
                <w:bCs/>
                <w:i w:val="0"/>
                <w:iCs w:val="0"/>
                <w:caps w:val="0"/>
                <w:color w:val="000000"/>
                <w:spacing w:val="0"/>
                <w:sz w:val="21"/>
                <w:szCs w:val="21"/>
                <w:highlight w:val="none"/>
                <w:shd w:val="clear" w:color="auto" w:fill="FFFFFF"/>
                <w:vertAlign w:val="baseline"/>
                <w:lang w:val="en-US" w:eastAsia="zh-CN"/>
              </w:rPr>
              <w:t>工期（日历天）</w:t>
            </w:r>
          </w:p>
        </w:tc>
        <w:tc>
          <w:tcPr>
            <w:tcW w:w="3710" w:type="dxa"/>
            <w:noWrap w:val="0"/>
            <w:vAlign w:val="center"/>
          </w:tcPr>
          <w:p w14:paraId="6DBBB9D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240" w:lineRule="auto"/>
              <w:ind w:left="0" w:leftChars="0" w:right="0" w:rightChars="0"/>
              <w:jc w:val="center"/>
              <w:textAlignment w:val="auto"/>
              <w:rPr>
                <w:rFonts w:hint="default" w:ascii="黑体" w:hAnsi="黑体" w:eastAsia="黑体" w:cs="黑体"/>
                <w:i w:val="0"/>
                <w:iCs w:val="0"/>
                <w:caps w:val="0"/>
                <w:color w:val="000000"/>
                <w:spacing w:val="0"/>
                <w:sz w:val="21"/>
                <w:szCs w:val="21"/>
                <w:highlight w:val="none"/>
                <w:shd w:val="clear" w:color="auto" w:fill="FFFFFF"/>
                <w:vertAlign w:val="baseline"/>
                <w:lang w:val="en-US"/>
              </w:rPr>
            </w:pPr>
            <w:r>
              <w:rPr>
                <w:rFonts w:hint="eastAsia" w:ascii="黑体" w:hAnsi="黑体" w:eastAsia="黑体" w:cs="黑体"/>
                <w:i w:val="0"/>
                <w:iCs w:val="0"/>
                <w:caps w:val="0"/>
                <w:color w:val="000000"/>
                <w:spacing w:val="0"/>
                <w:sz w:val="21"/>
                <w:szCs w:val="21"/>
                <w:highlight w:val="none"/>
                <w:shd w:val="clear" w:color="auto" w:fill="FFFFFF"/>
                <w:vertAlign w:val="baseline"/>
                <w:lang w:val="en-US" w:eastAsia="zh-CN"/>
              </w:rPr>
              <w:t>138</w:t>
            </w:r>
          </w:p>
        </w:tc>
      </w:tr>
    </w:tbl>
    <w:p w14:paraId="139C3C9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jc w:val="both"/>
        <w:textAlignment w:val="auto"/>
        <w:rPr>
          <w:rFonts w:hint="eastAsia" w:ascii="黑体" w:hAnsi="黑体" w:eastAsia="黑体" w:cs="黑体"/>
          <w:b/>
          <w:bCs/>
          <w:i w:val="0"/>
          <w:iCs w:val="0"/>
          <w:caps w:val="0"/>
          <w:color w:val="000000"/>
          <w:spacing w:val="0"/>
          <w:sz w:val="21"/>
          <w:szCs w:val="21"/>
          <w:highlight w:val="none"/>
          <w:shd w:val="clear" w:color="auto" w:fill="FFFFFF"/>
          <w:lang w:val="en-US" w:eastAsia="zh-CN"/>
        </w:rPr>
      </w:pPr>
    </w:p>
    <w:p w14:paraId="43DDDB9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jc w:val="both"/>
        <w:textAlignment w:val="auto"/>
        <w:rPr>
          <w:rFonts w:hint="eastAsia" w:ascii="黑体" w:hAnsi="黑体" w:eastAsia="黑体" w:cs="黑体"/>
          <w:b/>
          <w:bCs/>
          <w:i w:val="0"/>
          <w:iCs w:val="0"/>
          <w:caps w:val="0"/>
          <w:color w:val="000000"/>
          <w:spacing w:val="0"/>
          <w:sz w:val="21"/>
          <w:szCs w:val="21"/>
          <w:highlight w:val="none"/>
        </w:rPr>
      </w:pPr>
      <w:r>
        <w:rPr>
          <w:rStyle w:val="25"/>
          <w:rFonts w:hint="eastAsia" w:ascii="黑体" w:hAnsi="黑体" w:eastAsia="黑体" w:cs="黑体"/>
          <w:b/>
          <w:bCs/>
          <w:i w:val="0"/>
          <w:iCs w:val="0"/>
          <w:caps w:val="0"/>
          <w:color w:val="000000"/>
          <w:spacing w:val="0"/>
          <w:sz w:val="21"/>
          <w:szCs w:val="21"/>
          <w:highlight w:val="none"/>
          <w:shd w:val="clear" w:color="auto" w:fill="FFFFFF"/>
          <w:lang w:val="en-US" w:eastAsia="zh-CN"/>
        </w:rPr>
        <w:t>3.</w:t>
      </w:r>
      <w:r>
        <w:rPr>
          <w:rStyle w:val="25"/>
          <w:rFonts w:hint="eastAsia" w:ascii="黑体" w:hAnsi="黑体" w:eastAsia="黑体" w:cs="黑体"/>
          <w:b/>
          <w:bCs/>
          <w:i w:val="0"/>
          <w:iCs w:val="0"/>
          <w:caps w:val="0"/>
          <w:color w:val="000000"/>
          <w:spacing w:val="0"/>
          <w:sz w:val="21"/>
          <w:szCs w:val="21"/>
          <w:highlight w:val="none"/>
          <w:shd w:val="clear" w:color="auto" w:fill="FFFFFF"/>
        </w:rPr>
        <w:t>投标人资格要求</w:t>
      </w:r>
    </w:p>
    <w:p w14:paraId="4EAFE040">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黑体" w:hAnsi="黑体" w:eastAsia="黑体" w:cs="黑体"/>
          <w:sz w:val="21"/>
          <w:szCs w:val="21"/>
          <w:highlight w:val="none"/>
          <w:lang w:val="en-US" w:eastAsia="zh-CN"/>
        </w:rPr>
      </w:pPr>
      <w:r>
        <w:rPr>
          <w:rFonts w:hint="eastAsia" w:ascii="黑体" w:hAnsi="黑体" w:eastAsia="黑体" w:cs="黑体"/>
          <w:sz w:val="21"/>
          <w:szCs w:val="21"/>
          <w:highlight w:val="none"/>
          <w:lang w:val="en-US" w:eastAsia="zh-CN"/>
        </w:rPr>
        <w:t>3.1本次招标所有标段</w:t>
      </w:r>
      <w:r>
        <w:rPr>
          <w:rFonts w:hint="eastAsia" w:ascii="黑体" w:hAnsi="黑体" w:eastAsia="黑体" w:cs="黑体"/>
          <w:sz w:val="21"/>
          <w:szCs w:val="21"/>
          <w:highlight w:val="none"/>
          <w:u w:val="single"/>
          <w:lang w:val="en-US" w:eastAsia="zh-CN"/>
        </w:rPr>
        <w:t>不接受</w:t>
      </w:r>
      <w:r>
        <w:rPr>
          <w:rFonts w:hint="eastAsia" w:ascii="黑体" w:hAnsi="黑体" w:eastAsia="黑体" w:cs="黑体"/>
          <w:sz w:val="21"/>
          <w:szCs w:val="21"/>
          <w:highlight w:val="none"/>
          <w:lang w:val="en-US" w:eastAsia="zh-CN"/>
        </w:rPr>
        <w:t>联合体投标。</w:t>
      </w:r>
    </w:p>
    <w:p w14:paraId="1F796C92">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黑体" w:hAnsi="黑体" w:eastAsia="黑体" w:cs="黑体"/>
          <w:sz w:val="21"/>
          <w:szCs w:val="21"/>
          <w:highlight w:val="none"/>
          <w:lang w:val="en-US" w:eastAsia="zh-CN"/>
        </w:rPr>
      </w:pPr>
      <w:r>
        <w:rPr>
          <w:rFonts w:hint="eastAsia" w:ascii="黑体" w:hAnsi="黑体" w:eastAsia="黑体" w:cs="黑体"/>
          <w:sz w:val="21"/>
          <w:szCs w:val="21"/>
          <w:highlight w:val="none"/>
          <w:lang w:val="en-US" w:eastAsia="zh-CN"/>
        </w:rPr>
        <w:t>3.2投标资格能力要求：</w:t>
      </w:r>
    </w:p>
    <w:p w14:paraId="11CA4D10">
      <w:pPr>
        <w:adjustRightInd w:val="0"/>
        <w:spacing w:line="360" w:lineRule="auto"/>
        <w:ind w:firstLine="422" w:firstLineChars="200"/>
        <w:rPr>
          <w:rFonts w:hint="eastAsia" w:ascii="黑体" w:hAnsi="黑体" w:eastAsia="黑体" w:cs="黑体"/>
          <w:b w:val="0"/>
          <w:bCs w:val="0"/>
          <w:highlight w:val="none"/>
          <w:lang w:val="en-US" w:eastAsia="zh-CN"/>
        </w:rPr>
      </w:pPr>
      <w:r>
        <w:rPr>
          <w:rFonts w:hint="eastAsia" w:ascii="黑体" w:hAnsi="黑体" w:eastAsia="黑体" w:cs="黑体"/>
          <w:b/>
          <w:bCs/>
          <w:highlight w:val="none"/>
          <w:lang w:val="en-US" w:eastAsia="zh-CN"/>
        </w:rPr>
        <w:t>施工标段：</w:t>
      </w:r>
      <w:r>
        <w:rPr>
          <w:rFonts w:hint="eastAsia" w:ascii="黑体" w:hAnsi="黑体" w:eastAsia="黑体" w:cs="黑体"/>
          <w:b w:val="0"/>
          <w:bCs w:val="0"/>
          <w:highlight w:val="none"/>
          <w:lang w:val="en-US" w:eastAsia="zh-CN"/>
        </w:rPr>
        <w:t>本次施工招标要求投标人具有国内注册的独立法人资格及有效的企业法人营业执照，在人员、设备、资金等方面具有相应的施工能力，并同时具备下列条件：1、具有国内注册的独立法人资格及有效的企业法人营业执照。2、投标人满足以下①、②、③任意一项要求即可：</w:t>
      </w:r>
    </w:p>
    <w:p w14:paraId="1E6BBB8C">
      <w:pPr>
        <w:adjustRightInd w:val="0"/>
        <w:spacing w:line="360" w:lineRule="auto"/>
        <w:ind w:firstLine="420" w:firstLineChars="200"/>
        <w:rPr>
          <w:rFonts w:hint="eastAsia" w:ascii="黑体" w:hAnsi="黑体" w:eastAsia="黑体" w:cs="黑体"/>
          <w:b w:val="0"/>
          <w:bCs w:val="0"/>
          <w:highlight w:val="none"/>
          <w:lang w:val="en-US" w:eastAsia="zh-CN"/>
        </w:rPr>
      </w:pPr>
      <w:r>
        <w:rPr>
          <w:rFonts w:hint="eastAsia" w:ascii="黑体" w:hAnsi="黑体" w:eastAsia="黑体" w:cs="黑体"/>
          <w:b w:val="0"/>
          <w:bCs w:val="0"/>
          <w:highlight w:val="none"/>
          <w:lang w:val="en-US" w:eastAsia="zh-CN"/>
        </w:rPr>
        <w:t>①根据《住房和城乡建设部关于印发建设工程企业资质管理制度改革方案的通知》（建市〔2020〕94号），投标人应具备建设行政主管部门颁发的公路工程施工总承包乙级及以上等级资质（资质应在有效期内），若投标人未办理、变更上述资质，则需具备建设行政主管部门颁发的公路工程施工总承包三级及以上等级资质（资质应在有效期内）。</w:t>
      </w:r>
    </w:p>
    <w:p w14:paraId="44065B5A">
      <w:pPr>
        <w:adjustRightInd w:val="0"/>
        <w:spacing w:line="360" w:lineRule="auto"/>
        <w:ind w:firstLine="420" w:firstLineChars="200"/>
        <w:rPr>
          <w:rFonts w:hint="eastAsia" w:ascii="黑体" w:hAnsi="黑体" w:eastAsia="黑体" w:cs="黑体"/>
          <w:b w:val="0"/>
          <w:bCs w:val="0"/>
          <w:highlight w:val="none"/>
          <w:lang w:val="en-US" w:eastAsia="zh-CN"/>
        </w:rPr>
      </w:pPr>
      <w:r>
        <w:rPr>
          <w:rFonts w:hint="eastAsia" w:ascii="黑体" w:hAnsi="黑体" w:eastAsia="黑体" w:cs="黑体"/>
          <w:b w:val="0"/>
          <w:bCs w:val="0"/>
          <w:highlight w:val="none"/>
          <w:lang w:val="en-US" w:eastAsia="zh-CN"/>
        </w:rPr>
        <w:t>②具有交通运输行政主管部门颁发的公路养护工程二类乙级（资质应在有效期内）。</w:t>
      </w:r>
    </w:p>
    <w:p w14:paraId="590ED28A">
      <w:pPr>
        <w:adjustRightInd w:val="0"/>
        <w:spacing w:line="360" w:lineRule="auto"/>
        <w:ind w:firstLine="420" w:firstLineChars="200"/>
        <w:rPr>
          <w:rFonts w:hint="eastAsia" w:ascii="黑体" w:hAnsi="黑体" w:eastAsia="黑体" w:cs="黑体"/>
          <w:b/>
          <w:bCs/>
          <w:highlight w:val="none"/>
          <w:lang w:val="en-US" w:eastAsia="zh-CN"/>
        </w:rPr>
      </w:pPr>
      <w:r>
        <w:rPr>
          <w:rFonts w:hint="eastAsia" w:ascii="黑体" w:hAnsi="黑体" w:eastAsia="黑体" w:cs="黑体"/>
          <w:b w:val="0"/>
          <w:bCs w:val="0"/>
          <w:highlight w:val="none"/>
          <w:lang w:val="en-US" w:eastAsia="zh-CN"/>
        </w:rPr>
        <w:t>③具有交通运输行政主管部门颁发的路基路面养护乙级及以上资质（资质应在有效期内）。3、具有有效的安全生产许可证。4、有效的基本账户开户许可证或基本存款账户信息。</w:t>
      </w:r>
    </w:p>
    <w:p w14:paraId="29A7E748">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黑体" w:hAnsi="黑体" w:eastAsia="黑体" w:cs="黑体"/>
          <w:i w:val="0"/>
          <w:iCs w:val="0"/>
          <w:caps w:val="0"/>
          <w:color w:val="000000"/>
          <w:spacing w:val="0"/>
          <w:sz w:val="21"/>
          <w:szCs w:val="21"/>
          <w:highlight w:val="none"/>
          <w:lang w:val="en-US" w:eastAsia="zh-CN"/>
        </w:rPr>
      </w:pPr>
      <w:r>
        <w:rPr>
          <w:rFonts w:hint="eastAsia" w:ascii="黑体" w:hAnsi="黑体" w:eastAsia="黑体" w:cs="黑体"/>
          <w:i w:val="0"/>
          <w:iCs w:val="0"/>
          <w:caps w:val="0"/>
          <w:color w:val="000000"/>
          <w:spacing w:val="0"/>
          <w:sz w:val="21"/>
          <w:szCs w:val="21"/>
          <w:highlight w:val="none"/>
          <w:shd w:val="clear" w:color="auto" w:fill="FFFFFF"/>
          <w:lang w:val="en-US" w:eastAsia="zh-CN"/>
        </w:rPr>
        <w:t>3.3其他要求：其他要求详见招标文件</w:t>
      </w:r>
      <w:r>
        <w:rPr>
          <w:rFonts w:hint="eastAsia" w:ascii="黑体" w:hAnsi="黑体" w:eastAsia="黑体" w:cs="黑体"/>
          <w:b w:val="0"/>
          <w:bCs w:val="0"/>
          <w:sz w:val="21"/>
          <w:szCs w:val="21"/>
          <w:highlight w:val="none"/>
          <w:lang w:val="en-US" w:eastAsia="zh-CN"/>
        </w:rPr>
        <w:t>。</w:t>
      </w:r>
    </w:p>
    <w:p w14:paraId="1BE8FB0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jc w:val="both"/>
        <w:textAlignment w:val="auto"/>
        <w:rPr>
          <w:rFonts w:hint="eastAsia" w:ascii="黑体" w:hAnsi="黑体" w:eastAsia="黑体" w:cs="黑体"/>
          <w:b/>
          <w:bCs/>
          <w:i w:val="0"/>
          <w:iCs w:val="0"/>
          <w:caps w:val="0"/>
          <w:color w:val="000000"/>
          <w:spacing w:val="0"/>
          <w:sz w:val="21"/>
          <w:szCs w:val="21"/>
          <w:highlight w:val="none"/>
        </w:rPr>
      </w:pPr>
      <w:r>
        <w:rPr>
          <w:rStyle w:val="25"/>
          <w:rFonts w:hint="eastAsia" w:ascii="黑体" w:hAnsi="黑体" w:eastAsia="黑体" w:cs="黑体"/>
          <w:b/>
          <w:bCs/>
          <w:i w:val="0"/>
          <w:iCs w:val="0"/>
          <w:caps w:val="0"/>
          <w:color w:val="000000"/>
          <w:spacing w:val="0"/>
          <w:sz w:val="21"/>
          <w:szCs w:val="21"/>
          <w:highlight w:val="none"/>
          <w:shd w:val="clear" w:color="auto" w:fill="FFFFFF"/>
          <w:lang w:val="en-US" w:eastAsia="zh-CN"/>
        </w:rPr>
        <w:t>4.</w:t>
      </w:r>
      <w:r>
        <w:rPr>
          <w:rStyle w:val="25"/>
          <w:rFonts w:hint="eastAsia" w:ascii="黑体" w:hAnsi="黑体" w:eastAsia="黑体" w:cs="黑体"/>
          <w:b/>
          <w:bCs/>
          <w:i w:val="0"/>
          <w:iCs w:val="0"/>
          <w:caps w:val="0"/>
          <w:color w:val="000000"/>
          <w:spacing w:val="0"/>
          <w:sz w:val="21"/>
          <w:szCs w:val="21"/>
          <w:highlight w:val="none"/>
          <w:shd w:val="clear" w:color="auto" w:fill="FFFFFF"/>
        </w:rPr>
        <w:t>招标文件的获取</w:t>
      </w:r>
    </w:p>
    <w:p w14:paraId="00F4E0F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right="0" w:firstLine="420" w:firstLineChars="200"/>
        <w:jc w:val="both"/>
        <w:textAlignment w:val="auto"/>
        <w:rPr>
          <w:rFonts w:hint="eastAsia" w:ascii="黑体" w:hAnsi="黑体" w:eastAsia="黑体" w:cs="黑体"/>
          <w:i w:val="0"/>
          <w:iCs w:val="0"/>
          <w:caps w:val="0"/>
          <w:color w:val="000000"/>
          <w:spacing w:val="0"/>
          <w:sz w:val="21"/>
          <w:szCs w:val="21"/>
          <w:highlight w:val="none"/>
        </w:rPr>
      </w:pPr>
      <w:r>
        <w:rPr>
          <w:rFonts w:hint="eastAsia" w:ascii="黑体" w:hAnsi="黑体" w:eastAsia="黑体" w:cs="黑体"/>
          <w:i w:val="0"/>
          <w:iCs w:val="0"/>
          <w:caps w:val="0"/>
          <w:color w:val="000000"/>
          <w:spacing w:val="0"/>
          <w:sz w:val="21"/>
          <w:szCs w:val="21"/>
          <w:highlight w:val="none"/>
        </w:rPr>
        <w:t>凡有意参加投标者，请于</w:t>
      </w:r>
      <w:r>
        <w:rPr>
          <w:rFonts w:hint="eastAsia" w:ascii="黑体" w:hAnsi="黑体" w:eastAsia="黑体" w:cs="黑体"/>
          <w:i w:val="0"/>
          <w:iCs w:val="0"/>
          <w:caps w:val="0"/>
          <w:color w:val="000000"/>
          <w:spacing w:val="0"/>
          <w:sz w:val="21"/>
          <w:szCs w:val="21"/>
          <w:highlight w:val="none"/>
          <w:u w:val="single"/>
          <w:lang w:val="en-US" w:eastAsia="zh-CN"/>
        </w:rPr>
        <w:t>2026年05月14日00时00分至2026年06月03日09时30分</w:t>
      </w:r>
      <w:r>
        <w:rPr>
          <w:rFonts w:hint="eastAsia" w:ascii="黑体" w:hAnsi="黑体" w:eastAsia="黑体" w:cs="黑体"/>
          <w:i w:val="0"/>
          <w:iCs w:val="0"/>
          <w:caps w:val="0"/>
          <w:color w:val="000000"/>
          <w:spacing w:val="0"/>
          <w:sz w:val="21"/>
          <w:szCs w:val="21"/>
          <w:highlight w:val="none"/>
        </w:rPr>
        <w:t>（</w:t>
      </w:r>
      <w:r>
        <w:rPr>
          <w:rFonts w:hint="eastAsia" w:ascii="黑体" w:hAnsi="黑体" w:eastAsia="黑体" w:cs="黑体"/>
          <w:i w:val="0"/>
          <w:iCs w:val="0"/>
          <w:caps w:val="0"/>
          <w:color w:val="000000"/>
          <w:spacing w:val="0"/>
          <w:sz w:val="21"/>
          <w:szCs w:val="21"/>
          <w:highlight w:val="none"/>
          <w:lang w:val="en-US" w:eastAsia="zh-CN"/>
        </w:rPr>
        <w:t>北京时间，下同</w:t>
      </w:r>
      <w:r>
        <w:rPr>
          <w:rFonts w:hint="eastAsia" w:ascii="黑体" w:hAnsi="黑体" w:eastAsia="黑体" w:cs="黑体"/>
          <w:i w:val="0"/>
          <w:iCs w:val="0"/>
          <w:caps w:val="0"/>
          <w:color w:val="000000"/>
          <w:spacing w:val="0"/>
          <w:sz w:val="21"/>
          <w:szCs w:val="21"/>
          <w:highlight w:val="none"/>
        </w:rPr>
        <w:t>)</w:t>
      </w:r>
      <w:r>
        <w:rPr>
          <w:rFonts w:hint="eastAsia" w:ascii="黑体" w:hAnsi="黑体" w:eastAsia="黑体" w:cs="黑体"/>
          <w:i w:val="0"/>
          <w:iCs w:val="0"/>
          <w:caps w:val="0"/>
          <w:color w:val="000000"/>
          <w:spacing w:val="0"/>
          <w:sz w:val="21"/>
          <w:szCs w:val="21"/>
          <w:highlight w:val="none"/>
        </w:rPr>
        <w:t>，通过请登录《内蒙古自治区工程项目交易系统》（https://219.148.175.179:9443/tpbidder），领取格式为</w:t>
      </w:r>
      <w:r>
        <w:rPr>
          <w:rFonts w:hint="eastAsia" w:ascii="黑体" w:hAnsi="黑体" w:eastAsia="黑体" w:cs="黑体"/>
          <w:i w:val="0"/>
          <w:iCs w:val="0"/>
          <w:caps w:val="0"/>
          <w:color w:val="000000"/>
          <w:spacing w:val="0"/>
          <w:sz w:val="21"/>
          <w:szCs w:val="21"/>
          <w:highlight w:val="none"/>
          <w:lang w:eastAsia="zh-CN"/>
        </w:rPr>
        <w:t>“</w:t>
      </w:r>
      <w:r>
        <w:rPr>
          <w:rFonts w:hint="eastAsia" w:ascii="黑体" w:hAnsi="黑体" w:eastAsia="黑体" w:cs="黑体"/>
          <w:i w:val="0"/>
          <w:iCs w:val="0"/>
          <w:caps w:val="0"/>
          <w:color w:val="000000"/>
          <w:spacing w:val="0"/>
          <w:sz w:val="21"/>
          <w:szCs w:val="21"/>
          <w:highlight w:val="none"/>
        </w:rPr>
        <w:t>nmgzf</w:t>
      </w:r>
      <w:r>
        <w:rPr>
          <w:rFonts w:hint="eastAsia" w:ascii="黑体" w:hAnsi="黑体" w:eastAsia="黑体" w:cs="黑体"/>
          <w:i w:val="0"/>
          <w:iCs w:val="0"/>
          <w:caps w:val="0"/>
          <w:color w:val="000000"/>
          <w:spacing w:val="0"/>
          <w:sz w:val="21"/>
          <w:szCs w:val="21"/>
          <w:highlight w:val="none"/>
          <w:lang w:eastAsia="zh-CN"/>
        </w:rPr>
        <w:t>”</w:t>
      </w:r>
      <w:r>
        <w:rPr>
          <w:rFonts w:hint="eastAsia" w:ascii="黑体" w:hAnsi="黑体" w:eastAsia="黑体" w:cs="黑体"/>
          <w:i w:val="0"/>
          <w:iCs w:val="0"/>
          <w:caps w:val="0"/>
          <w:color w:val="000000"/>
          <w:spacing w:val="0"/>
          <w:sz w:val="21"/>
          <w:szCs w:val="21"/>
          <w:highlight w:val="none"/>
        </w:rPr>
        <w:t>的招标文件。</w:t>
      </w:r>
      <w:r>
        <w:rPr>
          <w:rFonts w:hint="eastAsia" w:ascii="黑体" w:hAnsi="黑体" w:eastAsia="黑体" w:cs="黑体"/>
          <w:i w:val="0"/>
          <w:iCs w:val="0"/>
          <w:caps w:val="0"/>
          <w:color w:val="000000"/>
          <w:spacing w:val="0"/>
          <w:sz w:val="21"/>
          <w:szCs w:val="21"/>
          <w:highlight w:val="none"/>
        </w:rPr>
        <w:t>领取后使用</w:t>
      </w:r>
      <w:r>
        <w:rPr>
          <w:rFonts w:hint="eastAsia" w:ascii="黑体" w:hAnsi="黑体" w:eastAsia="黑体" w:cs="黑体"/>
          <w:i w:val="0"/>
          <w:iCs w:val="0"/>
          <w:caps w:val="0"/>
          <w:color w:val="000000"/>
          <w:spacing w:val="0"/>
          <w:sz w:val="21"/>
          <w:szCs w:val="21"/>
          <w:highlight w:val="none"/>
          <w:lang w:eastAsia="zh-CN"/>
        </w:rPr>
        <w:t>“</w:t>
      </w:r>
      <w:r>
        <w:rPr>
          <w:rFonts w:hint="eastAsia" w:ascii="黑体" w:hAnsi="黑体" w:eastAsia="黑体" w:cs="黑体"/>
          <w:i w:val="0"/>
          <w:iCs w:val="0"/>
          <w:caps w:val="0"/>
          <w:color w:val="000000"/>
          <w:spacing w:val="0"/>
          <w:sz w:val="21"/>
          <w:szCs w:val="21"/>
          <w:highlight w:val="none"/>
        </w:rPr>
        <w:t>投标文件制作工具（内蒙古）</w:t>
      </w:r>
      <w:r>
        <w:rPr>
          <w:rFonts w:hint="eastAsia" w:ascii="黑体" w:hAnsi="黑体" w:eastAsia="黑体" w:cs="黑体"/>
          <w:i w:val="0"/>
          <w:iCs w:val="0"/>
          <w:caps w:val="0"/>
          <w:color w:val="000000"/>
          <w:spacing w:val="0"/>
          <w:sz w:val="21"/>
          <w:szCs w:val="21"/>
          <w:highlight w:val="none"/>
          <w:lang w:eastAsia="zh-CN"/>
        </w:rPr>
        <w:t>”</w:t>
      </w:r>
      <w:r>
        <w:rPr>
          <w:rFonts w:hint="eastAsia" w:ascii="黑体" w:hAnsi="黑体" w:eastAsia="黑体" w:cs="黑体"/>
          <w:i w:val="0"/>
          <w:iCs w:val="0"/>
          <w:caps w:val="0"/>
          <w:color w:val="000000"/>
          <w:spacing w:val="0"/>
          <w:sz w:val="21"/>
          <w:szCs w:val="21"/>
          <w:highlight w:val="none"/>
        </w:rPr>
        <w:t>打开查看。</w:t>
      </w:r>
    </w:p>
    <w:p w14:paraId="0A54AA2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jc w:val="both"/>
        <w:textAlignment w:val="auto"/>
        <w:rPr>
          <w:rFonts w:hint="eastAsia" w:ascii="黑体" w:hAnsi="黑体" w:eastAsia="黑体" w:cs="黑体"/>
          <w:b/>
          <w:bCs/>
          <w:i w:val="0"/>
          <w:iCs w:val="0"/>
          <w:caps w:val="0"/>
          <w:color w:val="000000"/>
          <w:spacing w:val="0"/>
          <w:sz w:val="21"/>
          <w:szCs w:val="21"/>
          <w:highlight w:val="none"/>
        </w:rPr>
      </w:pPr>
      <w:r>
        <w:rPr>
          <w:rStyle w:val="25"/>
          <w:rFonts w:hint="eastAsia" w:ascii="黑体" w:hAnsi="黑体" w:eastAsia="黑体" w:cs="黑体"/>
          <w:b/>
          <w:bCs/>
          <w:i w:val="0"/>
          <w:iCs w:val="0"/>
          <w:caps w:val="0"/>
          <w:color w:val="000000"/>
          <w:spacing w:val="0"/>
          <w:sz w:val="21"/>
          <w:szCs w:val="21"/>
          <w:highlight w:val="none"/>
          <w:shd w:val="clear" w:color="auto" w:fill="FFFFFF"/>
          <w:lang w:val="en-US" w:eastAsia="zh-CN"/>
        </w:rPr>
        <w:t>5.</w:t>
      </w:r>
      <w:r>
        <w:rPr>
          <w:rStyle w:val="25"/>
          <w:rFonts w:hint="eastAsia" w:ascii="黑体" w:hAnsi="黑体" w:eastAsia="黑体" w:cs="黑体"/>
          <w:b/>
          <w:bCs/>
          <w:i w:val="0"/>
          <w:iCs w:val="0"/>
          <w:caps w:val="0"/>
          <w:color w:val="000000"/>
          <w:spacing w:val="0"/>
          <w:sz w:val="21"/>
          <w:szCs w:val="21"/>
          <w:highlight w:val="none"/>
          <w:shd w:val="clear" w:color="auto" w:fill="FFFFFF"/>
        </w:rPr>
        <w:t>投标文件的递交</w:t>
      </w:r>
    </w:p>
    <w:p w14:paraId="3B0011B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left"/>
        <w:textAlignment w:val="auto"/>
        <w:rPr>
          <w:rFonts w:hint="eastAsia" w:ascii="黑体" w:hAnsi="黑体" w:eastAsia="黑体" w:cs="黑体"/>
          <w:i w:val="0"/>
          <w:iCs w:val="0"/>
          <w:caps w:val="0"/>
          <w:color w:val="000000"/>
          <w:spacing w:val="0"/>
          <w:sz w:val="21"/>
          <w:szCs w:val="21"/>
          <w:highlight w:val="none"/>
        </w:rPr>
      </w:pPr>
      <w:r>
        <w:rPr>
          <w:rFonts w:hint="eastAsia" w:ascii="黑体" w:hAnsi="黑体" w:eastAsia="黑体" w:cs="黑体"/>
          <w:i w:val="0"/>
          <w:iCs w:val="0"/>
          <w:caps w:val="0"/>
          <w:color w:val="000000"/>
          <w:spacing w:val="0"/>
          <w:sz w:val="21"/>
          <w:szCs w:val="21"/>
          <w:highlight w:val="none"/>
        </w:rPr>
        <w:t>投标文件递交的截止时间（投标截止时间，下同）为</w:t>
      </w:r>
      <w:r>
        <w:rPr>
          <w:rFonts w:hint="eastAsia" w:ascii="黑体" w:hAnsi="黑体" w:eastAsia="黑体" w:cs="黑体"/>
          <w:i w:val="0"/>
          <w:iCs w:val="0"/>
          <w:caps w:val="0"/>
          <w:color w:val="000000"/>
          <w:spacing w:val="0"/>
          <w:sz w:val="21"/>
          <w:szCs w:val="21"/>
          <w:highlight w:val="none"/>
          <w:u w:val="single"/>
          <w:lang w:val="en-US" w:eastAsia="zh-CN"/>
        </w:rPr>
        <w:t>2026年06月03日09时30分</w:t>
      </w:r>
      <w:r>
        <w:rPr>
          <w:rFonts w:hint="eastAsia" w:ascii="黑体" w:hAnsi="黑体" w:eastAsia="黑体" w:cs="黑体"/>
          <w:i w:val="0"/>
          <w:iCs w:val="0"/>
          <w:caps w:val="0"/>
          <w:color w:val="000000"/>
          <w:spacing w:val="0"/>
          <w:sz w:val="21"/>
          <w:szCs w:val="21"/>
          <w:highlight w:val="none"/>
        </w:rPr>
        <w:t>，投标人应在截止时间前通过登录内蒙古自治区工程建设电子招投标交易平台，将加密版电子投标文件上传至系统,如果是双信封，需将一信封和二信封分别上传。</w:t>
      </w:r>
    </w:p>
    <w:p w14:paraId="3BD93F9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jc w:val="left"/>
        <w:textAlignment w:val="auto"/>
        <w:rPr>
          <w:rFonts w:hint="eastAsia" w:ascii="黑体" w:hAnsi="黑体" w:eastAsia="黑体" w:cs="黑体"/>
          <w:b/>
          <w:bCs/>
          <w:i w:val="0"/>
          <w:iCs w:val="0"/>
          <w:caps w:val="0"/>
          <w:color w:val="000000"/>
          <w:spacing w:val="0"/>
          <w:sz w:val="21"/>
          <w:szCs w:val="21"/>
          <w:highlight w:val="none"/>
        </w:rPr>
      </w:pPr>
      <w:r>
        <w:rPr>
          <w:rStyle w:val="25"/>
          <w:rFonts w:hint="eastAsia" w:ascii="黑体" w:hAnsi="黑体" w:eastAsia="黑体" w:cs="黑体"/>
          <w:b/>
          <w:bCs/>
          <w:i w:val="0"/>
          <w:iCs w:val="0"/>
          <w:caps w:val="0"/>
          <w:color w:val="000000"/>
          <w:spacing w:val="0"/>
          <w:sz w:val="21"/>
          <w:szCs w:val="21"/>
          <w:highlight w:val="none"/>
          <w:shd w:val="clear" w:color="auto" w:fill="FFFFFF"/>
          <w:lang w:val="en-US" w:eastAsia="zh-CN"/>
        </w:rPr>
        <w:t>6、</w:t>
      </w:r>
      <w:r>
        <w:rPr>
          <w:rStyle w:val="25"/>
          <w:rFonts w:hint="eastAsia" w:ascii="黑体" w:hAnsi="黑体" w:eastAsia="黑体" w:cs="黑体"/>
          <w:b/>
          <w:bCs/>
          <w:i w:val="0"/>
          <w:iCs w:val="0"/>
          <w:caps w:val="0"/>
          <w:color w:val="000000"/>
          <w:spacing w:val="0"/>
          <w:sz w:val="21"/>
          <w:szCs w:val="21"/>
          <w:highlight w:val="none"/>
          <w:shd w:val="clear" w:color="auto" w:fill="FFFFFF"/>
        </w:rPr>
        <w:t>发布公告的媒介</w:t>
      </w:r>
    </w:p>
    <w:p w14:paraId="206BF99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shd w:val="clear" w:color="auto" w:fill="FFFFFF"/>
        </w:rPr>
      </w:pPr>
      <w:r>
        <w:rPr>
          <w:rFonts w:hint="eastAsia" w:ascii="黑体" w:hAnsi="黑体" w:eastAsia="黑体" w:cs="黑体"/>
          <w:i w:val="0"/>
          <w:iCs w:val="0"/>
          <w:caps w:val="0"/>
          <w:color w:val="000000"/>
          <w:spacing w:val="0"/>
          <w:sz w:val="21"/>
          <w:szCs w:val="21"/>
          <w:highlight w:val="none"/>
          <w:shd w:val="clear" w:color="auto" w:fill="FFFFFF"/>
        </w:rPr>
        <w:t>本次招标公告同时在</w:t>
      </w:r>
      <w:r>
        <w:rPr>
          <w:rFonts w:hint="eastAsia" w:ascii="黑体" w:hAnsi="黑体" w:eastAsia="黑体" w:cs="黑体"/>
          <w:i w:val="0"/>
          <w:iCs w:val="0"/>
          <w:caps w:val="0"/>
          <w:color w:val="000000"/>
          <w:spacing w:val="0"/>
          <w:sz w:val="21"/>
          <w:szCs w:val="21"/>
          <w:highlight w:val="none"/>
          <w:u w:val="single"/>
          <w:shd w:val="clear" w:color="auto" w:fill="FFFFFF"/>
        </w:rPr>
        <w:t>内蒙古自治区公共资源交易网（http://ggzyjy.nmg.gov.cn）、中国招标投标公共服务平台（http://www.cebpubservice.com）、内蒙古招标投标公共服务平台（http://www.nmgztb.com.cn）</w:t>
      </w:r>
      <w:r>
        <w:rPr>
          <w:rFonts w:hint="eastAsia" w:ascii="黑体" w:hAnsi="黑体" w:eastAsia="黑体" w:cs="黑体"/>
          <w:i w:val="0"/>
          <w:iCs w:val="0"/>
          <w:caps w:val="0"/>
          <w:color w:val="000000"/>
          <w:spacing w:val="0"/>
          <w:sz w:val="21"/>
          <w:szCs w:val="21"/>
          <w:highlight w:val="none"/>
          <w:u w:val="single"/>
          <w:shd w:val="clear" w:color="auto" w:fill="FFFFFF"/>
          <w:lang w:eastAsia="zh-CN"/>
        </w:rPr>
        <w:t>、</w:t>
      </w:r>
      <w:r>
        <w:rPr>
          <w:rFonts w:hint="eastAsia" w:ascii="黑体" w:hAnsi="黑体" w:eastAsia="黑体" w:cs="黑体"/>
          <w:i w:val="0"/>
          <w:iCs w:val="0"/>
          <w:caps w:val="0"/>
          <w:color w:val="000000"/>
          <w:spacing w:val="0"/>
          <w:sz w:val="21"/>
          <w:szCs w:val="21"/>
          <w:highlight w:val="none"/>
          <w:u w:val="single"/>
          <w:shd w:val="clear" w:color="auto" w:fill="FFFFFF"/>
          <w:lang w:val="zh-TW" w:eastAsia="zh-CN"/>
        </w:rPr>
        <w:t>中国采购与招标网（www.chinabidding.com.cn）、内蒙古自治区交通运输厅政务网站（http://jtyst.nmg.gov.cn/zwgk/xmztb/zbgg/）</w:t>
      </w:r>
      <w:r>
        <w:rPr>
          <w:rFonts w:hint="eastAsia" w:ascii="黑体" w:hAnsi="黑体" w:eastAsia="黑体" w:cs="黑体"/>
          <w:i w:val="0"/>
          <w:iCs w:val="0"/>
          <w:caps w:val="0"/>
          <w:color w:val="000000"/>
          <w:spacing w:val="0"/>
          <w:sz w:val="21"/>
          <w:szCs w:val="21"/>
          <w:highlight w:val="none"/>
          <w:shd w:val="clear" w:color="auto" w:fill="FFFFFF"/>
        </w:rPr>
        <w:t>上发布。</w:t>
      </w:r>
    </w:p>
    <w:p w14:paraId="7B9D878B">
      <w:pPr>
        <w:pStyle w:val="1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0"/>
        <w:jc w:val="left"/>
        <w:textAlignment w:val="auto"/>
        <w:rPr>
          <w:rStyle w:val="25"/>
          <w:rFonts w:hint="eastAsia" w:ascii="黑体" w:hAnsi="黑体" w:eastAsia="黑体" w:cs="黑体"/>
          <w:b/>
          <w:bCs/>
          <w:i w:val="0"/>
          <w:iCs w:val="0"/>
          <w:caps w:val="0"/>
          <w:color w:val="000000"/>
          <w:spacing w:val="0"/>
          <w:sz w:val="21"/>
          <w:szCs w:val="21"/>
          <w:highlight w:val="none"/>
          <w:shd w:val="clear" w:color="auto" w:fill="FFFFFF"/>
          <w:lang w:val="en-US" w:eastAsia="zh-CN"/>
        </w:rPr>
      </w:pPr>
      <w:r>
        <w:rPr>
          <w:rStyle w:val="25"/>
          <w:rFonts w:hint="eastAsia" w:ascii="黑体" w:hAnsi="黑体" w:eastAsia="黑体" w:cs="黑体"/>
          <w:b/>
          <w:bCs/>
          <w:i w:val="0"/>
          <w:iCs w:val="0"/>
          <w:caps w:val="0"/>
          <w:color w:val="000000"/>
          <w:spacing w:val="0"/>
          <w:sz w:val="21"/>
          <w:szCs w:val="21"/>
          <w:highlight w:val="none"/>
          <w:shd w:val="clear" w:color="auto" w:fill="FFFFFF"/>
          <w:lang w:val="en-US" w:eastAsia="zh-CN"/>
        </w:rPr>
        <w:t>其他说明</w:t>
      </w:r>
    </w:p>
    <w:p w14:paraId="0D79B677">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Chars="0" w:right="0" w:rightChars="0"/>
        <w:jc w:val="left"/>
        <w:textAlignment w:val="auto"/>
        <w:rPr>
          <w:rStyle w:val="25"/>
          <w:rFonts w:hint="default" w:ascii="黑体" w:hAnsi="黑体" w:eastAsia="黑体" w:cs="黑体"/>
          <w:b/>
          <w:bCs/>
          <w:i w:val="0"/>
          <w:iCs w:val="0"/>
          <w:caps w:val="0"/>
          <w:color w:val="000000"/>
          <w:spacing w:val="0"/>
          <w:sz w:val="21"/>
          <w:szCs w:val="21"/>
          <w:highlight w:val="none"/>
          <w:shd w:val="clear" w:color="auto" w:fill="FFFFFF"/>
          <w:lang w:val="en-US" w:eastAsia="zh-CN"/>
        </w:rPr>
      </w:pPr>
      <w:r>
        <w:rPr>
          <w:rStyle w:val="25"/>
          <w:rFonts w:hint="eastAsia" w:ascii="黑体" w:hAnsi="黑体" w:eastAsia="黑体" w:cs="黑体"/>
          <w:b/>
          <w:bCs/>
          <w:i w:val="0"/>
          <w:iCs w:val="0"/>
          <w:caps w:val="0"/>
          <w:color w:val="000000"/>
          <w:spacing w:val="0"/>
          <w:sz w:val="21"/>
          <w:szCs w:val="21"/>
          <w:highlight w:val="none"/>
          <w:shd w:val="clear" w:color="auto" w:fill="FFFFFF"/>
          <w:lang w:val="en-US" w:eastAsia="zh-CN"/>
        </w:rPr>
        <w:t>无</w:t>
      </w:r>
    </w:p>
    <w:p w14:paraId="4EC5480F">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Chars="0" w:right="0" w:rightChars="0"/>
        <w:jc w:val="left"/>
        <w:textAlignment w:val="auto"/>
        <w:rPr>
          <w:rStyle w:val="25"/>
          <w:rFonts w:hint="eastAsia" w:ascii="黑体" w:hAnsi="黑体" w:eastAsia="黑体" w:cs="黑体"/>
          <w:b/>
          <w:bCs/>
          <w:i w:val="0"/>
          <w:iCs w:val="0"/>
          <w:caps w:val="0"/>
          <w:color w:val="000000"/>
          <w:spacing w:val="0"/>
          <w:sz w:val="21"/>
          <w:szCs w:val="21"/>
          <w:highlight w:val="none"/>
          <w:shd w:val="clear" w:color="auto" w:fill="FFFFFF"/>
          <w:lang w:val="en-US" w:eastAsia="zh-CN"/>
        </w:rPr>
      </w:pPr>
      <w:r>
        <w:rPr>
          <w:rStyle w:val="25"/>
          <w:rFonts w:hint="eastAsia" w:ascii="黑体" w:hAnsi="黑体" w:eastAsia="黑体" w:cs="黑体"/>
          <w:b/>
          <w:bCs/>
          <w:i w:val="0"/>
          <w:iCs w:val="0"/>
          <w:caps w:val="0"/>
          <w:color w:val="000000"/>
          <w:spacing w:val="0"/>
          <w:sz w:val="21"/>
          <w:szCs w:val="21"/>
          <w:highlight w:val="none"/>
          <w:shd w:val="clear" w:color="auto" w:fill="FFFFFF"/>
          <w:lang w:val="en-US" w:eastAsia="zh-CN"/>
        </w:rPr>
        <w:t>8.联系方式</w:t>
      </w:r>
    </w:p>
    <w:p w14:paraId="4697896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rPr>
      </w:pPr>
      <w:r>
        <w:rPr>
          <w:rFonts w:hint="eastAsia" w:ascii="黑体" w:hAnsi="黑体" w:eastAsia="黑体" w:cs="黑体"/>
          <w:i w:val="0"/>
          <w:iCs w:val="0"/>
          <w:caps w:val="0"/>
          <w:color w:val="000000"/>
          <w:spacing w:val="0"/>
          <w:sz w:val="21"/>
          <w:szCs w:val="21"/>
          <w:highlight w:val="none"/>
          <w:shd w:val="clear" w:color="auto" w:fill="FFFFFF"/>
        </w:rPr>
        <w:t>招</w:t>
      </w:r>
      <w:r>
        <w:rPr>
          <w:rFonts w:hint="eastAsia" w:ascii="黑体" w:hAnsi="黑体" w:eastAsia="黑体" w:cs="黑体"/>
          <w:i w:val="0"/>
          <w:iCs w:val="0"/>
          <w:caps w:val="0"/>
          <w:color w:val="000000"/>
          <w:spacing w:val="0"/>
          <w:sz w:val="21"/>
          <w:szCs w:val="21"/>
          <w:highlight w:val="none"/>
          <w:shd w:val="clear" w:color="auto" w:fill="FFFFFF"/>
          <w:lang w:val="en-US" w:eastAsia="zh-CN"/>
        </w:rPr>
        <w:t xml:space="preserve"> </w:t>
      </w:r>
      <w:r>
        <w:rPr>
          <w:rFonts w:hint="eastAsia" w:ascii="黑体" w:hAnsi="黑体" w:eastAsia="黑体" w:cs="黑体"/>
          <w:i w:val="0"/>
          <w:iCs w:val="0"/>
          <w:caps w:val="0"/>
          <w:color w:val="000000"/>
          <w:spacing w:val="0"/>
          <w:sz w:val="21"/>
          <w:szCs w:val="21"/>
          <w:highlight w:val="none"/>
          <w:shd w:val="clear" w:color="auto" w:fill="FFFFFF"/>
        </w:rPr>
        <w:t>标</w:t>
      </w:r>
      <w:r>
        <w:rPr>
          <w:rFonts w:hint="eastAsia" w:ascii="黑体" w:hAnsi="黑体" w:eastAsia="黑体" w:cs="黑体"/>
          <w:i w:val="0"/>
          <w:iCs w:val="0"/>
          <w:caps w:val="0"/>
          <w:color w:val="000000"/>
          <w:spacing w:val="0"/>
          <w:sz w:val="21"/>
          <w:szCs w:val="21"/>
          <w:highlight w:val="none"/>
          <w:shd w:val="clear" w:color="auto" w:fill="FFFFFF"/>
          <w:lang w:val="en-US" w:eastAsia="zh-CN"/>
        </w:rPr>
        <w:t xml:space="preserve"> </w:t>
      </w:r>
      <w:r>
        <w:rPr>
          <w:rFonts w:hint="eastAsia" w:ascii="黑体" w:hAnsi="黑体" w:eastAsia="黑体" w:cs="黑体"/>
          <w:i w:val="0"/>
          <w:iCs w:val="0"/>
          <w:caps w:val="0"/>
          <w:color w:val="000000"/>
          <w:spacing w:val="0"/>
          <w:sz w:val="21"/>
          <w:szCs w:val="21"/>
          <w:highlight w:val="none"/>
          <w:shd w:val="clear" w:color="auto" w:fill="FFFFFF"/>
        </w:rPr>
        <w:t>人：</w:t>
      </w:r>
      <w:r>
        <w:rPr>
          <w:rFonts w:hint="eastAsia" w:ascii="黑体" w:hAnsi="黑体" w:eastAsia="黑体" w:cs="黑体"/>
          <w:i w:val="0"/>
          <w:iCs w:val="0"/>
          <w:caps w:val="0"/>
          <w:color w:val="000000"/>
          <w:spacing w:val="0"/>
          <w:sz w:val="21"/>
          <w:szCs w:val="21"/>
          <w:highlight w:val="none"/>
          <w:shd w:val="clear" w:color="auto" w:fill="FFFFFF"/>
          <w:lang w:val="en-US" w:eastAsia="zh-CN"/>
        </w:rPr>
        <w:t>新巴尔虎左旗住房建设和交通运输局</w:t>
      </w:r>
    </w:p>
    <w:p w14:paraId="46B2CC1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lang w:eastAsia="zh-CN"/>
        </w:rPr>
      </w:pPr>
      <w:r>
        <w:rPr>
          <w:rFonts w:hint="eastAsia" w:ascii="黑体" w:hAnsi="黑体" w:eastAsia="黑体" w:cs="黑体"/>
          <w:i w:val="0"/>
          <w:iCs w:val="0"/>
          <w:caps w:val="0"/>
          <w:color w:val="000000"/>
          <w:spacing w:val="0"/>
          <w:sz w:val="21"/>
          <w:szCs w:val="21"/>
          <w:highlight w:val="none"/>
          <w:shd w:val="clear" w:color="auto" w:fill="FFFFFF"/>
        </w:rPr>
        <w:t>地</w:t>
      </w:r>
      <w:r>
        <w:rPr>
          <w:rFonts w:hint="eastAsia" w:ascii="黑体" w:hAnsi="黑体" w:eastAsia="黑体" w:cs="黑体"/>
          <w:i w:val="0"/>
          <w:iCs w:val="0"/>
          <w:caps w:val="0"/>
          <w:color w:val="000000"/>
          <w:spacing w:val="0"/>
          <w:sz w:val="21"/>
          <w:szCs w:val="21"/>
          <w:highlight w:val="none"/>
          <w:shd w:val="clear" w:color="auto" w:fill="FFFFFF"/>
          <w:lang w:val="en-US" w:eastAsia="zh-CN"/>
        </w:rPr>
        <w:t xml:space="preserve">    </w:t>
      </w:r>
      <w:r>
        <w:rPr>
          <w:rFonts w:hint="eastAsia" w:ascii="黑体" w:hAnsi="黑体" w:eastAsia="黑体" w:cs="黑体"/>
          <w:i w:val="0"/>
          <w:iCs w:val="0"/>
          <w:caps w:val="0"/>
          <w:color w:val="000000"/>
          <w:spacing w:val="0"/>
          <w:sz w:val="21"/>
          <w:szCs w:val="21"/>
          <w:highlight w:val="none"/>
          <w:shd w:val="clear" w:color="auto" w:fill="FFFFFF"/>
        </w:rPr>
        <w:t>址：</w:t>
      </w:r>
      <w:r>
        <w:rPr>
          <w:rFonts w:hint="eastAsia" w:ascii="黑体" w:hAnsi="黑体" w:eastAsia="黑体" w:cs="黑体"/>
          <w:i w:val="0"/>
          <w:iCs w:val="0"/>
          <w:caps w:val="0"/>
          <w:color w:val="000000"/>
          <w:spacing w:val="0"/>
          <w:sz w:val="21"/>
          <w:szCs w:val="21"/>
          <w:highlight w:val="none"/>
          <w:shd w:val="clear" w:color="auto" w:fill="FFFFFF"/>
          <w:lang w:eastAsia="zh-CN"/>
        </w:rPr>
        <w:t>新巴尔虎左旗阿木古郎镇呼格吉乐街和巴尔虎路交汇处向北1500米</w:t>
      </w:r>
    </w:p>
    <w:p w14:paraId="6FBC68E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rPr>
      </w:pPr>
      <w:r>
        <w:rPr>
          <w:rFonts w:hint="eastAsia" w:ascii="黑体" w:hAnsi="黑体" w:eastAsia="黑体" w:cs="黑体"/>
          <w:i w:val="0"/>
          <w:iCs w:val="0"/>
          <w:caps w:val="0"/>
          <w:color w:val="000000"/>
          <w:spacing w:val="0"/>
          <w:sz w:val="21"/>
          <w:szCs w:val="21"/>
          <w:highlight w:val="none"/>
          <w:shd w:val="clear" w:color="auto" w:fill="FFFFFF"/>
        </w:rPr>
        <w:t>联</w:t>
      </w:r>
      <w:r>
        <w:rPr>
          <w:rFonts w:hint="eastAsia" w:ascii="黑体" w:hAnsi="黑体" w:eastAsia="黑体" w:cs="黑体"/>
          <w:i w:val="0"/>
          <w:iCs w:val="0"/>
          <w:caps w:val="0"/>
          <w:color w:val="000000"/>
          <w:spacing w:val="0"/>
          <w:sz w:val="21"/>
          <w:szCs w:val="21"/>
          <w:highlight w:val="none"/>
          <w:shd w:val="clear" w:color="auto" w:fill="FFFFFF"/>
          <w:lang w:val="en-US" w:eastAsia="zh-CN"/>
        </w:rPr>
        <w:t xml:space="preserve"> </w:t>
      </w:r>
      <w:r>
        <w:rPr>
          <w:rFonts w:hint="eastAsia" w:ascii="黑体" w:hAnsi="黑体" w:eastAsia="黑体" w:cs="黑体"/>
          <w:i w:val="0"/>
          <w:iCs w:val="0"/>
          <w:caps w:val="0"/>
          <w:color w:val="000000"/>
          <w:spacing w:val="0"/>
          <w:sz w:val="21"/>
          <w:szCs w:val="21"/>
          <w:highlight w:val="none"/>
          <w:shd w:val="clear" w:color="auto" w:fill="FFFFFF"/>
        </w:rPr>
        <w:t>系</w:t>
      </w:r>
      <w:r>
        <w:rPr>
          <w:rFonts w:hint="eastAsia" w:ascii="黑体" w:hAnsi="黑体" w:eastAsia="黑体" w:cs="黑体"/>
          <w:i w:val="0"/>
          <w:iCs w:val="0"/>
          <w:caps w:val="0"/>
          <w:color w:val="000000"/>
          <w:spacing w:val="0"/>
          <w:sz w:val="21"/>
          <w:szCs w:val="21"/>
          <w:highlight w:val="none"/>
          <w:shd w:val="clear" w:color="auto" w:fill="FFFFFF"/>
          <w:lang w:val="en-US" w:eastAsia="zh-CN"/>
        </w:rPr>
        <w:t xml:space="preserve"> </w:t>
      </w:r>
      <w:r>
        <w:rPr>
          <w:rFonts w:hint="eastAsia" w:ascii="黑体" w:hAnsi="黑体" w:eastAsia="黑体" w:cs="黑体"/>
          <w:i w:val="0"/>
          <w:iCs w:val="0"/>
          <w:caps w:val="0"/>
          <w:color w:val="000000"/>
          <w:spacing w:val="0"/>
          <w:sz w:val="21"/>
          <w:szCs w:val="21"/>
          <w:highlight w:val="none"/>
          <w:shd w:val="clear" w:color="auto" w:fill="FFFFFF"/>
        </w:rPr>
        <w:t>人：</w:t>
      </w:r>
      <w:r>
        <w:rPr>
          <w:rFonts w:hint="eastAsia" w:ascii="黑体" w:hAnsi="黑体" w:eastAsia="黑体" w:cs="黑体"/>
          <w:b w:val="0"/>
          <w:bCs w:val="0"/>
          <w:i w:val="0"/>
          <w:iCs w:val="0"/>
          <w:caps w:val="0"/>
          <w:color w:val="000000"/>
          <w:spacing w:val="0"/>
          <w:sz w:val="21"/>
          <w:szCs w:val="21"/>
          <w:highlight w:val="none"/>
          <w:shd w:val="clear" w:color="auto" w:fill="FFFFFF"/>
          <w:lang w:val="en-US" w:eastAsia="zh-CN"/>
        </w:rPr>
        <w:t>郭先生</w:t>
      </w:r>
    </w:p>
    <w:p w14:paraId="000A684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default" w:ascii="黑体" w:hAnsi="黑体" w:eastAsia="黑体" w:cs="黑体"/>
          <w:i w:val="0"/>
          <w:iCs w:val="0"/>
          <w:caps w:val="0"/>
          <w:color w:val="000000"/>
          <w:spacing w:val="0"/>
          <w:sz w:val="21"/>
          <w:szCs w:val="21"/>
          <w:highlight w:val="none"/>
          <w:shd w:val="clear" w:color="auto" w:fill="FFFFFF"/>
          <w:lang w:val="en-US"/>
        </w:rPr>
      </w:pPr>
      <w:r>
        <w:rPr>
          <w:rFonts w:hint="eastAsia" w:ascii="黑体" w:hAnsi="黑体" w:eastAsia="黑体" w:cs="黑体"/>
          <w:i w:val="0"/>
          <w:iCs w:val="0"/>
          <w:caps w:val="0"/>
          <w:color w:val="000000"/>
          <w:spacing w:val="0"/>
          <w:sz w:val="21"/>
          <w:szCs w:val="21"/>
          <w:highlight w:val="none"/>
          <w:shd w:val="clear" w:color="auto" w:fill="FFFFFF"/>
          <w:lang w:val="en-US" w:eastAsia="zh-CN"/>
        </w:rPr>
        <w:t>联系</w:t>
      </w:r>
      <w:r>
        <w:rPr>
          <w:rFonts w:hint="eastAsia" w:ascii="黑体" w:hAnsi="黑体" w:eastAsia="黑体" w:cs="黑体"/>
          <w:i w:val="0"/>
          <w:iCs w:val="0"/>
          <w:caps w:val="0"/>
          <w:color w:val="000000"/>
          <w:spacing w:val="0"/>
          <w:sz w:val="21"/>
          <w:szCs w:val="21"/>
          <w:highlight w:val="none"/>
          <w:shd w:val="clear" w:color="auto" w:fill="FFFFFF"/>
        </w:rPr>
        <w:t>电话：</w:t>
      </w:r>
      <w:r>
        <w:rPr>
          <w:rFonts w:hint="eastAsia" w:ascii="黑体" w:hAnsi="黑体" w:eastAsia="黑体" w:cs="黑体"/>
          <w:i w:val="0"/>
          <w:iCs w:val="0"/>
          <w:caps w:val="0"/>
          <w:color w:val="000000"/>
          <w:spacing w:val="0"/>
          <w:sz w:val="21"/>
          <w:szCs w:val="21"/>
          <w:highlight w:val="none"/>
          <w:shd w:val="clear" w:color="auto" w:fill="FFFFFF"/>
          <w:lang w:val="en-US" w:eastAsia="zh-CN"/>
        </w:rPr>
        <w:t>0470-6686603</w:t>
      </w:r>
    </w:p>
    <w:p w14:paraId="0CCD9BB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rPr>
      </w:pPr>
      <w:r>
        <w:rPr>
          <w:rFonts w:hint="eastAsia" w:ascii="黑体" w:hAnsi="黑体" w:eastAsia="黑体" w:cs="黑体"/>
          <w:i w:val="0"/>
          <w:iCs w:val="0"/>
          <w:caps w:val="0"/>
          <w:color w:val="000000"/>
          <w:spacing w:val="0"/>
          <w:sz w:val="21"/>
          <w:szCs w:val="21"/>
          <w:highlight w:val="none"/>
          <w:shd w:val="clear" w:color="auto" w:fill="FFFFFF"/>
        </w:rPr>
        <w:t>招标代理：</w:t>
      </w:r>
      <w:r>
        <w:rPr>
          <w:rFonts w:hint="eastAsia" w:ascii="黑体" w:hAnsi="黑体" w:eastAsia="黑体" w:cs="黑体"/>
          <w:i w:val="0"/>
          <w:iCs w:val="0"/>
          <w:caps w:val="0"/>
          <w:color w:val="000000"/>
          <w:spacing w:val="0"/>
          <w:sz w:val="21"/>
          <w:szCs w:val="21"/>
          <w:highlight w:val="none"/>
          <w:shd w:val="clear" w:color="auto" w:fill="FFFFFF"/>
          <w:lang w:eastAsia="zh-CN"/>
        </w:rPr>
        <w:t>东信工程项目管理有限公司</w:t>
      </w:r>
    </w:p>
    <w:p w14:paraId="73B94BF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rPr>
      </w:pPr>
      <w:r>
        <w:rPr>
          <w:rFonts w:hint="eastAsia" w:ascii="黑体" w:hAnsi="黑体" w:eastAsia="黑体" w:cs="黑体"/>
          <w:i w:val="0"/>
          <w:iCs w:val="0"/>
          <w:caps w:val="0"/>
          <w:color w:val="000000"/>
          <w:spacing w:val="0"/>
          <w:sz w:val="21"/>
          <w:szCs w:val="21"/>
          <w:highlight w:val="none"/>
          <w:shd w:val="clear" w:color="auto" w:fill="FFFFFF"/>
        </w:rPr>
        <w:t>地</w:t>
      </w:r>
      <w:r>
        <w:rPr>
          <w:rFonts w:hint="eastAsia" w:ascii="黑体" w:hAnsi="黑体" w:eastAsia="黑体" w:cs="黑体"/>
          <w:i w:val="0"/>
          <w:iCs w:val="0"/>
          <w:caps w:val="0"/>
          <w:color w:val="000000"/>
          <w:spacing w:val="0"/>
          <w:sz w:val="21"/>
          <w:szCs w:val="21"/>
          <w:highlight w:val="none"/>
          <w:shd w:val="clear" w:color="auto" w:fill="FFFFFF"/>
          <w:lang w:val="en-US" w:eastAsia="zh-CN"/>
        </w:rPr>
        <w:t xml:space="preserve">    </w:t>
      </w:r>
      <w:r>
        <w:rPr>
          <w:rFonts w:hint="eastAsia" w:ascii="黑体" w:hAnsi="黑体" w:eastAsia="黑体" w:cs="黑体"/>
          <w:i w:val="0"/>
          <w:iCs w:val="0"/>
          <w:caps w:val="0"/>
          <w:color w:val="000000"/>
          <w:spacing w:val="0"/>
          <w:sz w:val="21"/>
          <w:szCs w:val="21"/>
          <w:highlight w:val="none"/>
          <w:shd w:val="clear" w:color="auto" w:fill="FFFFFF"/>
        </w:rPr>
        <w:t>址：</w:t>
      </w:r>
      <w:r>
        <w:rPr>
          <w:rFonts w:hint="eastAsia" w:ascii="黑体" w:hAnsi="黑体" w:eastAsia="黑体" w:cs="黑体"/>
          <w:i w:val="0"/>
          <w:iCs w:val="0"/>
          <w:caps w:val="0"/>
          <w:color w:val="000000"/>
          <w:spacing w:val="0"/>
          <w:sz w:val="21"/>
          <w:szCs w:val="21"/>
          <w:highlight w:val="none"/>
          <w:shd w:val="clear" w:color="auto" w:fill="FFFFFF"/>
          <w:lang w:val="zh-TW" w:eastAsia="zh-CN"/>
        </w:rPr>
        <w:t>哈尔滨市香坊区松梅路恒大御景湾二期F2栋1-3层01号</w:t>
      </w:r>
    </w:p>
    <w:p w14:paraId="34BB13D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default" w:ascii="黑体" w:hAnsi="黑体" w:eastAsia="黑体" w:cs="黑体"/>
          <w:i w:val="0"/>
          <w:iCs w:val="0"/>
          <w:caps w:val="0"/>
          <w:color w:val="000000"/>
          <w:spacing w:val="0"/>
          <w:sz w:val="21"/>
          <w:szCs w:val="21"/>
          <w:highlight w:val="none"/>
          <w:lang w:val="en-US"/>
        </w:rPr>
      </w:pPr>
      <w:r>
        <w:rPr>
          <w:rFonts w:hint="eastAsia" w:ascii="黑体" w:hAnsi="黑体" w:eastAsia="黑体" w:cs="黑体"/>
          <w:i w:val="0"/>
          <w:iCs w:val="0"/>
          <w:caps w:val="0"/>
          <w:color w:val="000000"/>
          <w:spacing w:val="0"/>
          <w:sz w:val="21"/>
          <w:szCs w:val="21"/>
          <w:highlight w:val="none"/>
          <w:shd w:val="clear" w:color="auto" w:fill="FFFFFF"/>
        </w:rPr>
        <w:t>联</w:t>
      </w:r>
      <w:r>
        <w:rPr>
          <w:rFonts w:hint="eastAsia" w:ascii="黑体" w:hAnsi="黑体" w:eastAsia="黑体" w:cs="黑体"/>
          <w:i w:val="0"/>
          <w:iCs w:val="0"/>
          <w:caps w:val="0"/>
          <w:color w:val="000000"/>
          <w:spacing w:val="0"/>
          <w:sz w:val="21"/>
          <w:szCs w:val="21"/>
          <w:highlight w:val="none"/>
          <w:shd w:val="clear" w:color="auto" w:fill="FFFFFF"/>
          <w:lang w:val="en-US" w:eastAsia="zh-CN"/>
        </w:rPr>
        <w:t xml:space="preserve"> </w:t>
      </w:r>
      <w:r>
        <w:rPr>
          <w:rFonts w:hint="eastAsia" w:ascii="黑体" w:hAnsi="黑体" w:eastAsia="黑体" w:cs="黑体"/>
          <w:i w:val="0"/>
          <w:iCs w:val="0"/>
          <w:caps w:val="0"/>
          <w:color w:val="000000"/>
          <w:spacing w:val="0"/>
          <w:sz w:val="21"/>
          <w:szCs w:val="21"/>
          <w:highlight w:val="none"/>
          <w:shd w:val="clear" w:color="auto" w:fill="FFFFFF"/>
        </w:rPr>
        <w:t>系</w:t>
      </w:r>
      <w:r>
        <w:rPr>
          <w:rFonts w:hint="eastAsia" w:ascii="黑体" w:hAnsi="黑体" w:eastAsia="黑体" w:cs="黑体"/>
          <w:i w:val="0"/>
          <w:iCs w:val="0"/>
          <w:caps w:val="0"/>
          <w:color w:val="000000"/>
          <w:spacing w:val="0"/>
          <w:sz w:val="21"/>
          <w:szCs w:val="21"/>
          <w:highlight w:val="none"/>
          <w:shd w:val="clear" w:color="auto" w:fill="FFFFFF"/>
          <w:lang w:val="en-US" w:eastAsia="zh-CN"/>
        </w:rPr>
        <w:t xml:space="preserve"> </w:t>
      </w:r>
      <w:r>
        <w:rPr>
          <w:rFonts w:hint="eastAsia" w:ascii="黑体" w:hAnsi="黑体" w:eastAsia="黑体" w:cs="黑体"/>
          <w:i w:val="0"/>
          <w:iCs w:val="0"/>
          <w:caps w:val="0"/>
          <w:color w:val="000000"/>
          <w:spacing w:val="0"/>
          <w:sz w:val="21"/>
          <w:szCs w:val="21"/>
          <w:highlight w:val="none"/>
          <w:shd w:val="clear" w:color="auto" w:fill="FFFFFF"/>
        </w:rPr>
        <w:t>人：</w:t>
      </w:r>
      <w:r>
        <w:rPr>
          <w:rFonts w:hint="eastAsia" w:ascii="黑体" w:hAnsi="黑体" w:eastAsia="黑体" w:cs="黑体"/>
          <w:i w:val="0"/>
          <w:iCs w:val="0"/>
          <w:caps w:val="0"/>
          <w:color w:val="000000"/>
          <w:spacing w:val="0"/>
          <w:sz w:val="21"/>
          <w:szCs w:val="21"/>
          <w:highlight w:val="none"/>
          <w:shd w:val="clear" w:color="auto" w:fill="FFFFFF"/>
          <w:lang w:val="en-US" w:eastAsia="zh-CN"/>
        </w:rPr>
        <w:t>李静</w:t>
      </w:r>
    </w:p>
    <w:p w14:paraId="5034E40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default"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i w:val="0"/>
          <w:iCs w:val="0"/>
          <w:caps w:val="0"/>
          <w:color w:val="000000"/>
          <w:spacing w:val="0"/>
          <w:sz w:val="21"/>
          <w:szCs w:val="21"/>
          <w:highlight w:val="none"/>
          <w:shd w:val="clear" w:color="auto" w:fill="FFFFFF"/>
          <w:lang w:val="en-US" w:eastAsia="zh-CN"/>
        </w:rPr>
        <w:t>联系</w:t>
      </w:r>
      <w:r>
        <w:rPr>
          <w:rFonts w:hint="eastAsia" w:ascii="黑体" w:hAnsi="黑体" w:eastAsia="黑体" w:cs="黑体"/>
          <w:i w:val="0"/>
          <w:iCs w:val="0"/>
          <w:caps w:val="0"/>
          <w:color w:val="000000"/>
          <w:spacing w:val="0"/>
          <w:sz w:val="21"/>
          <w:szCs w:val="21"/>
          <w:highlight w:val="none"/>
          <w:shd w:val="clear" w:color="auto" w:fill="FFFFFF"/>
        </w:rPr>
        <w:t>电话：</w:t>
      </w:r>
      <w:r>
        <w:rPr>
          <w:rFonts w:hint="eastAsia" w:ascii="黑体" w:hAnsi="黑体" w:eastAsia="黑体" w:cs="黑体"/>
          <w:i w:val="0"/>
          <w:iCs w:val="0"/>
          <w:caps w:val="0"/>
          <w:color w:val="000000"/>
          <w:spacing w:val="0"/>
          <w:sz w:val="21"/>
          <w:szCs w:val="21"/>
          <w:highlight w:val="none"/>
          <w:shd w:val="clear" w:color="auto" w:fill="FFFFFF"/>
          <w:lang w:val="en-US" w:eastAsia="zh-CN"/>
        </w:rPr>
        <w:t>15647029149</w:t>
      </w:r>
    </w:p>
    <w:p w14:paraId="6AE39C3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i w:val="0"/>
          <w:iCs w:val="0"/>
          <w:caps w:val="0"/>
          <w:color w:val="000000"/>
          <w:spacing w:val="0"/>
          <w:sz w:val="21"/>
          <w:szCs w:val="21"/>
          <w:highlight w:val="none"/>
          <w:shd w:val="clear" w:color="auto" w:fill="FFFFFF"/>
          <w:lang w:val="en-US" w:eastAsia="zh-CN"/>
        </w:rPr>
        <w:t xml:space="preserve">行业监管：新巴尔虎左旗住房建设和交通运输局 </w:t>
      </w:r>
    </w:p>
    <w:p w14:paraId="0AF6119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i w:val="0"/>
          <w:iCs w:val="0"/>
          <w:caps w:val="0"/>
          <w:color w:val="000000"/>
          <w:spacing w:val="0"/>
          <w:sz w:val="21"/>
          <w:szCs w:val="21"/>
          <w:highlight w:val="none"/>
          <w:shd w:val="clear" w:color="auto" w:fill="FFFFFF"/>
          <w:lang w:val="en-US" w:eastAsia="zh-CN"/>
        </w:rPr>
        <w:t>地    址：新巴尔虎左旗阿木古郎镇呼格吉乐街和巴尔虎路交汇处向北1500米</w:t>
      </w:r>
    </w:p>
    <w:p w14:paraId="79E4E08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default"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i w:val="0"/>
          <w:iCs w:val="0"/>
          <w:caps w:val="0"/>
          <w:color w:val="000000"/>
          <w:spacing w:val="0"/>
          <w:sz w:val="21"/>
          <w:szCs w:val="21"/>
          <w:highlight w:val="none"/>
          <w:shd w:val="clear" w:color="auto" w:fill="FFFFFF"/>
          <w:lang w:val="en-US" w:eastAsia="zh-CN"/>
        </w:rPr>
        <w:t>联 系 人：玲玲</w:t>
      </w:r>
    </w:p>
    <w:p w14:paraId="24A26F8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0" w:right="0" w:firstLine="39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i w:val="0"/>
          <w:iCs w:val="0"/>
          <w:caps w:val="0"/>
          <w:color w:val="000000"/>
          <w:spacing w:val="0"/>
          <w:sz w:val="21"/>
          <w:szCs w:val="21"/>
          <w:highlight w:val="none"/>
          <w:shd w:val="clear" w:color="auto" w:fill="FFFFFF"/>
          <w:lang w:val="en-US" w:eastAsia="zh-CN"/>
        </w:rPr>
        <w:t>联系电话：0470-6603085</w:t>
      </w:r>
    </w:p>
    <w:p w14:paraId="426018EC">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leftChars="0" w:right="0" w:rightChars="0"/>
        <w:jc w:val="both"/>
        <w:textAlignment w:val="auto"/>
        <w:rPr>
          <w:rFonts w:hint="eastAsia" w:ascii="黑体" w:hAnsi="黑体" w:eastAsia="黑体" w:cs="黑体"/>
          <w:i w:val="0"/>
          <w:iCs w:val="0"/>
          <w:caps w:val="0"/>
          <w:color w:val="000000"/>
          <w:spacing w:val="0"/>
          <w:sz w:val="21"/>
          <w:szCs w:val="21"/>
          <w:highlight w:val="none"/>
          <w:shd w:val="clear" w:color="auto" w:fill="FFFFFF"/>
          <w:lang w:val="en-US" w:eastAsia="zh-CN"/>
        </w:rPr>
      </w:pPr>
      <w:r>
        <w:rPr>
          <w:rFonts w:hint="eastAsia" w:ascii="黑体" w:hAnsi="黑体" w:eastAsia="黑体" w:cs="黑体"/>
          <w:b/>
          <w:bCs/>
          <w:i w:val="0"/>
          <w:iCs w:val="0"/>
          <w:caps w:val="0"/>
          <w:color w:val="000000"/>
          <w:spacing w:val="0"/>
          <w:sz w:val="21"/>
          <w:szCs w:val="21"/>
          <w:highlight w:val="none"/>
          <w:shd w:val="clear" w:color="auto" w:fill="FFFFFF"/>
          <w:lang w:val="en-US" w:eastAsia="zh-CN"/>
        </w:rPr>
        <w:t>9.提出异议的渠道和方式：</w:t>
      </w:r>
      <w:r>
        <w:rPr>
          <w:rFonts w:hint="eastAsia" w:ascii="黑体" w:hAnsi="黑体" w:eastAsia="黑体" w:cs="黑体"/>
          <w:b w:val="0"/>
          <w:bCs w:val="0"/>
          <w:i w:val="0"/>
          <w:iCs w:val="0"/>
          <w:caps w:val="0"/>
          <w:color w:val="000000"/>
          <w:spacing w:val="0"/>
          <w:sz w:val="21"/>
          <w:szCs w:val="21"/>
          <w:highlight w:val="none"/>
          <w:shd w:val="clear" w:color="auto" w:fill="FFFFFF"/>
          <w:lang w:val="en-US" w:eastAsia="zh-CN"/>
        </w:rPr>
        <w:t>投标人或者其他利害关系人如有异议可通过内蒙古公共资源交易中心工程项目交易系统在线提交异议，并通过本公告注明的招标人联系方式向招标人反馈。</w:t>
      </w:r>
    </w:p>
    <w:p w14:paraId="1D4F369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360" w:lineRule="auto"/>
        <w:ind w:right="0"/>
        <w:jc w:val="both"/>
        <w:textAlignment w:val="auto"/>
        <w:rPr>
          <w:rFonts w:hint="eastAsia" w:ascii="黑体" w:hAnsi="黑体" w:eastAsia="黑体" w:cs="黑体"/>
          <w:b/>
          <w:bCs/>
          <w:i w:val="0"/>
          <w:iCs w:val="0"/>
          <w:caps w:val="0"/>
          <w:color w:val="000000"/>
          <w:spacing w:val="0"/>
          <w:sz w:val="21"/>
          <w:szCs w:val="21"/>
          <w:highlight w:val="none"/>
          <w:lang w:val="en-US" w:eastAsia="zh-CN"/>
        </w:rPr>
      </w:pPr>
      <w:r>
        <w:rPr>
          <w:rFonts w:hint="eastAsia" w:ascii="黑体" w:hAnsi="黑体" w:eastAsia="黑体" w:cs="黑体"/>
          <w:b/>
          <w:bCs/>
          <w:i w:val="0"/>
          <w:iCs w:val="0"/>
          <w:caps w:val="0"/>
          <w:color w:val="000000"/>
          <w:spacing w:val="0"/>
          <w:sz w:val="21"/>
          <w:szCs w:val="21"/>
          <w:highlight w:val="none"/>
          <w:lang w:val="en-US" w:eastAsia="zh-CN"/>
        </w:rPr>
        <w:t>10.投标注意事项</w:t>
      </w:r>
    </w:p>
    <w:p w14:paraId="4B6C960C">
      <w:pPr>
        <w:spacing w:line="360" w:lineRule="auto"/>
        <w:rPr>
          <w:rFonts w:hint="eastAsia" w:ascii="黑体" w:hAnsi="黑体" w:eastAsia="黑体" w:cs="黑体"/>
          <w:sz w:val="21"/>
          <w:szCs w:val="21"/>
          <w:highlight w:val="none"/>
          <w:u w:val="single"/>
          <w:lang w:val="en-US" w:eastAsia="zh-CN"/>
        </w:rPr>
      </w:pPr>
      <w:r>
        <w:rPr>
          <w:rFonts w:hint="eastAsia" w:ascii="黑体" w:hAnsi="黑体" w:eastAsia="黑体" w:cs="黑体"/>
          <w:sz w:val="21"/>
          <w:szCs w:val="21"/>
          <w:highlight w:val="none"/>
          <w:lang w:val="en-US" w:eastAsia="zh-CN"/>
        </w:rPr>
        <w:t>10.1、领取招标文件登录地址：</w:t>
      </w:r>
      <w:r>
        <w:rPr>
          <w:rFonts w:hint="eastAsia" w:ascii="黑体" w:hAnsi="黑体" w:eastAsia="黑体" w:cs="黑体"/>
          <w:i w:val="0"/>
          <w:iCs w:val="0"/>
          <w:caps w:val="0"/>
          <w:color w:val="000000"/>
          <w:spacing w:val="0"/>
          <w:sz w:val="21"/>
          <w:szCs w:val="21"/>
          <w:highlight w:val="none"/>
          <w:u w:val="single"/>
        </w:rPr>
        <w:t>请登录《内蒙古自治区工程项目交易系统》（https://219.148.175.179:9443/tpbidder），领取格式为</w:t>
      </w:r>
      <w:r>
        <w:rPr>
          <w:rFonts w:hint="eastAsia" w:ascii="黑体" w:hAnsi="黑体" w:eastAsia="黑体" w:cs="黑体"/>
          <w:i w:val="0"/>
          <w:iCs w:val="0"/>
          <w:caps w:val="0"/>
          <w:color w:val="000000"/>
          <w:spacing w:val="0"/>
          <w:sz w:val="21"/>
          <w:szCs w:val="21"/>
          <w:highlight w:val="none"/>
          <w:u w:val="single"/>
          <w:lang w:eastAsia="zh-CN"/>
        </w:rPr>
        <w:t>“</w:t>
      </w:r>
      <w:r>
        <w:rPr>
          <w:rFonts w:hint="eastAsia" w:ascii="黑体" w:hAnsi="黑体" w:eastAsia="黑体" w:cs="黑体"/>
          <w:i w:val="0"/>
          <w:iCs w:val="0"/>
          <w:caps w:val="0"/>
          <w:color w:val="000000"/>
          <w:spacing w:val="0"/>
          <w:sz w:val="21"/>
          <w:szCs w:val="21"/>
          <w:highlight w:val="none"/>
          <w:u w:val="single"/>
        </w:rPr>
        <w:t>nmgzf</w:t>
      </w:r>
      <w:r>
        <w:rPr>
          <w:rFonts w:hint="eastAsia" w:ascii="黑体" w:hAnsi="黑体" w:eastAsia="黑体" w:cs="黑体"/>
          <w:i w:val="0"/>
          <w:iCs w:val="0"/>
          <w:caps w:val="0"/>
          <w:color w:val="000000"/>
          <w:spacing w:val="0"/>
          <w:sz w:val="21"/>
          <w:szCs w:val="21"/>
          <w:highlight w:val="none"/>
          <w:u w:val="single"/>
          <w:lang w:eastAsia="zh-CN"/>
        </w:rPr>
        <w:t>”</w:t>
      </w:r>
      <w:r>
        <w:rPr>
          <w:rFonts w:hint="eastAsia" w:ascii="黑体" w:hAnsi="黑体" w:eastAsia="黑体" w:cs="黑体"/>
          <w:i w:val="0"/>
          <w:iCs w:val="0"/>
          <w:caps w:val="0"/>
          <w:color w:val="000000"/>
          <w:spacing w:val="0"/>
          <w:sz w:val="21"/>
          <w:szCs w:val="21"/>
          <w:highlight w:val="none"/>
          <w:u w:val="single"/>
        </w:rPr>
        <w:t>的招标文件。领取后使用</w:t>
      </w:r>
      <w:r>
        <w:rPr>
          <w:rFonts w:hint="eastAsia" w:ascii="黑体" w:hAnsi="黑体" w:eastAsia="黑体" w:cs="黑体"/>
          <w:i w:val="0"/>
          <w:iCs w:val="0"/>
          <w:caps w:val="0"/>
          <w:color w:val="000000"/>
          <w:spacing w:val="0"/>
          <w:sz w:val="21"/>
          <w:szCs w:val="21"/>
          <w:highlight w:val="none"/>
          <w:u w:val="single"/>
          <w:lang w:eastAsia="zh-CN"/>
        </w:rPr>
        <w:t>“</w:t>
      </w:r>
      <w:r>
        <w:rPr>
          <w:rFonts w:hint="eastAsia" w:ascii="黑体" w:hAnsi="黑体" w:eastAsia="黑体" w:cs="黑体"/>
          <w:i w:val="0"/>
          <w:iCs w:val="0"/>
          <w:caps w:val="0"/>
          <w:color w:val="000000"/>
          <w:spacing w:val="0"/>
          <w:sz w:val="21"/>
          <w:szCs w:val="21"/>
          <w:highlight w:val="none"/>
          <w:u w:val="single"/>
        </w:rPr>
        <w:t>投标文件制作工具（内蒙古）</w:t>
      </w:r>
      <w:r>
        <w:rPr>
          <w:rFonts w:hint="eastAsia" w:ascii="黑体" w:hAnsi="黑体" w:eastAsia="黑体" w:cs="黑体"/>
          <w:i w:val="0"/>
          <w:iCs w:val="0"/>
          <w:caps w:val="0"/>
          <w:color w:val="000000"/>
          <w:spacing w:val="0"/>
          <w:sz w:val="21"/>
          <w:szCs w:val="21"/>
          <w:highlight w:val="none"/>
          <w:u w:val="single"/>
          <w:lang w:eastAsia="zh-CN"/>
        </w:rPr>
        <w:t>”</w:t>
      </w:r>
      <w:r>
        <w:rPr>
          <w:rFonts w:hint="eastAsia" w:ascii="黑体" w:hAnsi="黑体" w:eastAsia="黑体" w:cs="黑体"/>
          <w:i w:val="0"/>
          <w:iCs w:val="0"/>
          <w:caps w:val="0"/>
          <w:color w:val="000000"/>
          <w:spacing w:val="0"/>
          <w:sz w:val="21"/>
          <w:szCs w:val="21"/>
          <w:highlight w:val="none"/>
          <w:u w:val="single"/>
        </w:rPr>
        <w:t>打开查看。</w:t>
      </w:r>
      <w:r>
        <w:rPr>
          <w:rFonts w:hint="eastAsia" w:ascii="黑体" w:hAnsi="黑体" w:eastAsia="黑体" w:cs="黑体"/>
          <w:sz w:val="21"/>
          <w:szCs w:val="21"/>
          <w:highlight w:val="none"/>
          <w:u w:val="single"/>
          <w:lang w:val="en-US" w:eastAsia="zh-CN"/>
        </w:rPr>
        <w:t xml:space="preserve">                 </w:t>
      </w:r>
    </w:p>
    <w:p w14:paraId="542E921C">
      <w:pPr>
        <w:pStyle w:val="16"/>
        <w:ind w:left="0" w:leftChars="0" w:firstLine="0" w:firstLineChars="0"/>
        <w:rPr>
          <w:rFonts w:hint="eastAsia" w:ascii="黑体" w:hAnsi="黑体" w:eastAsia="黑体" w:cs="黑体"/>
          <w:sz w:val="21"/>
          <w:szCs w:val="21"/>
          <w:highlight w:val="none"/>
        </w:rPr>
      </w:pPr>
      <w:r>
        <w:rPr>
          <w:rFonts w:hint="eastAsia" w:ascii="黑体" w:hAnsi="黑体" w:eastAsia="黑体" w:cs="黑体"/>
          <w:sz w:val="21"/>
          <w:szCs w:val="21"/>
          <w:highlight w:val="none"/>
          <w:lang w:val="en-US" w:eastAsia="zh-CN"/>
        </w:rPr>
        <w:t>10.2、开标解密投标文件（不见面开标大厅）地址：https://219.148.175.179:9443/BidOpening</w:t>
      </w:r>
    </w:p>
    <w:p w14:paraId="580B398B">
      <w:pPr>
        <w:rPr>
          <w:rFonts w:hint="eastAsia" w:ascii="黑体" w:hAnsi="黑体" w:eastAsia="黑体" w:cs="黑体"/>
          <w:sz w:val="24"/>
          <w:szCs w:val="24"/>
          <w:highlight w:val="none"/>
        </w:rPr>
      </w:pPr>
      <w:r>
        <w:rPr>
          <w:rFonts w:hint="eastAsia" w:ascii="黑体" w:hAnsi="黑体" w:eastAsia="黑体" w:cs="黑体"/>
          <w:sz w:val="21"/>
          <w:szCs w:val="21"/>
          <w:highlight w:val="none"/>
          <w:lang w:val="en-US" w:eastAsia="zh-CN"/>
        </w:rPr>
        <w:t>10.3、投标操作须知</w:t>
      </w:r>
    </w:p>
    <w:p w14:paraId="7D462616">
      <w:pPr>
        <w:pStyle w:val="16"/>
        <w:rPr>
          <w:rFonts w:hint="eastAsia" w:ascii="黑体" w:hAnsi="黑体" w:eastAsia="黑体" w:cs="黑体"/>
          <w:sz w:val="24"/>
          <w:szCs w:val="24"/>
          <w:highlight w:val="none"/>
        </w:rPr>
      </w:pPr>
    </w:p>
    <w:p w14:paraId="1E9D4B6A">
      <w:pP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 xml:space="preserve">                                                      2026</w:t>
      </w:r>
      <w:r>
        <w:rPr>
          <w:rFonts w:hint="eastAsia" w:ascii="黑体" w:hAnsi="黑体" w:eastAsia="黑体" w:cs="黑体"/>
          <w:sz w:val="24"/>
          <w:szCs w:val="24"/>
          <w:highlight w:val="none"/>
          <w:lang w:val="en-US" w:eastAsia="zh-CN"/>
        </w:rPr>
        <w:t>年05月13日</w:t>
      </w:r>
    </w:p>
    <w:p w14:paraId="729B956A">
      <w:pPr>
        <w:rPr>
          <w:rFonts w:hint="eastAsia" w:ascii="黑体" w:hAnsi="黑体" w:eastAsia="黑体" w:cs="黑体"/>
          <w:sz w:val="24"/>
          <w:szCs w:val="24"/>
          <w:highlight w:val="none"/>
          <w:lang w:val="en-US" w:eastAsia="zh-CN"/>
        </w:rPr>
      </w:pPr>
    </w:p>
    <w:p w14:paraId="3B27E689">
      <w:pPr>
        <w:pStyle w:val="2"/>
        <w:bidi w:val="0"/>
        <w:rPr>
          <w:rFonts w:eastAsia="黑体"/>
          <w:color w:val="auto"/>
          <w:szCs w:val="29"/>
          <w:highlight w:val="none"/>
        </w:rPr>
      </w:pPr>
      <w:bookmarkStart w:id="7" w:name="_Toc501257051"/>
      <w:bookmarkStart w:id="8" w:name="_Toc13272"/>
      <w:bookmarkStart w:id="9" w:name="_Toc234832861"/>
      <w:r>
        <w:rPr>
          <w:highlight w:val="none"/>
        </w:rPr>
        <w:t>第二章  投标人须知</w:t>
      </w:r>
      <w:bookmarkEnd w:id="7"/>
      <w:bookmarkEnd w:id="8"/>
      <w:bookmarkEnd w:id="9"/>
    </w:p>
    <w:p w14:paraId="4F10707D">
      <w:pPr>
        <w:pStyle w:val="2"/>
        <w:shd w:val="clear" w:color="auto" w:fill="auto"/>
        <w:spacing w:before="240" w:after="240" w:line="240" w:lineRule="atLeast"/>
        <w:rPr>
          <w:rFonts w:eastAsia="黑体"/>
          <w:color w:val="auto"/>
          <w:sz w:val="28"/>
          <w:szCs w:val="28"/>
          <w:highlight w:val="none"/>
        </w:rPr>
      </w:pPr>
      <w:bookmarkStart w:id="10" w:name="_Toc17212"/>
      <w:bookmarkStart w:id="11" w:name="_Toc234832862"/>
      <w:bookmarkStart w:id="12" w:name="_Toc501257052"/>
      <w:r>
        <w:rPr>
          <w:rFonts w:hint="eastAsia" w:ascii="黑体" w:eastAsia="黑体"/>
          <w:color w:val="auto"/>
          <w:sz w:val="28"/>
          <w:szCs w:val="28"/>
          <w:highlight w:val="none"/>
        </w:rPr>
        <w:t>投标人须知前附表</w:t>
      </w:r>
      <w:r>
        <w:rPr>
          <w:rStyle w:val="28"/>
          <w:rFonts w:eastAsia="黑体"/>
          <w:color w:val="auto"/>
          <w:sz w:val="28"/>
          <w:szCs w:val="28"/>
          <w:highlight w:val="none"/>
        </w:rPr>
        <w:footnoteReference w:id="0"/>
      </w:r>
      <w:bookmarkEnd w:id="10"/>
      <w:bookmarkEnd w:id="11"/>
      <w:bookmarkEnd w:id="12"/>
    </w:p>
    <w:tbl>
      <w:tblPr>
        <w:tblStyle w:val="22"/>
        <w:tblW w:w="5045" w:type="pct"/>
        <w:tblInd w:w="0" w:type="dxa"/>
        <w:tblLayout w:type="fixed"/>
        <w:tblCellMar>
          <w:top w:w="0" w:type="dxa"/>
          <w:left w:w="108" w:type="dxa"/>
          <w:bottom w:w="0" w:type="dxa"/>
          <w:right w:w="108" w:type="dxa"/>
        </w:tblCellMar>
      </w:tblPr>
      <w:tblGrid>
        <w:gridCol w:w="982"/>
        <w:gridCol w:w="1866"/>
        <w:gridCol w:w="6237"/>
      </w:tblGrid>
      <w:tr w14:paraId="6CF8EBEB">
        <w:tblPrEx>
          <w:tblCellMar>
            <w:top w:w="0" w:type="dxa"/>
            <w:left w:w="108" w:type="dxa"/>
            <w:bottom w:w="0" w:type="dxa"/>
            <w:right w:w="108" w:type="dxa"/>
          </w:tblCellMar>
        </w:tblPrEx>
        <w:trPr>
          <w:trHeight w:val="340" w:hRule="atLeast"/>
          <w:tblHeader/>
        </w:trPr>
        <w:tc>
          <w:tcPr>
            <w:tcW w:w="540" w:type="pct"/>
            <w:tcBorders>
              <w:top w:val="single" w:color="auto" w:sz="4" w:space="0"/>
              <w:left w:val="single" w:color="auto" w:sz="4" w:space="0"/>
              <w:bottom w:val="single" w:color="auto" w:sz="4" w:space="0"/>
              <w:right w:val="single" w:color="auto" w:sz="4" w:space="0"/>
            </w:tcBorders>
            <w:noWrap w:val="0"/>
            <w:vAlign w:val="center"/>
          </w:tcPr>
          <w:p w14:paraId="6F9602DA">
            <w:pPr>
              <w:shd w:val="clear" w:color="auto" w:fill="auto"/>
              <w:spacing w:line="360" w:lineRule="atLeast"/>
              <w:jc w:val="center"/>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条款号</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1A4EBBEE">
            <w:pPr>
              <w:shd w:val="clear" w:color="auto" w:fill="auto"/>
              <w:spacing w:line="360" w:lineRule="atLeast"/>
              <w:jc w:val="center"/>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条  款  名  称</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598A67AC">
            <w:pPr>
              <w:shd w:val="clear" w:color="auto" w:fill="auto"/>
              <w:spacing w:line="360" w:lineRule="atLeast"/>
              <w:jc w:val="center"/>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编  列  内  容</w:t>
            </w:r>
          </w:p>
        </w:tc>
      </w:tr>
      <w:tr w14:paraId="34331850">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289D7D6D">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1.1.2</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6E825637">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招标人</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052FFCD6">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名</w:t>
            </w: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称：</w:t>
            </w:r>
            <w:r>
              <w:rPr>
                <w:rFonts w:hint="eastAsia" w:ascii="黑体" w:hAnsi="黑体" w:eastAsia="黑体" w:cs="黑体"/>
                <w:color w:val="auto"/>
                <w:highlight w:val="none"/>
                <w:lang w:eastAsia="zh-CN"/>
              </w:rPr>
              <w:t>新巴尔虎左旗住房建设和交通运输局</w:t>
            </w:r>
          </w:p>
          <w:p w14:paraId="1382CF1C">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地</w:t>
            </w: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址：</w:t>
            </w:r>
            <w:r>
              <w:rPr>
                <w:rFonts w:hint="eastAsia" w:ascii="黑体" w:hAnsi="黑体" w:eastAsia="黑体" w:cs="黑体"/>
                <w:color w:val="auto"/>
                <w:highlight w:val="none"/>
                <w:lang w:eastAsia="zh-CN"/>
              </w:rPr>
              <w:t>新巴尔虎左旗阿木古郎镇呼格吉乐街和巴尔虎路交汇处向北1500米</w:t>
            </w:r>
          </w:p>
          <w:p w14:paraId="6FD502FA">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联系人：</w:t>
            </w:r>
            <w:r>
              <w:rPr>
                <w:rFonts w:hint="eastAsia" w:ascii="黑体" w:hAnsi="黑体" w:eastAsia="黑体" w:cs="黑体"/>
                <w:color w:val="auto"/>
                <w:highlight w:val="none"/>
                <w:lang w:val="en-US" w:eastAsia="zh-CN"/>
              </w:rPr>
              <w:t>郭先生</w:t>
            </w:r>
          </w:p>
          <w:p w14:paraId="7212D07E">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电</w:t>
            </w: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话：</w:t>
            </w:r>
            <w:r>
              <w:rPr>
                <w:rFonts w:hint="eastAsia" w:ascii="黑体" w:hAnsi="黑体" w:eastAsia="黑体" w:cs="黑体"/>
                <w:i w:val="0"/>
                <w:iCs w:val="0"/>
                <w:caps w:val="0"/>
                <w:color w:val="000000"/>
                <w:spacing w:val="0"/>
                <w:sz w:val="21"/>
                <w:szCs w:val="21"/>
                <w:highlight w:val="none"/>
                <w:shd w:val="clear" w:color="auto" w:fill="FFFFFF"/>
                <w:lang w:val="en-US" w:eastAsia="zh-CN"/>
              </w:rPr>
              <w:t>0470-6686603</w:t>
            </w:r>
          </w:p>
        </w:tc>
      </w:tr>
      <w:tr w14:paraId="2D8981A8">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0E0E8D3C">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1.1.3</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1A7E65D4">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招标代理机构</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3A41927F">
            <w:pPr>
              <w:spacing w:line="340" w:lineRule="exact"/>
              <w:rPr>
                <w:rFonts w:hint="eastAsia" w:ascii="黑体" w:hAnsi="黑体" w:eastAsia="黑体" w:cs="黑体"/>
                <w:color w:val="auto"/>
                <w:szCs w:val="21"/>
                <w:highlight w:val="none"/>
                <w:lang w:val="zh-TW" w:eastAsia="zh-CN"/>
              </w:rPr>
            </w:pPr>
            <w:r>
              <w:rPr>
                <w:rFonts w:hint="eastAsia" w:ascii="黑体" w:hAnsi="黑体" w:eastAsia="黑体" w:cs="黑体"/>
                <w:color w:val="auto"/>
                <w:szCs w:val="21"/>
                <w:highlight w:val="none"/>
                <w:lang w:val="zh-TW" w:eastAsia="zh-TW"/>
              </w:rPr>
              <w:t>名</w:t>
            </w:r>
            <w:r>
              <w:rPr>
                <w:rFonts w:hint="eastAsia" w:ascii="黑体" w:hAnsi="黑体" w:eastAsia="黑体" w:cs="黑体"/>
                <w:color w:val="auto"/>
                <w:szCs w:val="21"/>
                <w:highlight w:val="none"/>
                <w:lang w:val="zh-TW" w:eastAsia="zh-CN"/>
              </w:rPr>
              <w:t xml:space="preserve"> </w:t>
            </w:r>
            <w:r>
              <w:rPr>
                <w:rFonts w:hint="eastAsia" w:ascii="黑体" w:hAnsi="黑体" w:eastAsia="黑体" w:cs="黑体"/>
                <w:color w:val="auto"/>
                <w:szCs w:val="21"/>
                <w:highlight w:val="none"/>
                <w:lang w:val="zh-TW" w:eastAsia="zh-TW"/>
              </w:rPr>
              <w:t xml:space="preserve"> 称：</w:t>
            </w:r>
            <w:r>
              <w:rPr>
                <w:rFonts w:hint="eastAsia" w:ascii="黑体" w:hAnsi="黑体" w:eastAsia="黑体" w:cs="黑体"/>
                <w:color w:val="auto"/>
                <w:szCs w:val="21"/>
                <w:highlight w:val="none"/>
                <w:lang w:eastAsia="zh-CN"/>
              </w:rPr>
              <w:t>东信工程项目管理有限公司</w:t>
            </w:r>
          </w:p>
          <w:p w14:paraId="57B9A4B8">
            <w:pPr>
              <w:spacing w:line="340" w:lineRule="exact"/>
              <w:rPr>
                <w:rFonts w:hint="eastAsia" w:ascii="黑体" w:hAnsi="黑体" w:eastAsia="黑体" w:cs="黑体"/>
                <w:color w:val="auto"/>
                <w:szCs w:val="21"/>
                <w:highlight w:val="none"/>
                <w:lang w:val="zh-TW" w:eastAsia="zh-CN"/>
              </w:rPr>
            </w:pPr>
            <w:r>
              <w:rPr>
                <w:rFonts w:hint="eastAsia" w:ascii="黑体" w:hAnsi="黑体" w:eastAsia="黑体" w:cs="黑体"/>
                <w:color w:val="auto"/>
                <w:szCs w:val="21"/>
                <w:highlight w:val="none"/>
                <w:lang w:val="zh-TW" w:eastAsia="zh-TW"/>
              </w:rPr>
              <w:t>地</w:t>
            </w:r>
            <w:r>
              <w:rPr>
                <w:rFonts w:hint="eastAsia" w:ascii="黑体" w:hAnsi="黑体" w:eastAsia="黑体" w:cs="黑体"/>
                <w:color w:val="auto"/>
                <w:szCs w:val="21"/>
                <w:highlight w:val="none"/>
                <w:lang w:val="zh-TW"/>
              </w:rPr>
              <w:t xml:space="preserve"> </w:t>
            </w:r>
            <w:r>
              <w:rPr>
                <w:rFonts w:hint="eastAsia" w:ascii="黑体" w:hAnsi="黑体" w:eastAsia="黑体" w:cs="黑体"/>
                <w:color w:val="auto"/>
                <w:szCs w:val="21"/>
                <w:highlight w:val="none"/>
                <w:lang w:val="zh-TW" w:eastAsia="zh-TW"/>
              </w:rPr>
              <w:t xml:space="preserve"> 址：</w:t>
            </w:r>
            <w:r>
              <w:rPr>
                <w:rFonts w:hint="eastAsia" w:ascii="黑体" w:hAnsi="黑体" w:eastAsia="黑体" w:cs="黑体"/>
                <w:color w:val="auto"/>
                <w:szCs w:val="21"/>
                <w:highlight w:val="none"/>
                <w:lang w:val="zh-TW" w:eastAsia="zh-CN"/>
              </w:rPr>
              <w:t>哈尔滨市香坊区松梅路恒大御景湾二期F2栋1-3层01号</w:t>
            </w:r>
          </w:p>
          <w:p w14:paraId="671858D0">
            <w:pPr>
              <w:spacing w:line="34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zh-TW" w:eastAsia="zh-TW"/>
              </w:rPr>
              <w:t>联系人：</w:t>
            </w:r>
            <w:r>
              <w:rPr>
                <w:rFonts w:hint="eastAsia" w:ascii="黑体" w:hAnsi="黑体" w:eastAsia="黑体" w:cs="黑体"/>
                <w:i w:val="0"/>
                <w:iCs w:val="0"/>
                <w:caps w:val="0"/>
                <w:color w:val="000000"/>
                <w:spacing w:val="0"/>
                <w:sz w:val="21"/>
                <w:szCs w:val="21"/>
                <w:highlight w:val="none"/>
                <w:shd w:val="clear" w:color="auto" w:fill="FFFFFF"/>
                <w:lang w:val="en-US" w:eastAsia="zh-CN"/>
              </w:rPr>
              <w:t>李静</w:t>
            </w:r>
          </w:p>
          <w:p w14:paraId="1E8CA938">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zh-TW" w:eastAsia="zh-TW"/>
              </w:rPr>
              <w:t>电</w:t>
            </w:r>
            <w:r>
              <w:rPr>
                <w:rFonts w:hint="eastAsia" w:ascii="黑体" w:hAnsi="黑体" w:eastAsia="黑体" w:cs="黑体"/>
                <w:color w:val="auto"/>
                <w:szCs w:val="21"/>
                <w:highlight w:val="none"/>
                <w:lang w:val="zh-TW"/>
              </w:rPr>
              <w:t xml:space="preserve"> </w:t>
            </w:r>
            <w:r>
              <w:rPr>
                <w:rFonts w:hint="eastAsia" w:ascii="黑体" w:hAnsi="黑体" w:eastAsia="黑体" w:cs="黑体"/>
                <w:color w:val="auto"/>
                <w:szCs w:val="21"/>
                <w:highlight w:val="none"/>
                <w:lang w:val="zh-TW" w:eastAsia="zh-TW"/>
              </w:rPr>
              <w:t xml:space="preserve"> 话：</w:t>
            </w:r>
            <w:r>
              <w:rPr>
                <w:rFonts w:hint="eastAsia" w:ascii="黑体" w:hAnsi="黑体" w:eastAsia="黑体" w:cs="黑体"/>
                <w:color w:val="auto"/>
                <w:szCs w:val="21"/>
                <w:highlight w:val="none"/>
                <w:lang w:val="en-US" w:eastAsia="zh-CN"/>
              </w:rPr>
              <w:t>15647029149</w:t>
            </w:r>
          </w:p>
        </w:tc>
      </w:tr>
      <w:tr w14:paraId="5603C031">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2D4C4F9E">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1.1.4</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2BF13BC4">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招标项目名称</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30612438">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2026年新巴尔虎左旗生命安全防护工程</w:t>
            </w:r>
          </w:p>
        </w:tc>
      </w:tr>
      <w:tr w14:paraId="0FADDCF5">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619779C5">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1.1.5</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0E856679">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标段建设地点</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03C20A00">
            <w:pPr>
              <w:shd w:val="clear" w:color="auto" w:fill="auto"/>
              <w:spacing w:line="360" w:lineRule="atLeas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呼伦贝尔市新巴尔虎左旗境内</w:t>
            </w:r>
          </w:p>
        </w:tc>
      </w:tr>
      <w:tr w14:paraId="7C9D2625">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4E33B952">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1.2.1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3A9F699B">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资金来源及比例</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42668AE0">
            <w:pPr>
              <w:shd w:val="clear" w:color="auto" w:fill="auto"/>
              <w:spacing w:line="360" w:lineRule="atLeast"/>
              <w:rPr>
                <w:rFonts w:hint="eastAsia" w:ascii="黑体" w:hAnsi="黑体" w:eastAsia="黑体" w:cs="黑体"/>
                <w:color w:val="auto"/>
                <w:szCs w:val="21"/>
                <w:highlight w:val="none"/>
                <w:lang w:val="en-US"/>
              </w:rPr>
            </w:pPr>
            <w:r>
              <w:rPr>
                <w:rFonts w:hint="eastAsia" w:ascii="黑体" w:hAnsi="黑体" w:eastAsia="黑体" w:cs="黑体"/>
                <w:color w:val="auto"/>
                <w:szCs w:val="21"/>
                <w:highlight w:val="none"/>
                <w:lang w:eastAsia="zh-CN"/>
              </w:rPr>
              <w:t>上级补助</w:t>
            </w:r>
          </w:p>
        </w:tc>
      </w:tr>
      <w:tr w14:paraId="4370D1EE">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54DE0565">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1.2.2</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3738476C">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资金落实情况</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42552E72">
            <w:pPr>
              <w:shd w:val="clear" w:color="auto" w:fill="auto"/>
              <w:spacing w:line="360" w:lineRule="atLeas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已落实</w:t>
            </w:r>
          </w:p>
        </w:tc>
      </w:tr>
      <w:tr w14:paraId="332BB4CE">
        <w:tblPrEx>
          <w:tblCellMar>
            <w:top w:w="0" w:type="dxa"/>
            <w:left w:w="108" w:type="dxa"/>
            <w:bottom w:w="0" w:type="dxa"/>
            <w:right w:w="108" w:type="dxa"/>
          </w:tblCellMar>
        </w:tblPrEx>
        <w:trPr>
          <w:trHeight w:val="182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20A037DA">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1.3.1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0E541B2E">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招标范围</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2D05B3A0">
            <w:pPr>
              <w:spacing w:line="370" w:lineRule="exact"/>
              <w:rPr>
                <w:rFonts w:hint="eastAsia" w:ascii="黑体" w:hAnsi="黑体" w:eastAsia="黑体" w:cs="黑体"/>
                <w:b/>
                <w:bCs/>
                <w:color w:val="auto"/>
                <w:szCs w:val="21"/>
                <w:highlight w:val="none"/>
                <w:u w:val="none"/>
                <w:lang w:val="en-US" w:eastAsia="zh-CN"/>
              </w:rPr>
            </w:pPr>
            <w:r>
              <w:rPr>
                <w:rFonts w:hint="eastAsia" w:ascii="黑体" w:hAnsi="黑体" w:eastAsia="黑体" w:cs="黑体"/>
                <w:b/>
                <w:bCs/>
                <w:color w:val="auto"/>
                <w:szCs w:val="21"/>
                <w:highlight w:val="none"/>
                <w:u w:val="none"/>
                <w:lang w:val="en-US" w:eastAsia="zh-CN"/>
              </w:rPr>
              <w:t>本项目共划分为</w:t>
            </w:r>
            <w:r>
              <w:rPr>
                <w:rFonts w:hint="eastAsia" w:ascii="黑体" w:hAnsi="黑体" w:eastAsia="黑体" w:cs="黑体"/>
                <w:b/>
                <w:bCs/>
                <w:color w:val="auto"/>
                <w:szCs w:val="21"/>
                <w:highlight w:val="none"/>
                <w:u w:val="single"/>
                <w:lang w:val="en-US" w:eastAsia="zh-CN"/>
              </w:rPr>
              <w:t>5</w:t>
            </w:r>
            <w:r>
              <w:rPr>
                <w:rFonts w:hint="eastAsia" w:ascii="黑体" w:hAnsi="黑体" w:eastAsia="黑体" w:cs="黑体"/>
                <w:b/>
                <w:bCs/>
                <w:color w:val="auto"/>
                <w:szCs w:val="21"/>
                <w:highlight w:val="none"/>
                <w:u w:val="none"/>
                <w:lang w:val="en-US" w:eastAsia="zh-CN"/>
              </w:rPr>
              <w:t>个施工标段：</w:t>
            </w:r>
          </w:p>
          <w:p w14:paraId="3B14B009">
            <w:pPr>
              <w:spacing w:line="370" w:lineRule="exact"/>
              <w:rPr>
                <w:rFonts w:hint="eastAsia" w:ascii="黑体" w:hAnsi="黑体" w:eastAsia="黑体" w:cs="黑体"/>
                <w:b/>
                <w:bCs/>
                <w:color w:val="auto"/>
                <w:szCs w:val="21"/>
                <w:highlight w:val="none"/>
                <w:u w:val="none"/>
                <w:lang w:val="en-US" w:eastAsia="zh-CN"/>
              </w:rPr>
            </w:pPr>
            <w:r>
              <w:rPr>
                <w:rFonts w:hint="eastAsia" w:ascii="黑体" w:hAnsi="黑体" w:eastAsia="黑体" w:cs="黑体"/>
                <w:b/>
                <w:bCs/>
                <w:color w:val="auto"/>
                <w:szCs w:val="21"/>
                <w:highlight w:val="none"/>
                <w:u w:val="none"/>
                <w:lang w:val="en-US" w:eastAsia="zh-CN"/>
              </w:rPr>
              <w:t>施工第一标段</w:t>
            </w:r>
            <w:r>
              <w:rPr>
                <w:rFonts w:hint="eastAsia" w:ascii="黑体" w:hAnsi="黑体" w:eastAsia="黑体" w:cs="黑体"/>
                <w:b w:val="0"/>
                <w:bCs w:val="0"/>
                <w:color w:val="auto"/>
                <w:szCs w:val="21"/>
                <w:highlight w:val="none"/>
                <w:u w:val="none"/>
                <w:lang w:val="en-US" w:eastAsia="zh-CN"/>
              </w:rPr>
              <w:t>：1.X348（K32+003-K39+581）段生命防护工程主要针对该路线原有交通标志、防雪网等交安设施不全。通过增设、完善公路相关的交安设施防止和减轻交通事故危害，从而保证交通顺畅及行车的安全，共处理隐患7.578km。本项目共设置交通标志3个、防雪网7300米。2.C024线（K0+000-K1+000）段生命防护工程主要针对该路有交通标志、防雪网等交安设施不全的情况。通过增设、完路相关的交安设施防止和减轻交通事故危害，从而保证交通顺畅及行车的安全，共处理隐患1.0km。本项目共设置交通标志1个、防雪网972米。3.Y007线（K0+000-K5+629）段生命防护工程主要针对该路线原有交通标志、防雪网等交安设施不全的问题。通过增设、完善公路相关的交安设施，防止和减轻交通事故危害，从而保证交通顺畅及行车安全，共处理隐患5.629km。本项目共设置交通标志3个、防雪网5448米。</w:t>
            </w:r>
          </w:p>
          <w:p w14:paraId="6A79D379">
            <w:pPr>
              <w:spacing w:line="370" w:lineRule="exact"/>
              <w:rPr>
                <w:rFonts w:hint="eastAsia" w:ascii="黑体" w:hAnsi="黑体" w:eastAsia="黑体" w:cs="黑体"/>
                <w:b/>
                <w:bCs/>
                <w:color w:val="auto"/>
                <w:szCs w:val="21"/>
                <w:highlight w:val="none"/>
                <w:u w:val="none"/>
                <w:lang w:val="en-US" w:eastAsia="zh-CN"/>
              </w:rPr>
            </w:pPr>
            <w:r>
              <w:rPr>
                <w:rFonts w:hint="eastAsia" w:ascii="黑体" w:hAnsi="黑体" w:eastAsia="黑体" w:cs="黑体"/>
                <w:b/>
                <w:bCs/>
                <w:color w:val="auto"/>
                <w:szCs w:val="21"/>
                <w:highlight w:val="none"/>
                <w:u w:val="none"/>
                <w:lang w:val="en-US" w:eastAsia="zh-CN"/>
              </w:rPr>
              <w:t>施工第二标段：</w:t>
            </w:r>
            <w:r>
              <w:rPr>
                <w:rFonts w:hint="eastAsia" w:ascii="黑体" w:hAnsi="黑体" w:eastAsia="黑体" w:cs="黑体"/>
                <w:b w:val="0"/>
                <w:bCs w:val="0"/>
                <w:color w:val="auto"/>
                <w:szCs w:val="21"/>
                <w:highlight w:val="none"/>
                <w:u w:val="none"/>
                <w:lang w:val="en-US" w:eastAsia="zh-CN"/>
              </w:rPr>
              <w:t>1.C017线（K5+603-K18+271）段生命防护工程主要针对该路线原有交通标志、防雪网等交安设施不全的情况。通过增设、完善公路相关的交安设施防止和减轻交通事故危害，从而保证交通顺畅及行车的安全，共处理隐患12.668km。本项目共设置错车道42个、防雪网10559米。2.C029线（K0+000-K5+000）段生命防护工程主要针对该路线原有交通标志、防雪网等交安设施不全的情况。通过增设、完善公路相关的交安设施防止和减轻交通事故危害，从而保证交通顺畅及行车的安全，共处理隐患5.0km。本项目共设置交通标志3个、防雪网4800米。</w:t>
            </w:r>
          </w:p>
          <w:p w14:paraId="556C08B9">
            <w:pPr>
              <w:spacing w:line="370" w:lineRule="exact"/>
              <w:rPr>
                <w:rFonts w:hint="eastAsia" w:ascii="黑体" w:hAnsi="黑体" w:eastAsia="黑体" w:cs="黑体"/>
                <w:b/>
                <w:bCs/>
                <w:color w:val="auto"/>
                <w:szCs w:val="21"/>
                <w:highlight w:val="none"/>
                <w:u w:val="none"/>
                <w:lang w:val="en-US" w:eastAsia="zh-CN"/>
              </w:rPr>
            </w:pPr>
            <w:r>
              <w:rPr>
                <w:rFonts w:hint="eastAsia" w:ascii="黑体" w:hAnsi="黑体" w:eastAsia="黑体" w:cs="黑体"/>
                <w:b/>
                <w:bCs/>
                <w:color w:val="auto"/>
                <w:szCs w:val="21"/>
                <w:highlight w:val="none"/>
                <w:u w:val="none"/>
                <w:lang w:val="en-US" w:eastAsia="zh-CN"/>
              </w:rPr>
              <w:t>施工第三标段：</w:t>
            </w:r>
            <w:r>
              <w:rPr>
                <w:rFonts w:hint="eastAsia" w:ascii="黑体" w:hAnsi="黑体" w:eastAsia="黑体" w:cs="黑体"/>
                <w:b w:val="0"/>
                <w:bCs w:val="0"/>
                <w:color w:val="auto"/>
                <w:szCs w:val="21"/>
                <w:highlight w:val="none"/>
                <w:u w:val="none"/>
                <w:lang w:val="en-US" w:eastAsia="zh-CN"/>
              </w:rPr>
              <w:t>本项目路线起点位于X347线K242+531处，终点位于X347线K253+531处，路线全长11.0km，位于新巴尔虎左旗境内。旧路原有路基宽6.5m，路面宽4.5m。新建钢筋混凝土路面463.049米，新增标志标线90.7m²。</w:t>
            </w:r>
          </w:p>
          <w:p w14:paraId="30BC6BBF">
            <w:pPr>
              <w:spacing w:line="370" w:lineRule="exact"/>
              <w:rPr>
                <w:rFonts w:hint="eastAsia" w:ascii="黑体" w:hAnsi="黑体" w:eastAsia="黑体" w:cs="黑体"/>
                <w:b/>
                <w:bCs/>
                <w:color w:val="auto"/>
                <w:szCs w:val="21"/>
                <w:highlight w:val="none"/>
                <w:u w:val="none"/>
                <w:lang w:val="en-US" w:eastAsia="zh-CN"/>
              </w:rPr>
            </w:pPr>
            <w:r>
              <w:rPr>
                <w:rFonts w:hint="eastAsia" w:ascii="黑体" w:hAnsi="黑体" w:eastAsia="黑体" w:cs="黑体"/>
                <w:b/>
                <w:bCs/>
                <w:color w:val="auto"/>
                <w:szCs w:val="21"/>
                <w:highlight w:val="none"/>
                <w:u w:val="none"/>
                <w:lang w:val="en-US" w:eastAsia="zh-CN"/>
              </w:rPr>
              <w:t>施工第四标段：</w:t>
            </w:r>
            <w:r>
              <w:rPr>
                <w:rFonts w:hint="eastAsia" w:ascii="黑体" w:hAnsi="黑体" w:eastAsia="黑体" w:cs="黑体"/>
                <w:b w:val="0"/>
                <w:bCs w:val="0"/>
                <w:color w:val="auto"/>
                <w:szCs w:val="21"/>
                <w:highlight w:val="none"/>
                <w:u w:val="none"/>
                <w:lang w:val="en-US" w:eastAsia="zh-CN"/>
              </w:rPr>
              <w:t>本项目路线起点位于Y004线K0+000处，终点位于Y004线K12+000处，路线全长12km，位于新巴尔虎左旗境内。旧路原有路基宽6.5m，路面宽4.5m。本项目共设置防雪网9000米，路肩补土方3360立方米。</w:t>
            </w:r>
          </w:p>
          <w:p w14:paraId="08C8CA51">
            <w:pPr>
              <w:spacing w:line="370" w:lineRule="exact"/>
              <w:rPr>
                <w:rFonts w:hint="eastAsia" w:ascii="黑体" w:hAnsi="黑体" w:eastAsia="黑体" w:cs="黑体"/>
                <w:b/>
                <w:bCs/>
                <w:color w:val="auto"/>
                <w:szCs w:val="21"/>
                <w:highlight w:val="none"/>
                <w:u w:val="none"/>
                <w:lang w:val="en-US" w:eastAsia="zh-CN"/>
              </w:rPr>
            </w:pPr>
            <w:r>
              <w:rPr>
                <w:rFonts w:hint="eastAsia" w:ascii="黑体" w:hAnsi="黑体" w:eastAsia="黑体" w:cs="黑体"/>
                <w:b/>
                <w:bCs/>
                <w:color w:val="auto"/>
                <w:szCs w:val="21"/>
                <w:highlight w:val="none"/>
                <w:u w:val="none"/>
                <w:lang w:val="en-US" w:eastAsia="zh-CN"/>
              </w:rPr>
              <w:t>施工第五标段：</w:t>
            </w:r>
            <w:r>
              <w:rPr>
                <w:rFonts w:hint="eastAsia" w:ascii="黑体" w:hAnsi="黑体" w:eastAsia="黑体" w:cs="黑体"/>
                <w:b w:val="0"/>
                <w:bCs w:val="0"/>
                <w:color w:val="auto"/>
                <w:szCs w:val="21"/>
                <w:highlight w:val="none"/>
                <w:u w:val="none"/>
                <w:lang w:val="en-US" w:eastAsia="zh-CN"/>
              </w:rPr>
              <w:t>本项目路线起点位于Y004线K12+000处，终点位于Y004线K24+953处，路线全长12.953km，位于新巴尔虎左旗境内。旧路原有路基宽6.5m，路面宽4.5m。本项目共设置交通标线6053.3平方米、防雪网4100米，路肩补土方730立方米，新建4.5m宽水泥混凝土路305.717米，新建6.5m宽水泥混凝土路355.954米。</w:t>
            </w:r>
          </w:p>
          <w:p w14:paraId="3BBB382F">
            <w:pPr>
              <w:pStyle w:val="21"/>
              <w:ind w:left="0" w:leftChars="0" w:firstLine="0" w:firstLineChars="0"/>
              <w:rPr>
                <w:rFonts w:hint="eastAsia" w:ascii="黑体" w:hAnsi="黑体" w:eastAsia="黑体" w:cs="黑体"/>
                <w:b w:val="0"/>
                <w:bCs w:val="0"/>
                <w:szCs w:val="21"/>
                <w:highlight w:val="none"/>
                <w:u w:val="none"/>
                <w:lang w:val="en-US" w:eastAsia="zh-CN"/>
              </w:rPr>
            </w:pPr>
            <w:r>
              <w:rPr>
                <w:rFonts w:hint="eastAsia" w:ascii="黑体" w:hAnsi="黑体" w:eastAsia="黑体" w:cs="黑体"/>
                <w:b/>
                <w:bCs/>
                <w:i w:val="0"/>
                <w:iCs w:val="0"/>
                <w:caps w:val="0"/>
                <w:color w:val="auto"/>
                <w:spacing w:val="0"/>
                <w:sz w:val="21"/>
                <w:szCs w:val="21"/>
                <w:highlight w:val="none"/>
                <w:shd w:val="clear" w:color="auto" w:fill="FFFFFF"/>
                <w:lang w:val="en-US" w:eastAsia="zh-CN"/>
              </w:rPr>
              <w:t>具体内容详见工程量固化清单及施工图纸全部内容。</w:t>
            </w:r>
          </w:p>
        </w:tc>
      </w:tr>
      <w:tr w14:paraId="0C133611">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570CD645">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1.3.2</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4AAEB7A9">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计划工期</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65107C0A">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计划工期：</w:t>
            </w:r>
            <w:r>
              <w:rPr>
                <w:rFonts w:hint="eastAsia" w:ascii="黑体" w:hAnsi="黑体" w:eastAsia="黑体" w:cs="黑体"/>
                <w:b/>
                <w:bCs/>
                <w:color w:val="auto"/>
                <w:szCs w:val="21"/>
                <w:highlight w:val="none"/>
                <w:u w:val="single"/>
                <w:lang w:val="en-US" w:eastAsia="zh-CN"/>
              </w:rPr>
              <w:t>138</w:t>
            </w:r>
            <w:r>
              <w:rPr>
                <w:rFonts w:hint="eastAsia" w:ascii="黑体" w:hAnsi="黑体" w:eastAsia="黑体" w:cs="黑体"/>
                <w:b/>
                <w:bCs w:val="0"/>
                <w:color w:val="auto"/>
                <w:szCs w:val="21"/>
                <w:highlight w:val="none"/>
                <w:u w:val="single"/>
                <w:lang w:eastAsia="zh-CN"/>
              </w:rPr>
              <w:t>日历天</w:t>
            </w:r>
          </w:p>
          <w:p w14:paraId="647DA390">
            <w:pP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计划开工日期：</w:t>
            </w:r>
            <w:r>
              <w:rPr>
                <w:rFonts w:hint="eastAsia" w:ascii="黑体" w:hAnsi="黑体" w:eastAsia="黑体" w:cs="黑体"/>
                <w:color w:val="auto"/>
                <w:szCs w:val="21"/>
                <w:highlight w:val="none"/>
                <w:lang w:val="en-US" w:eastAsia="zh-CN"/>
              </w:rPr>
              <w:t>2026</w:t>
            </w:r>
            <w:r>
              <w:rPr>
                <w:rFonts w:hint="eastAsia" w:ascii="黑体" w:hAnsi="黑体" w:eastAsia="黑体" w:cs="黑体"/>
                <w:color w:val="auto"/>
                <w:szCs w:val="21"/>
                <w:highlight w:val="none"/>
                <w:lang w:eastAsia="zh-CN"/>
              </w:rPr>
              <w:t>年</w:t>
            </w:r>
            <w:r>
              <w:rPr>
                <w:rFonts w:hint="eastAsia" w:ascii="黑体" w:hAnsi="黑体" w:eastAsia="黑体" w:cs="黑体"/>
                <w:color w:val="auto"/>
                <w:szCs w:val="21"/>
                <w:highlight w:val="none"/>
                <w:lang w:val="en-US" w:eastAsia="zh-CN"/>
              </w:rPr>
              <w:t>06</w:t>
            </w:r>
            <w:r>
              <w:rPr>
                <w:rFonts w:hint="eastAsia" w:ascii="黑体" w:hAnsi="黑体" w:eastAsia="黑体" w:cs="黑体"/>
                <w:color w:val="auto"/>
                <w:szCs w:val="21"/>
                <w:highlight w:val="none"/>
                <w:lang w:eastAsia="zh-CN"/>
              </w:rPr>
              <w:t>月</w:t>
            </w:r>
            <w:r>
              <w:rPr>
                <w:rFonts w:hint="eastAsia" w:ascii="黑体" w:hAnsi="黑体" w:eastAsia="黑体" w:cs="黑体"/>
                <w:color w:val="auto"/>
                <w:szCs w:val="21"/>
                <w:highlight w:val="none"/>
                <w:lang w:val="en-US" w:eastAsia="zh-CN"/>
              </w:rPr>
              <w:t>15</w:t>
            </w:r>
            <w:r>
              <w:rPr>
                <w:rFonts w:hint="eastAsia" w:ascii="黑体" w:hAnsi="黑体" w:eastAsia="黑体" w:cs="黑体"/>
                <w:color w:val="auto"/>
                <w:szCs w:val="21"/>
                <w:highlight w:val="none"/>
                <w:lang w:eastAsia="zh-CN"/>
              </w:rPr>
              <w:t>日</w:t>
            </w:r>
          </w:p>
          <w:p w14:paraId="77175E1B">
            <w:pPr>
              <w:spacing w:line="37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计划交工日期：</w:t>
            </w:r>
            <w:r>
              <w:rPr>
                <w:rFonts w:hint="eastAsia" w:ascii="黑体" w:hAnsi="黑体" w:eastAsia="黑体" w:cs="黑体"/>
                <w:color w:val="auto"/>
                <w:szCs w:val="21"/>
                <w:highlight w:val="none"/>
                <w:lang w:val="en-US" w:eastAsia="zh-CN"/>
              </w:rPr>
              <w:t>2026</w:t>
            </w:r>
            <w:r>
              <w:rPr>
                <w:rFonts w:hint="eastAsia" w:ascii="黑体" w:hAnsi="黑体" w:eastAsia="黑体" w:cs="黑体"/>
                <w:color w:val="auto"/>
                <w:szCs w:val="21"/>
                <w:highlight w:val="none"/>
                <w:lang w:eastAsia="zh-CN"/>
              </w:rPr>
              <w:t>年</w:t>
            </w:r>
            <w:r>
              <w:rPr>
                <w:rFonts w:hint="eastAsia" w:ascii="黑体" w:hAnsi="黑体" w:eastAsia="黑体" w:cs="黑体"/>
                <w:color w:val="auto"/>
                <w:szCs w:val="21"/>
                <w:highlight w:val="none"/>
                <w:lang w:val="en-US" w:eastAsia="zh-CN"/>
              </w:rPr>
              <w:t>10</w:t>
            </w:r>
            <w:r>
              <w:rPr>
                <w:rFonts w:hint="eastAsia" w:ascii="黑体" w:hAnsi="黑体" w:eastAsia="黑体" w:cs="黑体"/>
                <w:color w:val="auto"/>
                <w:szCs w:val="21"/>
                <w:highlight w:val="none"/>
                <w:lang w:eastAsia="zh-CN"/>
              </w:rPr>
              <w:t>月</w:t>
            </w:r>
            <w:r>
              <w:rPr>
                <w:rFonts w:hint="eastAsia" w:ascii="黑体" w:hAnsi="黑体" w:eastAsia="黑体" w:cs="黑体"/>
                <w:color w:val="auto"/>
                <w:szCs w:val="21"/>
                <w:highlight w:val="none"/>
                <w:lang w:val="en-US" w:eastAsia="zh-CN"/>
              </w:rPr>
              <w:t>30</w:t>
            </w:r>
            <w:r>
              <w:rPr>
                <w:rFonts w:hint="eastAsia" w:ascii="黑体" w:hAnsi="黑体" w:eastAsia="黑体" w:cs="黑体"/>
                <w:color w:val="auto"/>
                <w:szCs w:val="21"/>
                <w:highlight w:val="none"/>
                <w:lang w:eastAsia="zh-CN"/>
              </w:rPr>
              <w:t>日</w:t>
            </w:r>
          </w:p>
          <w:p w14:paraId="516C1A8E">
            <w:pPr>
              <w:spacing w:line="370" w:lineRule="exact"/>
              <w:rPr>
                <w:rFonts w:hint="eastAsia" w:ascii="黑体" w:hAnsi="黑体" w:eastAsia="黑体" w:cs="黑体"/>
                <w:b/>
                <w:color w:val="auto"/>
                <w:highlight w:val="none"/>
              </w:rPr>
            </w:pPr>
            <w:r>
              <w:rPr>
                <w:rFonts w:hint="eastAsia" w:ascii="黑体" w:hAnsi="黑体" w:eastAsia="黑体" w:cs="黑体"/>
                <w:b/>
                <w:color w:val="auto"/>
                <w:highlight w:val="none"/>
              </w:rPr>
              <w:t>缺陷责任期</w:t>
            </w:r>
            <w:r>
              <w:rPr>
                <w:rFonts w:hint="eastAsia" w:ascii="黑体" w:hAnsi="黑体" w:eastAsia="黑体" w:cs="黑体"/>
                <w:b/>
                <w:color w:val="auto"/>
                <w:highlight w:val="none"/>
                <w:lang w:val="en-US" w:eastAsia="zh-CN"/>
              </w:rPr>
              <w:t>12个</w:t>
            </w:r>
            <w:r>
              <w:rPr>
                <w:rFonts w:hint="eastAsia" w:ascii="黑体" w:hAnsi="黑体" w:eastAsia="黑体" w:cs="黑体"/>
                <w:b/>
                <w:color w:val="auto"/>
                <w:highlight w:val="none"/>
              </w:rPr>
              <w:t>月。</w:t>
            </w:r>
          </w:p>
          <w:p w14:paraId="3408B3EA">
            <w:pPr>
              <w:shd w:val="clear" w:color="auto" w:fill="auto"/>
              <w:spacing w:line="360" w:lineRule="atLeast"/>
              <w:rPr>
                <w:rFonts w:hint="eastAsia" w:ascii="黑体" w:hAnsi="黑体" w:eastAsia="黑体" w:cs="黑体"/>
                <w:color w:val="auto"/>
                <w:szCs w:val="21"/>
                <w:highlight w:val="none"/>
                <w:lang w:val="en-US" w:eastAsia="zh-CN"/>
              </w:rPr>
            </w:pPr>
            <w:r>
              <w:rPr>
                <w:rFonts w:hint="eastAsia" w:ascii="黑体" w:hAnsi="黑体" w:eastAsia="黑体" w:cs="黑体"/>
                <w:color w:val="000000"/>
                <w:szCs w:val="21"/>
                <w:highlight w:val="none"/>
              </w:rPr>
              <w:t>上述计划工期仅作为编制投标文件的统一标准，</w:t>
            </w:r>
            <w:r>
              <w:rPr>
                <w:rFonts w:hint="eastAsia" w:ascii="黑体" w:hAnsi="黑体" w:eastAsia="黑体" w:cs="黑体"/>
                <w:color w:val="000000"/>
                <w:szCs w:val="21"/>
                <w:highlight w:val="none"/>
                <w:lang w:eastAsia="zh-CN"/>
              </w:rPr>
              <w:t>投标人应充分考虑进场后料场等相关手续的办理造成实际开工日期的调整及给自身带来的影响。</w:t>
            </w:r>
            <w:r>
              <w:rPr>
                <w:rFonts w:hint="eastAsia" w:ascii="黑体" w:hAnsi="黑体" w:eastAsia="黑体" w:cs="黑体"/>
                <w:color w:val="000000"/>
                <w:szCs w:val="21"/>
                <w:highlight w:val="none"/>
              </w:rPr>
              <w:t>实际工期</w:t>
            </w:r>
            <w:r>
              <w:rPr>
                <w:rFonts w:hint="eastAsia" w:ascii="黑体" w:hAnsi="黑体" w:eastAsia="黑体" w:cs="黑体"/>
                <w:color w:val="000000"/>
                <w:szCs w:val="21"/>
                <w:highlight w:val="none"/>
                <w:lang w:eastAsia="zh-CN"/>
              </w:rPr>
              <w:t>以总监理工程师签署开工令之日起算</w:t>
            </w:r>
            <w:r>
              <w:rPr>
                <w:rFonts w:hint="eastAsia" w:ascii="黑体" w:hAnsi="黑体" w:eastAsia="黑体" w:cs="黑体"/>
                <w:color w:val="000000"/>
                <w:szCs w:val="21"/>
                <w:highlight w:val="none"/>
              </w:rPr>
              <w:t>。</w:t>
            </w:r>
          </w:p>
        </w:tc>
      </w:tr>
      <w:tr w14:paraId="35A2997B">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4A1E5B88">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1.3.3</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1CEBFDF6">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质量要求</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580DCEDE">
            <w:pPr>
              <w:pStyle w:val="7"/>
              <w:shd w:val="clear" w:color="auto" w:fill="auto"/>
              <w:topLinePunct/>
              <w:spacing w:line="360" w:lineRule="atLeas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标段交工验收质量评定：</w:t>
            </w:r>
            <w:r>
              <w:rPr>
                <w:rFonts w:hint="eastAsia" w:ascii="黑体" w:hAnsi="黑体" w:eastAsia="黑体" w:cs="黑体"/>
                <w:b/>
                <w:bCs/>
                <w:color w:val="auto"/>
                <w:sz w:val="21"/>
                <w:szCs w:val="21"/>
                <w:highlight w:val="none"/>
                <w:u w:val="single"/>
              </w:rPr>
              <w:t xml:space="preserve"> </w:t>
            </w:r>
            <w:r>
              <w:rPr>
                <w:rFonts w:hint="eastAsia" w:ascii="黑体" w:hAnsi="黑体" w:eastAsia="黑体" w:cs="黑体"/>
                <w:b/>
                <w:bCs/>
                <w:color w:val="auto"/>
                <w:sz w:val="21"/>
                <w:szCs w:val="21"/>
                <w:highlight w:val="none"/>
                <w:u w:val="single"/>
                <w:lang w:val="en-US" w:eastAsia="zh-CN"/>
              </w:rPr>
              <w:t>合格及以上</w:t>
            </w:r>
            <w:r>
              <w:rPr>
                <w:rFonts w:hint="eastAsia" w:ascii="黑体" w:hAnsi="黑体" w:eastAsia="黑体" w:cs="黑体"/>
                <w:b/>
                <w:bCs/>
                <w:color w:val="auto"/>
                <w:sz w:val="21"/>
                <w:szCs w:val="21"/>
                <w:highlight w:val="none"/>
                <w:u w:val="single"/>
              </w:rPr>
              <w:t xml:space="preserve"> </w:t>
            </w:r>
          </w:p>
          <w:p w14:paraId="5E44B016">
            <w:pPr>
              <w:pStyle w:val="7"/>
              <w:shd w:val="clear" w:color="auto" w:fill="auto"/>
              <w:topLinePunct/>
              <w:spacing w:line="360" w:lineRule="atLeas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竣工验收质量评定：</w:t>
            </w:r>
            <w:r>
              <w:rPr>
                <w:rFonts w:hint="eastAsia" w:ascii="黑体" w:hAnsi="黑体" w:eastAsia="黑体" w:cs="黑体"/>
                <w:b/>
                <w:bCs/>
                <w:color w:val="auto"/>
                <w:sz w:val="21"/>
                <w:szCs w:val="21"/>
                <w:highlight w:val="none"/>
                <w:u w:val="single"/>
              </w:rPr>
              <w:t xml:space="preserve"> </w:t>
            </w:r>
            <w:r>
              <w:rPr>
                <w:rFonts w:hint="eastAsia" w:ascii="黑体" w:hAnsi="黑体" w:eastAsia="黑体" w:cs="黑体"/>
                <w:b/>
                <w:bCs/>
                <w:color w:val="auto"/>
                <w:sz w:val="21"/>
                <w:szCs w:val="21"/>
                <w:highlight w:val="none"/>
                <w:u w:val="single"/>
                <w:lang w:val="en-US" w:eastAsia="zh-CN"/>
              </w:rPr>
              <w:t>合格及以上</w:t>
            </w:r>
            <w:r>
              <w:rPr>
                <w:rFonts w:hint="eastAsia" w:ascii="黑体" w:hAnsi="黑体" w:eastAsia="黑体" w:cs="黑体"/>
                <w:b/>
                <w:bCs/>
                <w:color w:val="auto"/>
                <w:sz w:val="21"/>
                <w:szCs w:val="21"/>
                <w:highlight w:val="none"/>
                <w:u w:val="single"/>
              </w:rPr>
              <w:t xml:space="preserve"> </w:t>
            </w:r>
          </w:p>
        </w:tc>
      </w:tr>
      <w:tr w14:paraId="1DE64990">
        <w:tblPrEx>
          <w:tblCellMar>
            <w:top w:w="0" w:type="dxa"/>
            <w:left w:w="108" w:type="dxa"/>
            <w:bottom w:w="0" w:type="dxa"/>
            <w:right w:w="108" w:type="dxa"/>
          </w:tblCellMar>
        </w:tblPrEx>
        <w:trPr>
          <w:trHeight w:val="647"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7E6E3916">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bCs/>
                <w:color w:val="auto"/>
                <w:szCs w:val="21"/>
                <w:highlight w:val="none"/>
              </w:rPr>
              <w:t>1.3.4</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720874D8">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安全目标</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12B58F80">
            <w:pPr>
              <w:pStyle w:val="7"/>
              <w:shd w:val="clear" w:color="auto" w:fill="auto"/>
              <w:topLinePunct/>
              <w:spacing w:line="360" w:lineRule="atLeas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安全生产“零死亡”，</w:t>
            </w:r>
            <w:r>
              <w:rPr>
                <w:rFonts w:hint="eastAsia" w:ascii="黑体" w:hAnsi="黑体" w:eastAsia="黑体" w:cs="黑体"/>
                <w:color w:val="auto"/>
                <w:sz w:val="21"/>
                <w:szCs w:val="21"/>
                <w:highlight w:val="none"/>
                <w:u w:val="single"/>
                <w:lang w:val="en-US" w:eastAsia="zh-CN"/>
              </w:rPr>
              <w:t>杜绝重特大事故，减少一般事故，力争零事故</w:t>
            </w:r>
            <w:r>
              <w:rPr>
                <w:rFonts w:hint="eastAsia" w:ascii="黑体" w:hAnsi="黑体" w:eastAsia="黑体" w:cs="黑体"/>
                <w:color w:val="auto"/>
                <w:sz w:val="21"/>
                <w:szCs w:val="21"/>
                <w:highlight w:val="none"/>
                <w:lang w:val="en-US" w:eastAsia="zh-CN"/>
              </w:rPr>
              <w:t>。</w:t>
            </w:r>
          </w:p>
        </w:tc>
      </w:tr>
      <w:tr w14:paraId="48214706">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31AB4990">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1.4.1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3EEB8D5A">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投标人资质条件、能力和信誉</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693C3602">
            <w:pPr>
              <w:pStyle w:val="7"/>
              <w:shd w:val="clear" w:color="auto" w:fill="auto"/>
              <w:topLinePunct/>
              <w:spacing w:line="360" w:lineRule="atLeas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资质要求：见附录1</w:t>
            </w:r>
          </w:p>
          <w:p w14:paraId="54DC1C97">
            <w:pPr>
              <w:pStyle w:val="7"/>
              <w:shd w:val="clear" w:color="auto" w:fill="auto"/>
              <w:topLinePunct/>
              <w:spacing w:line="360" w:lineRule="atLeas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财务要求：见附录2</w:t>
            </w:r>
          </w:p>
          <w:p w14:paraId="6FB33873">
            <w:pPr>
              <w:pStyle w:val="7"/>
              <w:shd w:val="clear" w:color="auto" w:fill="auto"/>
              <w:topLinePunct/>
              <w:spacing w:line="360" w:lineRule="atLeas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业绩要求：见附录3</w:t>
            </w:r>
          </w:p>
          <w:p w14:paraId="2B10D0D7">
            <w:pPr>
              <w:pStyle w:val="7"/>
              <w:shd w:val="clear" w:color="auto" w:fill="auto"/>
              <w:topLinePunct/>
              <w:spacing w:line="360" w:lineRule="atLeas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信誉要求：见附录4</w:t>
            </w:r>
          </w:p>
          <w:p w14:paraId="78CE69BC">
            <w:pPr>
              <w:pStyle w:val="7"/>
              <w:shd w:val="clear" w:color="auto" w:fill="auto"/>
              <w:topLinePunct/>
              <w:spacing w:line="360" w:lineRule="atLeas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项目经理和项目总工资格：见附录5</w:t>
            </w:r>
          </w:p>
          <w:p w14:paraId="2DB3263B">
            <w:pPr>
              <w:shd w:val="clear" w:color="auto" w:fill="auto"/>
              <w:spacing w:line="360" w:lineRule="atLeas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其他要求：</w:t>
            </w:r>
            <w:r>
              <w:rPr>
                <w:rFonts w:hint="eastAsia" w:ascii="黑体" w:hAnsi="黑体" w:eastAsia="黑体" w:cs="黑体"/>
                <w:color w:val="auto"/>
                <w:szCs w:val="21"/>
                <w:highlight w:val="none"/>
                <w:lang w:val="en-US" w:eastAsia="zh-CN"/>
              </w:rPr>
              <w:t>/</w:t>
            </w:r>
          </w:p>
        </w:tc>
      </w:tr>
      <w:tr w14:paraId="29572696">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58FC20A9">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1.4.2</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5090C792">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是否接受联合体投标</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47F33911">
            <w:pPr>
              <w:spacing w:line="400" w:lineRule="exact"/>
              <w:rPr>
                <w:rFonts w:hint="eastAsia" w:ascii="黑体" w:hAnsi="黑体" w:eastAsia="黑体" w:cs="黑体"/>
                <w:color w:val="000000"/>
                <w:szCs w:val="21"/>
                <w:highlight w:val="none"/>
                <w:lang w:val="zh-TW" w:eastAsia="zh-TW"/>
              </w:rPr>
            </w:pPr>
            <w:r>
              <w:rPr>
                <w:rFonts w:hint="eastAsia" w:ascii="黑体" w:hAnsi="黑体" w:eastAsia="黑体" w:cs="黑体"/>
                <w:color w:val="000000"/>
                <w:szCs w:val="21"/>
                <w:highlight w:val="none"/>
                <w:lang w:val="zh-TW"/>
              </w:rPr>
              <w:t>■</w:t>
            </w:r>
            <w:r>
              <w:rPr>
                <w:rFonts w:hint="eastAsia" w:ascii="黑体" w:hAnsi="黑体" w:eastAsia="黑体" w:cs="黑体"/>
                <w:color w:val="000000"/>
                <w:szCs w:val="21"/>
                <w:highlight w:val="none"/>
                <w:lang w:val="zh-TW" w:eastAsia="zh-TW"/>
              </w:rPr>
              <w:t>不接受</w:t>
            </w:r>
          </w:p>
          <w:p w14:paraId="126AA934">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color w:val="000000"/>
                <w:szCs w:val="21"/>
                <w:highlight w:val="none"/>
                <w:lang w:val="zh-TW" w:eastAsia="zh-TW"/>
              </w:rPr>
              <w:t>□接受，</w:t>
            </w:r>
            <w:r>
              <w:rPr>
                <w:rFonts w:hint="eastAsia" w:ascii="黑体" w:hAnsi="黑体" w:eastAsia="黑体" w:cs="黑体"/>
                <w:color w:val="auto"/>
                <w:szCs w:val="21"/>
                <w:highlight w:val="none"/>
              </w:rPr>
              <w:t>应满足下列要求：</w:t>
            </w:r>
          </w:p>
          <w:p w14:paraId="53AB3F30">
            <w:pPr>
              <w:shd w:val="clear" w:color="auto" w:fill="auto"/>
              <w:spacing w:line="360" w:lineRule="atLeast"/>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（1）联合体所有成员数量不得超过</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家； </w:t>
            </w:r>
          </w:p>
          <w:p w14:paraId="5266E189">
            <w:pPr>
              <w:shd w:val="clear" w:color="auto" w:fill="auto"/>
              <w:spacing w:line="360" w:lineRule="atLeast"/>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（2）联合体牵头人应具有</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资质；</w:t>
            </w:r>
          </w:p>
          <w:p w14:paraId="61F2CBBB">
            <w:pPr>
              <w:shd w:val="clear" w:color="auto" w:fill="auto"/>
              <w:spacing w:line="360" w:lineRule="atLeast"/>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p>
        </w:tc>
      </w:tr>
      <w:tr w14:paraId="1C4C89A5">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143F0A39">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1.4.3</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50314897">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投标人不得存在的其他关联情形</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532253E4">
            <w:pPr>
              <w:ind w:firstLine="210" w:firstLineChars="100"/>
              <w:rPr>
                <w:rFonts w:hint="eastAsia" w:ascii="黑体" w:hAnsi="黑体" w:eastAsia="黑体" w:cs="黑体"/>
                <w:color w:val="auto"/>
                <w:szCs w:val="21"/>
                <w:highlight w:val="none"/>
                <w:lang w:eastAsia="zh-CN"/>
              </w:rPr>
            </w:pPr>
            <w:r>
              <w:rPr>
                <w:rStyle w:val="42"/>
                <w:rFonts w:hint="eastAsia" w:ascii="黑体" w:hAnsi="黑体" w:eastAsia="黑体" w:cs="黑体"/>
                <w:color w:val="auto"/>
                <w:sz w:val="21"/>
                <w:szCs w:val="21"/>
                <w:highlight w:val="none"/>
                <w:lang w:val="en-US" w:eastAsia="zh-CN"/>
              </w:rPr>
              <w:t>/</w:t>
            </w:r>
          </w:p>
        </w:tc>
      </w:tr>
      <w:tr w14:paraId="4413930B">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52B377E6">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1.4.4</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223741F0">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投标人不得存在的其他不良状况或不良信用记录</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2AB425B4">
            <w:pPr>
              <w:spacing w:line="400" w:lineRule="exact"/>
              <w:ind w:firstLine="210" w:firstLineChars="100"/>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w:t>
            </w:r>
          </w:p>
        </w:tc>
      </w:tr>
      <w:tr w14:paraId="47C8FF0D">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1F24D2AC">
            <w:pPr>
              <w:spacing w:line="400" w:lineRule="exact"/>
              <w:jc w:val="center"/>
              <w:rPr>
                <w:rFonts w:hint="eastAsia" w:ascii="黑体" w:hAnsi="黑体" w:eastAsia="黑体" w:cs="黑体"/>
                <w:color w:val="auto"/>
                <w:highlight w:val="none"/>
              </w:rPr>
            </w:pPr>
            <w:r>
              <w:rPr>
                <w:rFonts w:hint="eastAsia" w:ascii="黑体" w:hAnsi="黑体" w:eastAsia="黑体" w:cs="黑体"/>
                <w:color w:val="000000"/>
                <w:szCs w:val="21"/>
                <w:highlight w:val="none"/>
              </w:rPr>
              <w:t>1.9.1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059AE95D">
            <w:pPr>
              <w:jc w:val="center"/>
              <w:rPr>
                <w:rFonts w:hint="eastAsia" w:ascii="黑体" w:hAnsi="黑体" w:eastAsia="黑体" w:cs="黑体"/>
                <w:color w:val="auto"/>
                <w:szCs w:val="21"/>
                <w:highlight w:val="none"/>
              </w:rPr>
            </w:pPr>
            <w:r>
              <w:rPr>
                <w:rFonts w:hint="eastAsia" w:ascii="黑体" w:hAnsi="黑体" w:eastAsia="黑体" w:cs="黑体"/>
                <w:color w:val="000000"/>
                <w:szCs w:val="21"/>
                <w:highlight w:val="none"/>
              </w:rPr>
              <w:t>踏勘现场</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5878D670">
            <w:pPr>
              <w:pStyle w:val="18"/>
              <w:spacing w:before="0" w:beforeAutospacing="0" w:after="0" w:afterAutospacing="0" w:line="340" w:lineRule="exact"/>
              <w:ind w:left="0" w:leftChars="0" w:right="0" w:rightChars="0"/>
              <w:jc w:val="both"/>
              <w:rPr>
                <w:rFonts w:hint="eastAsia" w:ascii="黑体" w:hAnsi="黑体" w:eastAsia="黑体" w:cs="黑体"/>
                <w:color w:val="auto"/>
                <w:szCs w:val="21"/>
                <w:highlight w:val="none"/>
              </w:rPr>
            </w:pPr>
            <w:r>
              <w:rPr>
                <w:rFonts w:hint="eastAsia" w:ascii="黑体" w:hAnsi="黑体" w:eastAsia="黑体" w:cs="黑体"/>
                <w:b/>
                <w:color w:val="auto"/>
                <w:sz w:val="21"/>
                <w:szCs w:val="21"/>
                <w:highlight w:val="none"/>
              </w:rPr>
              <w:t>招标人不组织现场踏勘，投标人可自行踏勘现场，也可将踏勘现场报告放入投标文件中。</w:t>
            </w:r>
          </w:p>
        </w:tc>
      </w:tr>
      <w:tr w14:paraId="29E6D5B3">
        <w:tblPrEx>
          <w:tblCellMar>
            <w:top w:w="0" w:type="dxa"/>
            <w:left w:w="108" w:type="dxa"/>
            <w:bottom w:w="0" w:type="dxa"/>
            <w:right w:w="108" w:type="dxa"/>
          </w:tblCellMar>
        </w:tblPrEx>
        <w:trPr>
          <w:trHeight w:val="720" w:hRule="atLeast"/>
        </w:trPr>
        <w:tc>
          <w:tcPr>
            <w:tcW w:w="540" w:type="pct"/>
            <w:tcBorders>
              <w:top w:val="single" w:color="auto" w:sz="4" w:space="0"/>
              <w:left w:val="single" w:color="auto" w:sz="4" w:space="0"/>
              <w:right w:val="single" w:color="auto" w:sz="4" w:space="0"/>
            </w:tcBorders>
            <w:noWrap w:val="0"/>
            <w:vAlign w:val="center"/>
          </w:tcPr>
          <w:p w14:paraId="491398F3">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1.10</w:t>
            </w:r>
          </w:p>
        </w:tc>
        <w:tc>
          <w:tcPr>
            <w:tcW w:w="1026" w:type="pct"/>
            <w:tcBorders>
              <w:top w:val="single" w:color="auto" w:sz="4" w:space="0"/>
              <w:left w:val="single" w:color="auto" w:sz="4" w:space="0"/>
              <w:right w:val="single" w:color="auto" w:sz="4" w:space="0"/>
            </w:tcBorders>
            <w:noWrap w:val="0"/>
            <w:vAlign w:val="center"/>
          </w:tcPr>
          <w:p w14:paraId="20D31E54">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投标预备会</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4FCEA66B">
            <w:pPr>
              <w:shd w:val="clear" w:color="auto" w:fill="auto"/>
              <w:spacing w:line="360" w:lineRule="atLeas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不召开</w:t>
            </w:r>
          </w:p>
        </w:tc>
      </w:tr>
      <w:tr w14:paraId="59A861FE">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3DFB2EAC">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1.11.1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3ABD676C">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分  包</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1E23BDA2">
            <w:pPr>
              <w:spacing w:line="340" w:lineRule="exact"/>
              <w:jc w:val="left"/>
              <w:rPr>
                <w:rFonts w:hint="eastAsia" w:ascii="黑体" w:hAnsi="黑体" w:eastAsia="黑体" w:cs="黑体"/>
                <w:color w:val="000000"/>
                <w:szCs w:val="21"/>
                <w:highlight w:val="none"/>
                <w:lang w:val="zh-TW" w:eastAsia="zh-TW"/>
              </w:rPr>
            </w:pPr>
            <w:r>
              <w:rPr>
                <w:rFonts w:hint="eastAsia" w:ascii="黑体" w:hAnsi="黑体" w:eastAsia="黑体" w:cs="黑体"/>
                <w:color w:val="000000"/>
                <w:szCs w:val="21"/>
                <w:highlight w:val="none"/>
                <w:lang w:val="zh-TW" w:eastAsia="zh-TW"/>
              </w:rPr>
              <w:t>■不允许</w:t>
            </w:r>
          </w:p>
          <w:p w14:paraId="610F6E5F">
            <w:pPr>
              <w:pStyle w:val="6"/>
              <w:shd w:val="clear" w:color="auto" w:fill="auto"/>
              <w:spacing w:line="360" w:lineRule="atLeast"/>
              <w:jc w:val="both"/>
              <w:rPr>
                <w:rFonts w:hint="eastAsia" w:ascii="黑体" w:hAnsi="黑体" w:eastAsia="黑体" w:cs="黑体"/>
                <w:color w:val="auto"/>
                <w:szCs w:val="21"/>
                <w:highlight w:val="none"/>
              </w:rPr>
            </w:pPr>
            <w:r>
              <w:rPr>
                <w:rFonts w:hint="eastAsia" w:ascii="黑体" w:hAnsi="黑体" w:eastAsia="黑体" w:cs="黑体"/>
                <w:color w:val="000000"/>
                <w:szCs w:val="21"/>
                <w:highlight w:val="none"/>
                <w:lang w:val="zh-TW" w:eastAsia="zh-TW"/>
              </w:rPr>
              <w:t>□</w:t>
            </w:r>
            <w:r>
              <w:rPr>
                <w:rFonts w:hint="eastAsia" w:ascii="黑体" w:hAnsi="黑体" w:eastAsia="黑体" w:cs="黑体"/>
                <w:color w:val="auto"/>
                <w:szCs w:val="21"/>
                <w:highlight w:val="none"/>
                <w:lang w:val="en-US" w:eastAsia="zh-CN"/>
              </w:rPr>
              <w:t>允许分包，</w:t>
            </w:r>
            <w:r>
              <w:rPr>
                <w:rFonts w:hint="eastAsia" w:ascii="黑体" w:hAnsi="黑体" w:eastAsia="黑体" w:cs="黑体"/>
                <w:color w:val="auto"/>
                <w:szCs w:val="21"/>
                <w:highlight w:val="none"/>
              </w:rPr>
              <w:t>分包应满足交通运输部《公路工程施工分包管理办法》（交公路规〔2024〕2号）《内蒙古自治区公路工程施工分包管理实施细则》（内交建设函〔2024〕1332号）规定，投标人按照合同约定或者经招标人书面同意，可以将中标项目中负面清单以外的部分单位工程、分部工程或者分项工程分包给满足相应条件的其他专业施工单位完成。其中，单位工程设有资质要求的，单位工程及所含分部工程、分项工程的分包人应当具备国家规定的相应专业承包资质条件；其他单位工程及所含分部工程、分项工程的分包人应当具备的条件由招标人根据工程实际情况确定，但不得违反法律法规等相关规定。</w:t>
            </w:r>
          </w:p>
        </w:tc>
      </w:tr>
      <w:tr w14:paraId="04AD21E0">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656A720B">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2.1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6B3952B2">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构成招标文件的其他资料</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495DB7E9">
            <w:pPr>
              <w:keepNext w:val="0"/>
              <w:keepLines w:val="0"/>
              <w:pageBreakBefore w:val="0"/>
              <w:widowControl w:val="0"/>
              <w:kinsoku/>
              <w:wordWrap/>
              <w:overflowPunct/>
              <w:topLinePunct w:val="0"/>
              <w:autoSpaceDE/>
              <w:autoSpaceDN/>
              <w:bidi w:val="0"/>
              <w:adjustRightInd/>
              <w:snapToGrid/>
              <w:spacing w:line="0" w:lineRule="atLeast"/>
              <w:textAlignment w:val="auto"/>
              <w:outlineLvl w:val="9"/>
              <w:rPr>
                <w:rFonts w:hint="eastAsia" w:ascii="黑体" w:hAnsi="黑体" w:eastAsia="黑体" w:cs="黑体"/>
                <w:color w:val="auto"/>
                <w:szCs w:val="21"/>
                <w:highlight w:val="none"/>
              </w:rPr>
            </w:pPr>
            <w:r>
              <w:rPr>
                <w:rFonts w:hint="eastAsia" w:ascii="黑体" w:hAnsi="黑体" w:eastAsia="黑体" w:cs="黑体"/>
                <w:color w:val="auto"/>
                <w:szCs w:val="21"/>
                <w:highlight w:val="none"/>
              </w:rPr>
              <w:t>① 招标人发出的工程量固化清单电子文件；</w:t>
            </w:r>
          </w:p>
          <w:p w14:paraId="19D6ACC7">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② 带有编号的变更公告或补遗书(如果有)；</w:t>
            </w:r>
          </w:p>
          <w:p w14:paraId="22D39613">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澄清、修改、补遗等内容将以编号的变更公告或补遗书形式发布给投标人，请各投标人自行到</w:t>
            </w:r>
            <w:r>
              <w:rPr>
                <w:rFonts w:hint="eastAsia" w:ascii="黑体" w:hAnsi="黑体" w:eastAsia="黑体" w:cs="黑体"/>
                <w:color w:val="auto"/>
                <w:szCs w:val="21"/>
                <w:highlight w:val="none"/>
                <w:u w:val="single"/>
              </w:rPr>
              <w:t>内蒙古自治区公共资源交易网 （https://ggzyjy.nmg.gov.cn）</w:t>
            </w:r>
            <w:r>
              <w:rPr>
                <w:rFonts w:hint="eastAsia" w:ascii="黑体" w:hAnsi="黑体" w:eastAsia="黑体" w:cs="黑体"/>
                <w:color w:val="auto"/>
                <w:szCs w:val="21"/>
                <w:highlight w:val="none"/>
              </w:rPr>
              <w:t>下载。变更公告或补遗书作为招标文件的组成部分，对所有投标人均具有约束力。当招标文件、招标文件的澄清或修改等在同一内容的表述上不一致时，以最后发出的书面文件为准。</w:t>
            </w:r>
          </w:p>
        </w:tc>
      </w:tr>
      <w:tr w14:paraId="1359CF9C">
        <w:tblPrEx>
          <w:tblCellMar>
            <w:top w:w="0" w:type="dxa"/>
            <w:left w:w="108" w:type="dxa"/>
            <w:bottom w:w="0" w:type="dxa"/>
            <w:right w:w="108" w:type="dxa"/>
          </w:tblCellMar>
        </w:tblPrEx>
        <w:trPr>
          <w:trHeight w:val="340" w:hRule="atLeast"/>
        </w:trPr>
        <w:tc>
          <w:tcPr>
            <w:tcW w:w="540" w:type="pct"/>
            <w:vMerge w:val="restart"/>
            <w:tcBorders>
              <w:top w:val="single" w:color="auto" w:sz="4" w:space="0"/>
              <w:left w:val="single" w:color="auto" w:sz="4" w:space="0"/>
              <w:right w:val="single" w:color="auto" w:sz="4" w:space="0"/>
            </w:tcBorders>
            <w:noWrap w:val="0"/>
            <w:vAlign w:val="center"/>
          </w:tcPr>
          <w:p w14:paraId="51B4A944">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2.2.1</w:t>
            </w:r>
          </w:p>
        </w:tc>
        <w:tc>
          <w:tcPr>
            <w:tcW w:w="1026" w:type="pct"/>
            <w:vMerge w:val="restart"/>
            <w:tcBorders>
              <w:top w:val="single" w:color="auto" w:sz="4" w:space="0"/>
              <w:left w:val="single" w:color="auto" w:sz="4" w:space="0"/>
              <w:right w:val="single" w:color="auto" w:sz="4" w:space="0"/>
            </w:tcBorders>
            <w:noWrap w:val="0"/>
            <w:vAlign w:val="center"/>
          </w:tcPr>
          <w:p w14:paraId="2E8EA228">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投标人要求澄清招标文件</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13C73FEA">
            <w:pPr>
              <w:spacing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递交投标文件截止时间</w:t>
            </w:r>
            <w:r>
              <w:rPr>
                <w:rFonts w:hint="eastAsia" w:ascii="黑体" w:hAnsi="黑体" w:eastAsia="黑体" w:cs="黑体"/>
                <w:color w:val="auto"/>
                <w:szCs w:val="21"/>
                <w:highlight w:val="none"/>
                <w:u w:val="single"/>
              </w:rPr>
              <w:t xml:space="preserve"> 10 </w:t>
            </w:r>
            <w:r>
              <w:rPr>
                <w:rFonts w:hint="eastAsia" w:ascii="黑体" w:hAnsi="黑体" w:eastAsia="黑体" w:cs="黑体"/>
                <w:color w:val="auto"/>
                <w:szCs w:val="21"/>
                <w:highlight w:val="none"/>
              </w:rPr>
              <w:t>天前</w:t>
            </w:r>
          </w:p>
        </w:tc>
      </w:tr>
      <w:tr w14:paraId="35206E0A">
        <w:tblPrEx>
          <w:tblCellMar>
            <w:top w:w="0" w:type="dxa"/>
            <w:left w:w="108" w:type="dxa"/>
            <w:bottom w:w="0" w:type="dxa"/>
            <w:right w:w="108" w:type="dxa"/>
          </w:tblCellMar>
        </w:tblPrEx>
        <w:trPr>
          <w:trHeight w:val="340" w:hRule="atLeast"/>
        </w:trPr>
        <w:tc>
          <w:tcPr>
            <w:tcW w:w="540" w:type="pct"/>
            <w:vMerge w:val="continue"/>
            <w:tcBorders>
              <w:left w:val="single" w:color="auto" w:sz="4" w:space="0"/>
              <w:bottom w:val="single" w:color="auto" w:sz="4" w:space="0"/>
              <w:right w:val="single" w:color="auto" w:sz="4" w:space="0"/>
            </w:tcBorders>
            <w:noWrap w:val="0"/>
            <w:vAlign w:val="center"/>
          </w:tcPr>
          <w:p w14:paraId="7BF0643F">
            <w:pPr>
              <w:shd w:val="clear" w:color="auto" w:fill="auto"/>
              <w:spacing w:line="360" w:lineRule="atLeast"/>
              <w:jc w:val="center"/>
              <w:rPr>
                <w:rFonts w:hint="eastAsia" w:ascii="黑体" w:hAnsi="黑体" w:eastAsia="黑体" w:cs="黑体"/>
                <w:color w:val="auto"/>
                <w:szCs w:val="21"/>
                <w:highlight w:val="none"/>
              </w:rPr>
            </w:pPr>
          </w:p>
        </w:tc>
        <w:tc>
          <w:tcPr>
            <w:tcW w:w="1026" w:type="pct"/>
            <w:vMerge w:val="continue"/>
            <w:tcBorders>
              <w:left w:val="single" w:color="auto" w:sz="4" w:space="0"/>
              <w:bottom w:val="single" w:color="auto" w:sz="4" w:space="0"/>
              <w:right w:val="single" w:color="auto" w:sz="4" w:space="0"/>
            </w:tcBorders>
            <w:noWrap w:val="0"/>
            <w:vAlign w:val="center"/>
          </w:tcPr>
          <w:p w14:paraId="2E48E031">
            <w:pPr>
              <w:shd w:val="clear" w:color="auto" w:fill="auto"/>
              <w:spacing w:line="360" w:lineRule="atLeast"/>
              <w:jc w:val="center"/>
              <w:rPr>
                <w:rFonts w:hint="eastAsia" w:ascii="黑体" w:hAnsi="黑体" w:eastAsia="黑体" w:cs="黑体"/>
                <w:color w:val="auto"/>
                <w:szCs w:val="21"/>
                <w:highlight w:val="none"/>
              </w:rPr>
            </w:pPr>
          </w:p>
        </w:tc>
        <w:tc>
          <w:tcPr>
            <w:tcW w:w="3432" w:type="pct"/>
            <w:tcBorders>
              <w:top w:val="single" w:color="auto" w:sz="4" w:space="0"/>
              <w:left w:val="single" w:color="auto" w:sz="4" w:space="0"/>
              <w:bottom w:val="single" w:color="auto" w:sz="4" w:space="0"/>
              <w:right w:val="single" w:color="auto" w:sz="4" w:space="0"/>
            </w:tcBorders>
            <w:noWrap w:val="0"/>
            <w:vAlign w:val="center"/>
          </w:tcPr>
          <w:p w14:paraId="0D926BF4">
            <w:pPr>
              <w:spacing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zh-TW" w:eastAsia="zh-TW"/>
              </w:rPr>
              <w:t>形式：电子交易平台</w:t>
            </w:r>
            <w:r>
              <w:rPr>
                <w:rFonts w:hint="eastAsia" w:ascii="黑体" w:hAnsi="黑体" w:eastAsia="黑体" w:cs="黑体"/>
                <w:color w:val="auto"/>
                <w:szCs w:val="21"/>
                <w:highlight w:val="none"/>
                <w:lang w:val="en-US" w:eastAsia="zh-CN"/>
              </w:rPr>
              <w:t>,内蒙古自治区公共资源交易网 （https://ggzyjy.nmg.gov.cn）</w:t>
            </w:r>
          </w:p>
        </w:tc>
      </w:tr>
      <w:tr w14:paraId="595D2C7A">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59B5F9A9">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2.2.2</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5E3BCF94">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招标文件澄清发出的形式</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6989E320">
            <w:pPr>
              <w:spacing w:line="360" w:lineRule="auto"/>
              <w:jc w:val="left"/>
              <w:rPr>
                <w:rFonts w:hint="eastAsia" w:ascii="黑体" w:hAnsi="黑体" w:eastAsia="黑体" w:cs="黑体"/>
                <w:b w:val="0"/>
                <w:bCs/>
                <w:color w:val="auto"/>
                <w:spacing w:val="-2"/>
                <w:szCs w:val="21"/>
                <w:highlight w:val="none"/>
                <w:u w:val="single"/>
                <w:lang w:eastAsia="zh-TW"/>
              </w:rPr>
            </w:pPr>
            <w:r>
              <w:rPr>
                <w:rFonts w:hint="eastAsia" w:ascii="黑体" w:hAnsi="黑体" w:eastAsia="黑体" w:cs="黑体"/>
                <w:b w:val="0"/>
                <w:bCs/>
                <w:color w:val="auto"/>
                <w:spacing w:val="-2"/>
                <w:szCs w:val="21"/>
                <w:highlight w:val="none"/>
                <w:u w:val="none"/>
                <w:lang w:val="en-US" w:eastAsia="zh-TW"/>
              </w:rPr>
              <w:t>通过电子交易平台发布</w:t>
            </w:r>
            <w:r>
              <w:rPr>
                <w:rFonts w:hint="eastAsia" w:ascii="黑体" w:hAnsi="黑体" w:eastAsia="黑体" w:cs="黑体"/>
                <w:b w:val="0"/>
                <w:bCs/>
                <w:color w:val="auto"/>
                <w:spacing w:val="-2"/>
                <w:szCs w:val="21"/>
                <w:highlight w:val="none"/>
                <w:u w:val="none"/>
                <w:lang w:val="en-US" w:eastAsia="zh-CN"/>
              </w:rPr>
              <w:t>，</w:t>
            </w:r>
            <w:r>
              <w:rPr>
                <w:rFonts w:hint="eastAsia" w:ascii="黑体" w:hAnsi="黑体" w:eastAsia="黑体" w:cs="黑体"/>
                <w:b w:val="0"/>
                <w:bCs/>
                <w:color w:val="auto"/>
                <w:spacing w:val="-2"/>
                <w:szCs w:val="21"/>
                <w:highlight w:val="none"/>
                <w:u w:val="single"/>
                <w:lang w:eastAsia="zh-TW"/>
              </w:rPr>
              <w:t>招标文件的澄清将在投标人须知前附表规定的投标截止时间15天前在</w:t>
            </w:r>
            <w:r>
              <w:rPr>
                <w:rFonts w:hint="eastAsia" w:ascii="黑体" w:hAnsi="黑体" w:eastAsia="黑体" w:cs="黑体"/>
                <w:b w:val="0"/>
                <w:bCs/>
                <w:color w:val="auto"/>
                <w:spacing w:val="-2"/>
                <w:szCs w:val="21"/>
                <w:highlight w:val="none"/>
                <w:u w:val="single"/>
                <w:lang w:val="en-US" w:eastAsia="zh-TW"/>
              </w:rPr>
              <w:t>内蒙古自治区公共资源交易网（http://ggzyjy.nmg.gov.cn）</w:t>
            </w:r>
          </w:p>
          <w:p w14:paraId="46F933D1">
            <w:pPr>
              <w:shd w:val="clear" w:color="auto" w:fill="auto"/>
              <w:spacing w:line="360" w:lineRule="auto"/>
              <w:rPr>
                <w:rFonts w:hint="eastAsia" w:ascii="黑体" w:hAnsi="黑体" w:eastAsia="黑体" w:cs="黑体"/>
                <w:color w:val="auto"/>
                <w:szCs w:val="21"/>
                <w:highlight w:val="none"/>
                <w:lang w:val="en-US" w:eastAsia="zh-CN"/>
              </w:rPr>
            </w:pPr>
            <w:r>
              <w:rPr>
                <w:rFonts w:hint="eastAsia" w:ascii="黑体" w:hAnsi="黑体" w:eastAsia="黑体" w:cs="黑体"/>
                <w:b w:val="0"/>
                <w:bCs/>
                <w:color w:val="auto"/>
                <w:spacing w:val="-2"/>
                <w:szCs w:val="21"/>
                <w:highlight w:val="none"/>
                <w:u w:val="single"/>
                <w:lang w:eastAsia="zh-TW"/>
              </w:rPr>
              <w:t>上公布，投标人应密切关注</w:t>
            </w:r>
            <w:r>
              <w:rPr>
                <w:rFonts w:hint="eastAsia" w:ascii="黑体" w:hAnsi="黑体" w:eastAsia="黑体" w:cs="黑体"/>
                <w:b w:val="0"/>
                <w:bCs/>
                <w:color w:val="auto"/>
                <w:spacing w:val="-2"/>
                <w:szCs w:val="21"/>
                <w:highlight w:val="none"/>
                <w:u w:val="single"/>
                <w:lang w:val="en-US" w:eastAsia="zh-CN"/>
              </w:rPr>
              <w:t>内蒙古自治区</w:t>
            </w:r>
            <w:r>
              <w:rPr>
                <w:rFonts w:hint="eastAsia" w:ascii="黑体" w:hAnsi="黑体" w:eastAsia="黑体" w:cs="黑体"/>
                <w:b w:val="0"/>
                <w:bCs/>
                <w:color w:val="auto"/>
                <w:spacing w:val="-2"/>
                <w:szCs w:val="21"/>
                <w:highlight w:val="none"/>
                <w:u w:val="single"/>
                <w:lang w:eastAsia="zh-TW"/>
              </w:rPr>
              <w:t>公共资源交易中心网站相关信息，招标人不另行通知，未关注者后果自行承担。</w:t>
            </w:r>
          </w:p>
        </w:tc>
      </w:tr>
      <w:tr w14:paraId="76B10567">
        <w:tblPrEx>
          <w:tblCellMar>
            <w:top w:w="0" w:type="dxa"/>
            <w:left w:w="108" w:type="dxa"/>
            <w:bottom w:w="0" w:type="dxa"/>
            <w:right w:w="108" w:type="dxa"/>
          </w:tblCellMar>
        </w:tblPrEx>
        <w:trPr>
          <w:trHeight w:val="1850" w:hRule="atLeast"/>
        </w:trPr>
        <w:tc>
          <w:tcPr>
            <w:tcW w:w="540" w:type="pct"/>
            <w:tcBorders>
              <w:top w:val="single" w:color="auto" w:sz="4" w:space="0"/>
              <w:left w:val="single" w:color="auto" w:sz="4" w:space="0"/>
              <w:right w:val="single" w:color="auto" w:sz="4" w:space="0"/>
            </w:tcBorders>
            <w:noWrap w:val="0"/>
            <w:vAlign w:val="center"/>
          </w:tcPr>
          <w:p w14:paraId="2574D020">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2.2.3</w:t>
            </w:r>
          </w:p>
        </w:tc>
        <w:tc>
          <w:tcPr>
            <w:tcW w:w="1026" w:type="pct"/>
            <w:tcBorders>
              <w:top w:val="single" w:color="auto" w:sz="4" w:space="0"/>
              <w:left w:val="single" w:color="auto" w:sz="4" w:space="0"/>
              <w:right w:val="single" w:color="auto" w:sz="4" w:space="0"/>
            </w:tcBorders>
            <w:noWrap w:val="0"/>
            <w:vAlign w:val="center"/>
          </w:tcPr>
          <w:p w14:paraId="7328EC8C">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投标人确认收到招标文件澄清</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48366F63">
            <w:pPr>
              <w:shd w:val="clear" w:color="auto" w:fill="auto"/>
              <w:spacing w:line="360" w:lineRule="auto"/>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投标人</w:t>
            </w:r>
            <w:r>
              <w:rPr>
                <w:rFonts w:hint="eastAsia" w:ascii="黑体" w:hAnsi="黑体" w:eastAsia="黑体" w:cs="黑体"/>
                <w:color w:val="auto"/>
                <w:szCs w:val="21"/>
                <w:highlight w:val="none"/>
              </w:rPr>
              <w:t>无需确认，以招标人在公共资源交易中心网站发布时间为准。</w:t>
            </w:r>
          </w:p>
          <w:p w14:paraId="71F6DE1E">
            <w:pPr>
              <w:pStyle w:val="21"/>
              <w:spacing w:line="360" w:lineRule="auto"/>
              <w:ind w:left="0" w:leftChars="0" w:firstLine="0" w:firstLineChars="0"/>
              <w:rPr>
                <w:rFonts w:hint="eastAsia" w:ascii="黑体" w:hAnsi="黑体" w:eastAsia="黑体" w:cs="黑体"/>
                <w:highlight w:val="none"/>
                <w:lang w:val="en-US" w:eastAsia="zh-CN"/>
              </w:rPr>
            </w:pPr>
            <w:r>
              <w:rPr>
                <w:rFonts w:hint="eastAsia" w:ascii="黑体" w:hAnsi="黑体" w:eastAsia="黑体" w:cs="黑体"/>
                <w:color w:val="auto"/>
                <w:szCs w:val="21"/>
                <w:highlight w:val="none"/>
              </w:rPr>
              <w:t>关于本次招标相关的变更公告或补遗书及通知，招标人不另行通知，如投标人未按变更公告或补遗书及通知办理投标事宜，造成的后果由投标人承担。</w:t>
            </w:r>
          </w:p>
        </w:tc>
      </w:tr>
      <w:tr w14:paraId="63408F8B">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1F3FBB90">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2.3.1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290D3AA7">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招标文件修改发出的形式</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761308F3">
            <w:pPr>
              <w:spacing w:line="400" w:lineRule="exact"/>
              <w:rPr>
                <w:rFonts w:hint="eastAsia" w:ascii="黑体" w:hAnsi="黑体" w:eastAsia="黑体" w:cs="黑体"/>
                <w:b w:val="0"/>
                <w:bCs/>
                <w:color w:val="auto"/>
                <w:szCs w:val="21"/>
                <w:highlight w:val="none"/>
                <w:u w:val="single"/>
              </w:rPr>
            </w:pPr>
            <w:r>
              <w:rPr>
                <w:rFonts w:hint="eastAsia" w:ascii="黑体" w:hAnsi="黑体" w:eastAsia="黑体" w:cs="黑体"/>
                <w:color w:val="auto"/>
                <w:szCs w:val="21"/>
                <w:highlight w:val="none"/>
                <w:lang w:val="en-US" w:eastAsia="zh-CN"/>
              </w:rPr>
              <w:t>通过电子交易平台发布，</w:t>
            </w:r>
            <w:r>
              <w:rPr>
                <w:rFonts w:hint="eastAsia" w:ascii="黑体" w:hAnsi="黑体" w:eastAsia="黑体" w:cs="黑体"/>
                <w:b w:val="0"/>
                <w:bCs/>
                <w:color w:val="auto"/>
                <w:szCs w:val="21"/>
                <w:highlight w:val="none"/>
                <w:u w:val="single"/>
              </w:rPr>
              <w:t>招标文件的</w:t>
            </w:r>
            <w:r>
              <w:rPr>
                <w:rFonts w:hint="eastAsia" w:ascii="黑体" w:hAnsi="黑体" w:eastAsia="黑体" w:cs="黑体"/>
                <w:b w:val="0"/>
                <w:bCs/>
                <w:color w:val="auto"/>
                <w:szCs w:val="21"/>
                <w:highlight w:val="none"/>
                <w:u w:val="single"/>
                <w:lang w:eastAsia="zh-CN"/>
              </w:rPr>
              <w:t>修改</w:t>
            </w:r>
            <w:r>
              <w:rPr>
                <w:rFonts w:hint="eastAsia" w:ascii="黑体" w:hAnsi="黑体" w:eastAsia="黑体" w:cs="黑体"/>
                <w:b w:val="0"/>
                <w:bCs/>
                <w:color w:val="auto"/>
                <w:szCs w:val="21"/>
                <w:highlight w:val="none"/>
                <w:u w:val="single"/>
              </w:rPr>
              <w:t>将以</w:t>
            </w:r>
            <w:r>
              <w:rPr>
                <w:rFonts w:hint="eastAsia" w:ascii="黑体" w:hAnsi="黑体" w:eastAsia="黑体" w:cs="黑体"/>
                <w:b w:val="0"/>
                <w:bCs/>
                <w:color w:val="auto"/>
                <w:szCs w:val="21"/>
                <w:highlight w:val="none"/>
                <w:u w:val="single"/>
                <w:lang w:eastAsia="zh-CN"/>
              </w:rPr>
              <w:t>变更公告或带有</w:t>
            </w:r>
            <w:r>
              <w:rPr>
                <w:rFonts w:hint="eastAsia" w:ascii="黑体" w:hAnsi="黑体" w:eastAsia="黑体" w:cs="黑体"/>
                <w:b w:val="0"/>
                <w:bCs/>
                <w:color w:val="auto"/>
                <w:szCs w:val="21"/>
                <w:highlight w:val="none"/>
                <w:u w:val="single"/>
              </w:rPr>
              <w:t>编号的补遗书形式在</w:t>
            </w:r>
            <w:r>
              <w:rPr>
                <w:rFonts w:hint="eastAsia" w:ascii="黑体" w:hAnsi="黑体" w:eastAsia="黑体" w:cs="黑体"/>
                <w:b w:val="0"/>
                <w:bCs/>
                <w:color w:val="auto"/>
                <w:szCs w:val="21"/>
                <w:highlight w:val="none"/>
                <w:u w:val="single"/>
                <w:lang w:val="en-US" w:eastAsia="zh-CN"/>
              </w:rPr>
              <w:t>内蒙古自治区公共资源交易网（http://ggzyjy.nmg.gov.cn）</w:t>
            </w:r>
          </w:p>
          <w:p w14:paraId="5FA03088">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b w:val="0"/>
                <w:bCs/>
                <w:color w:val="auto"/>
                <w:szCs w:val="21"/>
                <w:highlight w:val="none"/>
                <w:u w:val="single"/>
              </w:rPr>
              <w:t>上发布，所有投标人应密切关注</w:t>
            </w:r>
            <w:r>
              <w:rPr>
                <w:rFonts w:hint="eastAsia" w:ascii="黑体" w:hAnsi="黑体" w:eastAsia="黑体" w:cs="黑体"/>
                <w:b w:val="0"/>
                <w:bCs/>
                <w:color w:val="auto"/>
                <w:spacing w:val="-2"/>
                <w:szCs w:val="21"/>
                <w:highlight w:val="none"/>
                <w:u w:val="single"/>
                <w:lang w:val="en-US" w:eastAsia="zh-CN"/>
              </w:rPr>
              <w:t>内蒙古自治区</w:t>
            </w:r>
            <w:r>
              <w:rPr>
                <w:rFonts w:hint="eastAsia" w:ascii="黑体" w:hAnsi="黑体" w:eastAsia="黑体" w:cs="黑体"/>
                <w:b w:val="0"/>
                <w:bCs/>
                <w:color w:val="auto"/>
                <w:szCs w:val="21"/>
                <w:highlight w:val="none"/>
                <w:u w:val="single"/>
              </w:rPr>
              <w:t>公共资源交易中心网站与本项目相关的信息，未关注者后果自行承担。</w:t>
            </w:r>
          </w:p>
        </w:tc>
      </w:tr>
      <w:tr w14:paraId="1C8E3776">
        <w:tblPrEx>
          <w:tblCellMar>
            <w:top w:w="0" w:type="dxa"/>
            <w:left w:w="108" w:type="dxa"/>
            <w:bottom w:w="0" w:type="dxa"/>
            <w:right w:w="108" w:type="dxa"/>
          </w:tblCellMar>
        </w:tblPrEx>
        <w:trPr>
          <w:trHeight w:val="720" w:hRule="atLeast"/>
        </w:trPr>
        <w:tc>
          <w:tcPr>
            <w:tcW w:w="540" w:type="pct"/>
            <w:vMerge w:val="restart"/>
            <w:tcBorders>
              <w:top w:val="single" w:color="auto" w:sz="4" w:space="0"/>
              <w:left w:val="single" w:color="auto" w:sz="4" w:space="0"/>
              <w:right w:val="single" w:color="auto" w:sz="4" w:space="0"/>
            </w:tcBorders>
            <w:noWrap w:val="0"/>
            <w:vAlign w:val="center"/>
          </w:tcPr>
          <w:p w14:paraId="11CE7D5B">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2.3.2</w:t>
            </w:r>
          </w:p>
        </w:tc>
        <w:tc>
          <w:tcPr>
            <w:tcW w:w="1026" w:type="pct"/>
            <w:vMerge w:val="restart"/>
            <w:tcBorders>
              <w:top w:val="single" w:color="auto" w:sz="4" w:space="0"/>
              <w:left w:val="single" w:color="auto" w:sz="4" w:space="0"/>
              <w:right w:val="single" w:color="auto" w:sz="4" w:space="0"/>
            </w:tcBorders>
            <w:noWrap w:val="0"/>
            <w:vAlign w:val="center"/>
          </w:tcPr>
          <w:p w14:paraId="3D919C3D">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投标人确认收到招标文件修改</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62662847">
            <w:pPr>
              <w:spacing w:line="400" w:lineRule="exact"/>
              <w:rPr>
                <w:rFonts w:hint="eastAsia" w:ascii="黑体" w:hAnsi="黑体" w:eastAsia="黑体" w:cs="黑体"/>
                <w:b w:val="0"/>
                <w:bCs w:val="0"/>
                <w:color w:val="auto"/>
                <w:szCs w:val="21"/>
                <w:highlight w:val="none"/>
              </w:rPr>
            </w:pPr>
            <w:r>
              <w:rPr>
                <w:rFonts w:hint="eastAsia" w:ascii="黑体" w:hAnsi="黑体" w:eastAsia="黑体" w:cs="黑体"/>
                <w:b w:val="0"/>
                <w:bCs w:val="0"/>
                <w:color w:val="auto"/>
                <w:szCs w:val="21"/>
                <w:highlight w:val="none"/>
                <w:lang w:val="en-US" w:eastAsia="zh-CN"/>
              </w:rPr>
              <w:t>投标人</w:t>
            </w:r>
            <w:r>
              <w:rPr>
                <w:rFonts w:hint="eastAsia" w:ascii="黑体" w:hAnsi="黑体" w:eastAsia="黑体" w:cs="黑体"/>
                <w:b w:val="0"/>
                <w:bCs w:val="0"/>
                <w:color w:val="auto"/>
                <w:szCs w:val="21"/>
                <w:highlight w:val="none"/>
              </w:rPr>
              <w:t>无需确认，以招标人在公共资源交易中心网站发布时间为准。</w:t>
            </w:r>
          </w:p>
        </w:tc>
      </w:tr>
      <w:tr w14:paraId="12384D72">
        <w:tblPrEx>
          <w:tblCellMar>
            <w:top w:w="0" w:type="dxa"/>
            <w:left w:w="108" w:type="dxa"/>
            <w:bottom w:w="0" w:type="dxa"/>
            <w:right w:w="108" w:type="dxa"/>
          </w:tblCellMar>
        </w:tblPrEx>
        <w:trPr>
          <w:trHeight w:val="720" w:hRule="atLeast"/>
        </w:trPr>
        <w:tc>
          <w:tcPr>
            <w:tcW w:w="540" w:type="pct"/>
            <w:vMerge w:val="continue"/>
            <w:tcBorders>
              <w:left w:val="single" w:color="auto" w:sz="4" w:space="0"/>
              <w:right w:val="single" w:color="auto" w:sz="4" w:space="0"/>
            </w:tcBorders>
            <w:noWrap w:val="0"/>
            <w:vAlign w:val="center"/>
          </w:tcPr>
          <w:p w14:paraId="4D4C29DC">
            <w:pPr>
              <w:shd w:val="clear" w:color="auto" w:fill="auto"/>
              <w:spacing w:line="360" w:lineRule="atLeast"/>
              <w:jc w:val="center"/>
              <w:rPr>
                <w:rFonts w:hint="eastAsia" w:ascii="黑体" w:hAnsi="黑体" w:eastAsia="黑体" w:cs="黑体"/>
                <w:color w:val="auto"/>
                <w:szCs w:val="21"/>
                <w:highlight w:val="none"/>
              </w:rPr>
            </w:pPr>
          </w:p>
        </w:tc>
        <w:tc>
          <w:tcPr>
            <w:tcW w:w="1026" w:type="pct"/>
            <w:vMerge w:val="continue"/>
            <w:tcBorders>
              <w:left w:val="single" w:color="auto" w:sz="4" w:space="0"/>
              <w:right w:val="single" w:color="auto" w:sz="4" w:space="0"/>
            </w:tcBorders>
            <w:noWrap w:val="0"/>
            <w:vAlign w:val="center"/>
          </w:tcPr>
          <w:p w14:paraId="392DBFDC">
            <w:pPr>
              <w:shd w:val="clear" w:color="auto" w:fill="auto"/>
              <w:spacing w:line="360" w:lineRule="atLeast"/>
              <w:jc w:val="center"/>
              <w:rPr>
                <w:rFonts w:hint="eastAsia" w:ascii="黑体" w:hAnsi="黑体" w:eastAsia="黑体" w:cs="黑体"/>
                <w:color w:val="auto"/>
                <w:szCs w:val="21"/>
                <w:highlight w:val="none"/>
              </w:rPr>
            </w:pPr>
          </w:p>
        </w:tc>
        <w:tc>
          <w:tcPr>
            <w:tcW w:w="3432" w:type="pct"/>
            <w:tcBorders>
              <w:top w:val="single" w:color="auto" w:sz="4" w:space="0"/>
              <w:left w:val="single" w:color="auto" w:sz="4" w:space="0"/>
              <w:bottom w:val="single" w:color="auto" w:sz="4" w:space="0"/>
              <w:right w:val="single" w:color="auto" w:sz="4" w:space="0"/>
            </w:tcBorders>
            <w:noWrap w:val="0"/>
            <w:vAlign w:val="center"/>
          </w:tcPr>
          <w:p w14:paraId="177AF791">
            <w:pPr>
              <w:spacing w:line="400" w:lineRule="exact"/>
              <w:rPr>
                <w:rFonts w:hint="eastAsia" w:ascii="黑体" w:hAnsi="黑体" w:eastAsia="黑体" w:cs="黑体"/>
                <w:b w:val="0"/>
                <w:bCs w:val="0"/>
                <w:color w:val="auto"/>
                <w:szCs w:val="21"/>
                <w:highlight w:val="none"/>
              </w:rPr>
            </w:pPr>
            <w:r>
              <w:rPr>
                <w:rFonts w:hint="eastAsia" w:ascii="黑体" w:hAnsi="黑体" w:eastAsia="黑体" w:cs="黑体"/>
                <w:b w:val="0"/>
                <w:bCs w:val="0"/>
                <w:color w:val="auto"/>
                <w:szCs w:val="21"/>
                <w:highlight w:val="none"/>
                <w:u w:val="single"/>
              </w:rPr>
              <w:t>关于本次招标相关的</w:t>
            </w:r>
            <w:r>
              <w:rPr>
                <w:rFonts w:hint="eastAsia" w:ascii="黑体" w:hAnsi="黑体" w:eastAsia="黑体" w:cs="黑体"/>
                <w:b w:val="0"/>
                <w:bCs w:val="0"/>
                <w:color w:val="auto"/>
                <w:szCs w:val="21"/>
                <w:highlight w:val="none"/>
                <w:u w:val="single"/>
                <w:lang w:val="en-US" w:eastAsia="zh-CN"/>
              </w:rPr>
              <w:t>变更公告或</w:t>
            </w:r>
            <w:r>
              <w:rPr>
                <w:rFonts w:hint="eastAsia" w:ascii="黑体" w:hAnsi="黑体" w:eastAsia="黑体" w:cs="黑体"/>
                <w:b w:val="0"/>
                <w:bCs w:val="0"/>
                <w:color w:val="auto"/>
                <w:szCs w:val="21"/>
                <w:highlight w:val="none"/>
                <w:u w:val="single"/>
                <w:lang w:eastAsia="zh-CN"/>
              </w:rPr>
              <w:t>带有</w:t>
            </w:r>
            <w:r>
              <w:rPr>
                <w:rFonts w:hint="eastAsia" w:ascii="黑体" w:hAnsi="黑体" w:eastAsia="黑体" w:cs="黑体"/>
                <w:b w:val="0"/>
                <w:bCs w:val="0"/>
                <w:color w:val="auto"/>
                <w:szCs w:val="21"/>
                <w:highlight w:val="none"/>
                <w:u w:val="single"/>
              </w:rPr>
              <w:t>编号的补遗书及通知，招标人不另行通知，如投标人未按</w:t>
            </w:r>
            <w:r>
              <w:rPr>
                <w:rFonts w:hint="eastAsia" w:ascii="黑体" w:hAnsi="黑体" w:eastAsia="黑体" w:cs="黑体"/>
                <w:b w:val="0"/>
                <w:bCs w:val="0"/>
                <w:color w:val="auto"/>
                <w:szCs w:val="21"/>
                <w:highlight w:val="none"/>
                <w:u w:val="single"/>
                <w:lang w:val="en-US" w:eastAsia="zh-CN"/>
              </w:rPr>
              <w:t>变更公告或</w:t>
            </w:r>
            <w:r>
              <w:rPr>
                <w:rFonts w:hint="eastAsia" w:ascii="黑体" w:hAnsi="黑体" w:eastAsia="黑体" w:cs="黑体"/>
                <w:b w:val="0"/>
                <w:bCs w:val="0"/>
                <w:color w:val="auto"/>
                <w:szCs w:val="21"/>
                <w:highlight w:val="none"/>
                <w:u w:val="single"/>
                <w:lang w:eastAsia="zh-CN"/>
              </w:rPr>
              <w:t>带有</w:t>
            </w:r>
            <w:r>
              <w:rPr>
                <w:rFonts w:hint="eastAsia" w:ascii="黑体" w:hAnsi="黑体" w:eastAsia="黑体" w:cs="黑体"/>
                <w:b w:val="0"/>
                <w:bCs w:val="0"/>
                <w:color w:val="auto"/>
                <w:szCs w:val="21"/>
                <w:highlight w:val="none"/>
                <w:u w:val="single"/>
              </w:rPr>
              <w:t>编号的补遗书及通知办理投标事宜，造成的后果由投标人承担。</w:t>
            </w:r>
          </w:p>
        </w:tc>
      </w:tr>
      <w:tr w14:paraId="1E2C8C90">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787DA150">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3.1.1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7D56BE01">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投标文件</w:t>
            </w:r>
            <w:r>
              <w:rPr>
                <w:rFonts w:hint="eastAsia" w:ascii="黑体" w:hAnsi="黑体" w:eastAsia="黑体" w:cs="黑体"/>
                <w:color w:val="auto"/>
                <w:szCs w:val="21"/>
                <w:highlight w:val="none"/>
                <w:lang w:val="en-US" w:eastAsia="zh-CN"/>
              </w:rPr>
              <w:t>加密</w:t>
            </w:r>
            <w:r>
              <w:rPr>
                <w:rFonts w:hint="eastAsia" w:ascii="黑体" w:hAnsi="黑体" w:eastAsia="黑体" w:cs="黑体"/>
                <w:color w:val="auto"/>
                <w:szCs w:val="21"/>
                <w:highlight w:val="none"/>
              </w:rPr>
              <w:t>形式</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626D7D0C">
            <w:pPr>
              <w:spacing w:line="400" w:lineRule="exact"/>
              <w:rPr>
                <w:rFonts w:hint="eastAsia" w:ascii="黑体" w:hAnsi="黑体" w:eastAsia="黑体" w:cs="黑体"/>
                <w:color w:val="auto"/>
                <w:szCs w:val="21"/>
                <w:highlight w:val="none"/>
                <w:lang w:val="zh-TW"/>
              </w:rPr>
            </w:pPr>
            <w:r>
              <w:rPr>
                <w:rFonts w:hint="eastAsia" w:ascii="黑体" w:hAnsi="黑体" w:eastAsia="黑体" w:cs="黑体"/>
                <w:color w:val="auto"/>
                <w:szCs w:val="21"/>
                <w:highlight w:val="none"/>
                <w:lang w:val="zh-TW"/>
              </w:rPr>
              <w:t>■</w:t>
            </w:r>
            <w:r>
              <w:rPr>
                <w:rFonts w:hint="eastAsia" w:ascii="黑体" w:hAnsi="黑体" w:eastAsia="黑体" w:cs="黑体"/>
                <w:color w:val="auto"/>
                <w:szCs w:val="21"/>
                <w:highlight w:val="none"/>
                <w:lang w:val="zh-TW" w:eastAsia="zh-TW"/>
              </w:rPr>
              <w:t>双信封</w:t>
            </w:r>
          </w:p>
          <w:p w14:paraId="176836D8">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zh-TW" w:eastAsia="zh-TW"/>
              </w:rPr>
              <w:t>□单信封</w:t>
            </w:r>
          </w:p>
        </w:tc>
      </w:tr>
      <w:tr w14:paraId="6C487B7C">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61217DD9">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3.1.1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58A06692">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构成投标文件资料</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10CE60E0">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b/>
                <w:color w:val="auto"/>
                <w:spacing w:val="2"/>
                <w:szCs w:val="21"/>
                <w:highlight w:val="none"/>
              </w:rPr>
              <w:t>评标阶段的答疑和澄清文件</w:t>
            </w:r>
          </w:p>
        </w:tc>
      </w:tr>
      <w:tr w14:paraId="3F636C63">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1ECD2DE8">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3.2.1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1C6D47A8">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增值税税金的计算方法</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3BD7DF16">
            <w:pPr>
              <w:shd w:val="clear" w:color="auto" w:fill="auto"/>
              <w:rPr>
                <w:rFonts w:hint="eastAsia" w:ascii="宋体" w:hAnsi="宋体" w:eastAsia="宋体" w:cs="宋体"/>
                <w:color w:val="auto"/>
                <w:sz w:val="21"/>
                <w:szCs w:val="21"/>
                <w:highlight w:val="none"/>
              </w:rPr>
            </w:pPr>
            <w:r>
              <w:rPr>
                <w:rFonts w:hint="eastAsia" w:ascii="黑体" w:hAnsi="黑体" w:eastAsia="黑体" w:cs="黑体"/>
                <w:color w:val="auto"/>
                <w:szCs w:val="21"/>
                <w:highlight w:val="none"/>
                <w:lang w:val="zh-TW"/>
              </w:rPr>
              <w:t>■</w:t>
            </w:r>
            <w:r>
              <w:rPr>
                <w:rFonts w:hint="eastAsia" w:ascii="宋体" w:hAnsi="宋体" w:eastAsia="宋体" w:cs="宋体"/>
                <w:color w:val="auto"/>
                <w:sz w:val="21"/>
                <w:szCs w:val="21"/>
                <w:highlight w:val="none"/>
              </w:rPr>
              <w:t>一般计税法</w:t>
            </w:r>
          </w:p>
          <w:p w14:paraId="1CAA4884">
            <w:pPr>
              <w:shd w:val="clear" w:color="auto" w:fill="auto"/>
              <w:rPr>
                <w:rFonts w:hint="eastAsia" w:ascii="黑体" w:hAnsi="黑体" w:eastAsia="黑体" w:cs="黑体"/>
                <w:color w:val="auto"/>
                <w:spacing w:val="10"/>
                <w:szCs w:val="21"/>
                <w:highlight w:val="none"/>
                <w:bdr w:val="single" w:color="auto" w:sz="4" w:space="0"/>
              </w:rPr>
            </w:pPr>
            <w:r>
              <w:rPr>
                <w:rFonts w:hint="eastAsia" w:ascii="黑体" w:hAnsi="黑体" w:eastAsia="黑体" w:cs="黑体"/>
                <w:color w:val="auto"/>
                <w:szCs w:val="21"/>
                <w:highlight w:val="none"/>
                <w:lang w:val="zh-TW" w:eastAsia="zh-TW"/>
              </w:rPr>
              <w:t>□</w:t>
            </w:r>
            <w:r>
              <w:rPr>
                <w:rFonts w:hint="eastAsia" w:ascii="宋体" w:hAnsi="宋体" w:eastAsia="宋体" w:cs="宋体"/>
                <w:color w:val="auto"/>
                <w:sz w:val="21"/>
                <w:szCs w:val="21"/>
                <w:highlight w:val="none"/>
              </w:rPr>
              <w:t>简易计税法</w:t>
            </w:r>
          </w:p>
        </w:tc>
      </w:tr>
      <w:tr w14:paraId="7B9FE182">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3F9623DD">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3.2.1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7A50C42B">
            <w:pPr>
              <w:shd w:val="clear" w:color="auto" w:fill="auto"/>
              <w:spacing w:line="360" w:lineRule="atLeast"/>
              <w:jc w:val="center"/>
              <w:rPr>
                <w:rFonts w:hint="eastAsia" w:ascii="黑体" w:hAnsi="黑体" w:eastAsia="黑体" w:cs="黑体"/>
                <w:color w:val="auto"/>
                <w:highlight w:val="none"/>
              </w:rPr>
            </w:pPr>
            <w:r>
              <w:rPr>
                <w:rFonts w:hint="eastAsia" w:ascii="黑体" w:hAnsi="黑体" w:eastAsia="黑体" w:cs="黑体"/>
                <w:color w:val="auto"/>
                <w:highlight w:val="none"/>
              </w:rPr>
              <w:t>工程量清单的填写方式</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40B4A8EC">
            <w:pPr>
              <w:shd w:val="clear" w:color="auto" w:fill="auto"/>
              <w:spacing w:line="360" w:lineRule="atLeast"/>
              <w:ind w:left="160" w:hanging="105" w:hangingChars="50"/>
              <w:rPr>
                <w:rFonts w:hint="eastAsia" w:ascii="黑体" w:hAnsi="黑体" w:eastAsia="黑体" w:cs="黑体"/>
                <w:color w:val="auto"/>
                <w:szCs w:val="21"/>
                <w:highlight w:val="none"/>
                <w:u w:val="single"/>
                <w:lang w:val="en-US" w:eastAsia="zh-CN"/>
              </w:rPr>
            </w:pPr>
            <w:r>
              <w:rPr>
                <w:rFonts w:hint="eastAsia" w:ascii="黑体" w:hAnsi="黑体" w:eastAsia="黑体" w:cs="黑体"/>
                <w:color w:val="auto"/>
                <w:szCs w:val="21"/>
                <w:highlight w:val="none"/>
              </w:rPr>
              <w:t>投标人按照招标人提供的工程量固化清单电子文件填写工程量清单，下载网站：</w:t>
            </w:r>
            <w:r>
              <w:rPr>
                <w:rFonts w:hint="eastAsia" w:ascii="黑体" w:hAnsi="黑体" w:eastAsia="黑体" w:cs="黑体"/>
                <w:color w:val="auto"/>
                <w:szCs w:val="21"/>
                <w:highlight w:val="none"/>
                <w:u w:val="single"/>
              </w:rPr>
              <w:t>《内蒙古自治区工程项目交易系统》（https://219.148.175.179:9443/tpbidder）</w:t>
            </w:r>
            <w:r>
              <w:rPr>
                <w:rFonts w:hint="eastAsia" w:ascii="黑体" w:hAnsi="黑体" w:eastAsia="黑体" w:cs="黑体"/>
                <w:color w:val="auto"/>
                <w:szCs w:val="21"/>
                <w:highlight w:val="none"/>
                <w:u w:val="single"/>
                <w:lang w:val="en-US" w:eastAsia="zh-CN"/>
              </w:rPr>
              <w:t>自行获取。</w:t>
            </w:r>
          </w:p>
          <w:p w14:paraId="3C794213">
            <w:pPr>
              <w:spacing w:line="380" w:lineRule="exact"/>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严禁投标人修改工程量固化清单电子文件中的数据、格式、运算定义，招标人不接受其它格式的工程量固化清单的投标文件。</w:t>
            </w:r>
            <w:r>
              <w:rPr>
                <w:rFonts w:hint="eastAsia" w:ascii="黑体" w:hAnsi="黑体" w:eastAsia="黑体" w:cs="黑体"/>
                <w:b/>
                <w:bCs/>
                <w:color w:val="auto"/>
                <w:sz w:val="21"/>
                <w:szCs w:val="21"/>
                <w:highlight w:val="none"/>
                <w:lang w:eastAsia="zh-CN"/>
              </w:rPr>
              <w:t>投标文件中</w:t>
            </w:r>
            <w:r>
              <w:rPr>
                <w:rFonts w:hint="eastAsia" w:ascii="黑体" w:hAnsi="黑体" w:eastAsia="黑体" w:cs="黑体"/>
                <w:b/>
                <w:bCs/>
                <w:color w:val="auto"/>
                <w:sz w:val="21"/>
                <w:szCs w:val="21"/>
                <w:highlight w:val="none"/>
                <w:lang w:val="en-US" w:eastAsia="zh-CN"/>
              </w:rPr>
              <w:t>同时需附工程量清单单价分析表</w:t>
            </w:r>
            <w:r>
              <w:rPr>
                <w:rStyle w:val="42"/>
                <w:rFonts w:hint="eastAsia" w:ascii="黑体" w:hAnsi="黑体" w:eastAsia="黑体" w:cs="黑体"/>
                <w:b/>
                <w:bCs/>
                <w:color w:val="auto"/>
                <w:kern w:val="0"/>
                <w:sz w:val="21"/>
                <w:szCs w:val="21"/>
                <w:highlight w:val="none"/>
                <w:lang w:val="en-US" w:eastAsia="zh-CN"/>
              </w:rPr>
              <w:t>[公路工程标准施工招标文件（2018年版·第一册）工程量清单表5.5]</w:t>
            </w:r>
            <w:r>
              <w:rPr>
                <w:rFonts w:hint="eastAsia" w:ascii="黑体" w:hAnsi="黑体" w:eastAsia="黑体" w:cs="黑体"/>
                <w:b/>
                <w:bCs/>
                <w:color w:val="auto"/>
                <w:sz w:val="21"/>
                <w:szCs w:val="21"/>
                <w:highlight w:val="none"/>
                <w:lang w:val="en-US" w:eastAsia="zh-CN"/>
              </w:rPr>
              <w:t>和表A.0.3-3 材料预算单价计算表（投标人应逐页加盖单位公章，造价人员逐页签字并加盖执业印章）。</w:t>
            </w:r>
          </w:p>
          <w:p w14:paraId="5969B248">
            <w:pPr>
              <w:spacing w:line="400" w:lineRule="exact"/>
              <w:rPr>
                <w:rFonts w:hint="eastAsia" w:ascii="黑体" w:hAnsi="黑体" w:eastAsia="黑体" w:cs="黑体"/>
                <w:highlight w:val="none"/>
              </w:rPr>
            </w:pPr>
            <w:r>
              <w:rPr>
                <w:rFonts w:hint="eastAsia" w:ascii="黑体" w:hAnsi="黑体" w:eastAsia="黑体" w:cs="黑体"/>
                <w:b/>
                <w:bCs w:val="0"/>
                <w:color w:val="auto"/>
                <w:szCs w:val="21"/>
                <w:highlight w:val="none"/>
              </w:rPr>
              <w:t>招标人提供的电子版工程量清单请各投标人自行在投标人系统内填写投标信息并提交后再在投标人系统内领取</w:t>
            </w:r>
            <w:r>
              <w:rPr>
                <w:rFonts w:hint="eastAsia" w:ascii="黑体" w:hAnsi="黑体" w:eastAsia="黑体" w:cs="黑体"/>
                <w:b/>
                <w:bCs w:val="0"/>
                <w:color w:val="auto"/>
                <w:szCs w:val="21"/>
                <w:highlight w:val="none"/>
                <w:lang w:eastAsia="zh-CN"/>
              </w:rPr>
              <w:t>。</w:t>
            </w:r>
          </w:p>
        </w:tc>
      </w:tr>
      <w:tr w14:paraId="7D07A352">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470C9B67">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3.2.3</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7F7C7A56">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报价方式</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7D34F887">
            <w:pPr>
              <w:spacing w:line="400" w:lineRule="exact"/>
              <w:jc w:val="left"/>
              <w:rPr>
                <w:rFonts w:hint="eastAsia" w:ascii="黑体" w:hAnsi="黑体" w:eastAsia="黑体" w:cs="黑体"/>
                <w:color w:val="auto"/>
                <w:szCs w:val="21"/>
                <w:highlight w:val="none"/>
                <w:lang w:val="zh-TW" w:eastAsia="zh-TW"/>
              </w:rPr>
            </w:pPr>
            <w:r>
              <w:rPr>
                <w:rFonts w:hint="eastAsia" w:ascii="黑体" w:hAnsi="黑体" w:eastAsia="黑体" w:cs="黑体"/>
                <w:color w:val="auto"/>
                <w:szCs w:val="21"/>
                <w:highlight w:val="none"/>
                <w:lang w:val="zh-TW" w:eastAsia="zh-TW"/>
              </w:rPr>
              <w:t>□单价</w:t>
            </w:r>
          </w:p>
          <w:p w14:paraId="7E5576CD">
            <w:pPr>
              <w:shd w:val="clear" w:color="auto" w:fill="auto"/>
              <w:spacing w:line="360" w:lineRule="atLeast"/>
              <w:rPr>
                <w:rFonts w:hint="eastAsia" w:ascii="黑体" w:hAnsi="黑体" w:eastAsia="黑体" w:cs="黑体"/>
                <w:color w:val="auto"/>
                <w:sz w:val="32"/>
                <w:highlight w:val="none"/>
              </w:rPr>
            </w:pPr>
            <w:r>
              <w:rPr>
                <w:rFonts w:hint="eastAsia" w:ascii="黑体" w:hAnsi="黑体" w:eastAsia="黑体" w:cs="黑体"/>
                <w:color w:val="auto"/>
                <w:szCs w:val="21"/>
                <w:highlight w:val="none"/>
                <w:lang w:val="zh-TW" w:eastAsia="zh-TW"/>
              </w:rPr>
              <w:t>■总价</w:t>
            </w:r>
          </w:p>
        </w:tc>
      </w:tr>
      <w:tr w14:paraId="1D26D486">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09360A05">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3.2.6</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7FB08D54">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是否接受调价函</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39E13B02">
            <w:pPr>
              <w:rPr>
                <w:rStyle w:val="42"/>
                <w:rFonts w:hint="eastAsia" w:ascii="黑体" w:hAnsi="黑体" w:eastAsia="黑体" w:cs="黑体"/>
                <w:color w:val="auto"/>
                <w:kern w:val="0"/>
                <w:sz w:val="21"/>
                <w:szCs w:val="21"/>
                <w:highlight w:val="none"/>
                <w:lang w:val="zh-TW" w:eastAsia="zh-TW"/>
              </w:rPr>
            </w:pPr>
            <w:r>
              <w:rPr>
                <w:rStyle w:val="42"/>
                <w:rFonts w:hint="eastAsia" w:ascii="黑体" w:hAnsi="黑体" w:eastAsia="黑体" w:cs="黑体"/>
                <w:color w:val="auto"/>
                <w:kern w:val="0"/>
                <w:sz w:val="21"/>
                <w:szCs w:val="21"/>
                <w:highlight w:val="none"/>
                <w:lang w:val="zh-TW" w:eastAsia="zh-TW"/>
              </w:rPr>
              <w:t>□是</w:t>
            </w:r>
          </w:p>
          <w:p w14:paraId="26A93FCE">
            <w:pPr>
              <w:shd w:val="clear" w:color="auto" w:fill="auto"/>
              <w:spacing w:line="360" w:lineRule="atLeast"/>
              <w:rPr>
                <w:rFonts w:hint="eastAsia" w:ascii="黑体" w:hAnsi="黑体" w:eastAsia="黑体" w:cs="黑体"/>
                <w:color w:val="auto"/>
                <w:szCs w:val="21"/>
                <w:highlight w:val="none"/>
              </w:rPr>
            </w:pPr>
            <w:r>
              <w:rPr>
                <w:rStyle w:val="42"/>
                <w:rFonts w:hint="eastAsia" w:ascii="黑体" w:hAnsi="黑体" w:eastAsia="黑体" w:cs="黑体"/>
                <w:color w:val="auto"/>
                <w:kern w:val="0"/>
                <w:sz w:val="21"/>
                <w:szCs w:val="21"/>
                <w:highlight w:val="none"/>
                <w:lang w:val="zh-TW"/>
              </w:rPr>
              <w:t>■</w:t>
            </w:r>
            <w:r>
              <w:rPr>
                <w:rStyle w:val="42"/>
                <w:rFonts w:hint="eastAsia" w:ascii="黑体" w:hAnsi="黑体" w:eastAsia="黑体" w:cs="黑体"/>
                <w:color w:val="auto"/>
                <w:kern w:val="0"/>
                <w:sz w:val="21"/>
                <w:szCs w:val="21"/>
                <w:highlight w:val="none"/>
                <w:lang w:val="zh-TW" w:eastAsia="zh-TW"/>
              </w:rPr>
              <w:t>否</w:t>
            </w:r>
          </w:p>
        </w:tc>
      </w:tr>
      <w:tr w14:paraId="2F5AB624">
        <w:tblPrEx>
          <w:tblCellMar>
            <w:top w:w="0" w:type="dxa"/>
            <w:left w:w="108" w:type="dxa"/>
            <w:bottom w:w="0" w:type="dxa"/>
            <w:right w:w="108" w:type="dxa"/>
          </w:tblCellMar>
        </w:tblPrEx>
        <w:trPr>
          <w:trHeight w:val="4206"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608BD71B">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3.2.8</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6F0EA57B">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最高投标限价</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51F0C14A">
            <w:pPr>
              <w:rPr>
                <w:rStyle w:val="42"/>
                <w:rFonts w:hint="eastAsia" w:ascii="黑体" w:hAnsi="黑体" w:eastAsia="黑体" w:cs="黑体"/>
                <w:color w:val="auto"/>
                <w:kern w:val="0"/>
                <w:sz w:val="21"/>
                <w:szCs w:val="21"/>
                <w:highlight w:val="none"/>
                <w:lang w:val="zh-TW" w:eastAsia="zh-TW"/>
              </w:rPr>
            </w:pPr>
            <w:r>
              <w:rPr>
                <w:rStyle w:val="42"/>
                <w:rFonts w:hint="eastAsia" w:ascii="黑体" w:hAnsi="黑体" w:eastAsia="黑体" w:cs="黑体"/>
                <w:color w:val="auto"/>
                <w:kern w:val="0"/>
                <w:sz w:val="21"/>
                <w:szCs w:val="21"/>
                <w:highlight w:val="none"/>
                <w:lang w:val="zh-TW" w:eastAsia="zh-CN"/>
              </w:rPr>
              <w:t>□</w:t>
            </w:r>
            <w:r>
              <w:rPr>
                <w:rStyle w:val="42"/>
                <w:rFonts w:hint="eastAsia" w:ascii="黑体" w:hAnsi="黑体" w:eastAsia="黑体" w:cs="黑体"/>
                <w:color w:val="auto"/>
                <w:kern w:val="0"/>
                <w:sz w:val="21"/>
                <w:szCs w:val="21"/>
                <w:highlight w:val="none"/>
                <w:lang w:val="zh-TW" w:eastAsia="zh-TW"/>
              </w:rPr>
              <w:t>无</w:t>
            </w:r>
          </w:p>
          <w:p w14:paraId="5F0CCAD3">
            <w:pPr>
              <w:shd w:val="clear" w:color="auto" w:fill="auto"/>
              <w:spacing w:line="360" w:lineRule="atLeast"/>
              <w:rPr>
                <w:rFonts w:hint="eastAsia" w:ascii="黑体" w:hAnsi="黑体" w:eastAsia="黑体" w:cs="黑体"/>
                <w:color w:val="auto"/>
                <w:szCs w:val="21"/>
                <w:highlight w:val="none"/>
              </w:rPr>
            </w:pPr>
            <w:r>
              <w:rPr>
                <w:rStyle w:val="42"/>
                <w:rFonts w:hint="eastAsia" w:ascii="黑体" w:hAnsi="黑体" w:eastAsia="黑体" w:cs="黑体"/>
                <w:color w:val="auto"/>
                <w:kern w:val="0"/>
                <w:sz w:val="21"/>
                <w:szCs w:val="21"/>
                <w:highlight w:val="none"/>
                <w:lang w:val="zh-TW"/>
              </w:rPr>
              <w:t>■</w:t>
            </w:r>
            <w:r>
              <w:rPr>
                <w:rStyle w:val="42"/>
                <w:rFonts w:hint="eastAsia" w:ascii="黑体" w:hAnsi="黑体" w:eastAsia="黑体" w:cs="黑体"/>
                <w:color w:val="auto"/>
                <w:kern w:val="0"/>
                <w:sz w:val="21"/>
                <w:szCs w:val="21"/>
                <w:highlight w:val="none"/>
                <w:lang w:val="zh-TW" w:eastAsia="zh-TW"/>
              </w:rPr>
              <w:t>有，</w:t>
            </w:r>
            <w:r>
              <w:rPr>
                <w:rFonts w:hint="eastAsia" w:ascii="黑体" w:hAnsi="黑体" w:eastAsia="黑体" w:cs="黑体"/>
                <w:b/>
                <w:bCs/>
                <w:color w:val="auto"/>
                <w:sz w:val="21"/>
                <w:szCs w:val="21"/>
                <w:highlight w:val="none"/>
                <w:u w:val="single"/>
                <w:lang w:val="zh-TW" w:eastAsia="zh-CN"/>
              </w:rPr>
              <w:t>本项目最高</w:t>
            </w:r>
            <w:r>
              <w:rPr>
                <w:rFonts w:hint="eastAsia" w:ascii="黑体" w:hAnsi="黑体" w:eastAsia="黑体" w:cs="黑体"/>
                <w:b/>
                <w:bCs/>
                <w:color w:val="auto"/>
                <w:sz w:val="21"/>
                <w:szCs w:val="21"/>
                <w:highlight w:val="none"/>
                <w:u w:val="single"/>
                <w:lang w:val="en-US" w:eastAsia="zh-CN"/>
              </w:rPr>
              <w:t>投标</w:t>
            </w:r>
            <w:r>
              <w:rPr>
                <w:rFonts w:hint="eastAsia" w:ascii="黑体" w:hAnsi="黑体" w:eastAsia="黑体" w:cs="黑体"/>
                <w:b/>
                <w:bCs/>
                <w:color w:val="auto"/>
                <w:sz w:val="21"/>
                <w:szCs w:val="21"/>
                <w:highlight w:val="none"/>
                <w:u w:val="single"/>
                <w:lang w:val="zh-TW" w:eastAsia="zh-CN"/>
              </w:rPr>
              <w:t>限价</w:t>
            </w:r>
            <w:r>
              <w:rPr>
                <w:rFonts w:hint="eastAsia" w:ascii="黑体" w:hAnsi="黑体" w:eastAsia="黑体" w:cs="黑体"/>
                <w:b/>
                <w:bCs/>
                <w:color w:val="auto"/>
                <w:sz w:val="21"/>
                <w:szCs w:val="21"/>
                <w:highlight w:val="none"/>
                <w:u w:val="single"/>
                <w:lang w:val="en-US" w:eastAsia="zh-CN"/>
              </w:rPr>
              <w:t>如下表：</w:t>
            </w:r>
          </w:p>
          <w:tbl>
            <w:tblPr>
              <w:tblStyle w:val="22"/>
              <w:tblpPr w:leftFromText="180" w:rightFromText="180" w:vertAnchor="text" w:horzAnchor="page" w:tblpX="79" w:tblpY="68"/>
              <w:tblOverlap w:val="never"/>
              <w:tblW w:w="61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2"/>
              <w:gridCol w:w="1457"/>
              <w:gridCol w:w="2741"/>
              <w:gridCol w:w="1656"/>
            </w:tblGrid>
            <w:tr w14:paraId="60281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jc w:val="center"/>
              </w:trPr>
              <w:tc>
                <w:tcPr>
                  <w:tcW w:w="312" w:type="dxa"/>
                  <w:tcBorders>
                    <w:tl2br w:val="nil"/>
                    <w:tr2bl w:val="nil"/>
                  </w:tcBorders>
                  <w:noWrap w:val="0"/>
                  <w:tcMar>
                    <w:top w:w="12" w:type="dxa"/>
                    <w:left w:w="12" w:type="dxa"/>
                    <w:right w:w="12" w:type="dxa"/>
                  </w:tcMar>
                  <w:vAlign w:val="center"/>
                </w:tcPr>
                <w:p w14:paraId="4F1A59F5">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bCs/>
                      <w:i w:val="0"/>
                      <w:color w:val="auto"/>
                      <w:sz w:val="20"/>
                      <w:szCs w:val="20"/>
                      <w:highlight w:val="none"/>
                      <w:u w:val="none"/>
                    </w:rPr>
                  </w:pPr>
                  <w:r>
                    <w:rPr>
                      <w:rFonts w:hint="eastAsia" w:ascii="黑体" w:hAnsi="黑体" w:eastAsia="黑体" w:cs="黑体"/>
                      <w:b/>
                      <w:bCs/>
                      <w:i w:val="0"/>
                      <w:color w:val="auto"/>
                      <w:kern w:val="0"/>
                      <w:sz w:val="20"/>
                      <w:szCs w:val="20"/>
                      <w:highlight w:val="none"/>
                      <w:u w:val="none"/>
                      <w:lang w:val="en-US" w:eastAsia="zh-CN" w:bidi="ar"/>
                    </w:rPr>
                    <w:t>序号</w:t>
                  </w:r>
                </w:p>
              </w:tc>
              <w:tc>
                <w:tcPr>
                  <w:tcW w:w="1457" w:type="dxa"/>
                  <w:tcBorders>
                    <w:right w:val="single" w:color="auto" w:sz="4" w:space="0"/>
                    <w:tl2br w:val="nil"/>
                    <w:tr2bl w:val="nil"/>
                  </w:tcBorders>
                  <w:noWrap w:val="0"/>
                  <w:tcMar>
                    <w:top w:w="12" w:type="dxa"/>
                    <w:left w:w="12" w:type="dxa"/>
                    <w:right w:w="12" w:type="dxa"/>
                  </w:tcMar>
                  <w:vAlign w:val="center"/>
                </w:tcPr>
                <w:p w14:paraId="2180D20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bCs/>
                      <w:i w:val="0"/>
                      <w:color w:val="auto"/>
                      <w:kern w:val="0"/>
                      <w:sz w:val="20"/>
                      <w:szCs w:val="20"/>
                      <w:highlight w:val="none"/>
                      <w:u w:val="none"/>
                      <w:lang w:val="en-US" w:eastAsia="zh-CN" w:bidi="ar"/>
                    </w:rPr>
                  </w:pPr>
                  <w:r>
                    <w:rPr>
                      <w:rFonts w:hint="eastAsia" w:ascii="黑体" w:hAnsi="黑体" w:eastAsia="黑体" w:cs="黑体"/>
                      <w:b/>
                      <w:bCs/>
                      <w:i w:val="0"/>
                      <w:color w:val="auto"/>
                      <w:kern w:val="0"/>
                      <w:sz w:val="20"/>
                      <w:szCs w:val="20"/>
                      <w:highlight w:val="none"/>
                      <w:u w:val="none"/>
                      <w:lang w:val="en-US" w:eastAsia="zh-CN" w:bidi="ar"/>
                    </w:rPr>
                    <w:t>标段名称</w:t>
                  </w:r>
                </w:p>
              </w:tc>
              <w:tc>
                <w:tcPr>
                  <w:tcW w:w="2741" w:type="dxa"/>
                  <w:tcBorders>
                    <w:left w:val="single" w:color="auto" w:sz="4" w:space="0"/>
                    <w:tl2br w:val="nil"/>
                    <w:tr2bl w:val="nil"/>
                  </w:tcBorders>
                  <w:noWrap w:val="0"/>
                  <w:tcMar>
                    <w:top w:w="12" w:type="dxa"/>
                    <w:left w:w="12" w:type="dxa"/>
                    <w:right w:w="12" w:type="dxa"/>
                  </w:tcMar>
                  <w:vAlign w:val="center"/>
                </w:tcPr>
                <w:p w14:paraId="67720AFB">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bCs/>
                      <w:i w:val="0"/>
                      <w:color w:val="auto"/>
                      <w:sz w:val="20"/>
                      <w:szCs w:val="20"/>
                      <w:highlight w:val="none"/>
                      <w:u w:val="none"/>
                      <w:lang w:val="en-US" w:eastAsia="zh-CN"/>
                    </w:rPr>
                  </w:pPr>
                  <w:r>
                    <w:rPr>
                      <w:rFonts w:hint="eastAsia" w:ascii="黑体" w:hAnsi="黑体" w:eastAsia="黑体" w:cs="黑体"/>
                      <w:b/>
                      <w:bCs/>
                      <w:i w:val="0"/>
                      <w:color w:val="auto"/>
                      <w:sz w:val="20"/>
                      <w:szCs w:val="20"/>
                      <w:highlight w:val="none"/>
                      <w:u w:val="none"/>
                      <w:lang w:val="en-US" w:eastAsia="zh-CN"/>
                    </w:rPr>
                    <w:t>项目名称</w:t>
                  </w:r>
                </w:p>
              </w:tc>
              <w:tc>
                <w:tcPr>
                  <w:tcW w:w="1656" w:type="dxa"/>
                  <w:tcBorders>
                    <w:left w:val="single" w:color="auto" w:sz="4" w:space="0"/>
                    <w:tl2br w:val="nil"/>
                    <w:tr2bl w:val="nil"/>
                  </w:tcBorders>
                  <w:noWrap w:val="0"/>
                  <w:tcMar>
                    <w:top w:w="12" w:type="dxa"/>
                    <w:left w:w="12" w:type="dxa"/>
                    <w:right w:w="12" w:type="dxa"/>
                  </w:tcMar>
                  <w:vAlign w:val="center"/>
                </w:tcPr>
                <w:p w14:paraId="72CEFAA6">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bCs/>
                      <w:i w:val="0"/>
                      <w:color w:val="auto"/>
                      <w:kern w:val="0"/>
                      <w:sz w:val="20"/>
                      <w:szCs w:val="20"/>
                      <w:highlight w:val="none"/>
                      <w:u w:val="none"/>
                      <w:lang w:val="en-US" w:eastAsia="zh-CN" w:bidi="ar"/>
                    </w:rPr>
                  </w:pPr>
                  <w:r>
                    <w:rPr>
                      <w:rFonts w:hint="eastAsia" w:ascii="黑体" w:hAnsi="黑体" w:eastAsia="黑体" w:cs="黑体"/>
                      <w:b/>
                      <w:bCs/>
                      <w:i w:val="0"/>
                      <w:color w:val="auto"/>
                      <w:sz w:val="20"/>
                      <w:szCs w:val="20"/>
                      <w:highlight w:val="none"/>
                      <w:u w:val="none"/>
                      <w:lang w:eastAsia="zh-CN"/>
                    </w:rPr>
                    <w:t>标段控制价（元）</w:t>
                  </w:r>
                </w:p>
              </w:tc>
            </w:tr>
            <w:tr w14:paraId="76A32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8" w:hRule="atLeast"/>
                <w:jc w:val="center"/>
              </w:trPr>
              <w:tc>
                <w:tcPr>
                  <w:tcW w:w="312" w:type="dxa"/>
                  <w:tcBorders>
                    <w:tl2br w:val="nil"/>
                    <w:tr2bl w:val="nil"/>
                  </w:tcBorders>
                  <w:noWrap w:val="0"/>
                  <w:tcMar>
                    <w:top w:w="12" w:type="dxa"/>
                    <w:left w:w="12" w:type="dxa"/>
                    <w:right w:w="12" w:type="dxa"/>
                  </w:tcMar>
                  <w:vAlign w:val="center"/>
                </w:tcPr>
                <w:p w14:paraId="4245E3E0">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bCs/>
                      <w:i w:val="0"/>
                      <w:color w:val="auto"/>
                      <w:sz w:val="20"/>
                      <w:szCs w:val="20"/>
                      <w:highlight w:val="none"/>
                      <w:u w:val="none"/>
                      <w:lang w:val="en-US"/>
                    </w:rPr>
                  </w:pPr>
                  <w:r>
                    <w:rPr>
                      <w:rFonts w:hint="eastAsia" w:ascii="黑体" w:hAnsi="黑体" w:eastAsia="黑体" w:cs="黑体"/>
                      <w:b/>
                      <w:bCs/>
                      <w:i w:val="0"/>
                      <w:color w:val="auto"/>
                      <w:kern w:val="0"/>
                      <w:sz w:val="20"/>
                      <w:szCs w:val="20"/>
                      <w:highlight w:val="none"/>
                      <w:u w:val="none"/>
                      <w:lang w:val="en-US" w:eastAsia="zh-CN" w:bidi="ar"/>
                    </w:rPr>
                    <w:t>1</w:t>
                  </w:r>
                </w:p>
              </w:tc>
              <w:tc>
                <w:tcPr>
                  <w:tcW w:w="1457" w:type="dxa"/>
                  <w:tcBorders>
                    <w:right w:val="single" w:color="auto" w:sz="4" w:space="0"/>
                    <w:tl2br w:val="nil"/>
                    <w:tr2bl w:val="nil"/>
                  </w:tcBorders>
                  <w:noWrap w:val="0"/>
                  <w:tcMar>
                    <w:top w:w="12" w:type="dxa"/>
                    <w:left w:w="12" w:type="dxa"/>
                    <w:right w:w="12" w:type="dxa"/>
                  </w:tcMar>
                  <w:vAlign w:val="center"/>
                </w:tcPr>
                <w:p w14:paraId="73E8688D">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bCs/>
                      <w:i w:val="0"/>
                      <w:color w:val="auto"/>
                      <w:sz w:val="20"/>
                      <w:szCs w:val="20"/>
                      <w:highlight w:val="none"/>
                      <w:u w:val="none"/>
                      <w:lang w:val="en-US" w:eastAsia="zh-CN"/>
                    </w:rPr>
                  </w:pPr>
                  <w:r>
                    <w:rPr>
                      <w:rFonts w:hint="eastAsia" w:ascii="黑体" w:hAnsi="黑体" w:eastAsia="黑体" w:cs="黑体"/>
                      <w:b/>
                      <w:bCs/>
                      <w:i w:val="0"/>
                      <w:color w:val="auto"/>
                      <w:sz w:val="20"/>
                      <w:szCs w:val="20"/>
                      <w:highlight w:val="none"/>
                      <w:u w:val="none"/>
                      <w:lang w:val="en-US" w:eastAsia="zh-CN"/>
                    </w:rPr>
                    <w:t>施工第一标段</w:t>
                  </w:r>
                </w:p>
              </w:tc>
              <w:tc>
                <w:tcPr>
                  <w:tcW w:w="2741" w:type="dxa"/>
                  <w:tcBorders>
                    <w:left w:val="single" w:color="auto" w:sz="4" w:space="0"/>
                    <w:tl2br w:val="nil"/>
                    <w:tr2bl w:val="nil"/>
                  </w:tcBorders>
                  <w:noWrap w:val="0"/>
                  <w:tcMar>
                    <w:top w:w="12" w:type="dxa"/>
                    <w:left w:w="12" w:type="dxa"/>
                    <w:right w:w="12" w:type="dxa"/>
                  </w:tcMar>
                  <w:vAlign w:val="center"/>
                </w:tcPr>
                <w:p w14:paraId="0D341D64">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bCs/>
                      <w:i w:val="0"/>
                      <w:color w:val="auto"/>
                      <w:sz w:val="20"/>
                      <w:szCs w:val="20"/>
                      <w:highlight w:val="none"/>
                      <w:u w:val="none"/>
                      <w:lang w:val="en-US" w:eastAsia="zh-CN"/>
                    </w:rPr>
                  </w:pPr>
                  <w:r>
                    <w:rPr>
                      <w:rFonts w:hint="eastAsia" w:ascii="黑体" w:hAnsi="黑体" w:eastAsia="黑体" w:cs="黑体"/>
                      <w:color w:val="auto"/>
                      <w:szCs w:val="21"/>
                      <w:highlight w:val="none"/>
                      <w:lang w:eastAsia="zh-CN"/>
                    </w:rPr>
                    <w:t>2026年新巴尔虎左旗生命安全防护工程</w:t>
                  </w:r>
                </w:p>
              </w:tc>
              <w:tc>
                <w:tcPr>
                  <w:tcW w:w="1656" w:type="dxa"/>
                  <w:tcBorders>
                    <w:left w:val="single" w:color="auto" w:sz="4" w:space="0"/>
                    <w:tl2br w:val="nil"/>
                    <w:tr2bl w:val="nil"/>
                  </w:tcBorders>
                  <w:noWrap w:val="0"/>
                  <w:tcMar>
                    <w:top w:w="12" w:type="dxa"/>
                    <w:left w:w="12" w:type="dxa"/>
                    <w:right w:w="12" w:type="dxa"/>
                  </w:tcMar>
                  <w:vAlign w:val="center"/>
                </w:tcPr>
                <w:p w14:paraId="7004BD70">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rightChars="0"/>
                    <w:jc w:val="center"/>
                    <w:textAlignment w:val="auto"/>
                    <w:rPr>
                      <w:rFonts w:hint="default" w:ascii="黑体" w:hAnsi="黑体" w:eastAsia="黑体" w:cs="黑体"/>
                      <w:b/>
                      <w:bCs/>
                      <w:i w:val="0"/>
                      <w:color w:val="auto"/>
                      <w:kern w:val="0"/>
                      <w:sz w:val="20"/>
                      <w:szCs w:val="20"/>
                      <w:highlight w:val="none"/>
                      <w:u w:val="none"/>
                      <w:lang w:val="en-US" w:eastAsia="zh-CN" w:bidi="ar"/>
                    </w:rPr>
                  </w:pPr>
                  <w:r>
                    <w:rPr>
                      <w:rFonts w:hint="default" w:ascii="黑体" w:hAnsi="黑体" w:eastAsia="黑体" w:cs="黑体"/>
                      <w:b/>
                      <w:bCs/>
                      <w:i w:val="0"/>
                      <w:color w:val="auto"/>
                      <w:kern w:val="0"/>
                      <w:sz w:val="20"/>
                      <w:szCs w:val="20"/>
                      <w:highlight w:val="none"/>
                      <w:u w:val="none"/>
                      <w:lang w:val="en-US" w:eastAsia="zh-CN" w:bidi="ar"/>
                    </w:rPr>
                    <w:t>2389745</w:t>
                  </w:r>
                </w:p>
              </w:tc>
            </w:tr>
            <w:tr w14:paraId="01C40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jc w:val="center"/>
              </w:trPr>
              <w:tc>
                <w:tcPr>
                  <w:tcW w:w="312" w:type="dxa"/>
                  <w:tcBorders>
                    <w:bottom w:val="single" w:color="auto" w:sz="4" w:space="0"/>
                    <w:tl2br w:val="nil"/>
                    <w:tr2bl w:val="nil"/>
                  </w:tcBorders>
                  <w:noWrap w:val="0"/>
                  <w:tcMar>
                    <w:top w:w="12" w:type="dxa"/>
                    <w:left w:w="12" w:type="dxa"/>
                    <w:right w:w="12" w:type="dxa"/>
                  </w:tcMar>
                  <w:vAlign w:val="center"/>
                </w:tcPr>
                <w:p w14:paraId="1677BC90">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bCs/>
                      <w:i w:val="0"/>
                      <w:color w:val="auto"/>
                      <w:kern w:val="0"/>
                      <w:sz w:val="20"/>
                      <w:szCs w:val="20"/>
                      <w:highlight w:val="none"/>
                      <w:u w:val="none"/>
                      <w:lang w:val="en-US" w:eastAsia="zh-CN" w:bidi="ar"/>
                    </w:rPr>
                  </w:pPr>
                  <w:r>
                    <w:rPr>
                      <w:rFonts w:hint="eastAsia" w:ascii="黑体" w:hAnsi="黑体" w:eastAsia="黑体" w:cs="黑体"/>
                      <w:b/>
                      <w:bCs/>
                      <w:i w:val="0"/>
                      <w:color w:val="auto"/>
                      <w:kern w:val="0"/>
                      <w:sz w:val="20"/>
                      <w:szCs w:val="20"/>
                      <w:highlight w:val="none"/>
                      <w:u w:val="none"/>
                      <w:lang w:val="en-US" w:eastAsia="zh-CN" w:bidi="ar"/>
                    </w:rPr>
                    <w:t>2</w:t>
                  </w:r>
                </w:p>
              </w:tc>
              <w:tc>
                <w:tcPr>
                  <w:tcW w:w="1457" w:type="dxa"/>
                  <w:tcBorders>
                    <w:bottom w:val="single" w:color="auto" w:sz="4" w:space="0"/>
                    <w:right w:val="single" w:color="auto" w:sz="4" w:space="0"/>
                    <w:tl2br w:val="nil"/>
                    <w:tr2bl w:val="nil"/>
                  </w:tcBorders>
                  <w:noWrap w:val="0"/>
                  <w:tcMar>
                    <w:top w:w="12" w:type="dxa"/>
                    <w:left w:w="12" w:type="dxa"/>
                    <w:right w:w="12" w:type="dxa"/>
                  </w:tcMar>
                  <w:vAlign w:val="center"/>
                </w:tcPr>
                <w:p w14:paraId="67BA635D">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bCs/>
                      <w:i w:val="0"/>
                      <w:color w:val="auto"/>
                      <w:sz w:val="20"/>
                      <w:szCs w:val="20"/>
                      <w:highlight w:val="none"/>
                      <w:u w:val="none"/>
                      <w:lang w:val="en-US" w:eastAsia="zh-CN"/>
                    </w:rPr>
                  </w:pPr>
                  <w:r>
                    <w:rPr>
                      <w:rFonts w:hint="eastAsia" w:ascii="黑体" w:hAnsi="黑体" w:eastAsia="黑体" w:cs="黑体"/>
                      <w:b/>
                      <w:bCs/>
                      <w:i w:val="0"/>
                      <w:color w:val="auto"/>
                      <w:sz w:val="20"/>
                      <w:szCs w:val="20"/>
                      <w:highlight w:val="none"/>
                      <w:u w:val="none"/>
                      <w:lang w:val="en-US" w:eastAsia="zh-CN"/>
                    </w:rPr>
                    <w:t>施工第二标段</w:t>
                  </w:r>
                </w:p>
              </w:tc>
              <w:tc>
                <w:tcPr>
                  <w:tcW w:w="2741" w:type="dxa"/>
                  <w:tcBorders>
                    <w:left w:val="single" w:color="auto" w:sz="4" w:space="0"/>
                    <w:tl2br w:val="nil"/>
                    <w:tr2bl w:val="nil"/>
                  </w:tcBorders>
                  <w:noWrap w:val="0"/>
                  <w:tcMar>
                    <w:top w:w="12" w:type="dxa"/>
                    <w:left w:w="12" w:type="dxa"/>
                    <w:right w:w="12" w:type="dxa"/>
                  </w:tcMar>
                  <w:vAlign w:val="center"/>
                </w:tcPr>
                <w:p w14:paraId="6971298B">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bCs/>
                      <w:i w:val="0"/>
                      <w:color w:val="auto"/>
                      <w:sz w:val="20"/>
                      <w:szCs w:val="20"/>
                      <w:highlight w:val="none"/>
                      <w:u w:val="none"/>
                      <w:lang w:val="en-US" w:eastAsia="zh-CN"/>
                    </w:rPr>
                  </w:pPr>
                  <w:r>
                    <w:rPr>
                      <w:rFonts w:hint="eastAsia" w:ascii="黑体" w:hAnsi="黑体" w:eastAsia="黑体" w:cs="黑体"/>
                      <w:color w:val="auto"/>
                      <w:szCs w:val="21"/>
                      <w:highlight w:val="none"/>
                      <w:lang w:eastAsia="zh-CN"/>
                    </w:rPr>
                    <w:t>2026年新巴尔虎左旗生命安全防护工程</w:t>
                  </w:r>
                </w:p>
              </w:tc>
              <w:tc>
                <w:tcPr>
                  <w:tcW w:w="1656" w:type="dxa"/>
                  <w:tcBorders>
                    <w:left w:val="single" w:color="auto" w:sz="4" w:space="0"/>
                    <w:bottom w:val="single" w:color="auto" w:sz="4" w:space="0"/>
                    <w:tl2br w:val="nil"/>
                    <w:tr2bl w:val="nil"/>
                  </w:tcBorders>
                  <w:noWrap w:val="0"/>
                  <w:tcMar>
                    <w:top w:w="12" w:type="dxa"/>
                    <w:left w:w="12" w:type="dxa"/>
                    <w:right w:w="12" w:type="dxa"/>
                  </w:tcMar>
                  <w:vAlign w:val="center"/>
                </w:tcPr>
                <w:p w14:paraId="3954CAC9">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rightChars="0"/>
                    <w:jc w:val="center"/>
                    <w:textAlignment w:val="auto"/>
                    <w:rPr>
                      <w:rFonts w:hint="default" w:ascii="黑体" w:hAnsi="黑体" w:eastAsia="黑体" w:cs="黑体"/>
                      <w:b/>
                      <w:bCs/>
                      <w:i w:val="0"/>
                      <w:color w:val="auto"/>
                      <w:kern w:val="0"/>
                      <w:sz w:val="20"/>
                      <w:szCs w:val="20"/>
                      <w:highlight w:val="none"/>
                      <w:u w:val="none"/>
                      <w:lang w:val="en-US" w:eastAsia="zh-CN" w:bidi="ar"/>
                    </w:rPr>
                  </w:pPr>
                  <w:r>
                    <w:rPr>
                      <w:rFonts w:hint="default" w:ascii="黑体" w:hAnsi="黑体" w:eastAsia="黑体" w:cs="黑体"/>
                      <w:b/>
                      <w:bCs/>
                      <w:i w:val="0"/>
                      <w:color w:val="auto"/>
                      <w:kern w:val="0"/>
                      <w:sz w:val="20"/>
                      <w:szCs w:val="20"/>
                      <w:highlight w:val="none"/>
                      <w:u w:val="none"/>
                      <w:lang w:val="en-US" w:eastAsia="zh-CN" w:bidi="ar"/>
                    </w:rPr>
                    <w:t>2985740</w:t>
                  </w:r>
                </w:p>
              </w:tc>
            </w:tr>
            <w:tr w14:paraId="1A26A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jc w:val="center"/>
              </w:trPr>
              <w:tc>
                <w:tcPr>
                  <w:tcW w:w="312" w:type="dxa"/>
                  <w:tcBorders>
                    <w:top w:val="single" w:color="auto" w:sz="4" w:space="0"/>
                    <w:bottom w:val="single" w:color="auto" w:sz="4" w:space="0"/>
                    <w:tl2br w:val="nil"/>
                    <w:tr2bl w:val="nil"/>
                  </w:tcBorders>
                  <w:noWrap w:val="0"/>
                  <w:tcMar>
                    <w:top w:w="12" w:type="dxa"/>
                    <w:left w:w="12" w:type="dxa"/>
                    <w:right w:w="12" w:type="dxa"/>
                  </w:tcMar>
                  <w:vAlign w:val="center"/>
                </w:tcPr>
                <w:p w14:paraId="258336A8">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bCs/>
                      <w:i w:val="0"/>
                      <w:color w:val="auto"/>
                      <w:kern w:val="0"/>
                      <w:sz w:val="20"/>
                      <w:szCs w:val="20"/>
                      <w:highlight w:val="none"/>
                      <w:u w:val="none"/>
                      <w:lang w:val="en-US" w:eastAsia="zh-CN" w:bidi="ar"/>
                    </w:rPr>
                  </w:pPr>
                  <w:r>
                    <w:rPr>
                      <w:rFonts w:hint="eastAsia" w:ascii="黑体" w:hAnsi="黑体" w:eastAsia="黑体" w:cs="黑体"/>
                      <w:b/>
                      <w:bCs/>
                      <w:i w:val="0"/>
                      <w:color w:val="auto"/>
                      <w:kern w:val="0"/>
                      <w:sz w:val="20"/>
                      <w:szCs w:val="20"/>
                      <w:highlight w:val="none"/>
                      <w:u w:val="none"/>
                      <w:lang w:val="en-US" w:eastAsia="zh-CN" w:bidi="ar"/>
                    </w:rPr>
                    <w:t>3</w:t>
                  </w:r>
                </w:p>
              </w:tc>
              <w:tc>
                <w:tcPr>
                  <w:tcW w:w="1457" w:type="dxa"/>
                  <w:tcBorders>
                    <w:top w:val="single" w:color="auto" w:sz="4" w:space="0"/>
                    <w:bottom w:val="single" w:color="auto" w:sz="4" w:space="0"/>
                    <w:right w:val="single" w:color="auto" w:sz="4" w:space="0"/>
                    <w:tl2br w:val="nil"/>
                    <w:tr2bl w:val="nil"/>
                  </w:tcBorders>
                  <w:noWrap w:val="0"/>
                  <w:tcMar>
                    <w:top w:w="12" w:type="dxa"/>
                    <w:left w:w="12" w:type="dxa"/>
                    <w:right w:w="12" w:type="dxa"/>
                  </w:tcMar>
                  <w:vAlign w:val="center"/>
                </w:tcPr>
                <w:p w14:paraId="6DFFB8E5">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bCs/>
                      <w:i w:val="0"/>
                      <w:color w:val="auto"/>
                      <w:sz w:val="20"/>
                      <w:szCs w:val="20"/>
                      <w:highlight w:val="none"/>
                      <w:u w:val="none"/>
                      <w:lang w:val="en-US" w:eastAsia="zh-CN"/>
                    </w:rPr>
                  </w:pPr>
                  <w:r>
                    <w:rPr>
                      <w:rFonts w:hint="eastAsia" w:ascii="黑体" w:hAnsi="黑体" w:eastAsia="黑体" w:cs="黑体"/>
                      <w:b/>
                      <w:bCs/>
                      <w:i w:val="0"/>
                      <w:color w:val="auto"/>
                      <w:sz w:val="20"/>
                      <w:szCs w:val="20"/>
                      <w:highlight w:val="none"/>
                      <w:u w:val="none"/>
                      <w:lang w:val="en-US" w:eastAsia="zh-CN"/>
                    </w:rPr>
                    <w:t>施工第三标段</w:t>
                  </w:r>
                </w:p>
              </w:tc>
              <w:tc>
                <w:tcPr>
                  <w:tcW w:w="2741" w:type="dxa"/>
                  <w:tcBorders>
                    <w:left w:val="single" w:color="auto" w:sz="4" w:space="0"/>
                    <w:tl2br w:val="nil"/>
                    <w:tr2bl w:val="nil"/>
                  </w:tcBorders>
                  <w:noWrap w:val="0"/>
                  <w:tcMar>
                    <w:top w:w="12" w:type="dxa"/>
                    <w:left w:w="12" w:type="dxa"/>
                    <w:right w:w="12" w:type="dxa"/>
                  </w:tcMar>
                  <w:vAlign w:val="center"/>
                </w:tcPr>
                <w:p w14:paraId="584218CD">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bCs/>
                      <w:i w:val="0"/>
                      <w:color w:val="auto"/>
                      <w:sz w:val="20"/>
                      <w:szCs w:val="20"/>
                      <w:highlight w:val="none"/>
                      <w:u w:val="none"/>
                      <w:lang w:val="en-US" w:eastAsia="zh-CN"/>
                    </w:rPr>
                  </w:pPr>
                  <w:r>
                    <w:rPr>
                      <w:rFonts w:hint="eastAsia" w:ascii="黑体" w:hAnsi="黑体" w:eastAsia="黑体" w:cs="黑体"/>
                      <w:color w:val="auto"/>
                      <w:szCs w:val="21"/>
                      <w:highlight w:val="none"/>
                      <w:lang w:eastAsia="zh-CN"/>
                    </w:rPr>
                    <w:t>2026年新巴尔虎左旗生命安全防护工程</w:t>
                  </w:r>
                </w:p>
              </w:tc>
              <w:tc>
                <w:tcPr>
                  <w:tcW w:w="1656" w:type="dxa"/>
                  <w:tcBorders>
                    <w:top w:val="single" w:color="auto" w:sz="4" w:space="0"/>
                    <w:left w:val="single" w:color="auto" w:sz="4" w:space="0"/>
                    <w:bottom w:val="single" w:color="auto" w:sz="4" w:space="0"/>
                    <w:tl2br w:val="nil"/>
                    <w:tr2bl w:val="nil"/>
                  </w:tcBorders>
                  <w:noWrap w:val="0"/>
                  <w:tcMar>
                    <w:top w:w="12" w:type="dxa"/>
                    <w:left w:w="12" w:type="dxa"/>
                    <w:right w:w="12" w:type="dxa"/>
                  </w:tcMar>
                  <w:vAlign w:val="center"/>
                </w:tcPr>
                <w:p w14:paraId="6AE92DCE">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rightChars="0"/>
                    <w:jc w:val="center"/>
                    <w:textAlignment w:val="auto"/>
                    <w:rPr>
                      <w:rFonts w:hint="default" w:ascii="黑体" w:hAnsi="黑体" w:eastAsia="黑体" w:cs="黑体"/>
                      <w:b/>
                      <w:bCs/>
                      <w:i w:val="0"/>
                      <w:color w:val="auto"/>
                      <w:kern w:val="0"/>
                      <w:sz w:val="20"/>
                      <w:szCs w:val="20"/>
                      <w:highlight w:val="none"/>
                      <w:u w:val="none"/>
                      <w:lang w:val="en-US" w:eastAsia="zh-CN" w:bidi="ar"/>
                    </w:rPr>
                  </w:pPr>
                  <w:r>
                    <w:rPr>
                      <w:rFonts w:hint="default" w:ascii="黑体" w:hAnsi="黑体" w:eastAsia="黑体" w:cs="黑体"/>
                      <w:b/>
                      <w:bCs/>
                      <w:i w:val="0"/>
                      <w:color w:val="auto"/>
                      <w:kern w:val="0"/>
                      <w:sz w:val="20"/>
                      <w:szCs w:val="20"/>
                      <w:highlight w:val="none"/>
                      <w:u w:val="none"/>
                      <w:lang w:val="en-US" w:eastAsia="zh-CN" w:bidi="ar"/>
                    </w:rPr>
                    <w:t>1742759</w:t>
                  </w:r>
                </w:p>
              </w:tc>
            </w:tr>
            <w:tr w14:paraId="20C4F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jc w:val="center"/>
              </w:trPr>
              <w:tc>
                <w:tcPr>
                  <w:tcW w:w="312" w:type="dxa"/>
                  <w:tcBorders>
                    <w:top w:val="single" w:color="auto" w:sz="4" w:space="0"/>
                    <w:bottom w:val="single" w:color="auto" w:sz="4" w:space="0"/>
                    <w:tl2br w:val="nil"/>
                    <w:tr2bl w:val="nil"/>
                  </w:tcBorders>
                  <w:noWrap w:val="0"/>
                  <w:tcMar>
                    <w:top w:w="12" w:type="dxa"/>
                    <w:left w:w="12" w:type="dxa"/>
                    <w:right w:w="12" w:type="dxa"/>
                  </w:tcMar>
                  <w:vAlign w:val="center"/>
                </w:tcPr>
                <w:p w14:paraId="715E160E">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default" w:ascii="黑体" w:hAnsi="黑体" w:eastAsia="黑体" w:cs="黑体"/>
                      <w:b/>
                      <w:bCs/>
                      <w:i w:val="0"/>
                      <w:color w:val="auto"/>
                      <w:kern w:val="0"/>
                      <w:sz w:val="20"/>
                      <w:szCs w:val="20"/>
                      <w:highlight w:val="none"/>
                      <w:u w:val="none"/>
                      <w:lang w:val="en-US" w:eastAsia="zh-CN" w:bidi="ar"/>
                    </w:rPr>
                  </w:pPr>
                  <w:r>
                    <w:rPr>
                      <w:rFonts w:hint="eastAsia" w:ascii="黑体" w:hAnsi="黑体" w:eastAsia="黑体" w:cs="黑体"/>
                      <w:b/>
                      <w:bCs/>
                      <w:i w:val="0"/>
                      <w:color w:val="auto"/>
                      <w:kern w:val="0"/>
                      <w:sz w:val="20"/>
                      <w:szCs w:val="20"/>
                      <w:highlight w:val="none"/>
                      <w:u w:val="none"/>
                      <w:lang w:val="en-US" w:eastAsia="zh-CN" w:bidi="ar"/>
                    </w:rPr>
                    <w:t>4</w:t>
                  </w:r>
                </w:p>
              </w:tc>
              <w:tc>
                <w:tcPr>
                  <w:tcW w:w="1457" w:type="dxa"/>
                  <w:tcBorders>
                    <w:top w:val="single" w:color="auto" w:sz="4" w:space="0"/>
                    <w:bottom w:val="single" w:color="auto" w:sz="4" w:space="0"/>
                    <w:right w:val="single" w:color="auto" w:sz="4" w:space="0"/>
                    <w:tl2br w:val="nil"/>
                    <w:tr2bl w:val="nil"/>
                  </w:tcBorders>
                  <w:noWrap w:val="0"/>
                  <w:tcMar>
                    <w:top w:w="12" w:type="dxa"/>
                    <w:left w:w="12" w:type="dxa"/>
                    <w:right w:w="12" w:type="dxa"/>
                  </w:tcMar>
                  <w:vAlign w:val="center"/>
                </w:tcPr>
                <w:p w14:paraId="4C3A8838">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default" w:ascii="黑体" w:hAnsi="黑体" w:eastAsia="黑体" w:cs="黑体"/>
                      <w:b/>
                      <w:bCs/>
                      <w:i w:val="0"/>
                      <w:color w:val="auto"/>
                      <w:sz w:val="20"/>
                      <w:szCs w:val="20"/>
                      <w:highlight w:val="none"/>
                      <w:u w:val="none"/>
                      <w:lang w:val="en-US" w:eastAsia="zh-CN"/>
                    </w:rPr>
                  </w:pPr>
                  <w:r>
                    <w:rPr>
                      <w:rFonts w:hint="eastAsia" w:ascii="黑体" w:hAnsi="黑体" w:eastAsia="黑体" w:cs="黑体"/>
                      <w:b/>
                      <w:bCs/>
                      <w:i w:val="0"/>
                      <w:color w:val="auto"/>
                      <w:sz w:val="20"/>
                      <w:szCs w:val="20"/>
                      <w:highlight w:val="none"/>
                      <w:u w:val="none"/>
                      <w:lang w:val="en-US" w:eastAsia="zh-CN"/>
                    </w:rPr>
                    <w:t>施工第四标段</w:t>
                  </w:r>
                </w:p>
              </w:tc>
              <w:tc>
                <w:tcPr>
                  <w:tcW w:w="2741" w:type="dxa"/>
                  <w:tcBorders>
                    <w:left w:val="single" w:color="auto" w:sz="4" w:space="0"/>
                    <w:tl2br w:val="nil"/>
                    <w:tr2bl w:val="nil"/>
                  </w:tcBorders>
                  <w:noWrap w:val="0"/>
                  <w:tcMar>
                    <w:top w:w="12" w:type="dxa"/>
                    <w:left w:w="12" w:type="dxa"/>
                    <w:right w:w="12" w:type="dxa"/>
                  </w:tcMar>
                  <w:vAlign w:val="center"/>
                </w:tcPr>
                <w:p w14:paraId="4D752198">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val="0"/>
                      <w:bCs w:val="0"/>
                      <w:szCs w:val="21"/>
                      <w:highlight w:val="none"/>
                      <w:u w:val="none"/>
                      <w:lang w:val="en-US" w:eastAsia="zh-CN"/>
                    </w:rPr>
                  </w:pPr>
                  <w:r>
                    <w:rPr>
                      <w:rFonts w:hint="eastAsia" w:ascii="黑体" w:hAnsi="黑体" w:eastAsia="黑体" w:cs="黑体"/>
                      <w:color w:val="auto"/>
                      <w:szCs w:val="21"/>
                      <w:highlight w:val="none"/>
                      <w:lang w:eastAsia="zh-CN"/>
                    </w:rPr>
                    <w:t>2026年新巴尔虎左旗生命安全防护工程</w:t>
                  </w:r>
                </w:p>
              </w:tc>
              <w:tc>
                <w:tcPr>
                  <w:tcW w:w="1656" w:type="dxa"/>
                  <w:tcBorders>
                    <w:top w:val="single" w:color="auto" w:sz="4" w:space="0"/>
                    <w:left w:val="single" w:color="auto" w:sz="4" w:space="0"/>
                    <w:bottom w:val="single" w:color="auto" w:sz="4" w:space="0"/>
                    <w:tl2br w:val="nil"/>
                    <w:tr2bl w:val="nil"/>
                  </w:tcBorders>
                  <w:noWrap w:val="0"/>
                  <w:tcMar>
                    <w:top w:w="12" w:type="dxa"/>
                    <w:left w:w="12" w:type="dxa"/>
                    <w:right w:w="12" w:type="dxa"/>
                  </w:tcMar>
                  <w:vAlign w:val="center"/>
                </w:tcPr>
                <w:p w14:paraId="7E44EAFB">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rightChars="0"/>
                    <w:jc w:val="center"/>
                    <w:textAlignment w:val="auto"/>
                    <w:rPr>
                      <w:rFonts w:hint="eastAsia" w:ascii="黑体" w:hAnsi="黑体" w:eastAsia="黑体" w:cs="黑体"/>
                      <w:b/>
                      <w:bCs/>
                      <w:i w:val="0"/>
                      <w:color w:val="auto"/>
                      <w:kern w:val="0"/>
                      <w:sz w:val="20"/>
                      <w:szCs w:val="20"/>
                      <w:highlight w:val="none"/>
                      <w:u w:val="none"/>
                      <w:lang w:val="en-US" w:eastAsia="zh-CN" w:bidi="ar"/>
                    </w:rPr>
                  </w:pPr>
                  <w:r>
                    <w:rPr>
                      <w:rFonts w:hint="eastAsia" w:ascii="黑体" w:hAnsi="黑体" w:eastAsia="黑体" w:cs="黑体"/>
                      <w:b/>
                      <w:bCs/>
                      <w:i w:val="0"/>
                      <w:color w:val="auto"/>
                      <w:kern w:val="0"/>
                      <w:sz w:val="20"/>
                      <w:szCs w:val="20"/>
                      <w:highlight w:val="none"/>
                      <w:u w:val="none"/>
                      <w:lang w:val="en-US" w:eastAsia="zh-CN" w:bidi="ar"/>
                    </w:rPr>
                    <w:t>2184415</w:t>
                  </w:r>
                </w:p>
              </w:tc>
            </w:tr>
            <w:tr w14:paraId="250C2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jc w:val="center"/>
              </w:trPr>
              <w:tc>
                <w:tcPr>
                  <w:tcW w:w="312" w:type="dxa"/>
                  <w:tcBorders>
                    <w:top w:val="single" w:color="auto" w:sz="4" w:space="0"/>
                    <w:bottom w:val="single" w:color="auto" w:sz="4" w:space="0"/>
                    <w:tl2br w:val="nil"/>
                    <w:tr2bl w:val="nil"/>
                  </w:tcBorders>
                  <w:noWrap w:val="0"/>
                  <w:tcMar>
                    <w:top w:w="12" w:type="dxa"/>
                    <w:left w:w="12" w:type="dxa"/>
                    <w:right w:w="12" w:type="dxa"/>
                  </w:tcMar>
                  <w:vAlign w:val="center"/>
                </w:tcPr>
                <w:p w14:paraId="343DCC40">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default" w:ascii="黑体" w:hAnsi="黑体" w:eastAsia="黑体" w:cs="黑体"/>
                      <w:b/>
                      <w:bCs/>
                      <w:i w:val="0"/>
                      <w:color w:val="auto"/>
                      <w:kern w:val="0"/>
                      <w:sz w:val="20"/>
                      <w:szCs w:val="20"/>
                      <w:highlight w:val="none"/>
                      <w:u w:val="none"/>
                      <w:lang w:val="en-US" w:eastAsia="zh-CN" w:bidi="ar"/>
                    </w:rPr>
                  </w:pPr>
                  <w:r>
                    <w:rPr>
                      <w:rFonts w:hint="eastAsia" w:ascii="黑体" w:hAnsi="黑体" w:eastAsia="黑体" w:cs="黑体"/>
                      <w:b/>
                      <w:bCs/>
                      <w:i w:val="0"/>
                      <w:color w:val="auto"/>
                      <w:kern w:val="0"/>
                      <w:sz w:val="20"/>
                      <w:szCs w:val="20"/>
                      <w:highlight w:val="none"/>
                      <w:u w:val="none"/>
                      <w:lang w:val="en-US" w:eastAsia="zh-CN" w:bidi="ar"/>
                    </w:rPr>
                    <w:t>5</w:t>
                  </w:r>
                </w:p>
              </w:tc>
              <w:tc>
                <w:tcPr>
                  <w:tcW w:w="1457" w:type="dxa"/>
                  <w:tcBorders>
                    <w:top w:val="single" w:color="auto" w:sz="4" w:space="0"/>
                    <w:bottom w:val="single" w:color="auto" w:sz="4" w:space="0"/>
                    <w:right w:val="single" w:color="auto" w:sz="4" w:space="0"/>
                    <w:tl2br w:val="nil"/>
                    <w:tr2bl w:val="nil"/>
                  </w:tcBorders>
                  <w:noWrap w:val="0"/>
                  <w:tcMar>
                    <w:top w:w="12" w:type="dxa"/>
                    <w:left w:w="12" w:type="dxa"/>
                    <w:right w:w="12" w:type="dxa"/>
                  </w:tcMar>
                  <w:vAlign w:val="center"/>
                </w:tcPr>
                <w:p w14:paraId="0E4BF7C1">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bCs/>
                      <w:i w:val="0"/>
                      <w:color w:val="auto"/>
                      <w:sz w:val="20"/>
                      <w:szCs w:val="20"/>
                      <w:highlight w:val="none"/>
                      <w:u w:val="none"/>
                      <w:lang w:val="en-US" w:eastAsia="zh-CN"/>
                    </w:rPr>
                  </w:pPr>
                  <w:r>
                    <w:rPr>
                      <w:rFonts w:hint="eastAsia" w:ascii="黑体" w:hAnsi="黑体" w:eastAsia="黑体" w:cs="黑体"/>
                      <w:b/>
                      <w:bCs/>
                      <w:i w:val="0"/>
                      <w:color w:val="auto"/>
                      <w:sz w:val="20"/>
                      <w:szCs w:val="20"/>
                      <w:highlight w:val="none"/>
                      <w:u w:val="none"/>
                      <w:lang w:val="en-US" w:eastAsia="zh-CN"/>
                    </w:rPr>
                    <w:t>施工第五标段</w:t>
                  </w:r>
                </w:p>
              </w:tc>
              <w:tc>
                <w:tcPr>
                  <w:tcW w:w="2741" w:type="dxa"/>
                  <w:tcBorders>
                    <w:left w:val="single" w:color="auto" w:sz="4" w:space="0"/>
                    <w:tl2br w:val="nil"/>
                    <w:tr2bl w:val="nil"/>
                  </w:tcBorders>
                  <w:noWrap w:val="0"/>
                  <w:tcMar>
                    <w:top w:w="12" w:type="dxa"/>
                    <w:left w:w="12" w:type="dxa"/>
                    <w:right w:w="12" w:type="dxa"/>
                  </w:tcMar>
                  <w:vAlign w:val="center"/>
                </w:tcPr>
                <w:p w14:paraId="0B68A28E">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黑体" w:eastAsia="黑体" w:cs="黑体"/>
                      <w:b w:val="0"/>
                      <w:bCs w:val="0"/>
                      <w:szCs w:val="21"/>
                      <w:highlight w:val="none"/>
                      <w:u w:val="none"/>
                      <w:lang w:val="en-US" w:eastAsia="zh-CN"/>
                    </w:rPr>
                  </w:pPr>
                  <w:r>
                    <w:rPr>
                      <w:rFonts w:hint="eastAsia" w:ascii="黑体" w:hAnsi="黑体" w:eastAsia="黑体" w:cs="黑体"/>
                      <w:color w:val="auto"/>
                      <w:szCs w:val="21"/>
                      <w:highlight w:val="none"/>
                      <w:lang w:eastAsia="zh-CN"/>
                    </w:rPr>
                    <w:t>2026年新巴尔虎左旗生命安全防护工程</w:t>
                  </w:r>
                </w:p>
              </w:tc>
              <w:tc>
                <w:tcPr>
                  <w:tcW w:w="1656" w:type="dxa"/>
                  <w:tcBorders>
                    <w:top w:val="single" w:color="auto" w:sz="4" w:space="0"/>
                    <w:left w:val="single" w:color="auto" w:sz="4" w:space="0"/>
                    <w:bottom w:val="single" w:color="auto" w:sz="4" w:space="0"/>
                    <w:tl2br w:val="nil"/>
                    <w:tr2bl w:val="nil"/>
                  </w:tcBorders>
                  <w:noWrap w:val="0"/>
                  <w:tcMar>
                    <w:top w:w="12" w:type="dxa"/>
                    <w:left w:w="12" w:type="dxa"/>
                    <w:right w:w="12" w:type="dxa"/>
                  </w:tcMar>
                  <w:vAlign w:val="center"/>
                </w:tcPr>
                <w:p w14:paraId="250FC4C1">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right="0" w:rightChars="0"/>
                    <w:jc w:val="center"/>
                    <w:textAlignment w:val="auto"/>
                    <w:rPr>
                      <w:rFonts w:hint="eastAsia" w:ascii="黑体" w:hAnsi="黑体" w:eastAsia="黑体" w:cs="黑体"/>
                      <w:b/>
                      <w:bCs/>
                      <w:i w:val="0"/>
                      <w:color w:val="auto"/>
                      <w:kern w:val="0"/>
                      <w:sz w:val="20"/>
                      <w:szCs w:val="20"/>
                      <w:highlight w:val="none"/>
                      <w:u w:val="none"/>
                      <w:lang w:val="en-US" w:eastAsia="zh-CN" w:bidi="ar"/>
                    </w:rPr>
                  </w:pPr>
                  <w:r>
                    <w:rPr>
                      <w:rFonts w:hint="eastAsia" w:ascii="黑体" w:hAnsi="黑体" w:eastAsia="黑体" w:cs="黑体"/>
                      <w:b/>
                      <w:bCs/>
                      <w:i w:val="0"/>
                      <w:color w:val="auto"/>
                      <w:kern w:val="0"/>
                      <w:sz w:val="20"/>
                      <w:szCs w:val="20"/>
                      <w:highlight w:val="none"/>
                      <w:u w:val="none"/>
                      <w:lang w:val="en-US" w:eastAsia="zh-CN" w:bidi="ar"/>
                    </w:rPr>
                    <w:t>1899278</w:t>
                  </w:r>
                </w:p>
              </w:tc>
            </w:tr>
          </w:tbl>
          <w:p w14:paraId="3F3749AA">
            <w:pPr>
              <w:pStyle w:val="21"/>
              <w:ind w:left="0" w:leftChars="0" w:firstLine="0" w:firstLineChars="0"/>
              <w:rPr>
                <w:rFonts w:hint="eastAsia" w:ascii="黑体" w:hAnsi="黑体" w:eastAsia="黑体" w:cs="黑体"/>
                <w:highlight w:val="none"/>
              </w:rPr>
            </w:pPr>
            <w:r>
              <w:rPr>
                <w:rStyle w:val="42"/>
                <w:rFonts w:hint="eastAsia" w:ascii="黑体" w:hAnsi="黑体" w:eastAsia="黑体" w:cs="黑体"/>
                <w:b/>
                <w:bCs/>
                <w:color w:val="auto"/>
                <w:kern w:val="0"/>
                <w:sz w:val="21"/>
                <w:szCs w:val="21"/>
                <w:highlight w:val="none"/>
                <w:u w:val="single"/>
                <w:lang w:val="en-US" w:eastAsia="zh-CN"/>
              </w:rPr>
              <w:t>1.</w:t>
            </w:r>
            <w:r>
              <w:rPr>
                <w:rStyle w:val="42"/>
                <w:rFonts w:hint="eastAsia" w:ascii="黑体" w:hAnsi="黑体" w:eastAsia="黑体" w:cs="黑体"/>
                <w:b/>
                <w:bCs/>
                <w:color w:val="auto"/>
                <w:kern w:val="0"/>
                <w:sz w:val="21"/>
                <w:szCs w:val="21"/>
                <w:highlight w:val="none"/>
                <w:u w:val="single"/>
              </w:rPr>
              <w:t>投标人报价不得高于投标限价，投标人报价高于投标限价的，其投标将被否决；所有投标报价高于投标限价的，该项目将重新招标</w:t>
            </w:r>
            <w:r>
              <w:rPr>
                <w:rStyle w:val="42"/>
                <w:rFonts w:hint="eastAsia" w:ascii="黑体" w:hAnsi="黑体" w:eastAsia="黑体" w:cs="黑体"/>
                <w:b/>
                <w:bCs/>
                <w:color w:val="auto"/>
                <w:kern w:val="0"/>
                <w:sz w:val="21"/>
                <w:szCs w:val="21"/>
                <w:highlight w:val="none"/>
                <w:u w:val="single"/>
                <w:lang w:eastAsia="zh-CN"/>
              </w:rPr>
              <w:t>。</w:t>
            </w:r>
            <w:r>
              <w:rPr>
                <w:rStyle w:val="42"/>
                <w:rFonts w:hint="eastAsia" w:ascii="黑体" w:hAnsi="黑体" w:eastAsia="黑体" w:cs="黑体"/>
                <w:b/>
                <w:bCs/>
                <w:color w:val="auto"/>
                <w:kern w:val="0"/>
                <w:sz w:val="21"/>
                <w:szCs w:val="21"/>
                <w:highlight w:val="none"/>
                <w:u w:val="single"/>
                <w:lang w:val="en-US" w:eastAsia="zh-CN"/>
              </w:rPr>
              <w:t>2.本项目控制价已包含临时占地费，建筑工程一切险和第三方责任险。</w:t>
            </w:r>
          </w:p>
        </w:tc>
      </w:tr>
      <w:tr w14:paraId="3ACAA82F">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52F48023">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3.2.9</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290D9EE5">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投标报价的其他要求</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7FB1D0F1">
            <w:pPr>
              <w:shd w:val="clear" w:color="auto" w:fill="auto"/>
              <w:spacing w:line="360" w:lineRule="atLeast"/>
              <w:rPr>
                <w:rStyle w:val="42"/>
                <w:rFonts w:hint="eastAsia" w:ascii="黑体" w:hAnsi="黑体" w:eastAsia="黑体" w:cs="黑体"/>
                <w:b/>
                <w:bCs/>
                <w:color w:val="auto"/>
                <w:kern w:val="0"/>
                <w:sz w:val="21"/>
                <w:szCs w:val="21"/>
                <w:highlight w:val="none"/>
                <w:lang w:val="zh-TW" w:eastAsia="zh-CN"/>
              </w:rPr>
            </w:pPr>
            <w:r>
              <w:rPr>
                <w:rStyle w:val="42"/>
                <w:rFonts w:hint="eastAsia" w:ascii="黑体" w:hAnsi="黑体" w:eastAsia="黑体" w:cs="黑体"/>
                <w:b/>
                <w:bCs/>
                <w:color w:val="auto"/>
                <w:kern w:val="0"/>
                <w:sz w:val="21"/>
                <w:szCs w:val="21"/>
                <w:highlight w:val="none"/>
                <w:lang w:val="zh-TW" w:eastAsia="zh-CN"/>
              </w:rPr>
              <w:t>（1）严禁投标人修改工程量固化清单电子文件中的数据、格式及运算定义，招标人不接受其他格式的工程量清单的投标文件。</w:t>
            </w:r>
          </w:p>
          <w:p w14:paraId="13B96848">
            <w:pPr>
              <w:shd w:val="clear" w:color="auto" w:fill="auto"/>
              <w:spacing w:line="360" w:lineRule="atLeast"/>
              <w:rPr>
                <w:rStyle w:val="42"/>
                <w:rFonts w:hint="eastAsia" w:ascii="黑体" w:hAnsi="黑体" w:eastAsia="黑体" w:cs="黑体"/>
                <w:b/>
                <w:bCs/>
                <w:color w:val="auto"/>
                <w:kern w:val="0"/>
                <w:sz w:val="21"/>
                <w:szCs w:val="21"/>
                <w:highlight w:val="none"/>
                <w:lang w:val="zh-TW" w:eastAsia="zh-CN"/>
              </w:rPr>
            </w:pPr>
            <w:r>
              <w:rPr>
                <w:rStyle w:val="42"/>
                <w:rFonts w:hint="eastAsia" w:ascii="黑体" w:hAnsi="黑体" w:eastAsia="黑体" w:cs="黑体"/>
                <w:b/>
                <w:bCs/>
                <w:color w:val="auto"/>
                <w:kern w:val="0"/>
                <w:sz w:val="21"/>
                <w:szCs w:val="21"/>
                <w:highlight w:val="none"/>
                <w:lang w:val="zh-TW" w:eastAsia="zh-CN"/>
              </w:rPr>
              <w:t>（2）投标人的投标文件工程量清单投标报价汇总表中的投标报价与投标函大写文字报价必须一致。</w:t>
            </w:r>
          </w:p>
          <w:p w14:paraId="3EA8F3F0">
            <w:pPr>
              <w:spacing w:line="360" w:lineRule="auto"/>
              <w:rPr>
                <w:rStyle w:val="42"/>
                <w:rFonts w:hint="eastAsia" w:ascii="黑体" w:hAnsi="黑体" w:eastAsia="黑体" w:cs="黑体"/>
                <w:b/>
                <w:bCs/>
                <w:color w:val="auto"/>
                <w:kern w:val="0"/>
                <w:sz w:val="21"/>
                <w:szCs w:val="21"/>
                <w:highlight w:val="none"/>
                <w:lang w:val="en-US" w:eastAsia="zh-CN"/>
              </w:rPr>
            </w:pPr>
            <w:r>
              <w:rPr>
                <w:rStyle w:val="42"/>
                <w:rFonts w:hint="eastAsia" w:ascii="黑体" w:hAnsi="黑体" w:eastAsia="黑体" w:cs="黑体"/>
                <w:b/>
                <w:bCs/>
                <w:color w:val="auto"/>
                <w:kern w:val="0"/>
                <w:sz w:val="21"/>
                <w:szCs w:val="21"/>
                <w:highlight w:val="none"/>
                <w:lang w:val="zh-TW" w:eastAsia="zh-CN"/>
              </w:rPr>
              <w:t>（3）</w:t>
            </w:r>
            <w:r>
              <w:rPr>
                <w:rFonts w:hint="eastAsia" w:ascii="黑体" w:hAnsi="黑体" w:eastAsia="黑体" w:cs="黑体"/>
                <w:b/>
                <w:bCs/>
                <w:color w:val="auto"/>
                <w:sz w:val="21"/>
                <w:szCs w:val="21"/>
                <w:highlight w:val="none"/>
                <w:u w:val="single"/>
                <w:lang w:eastAsia="zh-CN"/>
              </w:rPr>
              <w:t>投标文件中</w:t>
            </w:r>
            <w:r>
              <w:rPr>
                <w:rFonts w:hint="eastAsia" w:ascii="黑体" w:hAnsi="黑体" w:eastAsia="黑体" w:cs="黑体"/>
                <w:b/>
                <w:bCs/>
                <w:color w:val="auto"/>
                <w:sz w:val="21"/>
                <w:szCs w:val="21"/>
                <w:highlight w:val="none"/>
                <w:u w:val="single"/>
                <w:lang w:val="en-US" w:eastAsia="zh-CN"/>
              </w:rPr>
              <w:t>同时需附工程量清单单价分析表[公路工程标准施工招标文件（2018年版·第一册）工程量清单表5.5]和表A.0.3-3 材料预算单价计算表（投标人应逐页加盖单位公章，造价人员逐页签字并加盖执业印章）。</w:t>
            </w:r>
            <w:r>
              <w:rPr>
                <w:rStyle w:val="42"/>
                <w:rFonts w:hint="eastAsia" w:ascii="黑体" w:hAnsi="黑体" w:eastAsia="黑体" w:cs="黑体"/>
                <w:b/>
                <w:bCs/>
                <w:color w:val="auto"/>
                <w:kern w:val="0"/>
                <w:sz w:val="21"/>
                <w:szCs w:val="21"/>
                <w:highlight w:val="none"/>
                <w:u w:val="single"/>
                <w:lang w:val="zh-TW" w:eastAsia="zh-CN"/>
              </w:rPr>
              <w:t>未按上述要求提供者，视为不响应招标文件，其投标被否决</w:t>
            </w:r>
            <w:r>
              <w:rPr>
                <w:rStyle w:val="42"/>
                <w:rFonts w:hint="eastAsia" w:ascii="黑体" w:hAnsi="黑体" w:eastAsia="黑体" w:cs="黑体"/>
                <w:b/>
                <w:bCs/>
                <w:color w:val="auto"/>
                <w:kern w:val="0"/>
                <w:sz w:val="21"/>
                <w:szCs w:val="21"/>
                <w:highlight w:val="none"/>
                <w:lang w:val="zh-TW" w:eastAsia="zh-CN"/>
              </w:rPr>
              <w:t>。</w:t>
            </w:r>
          </w:p>
        </w:tc>
      </w:tr>
      <w:tr w14:paraId="48069255">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119CD4A4">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3.3.1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31544A15">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投标有效期</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57289B91">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自投标人提交投标文件截止之日起计算</w:t>
            </w:r>
            <w:r>
              <w:rPr>
                <w:rFonts w:hint="eastAsia" w:ascii="黑体" w:hAnsi="黑体" w:eastAsia="黑体" w:cs="黑体"/>
                <w:color w:val="auto"/>
                <w:szCs w:val="21"/>
                <w:highlight w:val="none"/>
                <w:u w:val="single"/>
                <w:lang w:val="en-US" w:eastAsia="zh-CN"/>
              </w:rPr>
              <w:t>9</w:t>
            </w:r>
            <w:r>
              <w:rPr>
                <w:rFonts w:hint="eastAsia" w:ascii="黑体" w:hAnsi="黑体" w:eastAsia="黑体" w:cs="黑体"/>
                <w:color w:val="auto"/>
                <w:szCs w:val="21"/>
                <w:highlight w:val="none"/>
                <w:u w:val="single"/>
              </w:rPr>
              <w:t>0</w:t>
            </w:r>
            <w:r>
              <w:rPr>
                <w:rFonts w:hint="eastAsia" w:ascii="黑体" w:hAnsi="黑体" w:eastAsia="黑体" w:cs="黑体"/>
                <w:color w:val="auto"/>
                <w:szCs w:val="21"/>
                <w:highlight w:val="none"/>
              </w:rPr>
              <w:t>日</w:t>
            </w:r>
          </w:p>
        </w:tc>
      </w:tr>
      <w:tr w14:paraId="06DD152E">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5C50D1D1">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3.4.1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340613D5">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投标保证金</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33B998B5">
            <w:pPr>
              <w:pStyle w:val="7"/>
              <w:shd w:val="clear" w:color="auto" w:fill="auto"/>
              <w:topLinePunct/>
              <w:spacing w:line="360" w:lineRule="atLeast"/>
              <w:rPr>
                <w:rFonts w:hint="eastAsia" w:ascii="黑体" w:hAnsi="黑体" w:eastAsia="黑体" w:cs="黑体"/>
                <w:color w:val="auto"/>
                <w:sz w:val="21"/>
                <w:szCs w:val="21"/>
                <w:highlight w:val="none"/>
              </w:rPr>
            </w:pPr>
            <w:r>
              <w:rPr>
                <w:rFonts w:hint="eastAsia" w:ascii="黑体" w:hAnsi="黑体" w:eastAsia="黑体" w:cs="黑体"/>
                <w:color w:val="auto"/>
                <w:sz w:val="21"/>
                <w:szCs w:val="22"/>
                <w:highlight w:val="none"/>
              </w:rPr>
              <w:t>是否</w:t>
            </w:r>
            <w:r>
              <w:rPr>
                <w:rFonts w:hint="eastAsia" w:ascii="黑体" w:hAnsi="黑体" w:eastAsia="黑体" w:cs="黑体"/>
                <w:color w:val="auto"/>
                <w:sz w:val="21"/>
                <w:szCs w:val="21"/>
                <w:highlight w:val="none"/>
              </w:rPr>
              <w:t>要求投标人递交投标保证金：</w:t>
            </w:r>
          </w:p>
          <w:p w14:paraId="35630EB3">
            <w:pPr>
              <w:rPr>
                <w:rStyle w:val="42"/>
                <w:rFonts w:hint="eastAsia" w:ascii="黑体" w:hAnsi="黑体" w:eastAsia="黑体" w:cs="黑体"/>
                <w:color w:val="auto"/>
                <w:kern w:val="0"/>
                <w:sz w:val="21"/>
                <w:szCs w:val="21"/>
                <w:highlight w:val="none"/>
                <w:u w:val="single"/>
                <w:lang w:val="en-US" w:eastAsia="zh-CN"/>
              </w:rPr>
            </w:pPr>
            <w:r>
              <w:rPr>
                <w:rFonts w:hint="eastAsia" w:ascii="黑体" w:hAnsi="黑体" w:eastAsia="黑体" w:cs="黑体"/>
                <w:color w:val="auto"/>
                <w:szCs w:val="21"/>
                <w:highlight w:val="none"/>
                <w:lang w:eastAsia="zh-CN"/>
              </w:rPr>
              <w:t>□</w:t>
            </w:r>
            <w:r>
              <w:rPr>
                <w:rStyle w:val="42"/>
                <w:rFonts w:hint="eastAsia" w:ascii="黑体" w:hAnsi="黑体" w:eastAsia="黑体" w:cs="黑体"/>
                <w:color w:val="auto"/>
                <w:kern w:val="0"/>
                <w:sz w:val="21"/>
                <w:szCs w:val="21"/>
                <w:highlight w:val="none"/>
                <w:lang w:val="zh-TW" w:eastAsia="zh-TW"/>
              </w:rPr>
              <w:t>要求</w:t>
            </w:r>
          </w:p>
          <w:p w14:paraId="176460BE">
            <w:pPr>
              <w:keepNext w:val="0"/>
              <w:keepLines w:val="0"/>
              <w:widowControl/>
              <w:suppressLineNumbers w:val="0"/>
              <w:jc w:val="left"/>
              <w:rPr>
                <w:rFonts w:hint="eastAsia" w:ascii="黑体" w:hAnsi="黑体" w:eastAsia="黑体" w:cs="黑体"/>
                <w:color w:val="auto"/>
                <w:sz w:val="21"/>
                <w:szCs w:val="21"/>
                <w:highlight w:val="none"/>
              </w:rPr>
            </w:pPr>
            <w:r>
              <w:rPr>
                <w:rFonts w:hint="eastAsia" w:ascii="黑体" w:hAnsi="黑体" w:eastAsia="黑体" w:cs="黑体"/>
                <w:color w:val="auto"/>
                <w:kern w:val="0"/>
                <w:sz w:val="21"/>
                <w:szCs w:val="21"/>
                <w:highlight w:val="none"/>
                <w:lang w:val="en-US" w:eastAsia="zh-CN" w:bidi="ar"/>
              </w:rPr>
              <w:t>1、投标保证金的形</w:t>
            </w:r>
            <w:r>
              <w:rPr>
                <w:rFonts w:hint="eastAsia" w:ascii="黑体" w:hAnsi="黑体" w:eastAsia="黑体" w:cs="黑体"/>
                <w:color w:val="auto"/>
                <w:kern w:val="0"/>
                <w:sz w:val="21"/>
                <w:szCs w:val="21"/>
                <w:highlight w:val="none"/>
                <w:lang w:val="en-US" w:eastAsia="zh-CN" w:bidi="ar"/>
              </w:rPr>
              <w:t>式：</w:t>
            </w:r>
            <w:r>
              <w:rPr>
                <w:rFonts w:hint="eastAsia" w:ascii="黑体" w:hAnsi="黑体" w:eastAsia="黑体" w:cs="黑体"/>
                <w:b/>
                <w:bCs/>
                <w:color w:val="auto"/>
                <w:kern w:val="0"/>
                <w:sz w:val="21"/>
                <w:szCs w:val="21"/>
                <w:highlight w:val="none"/>
                <w:lang w:val="en-US" w:eastAsia="zh-CN" w:bidi="ar"/>
              </w:rPr>
              <w:t>银行电汇或电子保函</w:t>
            </w:r>
            <w:r>
              <w:rPr>
                <w:rFonts w:hint="eastAsia" w:ascii="黑体" w:hAnsi="黑体" w:eastAsia="黑体" w:cs="黑体"/>
                <w:color w:val="auto"/>
                <w:kern w:val="0"/>
                <w:sz w:val="21"/>
                <w:szCs w:val="21"/>
                <w:highlight w:val="none"/>
                <w:lang w:val="en-US" w:eastAsia="zh-CN" w:bidi="ar"/>
              </w:rPr>
              <w:t xml:space="preserve"> </w:t>
            </w:r>
          </w:p>
          <w:p w14:paraId="171187E5">
            <w:pPr>
              <w:keepNext w:val="0"/>
              <w:keepLines w:val="0"/>
              <w:widowControl/>
              <w:suppressLineNumbers w:val="0"/>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kern w:val="0"/>
                <w:sz w:val="21"/>
                <w:szCs w:val="21"/>
                <w:highlight w:val="none"/>
                <w:lang w:val="en-US" w:eastAsia="zh-CN" w:bidi="ar"/>
              </w:rPr>
              <w:t>2、投标保证</w:t>
            </w:r>
            <w:r>
              <w:rPr>
                <w:rFonts w:hint="eastAsia" w:ascii="黑体" w:hAnsi="黑体" w:eastAsia="黑体" w:cs="黑体"/>
                <w:color w:val="auto"/>
                <w:kern w:val="0"/>
                <w:sz w:val="21"/>
                <w:szCs w:val="21"/>
                <w:highlight w:val="none"/>
                <w:lang w:val="en-US" w:eastAsia="zh-CN" w:bidi="ar"/>
              </w:rPr>
              <w:t xml:space="preserve">金的金额： </w:t>
            </w:r>
          </w:p>
          <w:p w14:paraId="248BD1A8">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w:t>
            </w:r>
            <w:r>
              <w:rPr>
                <w:rFonts w:hint="eastAsia" w:ascii="黑体" w:hAnsi="黑体" w:eastAsia="黑体" w:cs="黑体"/>
                <w:color w:val="auto"/>
                <w:szCs w:val="21"/>
                <w:highlight w:val="none"/>
              </w:rPr>
              <w:t>不要求</w:t>
            </w:r>
          </w:p>
        </w:tc>
      </w:tr>
      <w:tr w14:paraId="3F28A4C8">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15C0D269">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3.4.3</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0F3D4696">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投标保证金的利息计算原则</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001D1E3F">
            <w:pPr>
              <w:shd w:val="clear" w:color="auto" w:fill="auto"/>
              <w:topLinePunct/>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（1）计算利息的起始日期为投标截止当日，终止日期为招标人退还投标保证金日期的前一日；</w:t>
            </w:r>
          </w:p>
          <w:p w14:paraId="242DB0B0">
            <w:pPr>
              <w:shd w:val="clear" w:color="auto" w:fill="auto"/>
              <w:topLinePunct/>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（2）投标保证金的利息按照第（1）款所述计息时间段内招标人指定汇入银行公告的活期存款利率计付，并扣除招标人汇款手续费；</w:t>
            </w:r>
          </w:p>
          <w:p w14:paraId="6D9DA82B">
            <w:pPr>
              <w:pStyle w:val="7"/>
              <w:shd w:val="clear" w:color="auto" w:fill="auto"/>
              <w:topLinePunct/>
              <w:spacing w:line="360" w:lineRule="atLeast"/>
              <w:rPr>
                <w:rFonts w:hint="eastAsia" w:ascii="黑体" w:hAnsi="黑体" w:eastAsia="黑体" w:cs="黑体"/>
                <w:color w:val="auto"/>
                <w:sz w:val="21"/>
                <w:szCs w:val="21"/>
                <w:highlight w:val="none"/>
                <w:lang w:eastAsia="zh-CN"/>
              </w:rPr>
            </w:pPr>
            <w:r>
              <w:rPr>
                <w:rFonts w:hint="eastAsia" w:ascii="黑体" w:hAnsi="黑体" w:eastAsia="黑体" w:cs="黑体"/>
                <w:color w:val="auto"/>
                <w:sz w:val="21"/>
                <w:szCs w:val="21"/>
                <w:highlight w:val="none"/>
              </w:rPr>
              <w:t>（3）利息金额计算至分位，分以下尾数四舍五入</w:t>
            </w:r>
            <w:r>
              <w:rPr>
                <w:rFonts w:hint="eastAsia" w:ascii="黑体" w:hAnsi="黑体" w:eastAsia="黑体" w:cs="黑体"/>
                <w:color w:val="auto"/>
                <w:sz w:val="21"/>
                <w:szCs w:val="21"/>
                <w:highlight w:val="none"/>
                <w:lang w:eastAsia="zh-CN"/>
              </w:rPr>
              <w:t>。</w:t>
            </w:r>
          </w:p>
        </w:tc>
      </w:tr>
      <w:tr w14:paraId="18DCA8CE">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0AEBE932">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3.4.4</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3B66F069">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其他可以不予退还投标保证金的情形</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5DE36686">
            <w:pPr>
              <w:pStyle w:val="7"/>
              <w:shd w:val="clear" w:color="auto" w:fill="auto"/>
              <w:topLinePunct/>
              <w:spacing w:line="360" w:lineRule="atLeast"/>
              <w:rPr>
                <w:rFonts w:hint="eastAsia" w:ascii="黑体" w:hAnsi="黑体" w:eastAsia="黑体" w:cs="黑体"/>
                <w:color w:val="auto"/>
                <w:sz w:val="21"/>
                <w:szCs w:val="21"/>
                <w:highlight w:val="none"/>
                <w:u w:val="none"/>
                <w:lang w:val="en-US" w:eastAsia="zh-CN"/>
              </w:rPr>
            </w:pPr>
            <w:r>
              <w:rPr>
                <w:rFonts w:hint="eastAsia" w:ascii="黑体" w:hAnsi="黑体" w:eastAsia="黑体" w:cs="黑体"/>
                <w:color w:val="auto"/>
                <w:sz w:val="21"/>
                <w:szCs w:val="21"/>
                <w:highlight w:val="none"/>
                <w:u w:val="none"/>
                <w:lang w:val="en-US" w:eastAsia="zh-CN"/>
              </w:rPr>
              <w:t>（1）投标人在投标文件有效期内撤回其投标文件；</w:t>
            </w:r>
          </w:p>
          <w:p w14:paraId="22DF889E">
            <w:pPr>
              <w:pStyle w:val="7"/>
              <w:shd w:val="clear" w:color="auto" w:fill="auto"/>
              <w:topLinePunct/>
              <w:spacing w:line="360" w:lineRule="atLeast"/>
              <w:rPr>
                <w:rFonts w:hint="eastAsia" w:ascii="黑体" w:hAnsi="黑体" w:eastAsia="黑体" w:cs="黑体"/>
                <w:color w:val="auto"/>
                <w:sz w:val="21"/>
                <w:szCs w:val="21"/>
                <w:highlight w:val="none"/>
                <w:u w:val="none"/>
                <w:lang w:val="en-US" w:eastAsia="zh-CN"/>
              </w:rPr>
            </w:pPr>
            <w:r>
              <w:rPr>
                <w:rFonts w:hint="eastAsia" w:ascii="黑体" w:hAnsi="黑体" w:eastAsia="黑体" w:cs="黑体"/>
                <w:color w:val="auto"/>
                <w:sz w:val="21"/>
                <w:szCs w:val="21"/>
                <w:highlight w:val="none"/>
                <w:u w:val="none"/>
                <w:lang w:val="en-US" w:eastAsia="zh-CN"/>
              </w:rPr>
              <w:t>（2）中标人在收到中标通知书后，无正当理由不与招标人签订合同或未能按招标文件规定提交履约担保；</w:t>
            </w:r>
          </w:p>
          <w:p w14:paraId="0B376EC7">
            <w:pPr>
              <w:pStyle w:val="7"/>
              <w:shd w:val="clear" w:color="auto" w:fill="auto"/>
              <w:topLinePunct/>
              <w:spacing w:line="360" w:lineRule="atLeast"/>
              <w:rPr>
                <w:rFonts w:hint="eastAsia" w:ascii="黑体" w:hAnsi="黑体" w:eastAsia="黑体" w:cs="黑体"/>
                <w:color w:val="auto"/>
                <w:sz w:val="21"/>
                <w:szCs w:val="21"/>
                <w:highlight w:val="none"/>
                <w:u w:val="none"/>
                <w:lang w:val="en-US" w:eastAsia="zh-CN"/>
              </w:rPr>
            </w:pPr>
            <w:r>
              <w:rPr>
                <w:rFonts w:hint="eastAsia" w:ascii="黑体" w:hAnsi="黑体" w:eastAsia="黑体" w:cs="黑体"/>
                <w:color w:val="auto"/>
                <w:sz w:val="21"/>
                <w:szCs w:val="21"/>
                <w:highlight w:val="none"/>
                <w:u w:val="none"/>
                <w:lang w:val="en-US" w:eastAsia="zh-CN"/>
              </w:rPr>
              <w:t>（3）投标人不接受依据评标办法的规定对其投标文件中细微偏差进行澄清和补正；</w:t>
            </w:r>
          </w:p>
          <w:p w14:paraId="05FC477B">
            <w:pPr>
              <w:pStyle w:val="7"/>
              <w:shd w:val="clear" w:color="auto" w:fill="auto"/>
              <w:topLinePunct/>
              <w:spacing w:line="360" w:lineRule="atLeast"/>
              <w:rPr>
                <w:rFonts w:hint="eastAsia" w:ascii="黑体" w:hAnsi="黑体" w:eastAsia="黑体" w:cs="黑体"/>
                <w:color w:val="auto"/>
                <w:sz w:val="21"/>
                <w:szCs w:val="21"/>
                <w:highlight w:val="none"/>
                <w:u w:val="single"/>
                <w:lang w:val="en-US" w:eastAsia="zh-CN"/>
              </w:rPr>
            </w:pPr>
            <w:r>
              <w:rPr>
                <w:rFonts w:hint="eastAsia" w:ascii="黑体" w:hAnsi="黑体" w:eastAsia="黑体" w:cs="黑体"/>
                <w:color w:val="auto"/>
                <w:sz w:val="21"/>
                <w:szCs w:val="21"/>
                <w:highlight w:val="none"/>
                <w:u w:val="none"/>
                <w:lang w:val="en-US" w:eastAsia="zh-CN"/>
              </w:rPr>
              <w:t>（4）投标人以他人名义投标、与他人串通投标、以行贿手段谋取中标、弄虚作假等行为。</w:t>
            </w:r>
          </w:p>
        </w:tc>
      </w:tr>
      <w:tr w14:paraId="12948032">
        <w:tblPrEx>
          <w:tblCellMar>
            <w:top w:w="0" w:type="dxa"/>
            <w:left w:w="108" w:type="dxa"/>
            <w:bottom w:w="0" w:type="dxa"/>
            <w:right w:w="108" w:type="dxa"/>
          </w:tblCellMar>
        </w:tblPrEx>
        <w:trPr>
          <w:trHeight w:val="3014"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19F540CA">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3.5</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75C3AEA3">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资格审查资料</w:t>
            </w:r>
            <w:r>
              <w:rPr>
                <w:rFonts w:hint="eastAsia" w:ascii="黑体" w:hAnsi="黑体" w:eastAsia="黑体" w:cs="黑体"/>
                <w:color w:val="auto"/>
                <w:szCs w:val="21"/>
                <w:highlight w:val="none"/>
              </w:rPr>
              <w:t>的特殊要求</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0C81B7F2">
            <w:pPr>
              <w:rPr>
                <w:rStyle w:val="42"/>
                <w:rFonts w:hint="eastAsia" w:ascii="黑体" w:hAnsi="黑体" w:eastAsia="黑体" w:cs="黑体"/>
                <w:color w:val="auto"/>
                <w:kern w:val="0"/>
                <w:sz w:val="21"/>
                <w:szCs w:val="21"/>
                <w:highlight w:val="none"/>
                <w:lang w:val="zh-TW" w:eastAsia="zh-TW"/>
              </w:rPr>
            </w:pPr>
            <w:r>
              <w:rPr>
                <w:rStyle w:val="42"/>
                <w:rFonts w:hint="eastAsia" w:ascii="黑体" w:hAnsi="黑体" w:eastAsia="黑体" w:cs="黑体"/>
                <w:color w:val="auto"/>
                <w:kern w:val="0"/>
                <w:sz w:val="21"/>
                <w:szCs w:val="21"/>
                <w:highlight w:val="none"/>
                <w:lang w:val="zh-TW" w:eastAsia="zh-TW"/>
              </w:rPr>
              <w:t>□无</w:t>
            </w:r>
          </w:p>
          <w:p w14:paraId="5F9F2C44">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Style w:val="42"/>
                <w:rFonts w:hint="eastAsia" w:ascii="黑体" w:hAnsi="黑体" w:eastAsia="黑体" w:cs="黑体"/>
                <w:color w:val="auto"/>
                <w:kern w:val="0"/>
                <w:sz w:val="21"/>
                <w:szCs w:val="21"/>
                <w:highlight w:val="none"/>
                <w:lang w:val="zh-TW" w:eastAsia="zh-TW"/>
              </w:rPr>
            </w:pPr>
            <w:r>
              <w:rPr>
                <w:rStyle w:val="42"/>
                <w:rFonts w:hint="eastAsia" w:ascii="黑体" w:hAnsi="黑体" w:eastAsia="黑体" w:cs="黑体"/>
                <w:color w:val="auto"/>
                <w:kern w:val="0"/>
                <w:sz w:val="21"/>
                <w:szCs w:val="21"/>
                <w:highlight w:val="none"/>
                <w:lang w:val="zh-TW" w:eastAsia="zh-TW"/>
              </w:rPr>
              <w:t>■有</w:t>
            </w:r>
          </w:p>
          <w:p w14:paraId="057E25A7">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Style w:val="42"/>
                <w:rFonts w:hint="eastAsia" w:ascii="黑体" w:hAnsi="黑体" w:eastAsia="黑体" w:cs="黑体"/>
                <w:color w:val="auto"/>
                <w:kern w:val="0"/>
                <w:sz w:val="21"/>
                <w:szCs w:val="21"/>
                <w:highlight w:val="none"/>
              </w:rPr>
            </w:pPr>
            <w:r>
              <w:rPr>
                <w:rStyle w:val="42"/>
                <w:rFonts w:hint="eastAsia" w:ascii="黑体" w:hAnsi="黑体" w:eastAsia="黑体" w:cs="黑体"/>
                <w:color w:val="auto"/>
                <w:kern w:val="0"/>
                <w:sz w:val="21"/>
                <w:szCs w:val="21"/>
                <w:highlight w:val="none"/>
              </w:rPr>
              <w:t>1、“近年财务状况表”还应附审计报告正文；</w:t>
            </w:r>
          </w:p>
          <w:p w14:paraId="3E8E4F97">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Style w:val="42"/>
                <w:rFonts w:hint="eastAsia" w:ascii="黑体" w:hAnsi="黑体" w:eastAsia="黑体" w:cs="黑体"/>
                <w:color w:val="auto"/>
                <w:kern w:val="0"/>
                <w:sz w:val="21"/>
                <w:szCs w:val="21"/>
                <w:highlight w:val="none"/>
                <w:lang w:val="zh-TW" w:eastAsia="zh-TW"/>
              </w:rPr>
            </w:pPr>
            <w:r>
              <w:rPr>
                <w:rStyle w:val="42"/>
                <w:rFonts w:hint="eastAsia" w:ascii="黑体" w:hAnsi="黑体" w:eastAsia="黑体" w:cs="黑体"/>
                <w:color w:val="auto"/>
                <w:kern w:val="0"/>
                <w:sz w:val="21"/>
                <w:szCs w:val="21"/>
                <w:highlight w:val="none"/>
              </w:rPr>
              <w:t>2、</w:t>
            </w:r>
            <w:r>
              <w:rPr>
                <w:rStyle w:val="42"/>
                <w:rFonts w:hint="eastAsia" w:ascii="黑体" w:hAnsi="黑体" w:eastAsia="黑体" w:cs="黑体"/>
                <w:color w:val="auto"/>
                <w:kern w:val="0"/>
                <w:sz w:val="21"/>
                <w:szCs w:val="21"/>
                <w:highlight w:val="none"/>
                <w:lang w:val="zh-TW" w:eastAsia="zh-TW"/>
              </w:rPr>
              <w:t>建造师注册证书应提供“全国建筑市场监管公共服务平台（http://jzsc.mohurd.gov.cn/home）”中查询的网页截图；</w:t>
            </w:r>
          </w:p>
          <w:p w14:paraId="0E3E48B9">
            <w:pPr>
              <w:pStyle w:val="7"/>
              <w:shd w:val="clear" w:color="auto" w:fill="auto"/>
              <w:topLinePunct/>
              <w:spacing w:line="360" w:lineRule="atLeast"/>
              <w:rPr>
                <w:rFonts w:hint="eastAsia" w:ascii="黑体" w:hAnsi="黑体" w:eastAsia="黑体" w:cs="黑体"/>
                <w:color w:val="auto"/>
                <w:sz w:val="21"/>
                <w:szCs w:val="22"/>
                <w:highlight w:val="none"/>
              </w:rPr>
            </w:pPr>
            <w:r>
              <w:rPr>
                <w:rStyle w:val="42"/>
                <w:rFonts w:hint="eastAsia" w:ascii="黑体" w:hAnsi="黑体" w:eastAsia="黑体" w:cs="黑体"/>
                <w:b/>
                <w:bCs/>
                <w:color w:val="auto"/>
                <w:kern w:val="0"/>
                <w:sz w:val="21"/>
                <w:szCs w:val="21"/>
                <w:highlight w:val="none"/>
                <w:lang w:val="en-US" w:eastAsia="zh-CN"/>
              </w:rPr>
              <w:t>3</w:t>
            </w:r>
            <w:r>
              <w:rPr>
                <w:rStyle w:val="42"/>
                <w:rFonts w:hint="eastAsia" w:ascii="黑体" w:hAnsi="黑体" w:eastAsia="黑体" w:cs="黑体"/>
                <w:b/>
                <w:bCs/>
                <w:color w:val="auto"/>
                <w:kern w:val="0"/>
                <w:sz w:val="21"/>
                <w:szCs w:val="21"/>
                <w:highlight w:val="none"/>
                <w:lang w:val="zh-TW" w:eastAsia="zh-TW"/>
              </w:rPr>
              <w:t>、安全生产考核合格证书应提供</w:t>
            </w:r>
            <w:r>
              <w:rPr>
                <w:rStyle w:val="42"/>
                <w:rFonts w:hint="eastAsia" w:ascii="黑体" w:hAnsi="黑体" w:eastAsia="黑体" w:cs="黑体"/>
                <w:b/>
                <w:bCs/>
                <w:color w:val="auto"/>
                <w:kern w:val="0"/>
                <w:sz w:val="21"/>
                <w:szCs w:val="21"/>
                <w:highlight w:val="none"/>
                <w:lang w:val="zh-TW" w:eastAsia="zh-CN"/>
              </w:rPr>
              <w:t>“交通运输部公路水运工程施工企业安全生产管理人员信息公共查询平台”</w:t>
            </w:r>
            <w:r>
              <w:rPr>
                <w:rStyle w:val="42"/>
                <w:rFonts w:hint="eastAsia" w:ascii="黑体" w:hAnsi="黑体" w:eastAsia="黑体" w:cs="黑体"/>
                <w:b/>
                <w:bCs/>
                <w:color w:val="auto"/>
                <w:kern w:val="0"/>
                <w:sz w:val="21"/>
                <w:szCs w:val="21"/>
                <w:highlight w:val="none"/>
                <w:lang w:val="en-US" w:eastAsia="zh-CN"/>
              </w:rPr>
              <w:t>或“</w:t>
            </w:r>
            <w:r>
              <w:rPr>
                <w:rStyle w:val="42"/>
                <w:rFonts w:hint="eastAsia" w:ascii="黑体" w:hAnsi="黑体" w:eastAsia="黑体" w:cs="黑体"/>
                <w:b/>
                <w:bCs/>
                <w:color w:val="auto"/>
                <w:kern w:val="0"/>
                <w:sz w:val="21"/>
                <w:szCs w:val="21"/>
                <w:highlight w:val="none"/>
                <w:lang w:val="zh-TW" w:eastAsia="zh-TW"/>
              </w:rPr>
              <w:t>省级《交通运输工程施工单位安管人员安全生产考核管理系统信息公共查询平台》”中查询的网页截图</w:t>
            </w:r>
            <w:r>
              <w:rPr>
                <w:rStyle w:val="42"/>
                <w:rFonts w:hint="eastAsia" w:ascii="黑体" w:hAnsi="黑体" w:eastAsia="黑体" w:cs="黑体"/>
                <w:b/>
                <w:bCs/>
                <w:color w:val="auto"/>
                <w:kern w:val="0"/>
                <w:sz w:val="21"/>
                <w:szCs w:val="21"/>
                <w:highlight w:val="none"/>
                <w:lang w:val="en-US" w:eastAsia="zh-CN"/>
              </w:rPr>
              <w:t>及查询路径</w:t>
            </w:r>
            <w:r>
              <w:rPr>
                <w:rStyle w:val="42"/>
                <w:rFonts w:hint="eastAsia" w:ascii="黑体" w:hAnsi="黑体" w:eastAsia="黑体" w:cs="黑体"/>
                <w:b/>
                <w:bCs/>
                <w:color w:val="auto"/>
                <w:kern w:val="0"/>
                <w:sz w:val="21"/>
                <w:szCs w:val="21"/>
                <w:highlight w:val="none"/>
                <w:lang w:val="zh-TW" w:eastAsia="zh-TW"/>
              </w:rPr>
              <w:t>；</w:t>
            </w:r>
          </w:p>
        </w:tc>
      </w:tr>
      <w:tr w14:paraId="76067CA5">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048929FC">
            <w:pPr>
              <w:shd w:val="clear" w:color="auto" w:fill="auto"/>
              <w:spacing w:line="360" w:lineRule="atLeast"/>
              <w:jc w:val="center"/>
              <w:rPr>
                <w:rFonts w:hint="eastAsia" w:ascii="黑体" w:hAnsi="黑体" w:eastAsia="黑体" w:cs="黑体"/>
                <w:color w:val="auto"/>
                <w:highlight w:val="none"/>
              </w:rPr>
            </w:pPr>
            <w:r>
              <w:rPr>
                <w:rFonts w:hint="eastAsia" w:ascii="黑体" w:hAnsi="黑体" w:eastAsia="黑体" w:cs="黑体"/>
                <w:color w:val="auto"/>
                <w:szCs w:val="21"/>
                <w:highlight w:val="none"/>
              </w:rPr>
              <w:t>3.5.1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026D43C6">
            <w:pPr>
              <w:shd w:val="clear" w:color="auto" w:fill="auto"/>
              <w:spacing w:line="360" w:lineRule="atLeast"/>
              <w:jc w:val="center"/>
              <w:rPr>
                <w:rFonts w:hint="eastAsia" w:ascii="黑体" w:hAnsi="黑体" w:eastAsia="黑体" w:cs="黑体"/>
                <w:color w:val="auto"/>
                <w:highlight w:val="none"/>
              </w:rPr>
            </w:pPr>
            <w:r>
              <w:rPr>
                <w:rFonts w:hint="eastAsia" w:ascii="黑体" w:hAnsi="黑体" w:eastAsia="黑体" w:cs="黑体"/>
                <w:color w:val="auto"/>
                <w:highlight w:val="none"/>
                <w:lang w:val="en-US" w:eastAsia="zh-CN"/>
              </w:rPr>
              <w:t>资格审查资料</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65F9CEAC">
            <w:pPr>
              <w:shd w:val="clear" w:color="auto" w:fill="auto"/>
              <w:adjustRightInd w:val="0"/>
              <w:snapToGrid w:val="0"/>
              <w:spacing w:line="360" w:lineRule="exact"/>
              <w:ind w:firstLine="0" w:firstLineChars="0"/>
              <w:jc w:val="lef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本项修改为：</w:t>
            </w:r>
          </w:p>
          <w:p w14:paraId="44E2ABBF">
            <w:pPr>
              <w:shd w:val="clear" w:color="auto" w:fill="auto"/>
              <w:adjustRightInd w:val="0"/>
              <w:snapToGrid w:val="0"/>
              <w:spacing w:line="360" w:lineRule="exact"/>
              <w:ind w:firstLine="0" w:firstLineChars="0"/>
              <w:jc w:val="lef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1）“投标人基本情况表”应附企业法人营业执照、施工资质证书、安全生产许可证、基本存款账户证明的彩色扫描件，投标人在交通运输部“全国公路建设市场监督管理系统”公路工程施工资质企业名录中的网页截图复印件（如有），以及投标人在国家企业信用信息公示系统中基础信息（体现股东及出资详细信息）的网页截图。</w:t>
            </w:r>
          </w:p>
          <w:p w14:paraId="7F851011">
            <w:pPr>
              <w:shd w:val="clear" w:color="auto" w:fill="auto"/>
              <w:adjustRightInd w:val="0"/>
              <w:snapToGrid w:val="0"/>
              <w:spacing w:line="360" w:lineRule="exact"/>
              <w:ind w:firstLine="0" w:firstLineChars="0"/>
              <w:jc w:val="lef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企业法人营业执照副本和组织机构代码证副本、施工资质证书副本、安全生产许可证副本、基本存款账户证明，应包括投标人名称、投标人其他相关信息、颁发机构名称、投标人信息变更情况等关键页在内。</w:t>
            </w:r>
          </w:p>
          <w:p w14:paraId="6F30A86F">
            <w:pPr>
              <w:shd w:val="clear" w:color="auto" w:fill="auto"/>
              <w:adjustRightInd w:val="0"/>
              <w:snapToGrid w:val="0"/>
              <w:spacing w:line="360" w:lineRule="exact"/>
              <w:ind w:firstLine="0" w:firstLineChars="0"/>
              <w:jc w:val="lef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（2）主体信息库要求：</w:t>
            </w:r>
            <w:r>
              <w:rPr>
                <w:rFonts w:hint="eastAsia" w:ascii="黑体" w:hAnsi="黑体" w:eastAsia="黑体" w:cs="黑体"/>
                <w:color w:val="auto"/>
                <w:sz w:val="21"/>
                <w:szCs w:val="21"/>
                <w:highlight w:val="none"/>
                <w:u w:val="single"/>
                <w:lang w:val="en-US" w:eastAsia="zh-CN"/>
              </w:rPr>
              <w:t>投标人应自行在投标截止时前将原件电子版在投标人系统内投标人信息管理里上传提交平台系统</w:t>
            </w:r>
            <w:r>
              <w:rPr>
                <w:rFonts w:hint="eastAsia" w:ascii="黑体" w:hAnsi="黑体" w:eastAsia="黑体" w:cs="黑体"/>
                <w:color w:val="auto"/>
                <w:sz w:val="21"/>
                <w:szCs w:val="21"/>
                <w:highlight w:val="none"/>
                <w:lang w:val="en-US" w:eastAsia="zh-CN"/>
              </w:rPr>
              <w:t>。</w:t>
            </w:r>
          </w:p>
          <w:p w14:paraId="3EDDDB75">
            <w:pPr>
              <w:pStyle w:val="7"/>
              <w:shd w:val="clear" w:color="auto" w:fill="auto"/>
              <w:topLinePunct/>
              <w:adjustRightInd w:val="0"/>
              <w:snapToGrid w:val="0"/>
              <w:spacing w:line="360" w:lineRule="exact"/>
              <w:ind w:firstLine="0" w:firstLineChars="0"/>
              <w:jc w:val="left"/>
              <w:rPr>
                <w:rStyle w:val="42"/>
                <w:rFonts w:hint="eastAsia" w:ascii="黑体" w:hAnsi="黑体" w:eastAsia="黑体" w:cs="黑体"/>
                <w:b/>
                <w:bCs/>
                <w:color w:val="auto"/>
                <w:kern w:val="0"/>
                <w:sz w:val="21"/>
                <w:szCs w:val="21"/>
                <w:highlight w:val="none"/>
                <w:lang w:val="en-US" w:eastAsia="zh-CN"/>
              </w:rPr>
            </w:pPr>
            <w:r>
              <w:rPr>
                <w:rFonts w:hint="eastAsia" w:ascii="黑体" w:hAnsi="黑体" w:eastAsia="黑体" w:cs="黑体"/>
                <w:color w:val="auto"/>
                <w:sz w:val="21"/>
                <w:szCs w:val="21"/>
                <w:highlight w:val="none"/>
                <w:lang w:val="en-US" w:eastAsia="zh-CN"/>
              </w:rPr>
              <w:t>（3）其他要求：</w:t>
            </w:r>
            <w:r>
              <w:rPr>
                <w:rFonts w:hint="eastAsia" w:ascii="黑体" w:hAnsi="黑体" w:eastAsia="黑体" w:cs="黑体"/>
                <w:color w:val="auto"/>
                <w:sz w:val="21"/>
                <w:szCs w:val="21"/>
                <w:highlight w:val="none"/>
                <w:u w:val="single"/>
                <w:lang w:val="en-US" w:eastAsia="zh-CN"/>
              </w:rPr>
              <w:t xml:space="preserve">       /        </w:t>
            </w:r>
            <w:r>
              <w:rPr>
                <w:rFonts w:hint="eastAsia" w:ascii="黑体" w:hAnsi="黑体" w:eastAsia="黑体" w:cs="黑体"/>
                <w:color w:val="auto"/>
                <w:sz w:val="21"/>
                <w:szCs w:val="21"/>
                <w:highlight w:val="none"/>
                <w:lang w:val="en-US" w:eastAsia="zh-CN"/>
              </w:rPr>
              <w:t>。</w:t>
            </w:r>
          </w:p>
        </w:tc>
      </w:tr>
      <w:tr w14:paraId="7A84A1FE">
        <w:tblPrEx>
          <w:tblCellMar>
            <w:top w:w="0" w:type="dxa"/>
            <w:left w:w="108" w:type="dxa"/>
            <w:bottom w:w="0" w:type="dxa"/>
            <w:right w:w="108" w:type="dxa"/>
          </w:tblCellMar>
        </w:tblPrEx>
        <w:trPr>
          <w:trHeight w:val="412"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149A6B8C">
            <w:pPr>
              <w:spacing w:line="400" w:lineRule="exac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3.5.2</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20D0C4FF">
            <w:pPr>
              <w:spacing w:line="400" w:lineRule="exact"/>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lang w:val="en-US" w:eastAsia="zh-CN"/>
              </w:rPr>
              <w:t>资格审查资料</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45CC3AF2">
            <w:pPr>
              <w:pStyle w:val="7"/>
              <w:topLinePunct/>
              <w:adjustRightInd w:val="0"/>
              <w:snapToGrid w:val="0"/>
              <w:spacing w:line="360" w:lineRule="exact"/>
              <w:ind w:firstLine="0"/>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是否要求提供财务审计报告：</w:t>
            </w:r>
          </w:p>
          <w:p w14:paraId="6E05D951">
            <w:pPr>
              <w:pStyle w:val="7"/>
              <w:topLinePunct/>
              <w:adjustRightInd w:val="0"/>
              <w:snapToGrid w:val="0"/>
              <w:spacing w:line="360" w:lineRule="exact"/>
              <w:ind w:firstLine="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□无</w:t>
            </w:r>
          </w:p>
          <w:p w14:paraId="03FC7D74">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黑体" w:hAnsi="黑体" w:eastAsia="黑体" w:cs="黑体"/>
                <w:color w:val="auto"/>
                <w:sz w:val="21"/>
                <w:szCs w:val="21"/>
                <w:highlight w:val="none"/>
                <w:lang w:val="en-US" w:eastAsia="zh-CN"/>
              </w:rPr>
            </w:pPr>
            <w:r>
              <w:rPr>
                <w:rStyle w:val="42"/>
                <w:rFonts w:hint="eastAsia" w:ascii="黑体" w:hAnsi="黑体" w:eastAsia="黑体" w:cs="黑体"/>
                <w:color w:val="auto"/>
                <w:kern w:val="0"/>
                <w:sz w:val="21"/>
                <w:szCs w:val="21"/>
                <w:highlight w:val="none"/>
                <w:lang w:val="zh-TW" w:eastAsia="zh-TW"/>
              </w:rPr>
              <w:t>■有</w:t>
            </w:r>
            <w:r>
              <w:rPr>
                <w:rFonts w:hint="eastAsia" w:ascii="黑体" w:hAnsi="黑体" w:eastAsia="黑体" w:cs="黑体"/>
                <w:color w:val="auto"/>
                <w:sz w:val="21"/>
                <w:szCs w:val="21"/>
                <w:highlight w:val="none"/>
              </w:rPr>
              <w:t>，具体要求：</w:t>
            </w:r>
          </w:p>
          <w:p w14:paraId="5634C67A">
            <w:pPr>
              <w:pStyle w:val="7"/>
              <w:widowControl w:val="0"/>
              <w:numPr>
                <w:ilvl w:val="0"/>
                <w:numId w:val="0"/>
              </w:numPr>
              <w:topLinePunct/>
              <w:adjustRightInd w:val="0"/>
              <w:snapToGrid w:val="0"/>
              <w:spacing w:line="360" w:lineRule="exact"/>
              <w:jc w:val="both"/>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1）“财务状况表”应附经会计师事务所或审计机构审计的财务会计报表，包括审计报告正文、资产负债表、现金流量表、利润表的复印件，具体年份要求见投标人须知前附表。投标人的成立时间少于投标人须知前附表规定年份的，应提供成立以来的财务状况表。</w:t>
            </w:r>
          </w:p>
          <w:p w14:paraId="6971D19D">
            <w:pPr>
              <w:shd w:val="clear" w:color="auto" w:fill="auto"/>
              <w:adjustRightInd w:val="0"/>
              <w:snapToGrid w:val="0"/>
              <w:spacing w:line="360" w:lineRule="auto"/>
              <w:ind w:firstLine="0" w:firstLineChars="0"/>
              <w:jc w:val="lef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（2）主体信息库要求：</w:t>
            </w:r>
            <w:r>
              <w:rPr>
                <w:rFonts w:hint="eastAsia" w:ascii="黑体" w:hAnsi="黑体" w:eastAsia="黑体" w:cs="黑体"/>
                <w:color w:val="auto"/>
                <w:sz w:val="21"/>
                <w:szCs w:val="21"/>
                <w:highlight w:val="none"/>
                <w:u w:val="single"/>
                <w:lang w:val="en-US" w:eastAsia="zh-CN"/>
              </w:rPr>
              <w:t>投标人应自行在投标截止时前将原件电子版在投标人系统内投标人信息管理里上传提交平台系统</w:t>
            </w:r>
            <w:r>
              <w:rPr>
                <w:rFonts w:hint="eastAsia" w:ascii="黑体" w:hAnsi="黑体" w:eastAsia="黑体" w:cs="黑体"/>
                <w:color w:val="auto"/>
                <w:sz w:val="21"/>
                <w:szCs w:val="21"/>
                <w:highlight w:val="none"/>
                <w:lang w:val="en-US" w:eastAsia="zh-CN"/>
              </w:rPr>
              <w:t>。</w:t>
            </w:r>
          </w:p>
          <w:p w14:paraId="71CBB842">
            <w:pPr>
              <w:spacing w:line="360" w:lineRule="auto"/>
              <w:jc w:val="both"/>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lang w:val="en-US" w:eastAsia="zh-CN"/>
              </w:rPr>
              <w:t>（3）其他要求：</w:t>
            </w:r>
            <w:r>
              <w:rPr>
                <w:rFonts w:hint="eastAsia" w:ascii="黑体" w:hAnsi="黑体" w:eastAsia="黑体" w:cs="黑体"/>
                <w:color w:val="auto"/>
                <w:sz w:val="21"/>
                <w:szCs w:val="21"/>
                <w:highlight w:val="none"/>
                <w:u w:val="single"/>
                <w:lang w:val="en-US" w:eastAsia="zh-CN"/>
              </w:rPr>
              <w:t>近年财务状况的年份要求：</w:t>
            </w:r>
            <w:r>
              <w:rPr>
                <w:rFonts w:hint="eastAsia" w:ascii="黑体" w:hAnsi="黑体" w:eastAsia="黑体" w:cs="黑体"/>
                <w:color w:val="000000"/>
                <w:sz w:val="21"/>
                <w:szCs w:val="21"/>
                <w:highlight w:val="none"/>
                <w:u w:val="single"/>
                <w:lang w:eastAsia="zh-CN"/>
              </w:rPr>
              <w:t>近三年，20</w:t>
            </w:r>
            <w:r>
              <w:rPr>
                <w:rFonts w:hint="eastAsia" w:ascii="黑体" w:hAnsi="黑体" w:eastAsia="黑体" w:cs="黑体"/>
                <w:color w:val="000000"/>
                <w:sz w:val="21"/>
                <w:szCs w:val="21"/>
                <w:highlight w:val="none"/>
                <w:u w:val="single"/>
                <w:lang w:val="en-US" w:eastAsia="zh-CN"/>
              </w:rPr>
              <w:t>23</w:t>
            </w:r>
            <w:r>
              <w:rPr>
                <w:rFonts w:hint="eastAsia" w:ascii="黑体" w:hAnsi="黑体" w:eastAsia="黑体" w:cs="黑体"/>
                <w:color w:val="000000"/>
                <w:sz w:val="21"/>
                <w:szCs w:val="21"/>
                <w:highlight w:val="none"/>
                <w:u w:val="single"/>
                <w:lang w:val="zh-TW" w:eastAsia="zh-CN"/>
              </w:rPr>
              <w:t>年至</w:t>
            </w:r>
            <w:r>
              <w:rPr>
                <w:rFonts w:hint="eastAsia" w:ascii="黑体" w:hAnsi="黑体" w:eastAsia="黑体" w:cs="黑体"/>
                <w:color w:val="000000"/>
                <w:sz w:val="21"/>
                <w:szCs w:val="21"/>
                <w:highlight w:val="none"/>
                <w:u w:val="single"/>
                <w:lang w:eastAsia="zh-CN"/>
              </w:rPr>
              <w:t>202</w:t>
            </w:r>
            <w:r>
              <w:rPr>
                <w:rFonts w:hint="eastAsia" w:ascii="黑体" w:hAnsi="黑体" w:eastAsia="黑体" w:cs="黑体"/>
                <w:color w:val="000000"/>
                <w:sz w:val="21"/>
                <w:szCs w:val="21"/>
                <w:highlight w:val="none"/>
                <w:u w:val="single"/>
                <w:lang w:val="en-US" w:eastAsia="zh-CN"/>
              </w:rPr>
              <w:t>5</w:t>
            </w:r>
            <w:r>
              <w:rPr>
                <w:rFonts w:hint="eastAsia" w:ascii="黑体" w:hAnsi="黑体" w:eastAsia="黑体" w:cs="黑体"/>
                <w:color w:val="000000"/>
                <w:sz w:val="21"/>
                <w:szCs w:val="21"/>
                <w:highlight w:val="none"/>
                <w:u w:val="single"/>
                <w:lang w:val="zh-TW" w:eastAsia="zh-CN"/>
              </w:rPr>
              <w:t>年，</w:t>
            </w:r>
            <w:r>
              <w:rPr>
                <w:rFonts w:hint="eastAsia" w:ascii="黑体" w:hAnsi="黑体" w:eastAsia="黑体" w:cs="黑体"/>
                <w:color w:val="000000"/>
                <w:sz w:val="21"/>
                <w:szCs w:val="21"/>
                <w:highlight w:val="none"/>
                <w:u w:val="single"/>
                <w:lang w:eastAsia="zh-CN"/>
              </w:rPr>
              <w:t>若202</w:t>
            </w:r>
            <w:r>
              <w:rPr>
                <w:rFonts w:hint="eastAsia" w:ascii="黑体" w:hAnsi="黑体" w:eastAsia="黑体" w:cs="黑体"/>
                <w:color w:val="000000"/>
                <w:sz w:val="21"/>
                <w:szCs w:val="21"/>
                <w:highlight w:val="none"/>
                <w:u w:val="single"/>
                <w:lang w:val="en-US" w:eastAsia="zh-CN"/>
              </w:rPr>
              <w:t>5</w:t>
            </w:r>
            <w:r>
              <w:rPr>
                <w:rFonts w:hint="eastAsia" w:ascii="黑体" w:hAnsi="黑体" w:eastAsia="黑体" w:cs="黑体"/>
                <w:color w:val="000000"/>
                <w:sz w:val="21"/>
                <w:szCs w:val="21"/>
                <w:highlight w:val="none"/>
                <w:u w:val="single"/>
                <w:lang w:eastAsia="zh-CN"/>
              </w:rPr>
              <w:t>年财务审计报告尚未生成，可提供20</w:t>
            </w:r>
            <w:r>
              <w:rPr>
                <w:rFonts w:hint="eastAsia" w:ascii="黑体" w:hAnsi="黑体" w:eastAsia="黑体" w:cs="黑体"/>
                <w:color w:val="000000"/>
                <w:sz w:val="21"/>
                <w:szCs w:val="21"/>
                <w:highlight w:val="none"/>
                <w:u w:val="single"/>
                <w:lang w:val="en-US" w:eastAsia="zh-CN"/>
              </w:rPr>
              <w:t>22</w:t>
            </w:r>
            <w:r>
              <w:rPr>
                <w:rFonts w:hint="eastAsia" w:ascii="黑体" w:hAnsi="黑体" w:eastAsia="黑体" w:cs="黑体"/>
                <w:color w:val="000000"/>
                <w:sz w:val="21"/>
                <w:szCs w:val="21"/>
                <w:highlight w:val="none"/>
                <w:u w:val="single"/>
                <w:lang w:eastAsia="zh-CN"/>
              </w:rPr>
              <w:t>年至20</w:t>
            </w:r>
            <w:r>
              <w:rPr>
                <w:rFonts w:hint="eastAsia" w:ascii="黑体" w:hAnsi="黑体" w:eastAsia="黑体" w:cs="黑体"/>
                <w:color w:val="000000"/>
                <w:sz w:val="21"/>
                <w:szCs w:val="21"/>
                <w:highlight w:val="none"/>
                <w:u w:val="single"/>
                <w:lang w:val="en-US" w:eastAsia="zh-CN"/>
              </w:rPr>
              <w:t>24</w:t>
            </w:r>
            <w:r>
              <w:rPr>
                <w:rFonts w:hint="eastAsia" w:ascii="黑体" w:hAnsi="黑体" w:eastAsia="黑体" w:cs="黑体"/>
                <w:color w:val="000000"/>
                <w:sz w:val="21"/>
                <w:szCs w:val="21"/>
                <w:highlight w:val="none"/>
                <w:u w:val="single"/>
                <w:lang w:eastAsia="zh-CN"/>
              </w:rPr>
              <w:t>年财务审计报告，成立时间不足三年的投标人，提供自成立以来的财务审计报告</w:t>
            </w:r>
            <w:r>
              <w:rPr>
                <w:rFonts w:hint="eastAsia" w:ascii="黑体" w:hAnsi="黑体" w:eastAsia="黑体" w:cs="黑体"/>
                <w:color w:val="000000"/>
                <w:sz w:val="21"/>
                <w:szCs w:val="21"/>
                <w:highlight w:val="none"/>
                <w:lang w:eastAsia="zh-CN"/>
              </w:rPr>
              <w:t>。</w:t>
            </w:r>
          </w:p>
        </w:tc>
      </w:tr>
      <w:tr w14:paraId="166DAE2A">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6E868ED5">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3.5.3</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327B398F">
            <w:pPr>
              <w:spacing w:line="400" w:lineRule="exact"/>
              <w:jc w:val="center"/>
              <w:rPr>
                <w:rFonts w:hint="eastAsia" w:ascii="黑体" w:hAnsi="黑体" w:eastAsia="黑体" w:cs="黑体"/>
                <w:color w:val="auto"/>
                <w:highlight w:val="none"/>
              </w:rPr>
            </w:pPr>
            <w:r>
              <w:rPr>
                <w:rFonts w:hint="eastAsia" w:ascii="黑体" w:hAnsi="黑体" w:eastAsia="黑体" w:cs="黑体"/>
                <w:color w:val="auto"/>
                <w:highlight w:val="none"/>
                <w:lang w:val="en-US" w:eastAsia="zh-CN"/>
              </w:rPr>
              <w:t>资格审查资料</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48B29E1B">
            <w:pPr>
              <w:spacing w:line="360" w:lineRule="auto"/>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本项修改为：</w:t>
            </w:r>
          </w:p>
          <w:p w14:paraId="69770A17">
            <w:pPr>
              <w:spacing w:line="360" w:lineRule="auto"/>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（1）“近年完成的类似项目”应是已列入交通运输部“全国公路建设市场监督管理系统”并公开的主包已建业绩或分包已建业绩，具体时间要求见投标人须知前附表。</w:t>
            </w:r>
          </w:p>
          <w:p w14:paraId="5AA6B204">
            <w:pPr>
              <w:spacing w:line="360" w:lineRule="auto"/>
              <w:ind w:firstLine="420" w:firstLineChars="200"/>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近年完成的类似项目情况表”应附在交通运输部“全国公路建设市场监督管理系统”（网址：https://hwdms.mot.gov.cn）中查询到的企业“业绩信息”相关项目网页截图复印件，即包括“项目名称”“标段类型”“合同价”“主要工程量”“项目主要管理人员”等栏目在内的项目详细信息网页截图复印件。在交通运输部“全国公路建设市场监督管理系统”中无法查询，但可在企业所在地或项目所在地省级交通运输主管部门“公路建设市场监督管理系统”中查询的，应附省级交通运输主管部门“公路建设市场监督管理系统”中查询到的网页截图复印件。除网页截图复印件外，投标人无须再提供任何业绩证明材料。</w:t>
            </w:r>
          </w:p>
          <w:p w14:paraId="74E4BA47">
            <w:pPr>
              <w:spacing w:line="360" w:lineRule="auto"/>
              <w:ind w:firstLine="420" w:firstLineChars="200"/>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如投标人未提供相关项目网页截图复印件或相关项目网页截图中的信息无法证实投标人满足招标文件规定的资格审查条件（业绩最低要求），则该项目业绩不予认定。</w:t>
            </w:r>
          </w:p>
          <w:p w14:paraId="78B10305">
            <w:pPr>
              <w:shd w:val="clear" w:color="auto" w:fill="auto"/>
              <w:adjustRightInd w:val="0"/>
              <w:snapToGrid w:val="0"/>
              <w:spacing w:line="360" w:lineRule="auto"/>
              <w:ind w:firstLine="0" w:firstLineChars="0"/>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（2）主体信息库要求：</w:t>
            </w:r>
            <w:r>
              <w:rPr>
                <w:rFonts w:hint="eastAsia" w:ascii="黑体" w:hAnsi="黑体" w:eastAsia="黑体" w:cs="黑体"/>
                <w:color w:val="auto"/>
                <w:sz w:val="21"/>
                <w:szCs w:val="21"/>
                <w:highlight w:val="none"/>
                <w:u w:val="single"/>
                <w:lang w:val="en-US" w:eastAsia="zh-CN"/>
              </w:rPr>
              <w:t>投标人应自行在投标截止时前将原件电子版在投标人系统内投标人信息管理里上传提交平台系统</w:t>
            </w:r>
            <w:r>
              <w:rPr>
                <w:rFonts w:hint="eastAsia" w:ascii="黑体" w:hAnsi="黑体" w:eastAsia="黑体" w:cs="黑体"/>
                <w:color w:val="auto"/>
                <w:sz w:val="21"/>
                <w:szCs w:val="21"/>
                <w:highlight w:val="none"/>
                <w:lang w:val="en-US" w:eastAsia="zh-CN"/>
              </w:rPr>
              <w:t>。</w:t>
            </w:r>
          </w:p>
          <w:p w14:paraId="0F2BBD94">
            <w:pPr>
              <w:spacing w:line="360" w:lineRule="auto"/>
              <w:rPr>
                <w:rFonts w:hint="eastAsia" w:ascii="黑体" w:hAnsi="黑体" w:eastAsia="黑体" w:cs="黑体"/>
                <w:color w:val="auto"/>
                <w:szCs w:val="21"/>
                <w:highlight w:val="none"/>
                <w:u w:val="single"/>
              </w:rPr>
            </w:pPr>
            <w:r>
              <w:rPr>
                <w:rFonts w:hint="eastAsia" w:ascii="黑体" w:hAnsi="黑体" w:eastAsia="黑体" w:cs="黑体"/>
                <w:color w:val="auto"/>
                <w:sz w:val="21"/>
                <w:szCs w:val="21"/>
                <w:highlight w:val="none"/>
                <w:lang w:val="en-US" w:eastAsia="zh-CN"/>
              </w:rPr>
              <w:t>（3）其他要求：</w:t>
            </w:r>
            <w:r>
              <w:rPr>
                <w:rFonts w:hint="eastAsia" w:ascii="黑体" w:hAnsi="黑体" w:eastAsia="黑体" w:cs="黑体"/>
                <w:color w:val="auto"/>
                <w:sz w:val="21"/>
                <w:szCs w:val="21"/>
                <w:highlight w:val="none"/>
                <w:u w:val="single"/>
                <w:lang w:val="en-US" w:eastAsia="zh-CN"/>
              </w:rPr>
              <w:t>近年完成的类似项目情况的时间要求：</w:t>
            </w:r>
            <w:r>
              <w:rPr>
                <w:rFonts w:hint="eastAsia" w:ascii="黑体" w:hAnsi="黑体" w:eastAsia="黑体" w:cs="黑体"/>
                <w:color w:val="auto"/>
                <w:szCs w:val="21"/>
                <w:highlight w:val="none"/>
                <w:u w:val="single"/>
                <w:lang w:val="en-US" w:eastAsia="zh-CN"/>
              </w:rPr>
              <w:t>近5年，</w:t>
            </w:r>
            <w:r>
              <w:rPr>
                <w:rFonts w:hint="eastAsia" w:ascii="黑体" w:hAnsi="黑体" w:eastAsia="黑体" w:cs="黑体"/>
                <w:color w:val="auto"/>
                <w:szCs w:val="21"/>
                <w:highlight w:val="none"/>
                <w:u w:val="single"/>
                <w:lang w:eastAsia="zh-CN"/>
              </w:rPr>
              <w:t>20</w:t>
            </w:r>
            <w:r>
              <w:rPr>
                <w:rFonts w:hint="eastAsia" w:ascii="黑体" w:hAnsi="黑体" w:eastAsia="黑体" w:cs="黑体"/>
                <w:color w:val="auto"/>
                <w:szCs w:val="21"/>
                <w:highlight w:val="none"/>
                <w:u w:val="single"/>
                <w:lang w:val="en-US" w:eastAsia="zh-CN"/>
              </w:rPr>
              <w:t>21</w:t>
            </w:r>
            <w:r>
              <w:rPr>
                <w:rFonts w:hint="eastAsia" w:ascii="黑体" w:hAnsi="黑体" w:eastAsia="黑体" w:cs="黑体"/>
                <w:color w:val="auto"/>
                <w:szCs w:val="21"/>
                <w:highlight w:val="none"/>
                <w:u w:val="single"/>
                <w:lang w:eastAsia="zh-CN"/>
              </w:rPr>
              <w:t>年</w:t>
            </w:r>
            <w:r>
              <w:rPr>
                <w:rFonts w:hint="eastAsia" w:ascii="黑体" w:hAnsi="黑体" w:eastAsia="黑体" w:cs="黑体"/>
                <w:color w:val="auto"/>
                <w:szCs w:val="21"/>
                <w:highlight w:val="none"/>
                <w:u w:val="single"/>
                <w:lang w:val="en-US" w:eastAsia="zh-CN"/>
              </w:rPr>
              <w:t>1</w:t>
            </w:r>
            <w:r>
              <w:rPr>
                <w:rFonts w:hint="eastAsia" w:ascii="黑体" w:hAnsi="黑体" w:eastAsia="黑体" w:cs="黑体"/>
                <w:color w:val="auto"/>
                <w:szCs w:val="21"/>
                <w:highlight w:val="none"/>
                <w:u w:val="single"/>
                <w:lang w:eastAsia="zh-CN"/>
              </w:rPr>
              <w:t>月</w:t>
            </w:r>
            <w:r>
              <w:rPr>
                <w:rFonts w:hint="eastAsia" w:ascii="黑体" w:hAnsi="黑体" w:eastAsia="黑体" w:cs="黑体"/>
                <w:color w:val="auto"/>
                <w:szCs w:val="21"/>
                <w:highlight w:val="none"/>
                <w:u w:val="single"/>
                <w:lang w:val="en-US" w:eastAsia="zh-CN"/>
              </w:rPr>
              <w:t>1日</w:t>
            </w:r>
            <w:r>
              <w:rPr>
                <w:rFonts w:hint="eastAsia" w:ascii="黑体" w:hAnsi="黑体" w:eastAsia="黑体" w:cs="黑体"/>
                <w:color w:val="auto"/>
                <w:szCs w:val="21"/>
                <w:highlight w:val="none"/>
                <w:u w:val="single"/>
                <w:lang w:eastAsia="zh-CN"/>
              </w:rPr>
              <w:t>至投标截止日</w:t>
            </w:r>
            <w:r>
              <w:rPr>
                <w:rFonts w:hint="eastAsia" w:ascii="黑体" w:hAnsi="黑体" w:eastAsia="黑体" w:cs="黑体"/>
                <w:b/>
                <w:bCs/>
                <w:color w:val="auto"/>
                <w:szCs w:val="21"/>
                <w:highlight w:val="none"/>
                <w:u w:val="single"/>
                <w:lang w:eastAsia="zh-CN"/>
              </w:rPr>
              <w:t>（</w:t>
            </w:r>
            <w:r>
              <w:rPr>
                <w:rFonts w:hint="eastAsia" w:ascii="黑体" w:hAnsi="黑体" w:eastAsia="黑体" w:cs="黑体"/>
                <w:b/>
                <w:bCs/>
                <w:color w:val="auto"/>
                <w:szCs w:val="21"/>
                <w:highlight w:val="none"/>
                <w:u w:val="single"/>
                <w:lang w:val="en-US" w:eastAsia="zh-CN"/>
              </w:rPr>
              <w:t>以交（或竣）工验收时间为准）</w:t>
            </w:r>
            <w:r>
              <w:rPr>
                <w:rFonts w:hint="eastAsia" w:ascii="黑体" w:hAnsi="黑体" w:eastAsia="黑体" w:cs="黑体"/>
                <w:color w:val="auto"/>
                <w:sz w:val="21"/>
                <w:szCs w:val="21"/>
                <w:highlight w:val="none"/>
                <w:lang w:val="en-US" w:eastAsia="zh-CN"/>
              </w:rPr>
              <w:t>。</w:t>
            </w:r>
          </w:p>
        </w:tc>
      </w:tr>
      <w:tr w14:paraId="17BD70E2">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4823EE8A">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 w:val="21"/>
                <w:szCs w:val="21"/>
                <w:highlight w:val="none"/>
              </w:rPr>
              <w:t>3.5.4</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34566E4E">
            <w:pPr>
              <w:shd w:val="clear" w:color="auto" w:fill="auto"/>
              <w:spacing w:line="360" w:lineRule="atLeast"/>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lang w:val="en-US" w:eastAsia="zh-CN"/>
              </w:rPr>
              <w:t>资格审查资料</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2C769170">
            <w:pPr>
              <w:keepNext w:val="0"/>
              <w:keepLines w:val="0"/>
              <w:pageBreakBefore w:val="0"/>
              <w:suppressLineNumbers w:val="0"/>
              <w:shd w:val="clear" w:color="auto" w:fill="auto"/>
              <w:kinsoku/>
              <w:wordWrap w:val="0"/>
              <w:overflowPunct/>
              <w:autoSpaceDE/>
              <w:autoSpaceDN/>
              <w:bidi w:val="0"/>
              <w:adjustRightInd w:val="0"/>
              <w:snapToGrid w:val="0"/>
              <w:spacing w:before="0" w:beforeAutospacing="0" w:after="0" w:afterAutospacing="0" w:line="360" w:lineRule="exact"/>
              <w:ind w:left="0" w:right="0" w:firstLine="0" w:firstLineChars="0"/>
              <w:textAlignment w:val="auto"/>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本项修改为：</w:t>
            </w:r>
          </w:p>
          <w:p w14:paraId="062FE524">
            <w:pPr>
              <w:keepNext w:val="0"/>
              <w:keepLines w:val="0"/>
              <w:pageBreakBefore w:val="0"/>
              <w:suppressLineNumbers w:val="0"/>
              <w:shd w:val="clear" w:color="auto" w:fill="auto"/>
              <w:kinsoku/>
              <w:wordWrap w:val="0"/>
              <w:overflowPunct/>
              <w:autoSpaceDE/>
              <w:autoSpaceDN/>
              <w:bidi w:val="0"/>
              <w:adjustRightInd w:val="0"/>
              <w:snapToGrid w:val="0"/>
              <w:spacing w:before="0" w:beforeAutospacing="0" w:after="0" w:afterAutospacing="0" w:line="360" w:lineRule="exact"/>
              <w:ind w:left="0" w:right="0" w:firstLine="0" w:firstLineChars="0"/>
              <w:textAlignment w:val="auto"/>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（1）</w:t>
            </w:r>
            <w:r>
              <w:rPr>
                <w:rFonts w:hint="eastAsia" w:ascii="黑体" w:hAnsi="黑体" w:eastAsia="黑体" w:cs="黑体"/>
                <w:color w:val="auto"/>
                <w:sz w:val="21"/>
                <w:szCs w:val="21"/>
                <w:highlight w:val="none"/>
              </w:rPr>
              <w:t>“投标人的信誉情况表”应附投标人在“国家企业信用信息公示”系统中未被列入严重违法失信企业名单的网页截图复印件、在“信用中国”网站中未被</w:t>
            </w:r>
            <w:r>
              <w:rPr>
                <w:rFonts w:hint="eastAsia" w:ascii="黑体" w:hAnsi="黑体" w:eastAsia="黑体" w:cs="黑体"/>
                <w:color w:val="auto"/>
                <w:sz w:val="21"/>
                <w:szCs w:val="21"/>
                <w:highlight w:val="none"/>
                <w:lang w:val="en-US" w:eastAsia="zh-CN"/>
              </w:rPr>
              <w:t>记录严重</w:t>
            </w:r>
            <w:r>
              <w:rPr>
                <w:rFonts w:hint="eastAsia" w:ascii="黑体" w:hAnsi="黑体" w:eastAsia="黑体" w:cs="黑体"/>
                <w:color w:val="auto"/>
                <w:sz w:val="21"/>
                <w:szCs w:val="21"/>
                <w:highlight w:val="none"/>
              </w:rPr>
              <w:t>失信的</w:t>
            </w:r>
            <w:r>
              <w:rPr>
                <w:rFonts w:hint="eastAsia" w:ascii="黑体" w:hAnsi="黑体" w:eastAsia="黑体" w:cs="黑体"/>
                <w:b/>
                <w:bCs/>
                <w:color w:val="auto"/>
                <w:sz w:val="21"/>
                <w:szCs w:val="21"/>
                <w:highlight w:val="none"/>
                <w:lang w:val="en-US" w:eastAsia="zh-CN"/>
              </w:rPr>
              <w:t>信用信息报告</w:t>
            </w:r>
            <w:r>
              <w:rPr>
                <w:rFonts w:hint="eastAsia" w:ascii="黑体" w:hAnsi="黑体" w:eastAsia="黑体" w:cs="黑体"/>
                <w:color w:val="auto"/>
                <w:sz w:val="21"/>
                <w:szCs w:val="21"/>
                <w:highlight w:val="none"/>
                <w:lang w:val="en-US" w:eastAsia="zh-CN"/>
              </w:rPr>
              <w:t>、在“中国执行信息公开网”网站中未被列入失信被执行人名单的网页截图复印件以及</w:t>
            </w:r>
            <w:r>
              <w:rPr>
                <w:rFonts w:hint="eastAsia" w:ascii="黑体" w:hAnsi="黑体" w:eastAsia="黑体" w:cs="黑体"/>
                <w:b/>
                <w:bCs/>
                <w:color w:val="auto"/>
                <w:sz w:val="21"/>
                <w:szCs w:val="21"/>
                <w:highlight w:val="none"/>
                <w:lang w:val="en-US" w:eastAsia="zh-CN"/>
              </w:rPr>
              <w:t>投标人提供的承诺投标人及其法定代表人、拟委任的项目经理在近三年内无行贿犯罪行为的书面承诺书的彩色扫描件（承诺书格式自拟，但应加盖单位公章）</w:t>
            </w:r>
            <w:r>
              <w:rPr>
                <w:rFonts w:hint="eastAsia" w:ascii="黑体" w:hAnsi="黑体" w:eastAsia="黑体" w:cs="黑体"/>
                <w:color w:val="auto"/>
                <w:sz w:val="21"/>
                <w:szCs w:val="21"/>
                <w:highlight w:val="none"/>
                <w:lang w:val="en-US" w:eastAsia="zh-CN"/>
              </w:rPr>
              <w:t>。</w:t>
            </w:r>
          </w:p>
          <w:p w14:paraId="2369BFEA">
            <w:pPr>
              <w:shd w:val="clear" w:color="auto" w:fill="auto"/>
              <w:adjustRightInd w:val="0"/>
              <w:snapToGrid w:val="0"/>
              <w:spacing w:line="360" w:lineRule="exact"/>
              <w:ind w:firstLine="0" w:firstLineChars="0"/>
              <w:jc w:val="lef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（2）主体信息库要求：</w:t>
            </w:r>
            <w:r>
              <w:rPr>
                <w:rFonts w:hint="eastAsia" w:ascii="黑体" w:hAnsi="黑体" w:eastAsia="黑体" w:cs="黑体"/>
                <w:color w:val="auto"/>
                <w:sz w:val="21"/>
                <w:szCs w:val="21"/>
                <w:highlight w:val="none"/>
                <w:u w:val="single"/>
                <w:lang w:val="en-US" w:eastAsia="zh-CN"/>
              </w:rPr>
              <w:t>投标人应自行在投标截止时前将原件电子版在投标人系统内投标人信息管理里上传提交平台系统</w:t>
            </w:r>
            <w:r>
              <w:rPr>
                <w:rFonts w:hint="eastAsia" w:ascii="黑体" w:hAnsi="黑体" w:eastAsia="黑体" w:cs="黑体"/>
                <w:color w:val="auto"/>
                <w:sz w:val="21"/>
                <w:szCs w:val="21"/>
                <w:highlight w:val="none"/>
                <w:lang w:val="en-US" w:eastAsia="zh-CN"/>
              </w:rPr>
              <w:t>。</w:t>
            </w:r>
          </w:p>
          <w:p w14:paraId="11947E94">
            <w:pPr>
              <w:pStyle w:val="7"/>
              <w:shd w:val="clear" w:color="auto" w:fill="auto"/>
              <w:topLinePunct/>
              <w:adjustRightInd w:val="0"/>
              <w:snapToGrid w:val="0"/>
              <w:spacing w:line="360" w:lineRule="exact"/>
              <w:ind w:firstLine="0" w:firstLineChars="0"/>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（3）其他要求：</w:t>
            </w:r>
            <w:r>
              <w:rPr>
                <w:rFonts w:hint="eastAsia" w:ascii="黑体" w:hAnsi="黑体" w:eastAsia="黑体" w:cs="黑体"/>
                <w:color w:val="auto"/>
                <w:sz w:val="21"/>
                <w:szCs w:val="21"/>
                <w:highlight w:val="none"/>
                <w:u w:val="single"/>
                <w:lang w:val="en-US" w:eastAsia="zh-CN"/>
              </w:rPr>
              <w:t xml:space="preserve">       /        </w:t>
            </w:r>
            <w:r>
              <w:rPr>
                <w:rFonts w:hint="eastAsia" w:ascii="黑体" w:hAnsi="黑体" w:eastAsia="黑体" w:cs="黑体"/>
                <w:color w:val="auto"/>
                <w:sz w:val="21"/>
                <w:szCs w:val="21"/>
                <w:highlight w:val="none"/>
                <w:lang w:val="en-US" w:eastAsia="zh-CN"/>
              </w:rPr>
              <w:t>。</w:t>
            </w:r>
          </w:p>
        </w:tc>
      </w:tr>
      <w:tr w14:paraId="3FCA9908">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142FA4F8">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 w:val="21"/>
                <w:szCs w:val="21"/>
                <w:highlight w:val="none"/>
                <w:lang w:val="en-US" w:eastAsia="zh-CN"/>
              </w:rPr>
              <w:t>3.5.5</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5D553B4A">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lang w:val="en-US" w:eastAsia="zh-CN"/>
              </w:rPr>
              <w:t>资格审查资料</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7A70214B">
            <w:pPr>
              <w:spacing w:line="360" w:lineRule="auto"/>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1）“拟委任的项目经理和项目总工资历表”应附项目经理和项目总工的身份证、职称资格证书以及资格审查条件所要求的其他相关证书的扫描件，建造师注册证书（如有）、安全生产考核合格证书（如有）在政府相关部门网站上公开信息的网页截图，</w:t>
            </w:r>
            <w:r>
              <w:rPr>
                <w:rFonts w:hint="eastAsia" w:ascii="黑体" w:hAnsi="黑体" w:eastAsia="黑体" w:cs="黑体"/>
                <w:color w:val="auto"/>
                <w:szCs w:val="21"/>
                <w:highlight w:val="none"/>
              </w:rPr>
              <w:t>以及投标人所属社保机构出具的拟委任的项目经理和项目总工的社保缴费证明或其他能够证明拟委任的项目经理和项目总工参加社保的有效证明材料复印件。</w:t>
            </w:r>
          </w:p>
          <w:p w14:paraId="78B77EA1">
            <w:pPr>
              <w:shd w:val="clear" w:color="auto" w:fill="auto"/>
              <w:adjustRightInd w:val="0"/>
              <w:snapToGrid w:val="0"/>
              <w:spacing w:line="360" w:lineRule="exact"/>
              <w:ind w:firstLine="0" w:firstLineChars="0"/>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拟委任的项目经理和项目总工资历表”还应附交通运输部“全国公路建设市场监督管理系统”中载明的、能够证明项目经理和项目总工具有相关业绩的网页截图。在交通运输部“全国公路建设市场监督管理系统”中无法查询，但可在企业所在地或项目所在地省级交通运输主管部门“公路建设市场监督管理系统”中查询的，应附省级交通运输主管部门“公路建设市场监督管理系统”中查询到的网页截图复印件。除网页截图复印件外，投标人无须再提供任何业绩证明材料。如投标人未提供相关业绩网页截图或相关业绩网页截图中的信息无法证实投标人满足招标文件规定的资格审查条件或评标办法，则该业绩不予认定。</w:t>
            </w:r>
          </w:p>
          <w:p w14:paraId="016F3B42">
            <w:pPr>
              <w:shd w:val="clear" w:color="auto" w:fill="auto"/>
              <w:adjustRightInd w:val="0"/>
              <w:snapToGrid w:val="0"/>
              <w:spacing w:line="360" w:lineRule="exact"/>
              <w:ind w:firstLine="0" w:firstLineChars="0"/>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（2）</w:t>
            </w:r>
            <w:r>
              <w:rPr>
                <w:rFonts w:hint="eastAsia" w:ascii="黑体" w:hAnsi="黑体" w:eastAsia="黑体" w:cs="黑体"/>
                <w:color w:val="auto"/>
                <w:sz w:val="21"/>
                <w:szCs w:val="21"/>
                <w:highlight w:val="none"/>
              </w:rPr>
              <w:t>如项目经理或项目总工目前仍在其他项目上任职，则投标人应提供承诺上述人员能够从该项目撤离的书面</w:t>
            </w:r>
            <w:r>
              <w:rPr>
                <w:rFonts w:hint="eastAsia" w:ascii="黑体" w:hAnsi="黑体" w:eastAsia="黑体" w:cs="黑体"/>
                <w:color w:val="auto"/>
                <w:sz w:val="21"/>
                <w:szCs w:val="21"/>
                <w:highlight w:val="none"/>
                <w:lang w:val="en-US" w:eastAsia="zh-CN"/>
              </w:rPr>
              <w:t>承诺书的彩色扫描件</w:t>
            </w:r>
            <w:r>
              <w:rPr>
                <w:rFonts w:hint="eastAsia" w:ascii="黑体" w:hAnsi="黑体" w:eastAsia="黑体" w:cs="黑体"/>
                <w:b w:val="0"/>
                <w:bCs w:val="0"/>
                <w:color w:val="auto"/>
                <w:sz w:val="21"/>
                <w:szCs w:val="21"/>
                <w:highlight w:val="none"/>
                <w:u w:val="none"/>
              </w:rPr>
              <w:t>。</w:t>
            </w:r>
            <w:r>
              <w:rPr>
                <w:rFonts w:hint="eastAsia" w:ascii="黑体" w:hAnsi="黑体" w:eastAsia="黑体" w:cs="黑体"/>
                <w:b/>
                <w:bCs/>
                <w:color w:val="auto"/>
                <w:sz w:val="21"/>
                <w:szCs w:val="21"/>
                <w:highlight w:val="none"/>
                <w:u w:val="none"/>
                <w:lang w:eastAsia="zh-CN"/>
              </w:rPr>
              <w:t>（</w:t>
            </w:r>
            <w:r>
              <w:rPr>
                <w:rFonts w:hint="eastAsia" w:ascii="黑体" w:hAnsi="黑体" w:eastAsia="黑体" w:cs="黑体"/>
                <w:b/>
                <w:bCs/>
                <w:color w:val="auto"/>
                <w:sz w:val="21"/>
                <w:szCs w:val="21"/>
                <w:highlight w:val="none"/>
                <w:u w:val="none"/>
                <w:lang w:val="en-US" w:eastAsia="zh-CN"/>
              </w:rPr>
              <w:t>承诺书应加盖投标单位公章，放入投标文件“九 其他资料”部分，格式自拟。投标人应对证明材料的真实性负责</w:t>
            </w:r>
            <w:r>
              <w:rPr>
                <w:rFonts w:hint="eastAsia" w:ascii="黑体" w:hAnsi="黑体" w:eastAsia="黑体" w:cs="黑体"/>
                <w:b/>
                <w:bCs/>
                <w:color w:val="auto"/>
                <w:sz w:val="21"/>
                <w:szCs w:val="21"/>
                <w:highlight w:val="none"/>
                <w:u w:val="none"/>
                <w:lang w:eastAsia="zh-CN"/>
              </w:rPr>
              <w:t>）</w:t>
            </w:r>
          </w:p>
          <w:p w14:paraId="0F70E7D3">
            <w:pPr>
              <w:shd w:val="clear" w:color="auto" w:fill="auto"/>
              <w:adjustRightInd w:val="0"/>
              <w:snapToGrid w:val="0"/>
              <w:spacing w:line="360" w:lineRule="exact"/>
              <w:ind w:firstLine="0" w:firstLineChars="0"/>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（3）主体信息库要求：</w:t>
            </w:r>
            <w:r>
              <w:rPr>
                <w:rFonts w:hint="eastAsia" w:ascii="黑体" w:hAnsi="黑体" w:eastAsia="黑体" w:cs="黑体"/>
                <w:color w:val="auto"/>
                <w:sz w:val="21"/>
                <w:szCs w:val="21"/>
                <w:highlight w:val="none"/>
                <w:u w:val="single"/>
                <w:lang w:val="en-US" w:eastAsia="zh-CN"/>
              </w:rPr>
              <w:t>投标人应自行在投标截止时前将原件电子版在投标人系统内投标人信息管理里上传提交平台系统</w:t>
            </w:r>
            <w:r>
              <w:rPr>
                <w:rFonts w:hint="eastAsia" w:ascii="黑体" w:hAnsi="黑体" w:eastAsia="黑体" w:cs="黑体"/>
                <w:color w:val="auto"/>
                <w:sz w:val="21"/>
                <w:szCs w:val="21"/>
                <w:highlight w:val="none"/>
                <w:lang w:val="en-US" w:eastAsia="zh-CN"/>
              </w:rPr>
              <w:t>。</w:t>
            </w:r>
          </w:p>
          <w:p w14:paraId="0AD66AE9">
            <w:pPr>
              <w:shd w:val="clear" w:color="auto" w:fill="auto"/>
              <w:adjustRightInd w:val="0"/>
              <w:snapToGrid w:val="0"/>
              <w:spacing w:line="360" w:lineRule="exact"/>
              <w:ind w:firstLine="0" w:firstLineChars="0"/>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（4）其他要求：</w:t>
            </w:r>
            <w:r>
              <w:rPr>
                <w:rFonts w:hint="eastAsia" w:ascii="黑体" w:hAnsi="黑体" w:eastAsia="黑体" w:cs="黑体"/>
                <w:color w:val="auto"/>
                <w:szCs w:val="21"/>
                <w:highlight w:val="none"/>
                <w:u w:val="single"/>
                <w:lang w:val="en-US" w:eastAsia="zh-CN"/>
              </w:rPr>
              <w:t xml:space="preserve">       /        </w:t>
            </w:r>
            <w:r>
              <w:rPr>
                <w:rFonts w:hint="eastAsia" w:ascii="黑体" w:hAnsi="黑体" w:eastAsia="黑体" w:cs="黑体"/>
                <w:color w:val="auto"/>
                <w:szCs w:val="21"/>
                <w:highlight w:val="none"/>
                <w:lang w:val="en-US" w:eastAsia="zh-CN"/>
              </w:rPr>
              <w:t>。</w:t>
            </w:r>
          </w:p>
        </w:tc>
      </w:tr>
      <w:tr w14:paraId="6BE696A2">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1BE3A02D">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3.6.1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44D190D0">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是否允许递交备选投标方案</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10452825">
            <w:pPr>
              <w:rPr>
                <w:rFonts w:hint="eastAsia" w:ascii="黑体" w:hAnsi="黑体" w:eastAsia="黑体" w:cs="黑体"/>
                <w:color w:val="auto"/>
                <w:szCs w:val="21"/>
                <w:highlight w:val="none"/>
                <w:lang w:val="zh-TW"/>
              </w:rPr>
            </w:pPr>
            <w:r>
              <w:rPr>
                <w:rFonts w:hint="eastAsia" w:ascii="黑体" w:hAnsi="黑体" w:eastAsia="黑体" w:cs="黑体"/>
                <w:color w:val="auto"/>
                <w:szCs w:val="21"/>
                <w:highlight w:val="none"/>
                <w:lang w:val="zh-TW"/>
              </w:rPr>
              <w:t>■</w:t>
            </w:r>
            <w:r>
              <w:rPr>
                <w:rFonts w:hint="eastAsia" w:ascii="黑体" w:hAnsi="黑体" w:eastAsia="黑体" w:cs="黑体"/>
                <w:color w:val="auto"/>
                <w:szCs w:val="21"/>
                <w:highlight w:val="none"/>
                <w:lang w:val="zh-TW" w:eastAsia="zh-TW"/>
              </w:rPr>
              <w:t>不允许</w:t>
            </w:r>
          </w:p>
          <w:p w14:paraId="2158C7DF">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zh-TW" w:eastAsia="zh-TW"/>
              </w:rPr>
              <w:t>□允许</w:t>
            </w:r>
          </w:p>
        </w:tc>
      </w:tr>
      <w:tr w14:paraId="575ABC8E">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7EE813A6">
            <w:pPr>
              <w:keepNext w:val="0"/>
              <w:keepLines w:val="0"/>
              <w:pageBreakBefore w:val="0"/>
              <w:suppressLineNumbers w:val="0"/>
              <w:shd w:val="clear" w:color="auto" w:fill="auto"/>
              <w:kinsoku/>
              <w:wordWrap w:val="0"/>
              <w:overflowPunct/>
              <w:autoSpaceDE/>
              <w:autoSpaceDN/>
              <w:bidi w:val="0"/>
              <w:adjustRightInd/>
              <w:spacing w:before="0" w:beforeAutospacing="0" w:after="0" w:afterAutospacing="0" w:line="400" w:lineRule="exact"/>
              <w:ind w:left="0" w:leftChars="0" w:right="0" w:rightChars="0"/>
              <w:jc w:val="center"/>
              <w:textAlignment w:val="auto"/>
              <w:rPr>
                <w:rFonts w:hint="eastAsia" w:ascii="黑体" w:hAnsi="黑体" w:eastAsia="黑体" w:cs="黑体"/>
                <w:color w:val="auto"/>
                <w:szCs w:val="21"/>
                <w:highlight w:val="none"/>
              </w:rPr>
            </w:pPr>
            <w:r>
              <w:rPr>
                <w:rFonts w:hint="eastAsia" w:ascii="黑体" w:hAnsi="黑体" w:eastAsia="黑体" w:cs="黑体"/>
                <w:color w:val="auto"/>
                <w:sz w:val="21"/>
                <w:szCs w:val="21"/>
                <w:highlight w:val="none"/>
              </w:rPr>
              <w:t>3.7.3</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21FF5EC1">
            <w:pPr>
              <w:spacing w:line="400" w:lineRule="exact"/>
              <w:jc w:val="center"/>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Cs w:val="21"/>
                <w:highlight w:val="none"/>
                <w:lang w:val="en-US" w:eastAsia="zh-CN"/>
              </w:rPr>
              <w:t>投标文件的制作</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034CE478">
            <w:pPr>
              <w:pStyle w:val="7"/>
              <w:keepNext w:val="0"/>
              <w:keepLines w:val="0"/>
              <w:pageBreakBefore w:val="0"/>
              <w:suppressLineNumbers w:val="0"/>
              <w:shd w:val="clear" w:color="auto" w:fill="auto"/>
              <w:kinsoku/>
              <w:wordWrap w:val="0"/>
              <w:overflowPunct/>
              <w:topLinePunct/>
              <w:autoSpaceDE/>
              <w:autoSpaceDN/>
              <w:bidi w:val="0"/>
              <w:adjustRightInd/>
              <w:spacing w:before="0" w:beforeAutospacing="0" w:after="0" w:afterAutospacing="0" w:line="400" w:lineRule="exact"/>
              <w:ind w:left="0" w:right="0"/>
              <w:textAlignment w:val="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本项修改为：</w:t>
            </w:r>
          </w:p>
          <w:p w14:paraId="22A99F4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（1）投标文件由投标人使用“新点投标文件制作软件”制作生成。</w:t>
            </w:r>
          </w:p>
          <w:p w14:paraId="70B2468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（2）投标人在编制投标文件时应按照标签提示导入相关内容。</w:t>
            </w:r>
          </w:p>
          <w:p w14:paraId="1A8AD73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（3）投标文件中证明材料的“复印件”均为“原件的扫描件”，投标人使用新点投标文件制作软件制作加密投标文件。</w:t>
            </w:r>
          </w:p>
          <w:p w14:paraId="39EF1C0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（4）投标文件中的已标价工程量清单数据文件应与招标人提供的工程量清单数据文件格式一致。</w:t>
            </w:r>
          </w:p>
          <w:p w14:paraId="0BF117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5）第九章“投标文件格式”中要求盖单位章和（或）法人盖章的地方，投标人均应使用CA数字证书加盖投标人的单位电子印章和（或）法定代表人的个人电子印章。联合体投标的，投标文件由联合体牵头人按上述规定加盖联合体牵头人单位电子印章和（或）法定代表人的个人电子印章。</w:t>
            </w:r>
            <w:r>
              <w:rPr>
                <w:rFonts w:hint="eastAsia" w:ascii="黑体" w:hAnsi="黑体" w:eastAsia="黑体" w:cs="黑体"/>
                <w:b/>
                <w:bCs/>
                <w:color w:val="auto"/>
                <w:highlight w:val="none"/>
                <w:lang w:eastAsia="zh-CN"/>
              </w:rPr>
              <w:t>注：</w:t>
            </w:r>
            <w:r>
              <w:rPr>
                <w:rFonts w:hint="eastAsia" w:ascii="黑体" w:hAnsi="黑体" w:eastAsia="黑体" w:cs="黑体"/>
                <w:b/>
                <w:bCs/>
                <w:color w:val="auto"/>
                <w:highlight w:val="none"/>
              </w:rPr>
              <w:t>投标文件必须由投标人的法定代表人或授权委托人按规定在指定签字位置亲笔签署姓名（投标文件中要求签字部分可由本人亲笔签字后扫描并粘贴至签字位置，投标报价文件（投标函除外）可将造价人员执业印章（造价人员执业印章应为公路工程乙级及以上或交通运输工程二级及以上造价工程师）及造价人员亲笔签字扫描并粘贴至所需盖章及签字位置）</w:t>
            </w:r>
            <w:r>
              <w:rPr>
                <w:rFonts w:hint="eastAsia" w:ascii="黑体" w:hAnsi="黑体" w:eastAsia="黑体" w:cs="黑体"/>
                <w:b/>
                <w:bCs/>
                <w:color w:val="auto"/>
                <w:highlight w:val="none"/>
                <w:lang w:eastAsia="zh-CN"/>
              </w:rPr>
              <w:t>。并在指定位置加盖单位公章。</w:t>
            </w:r>
          </w:p>
          <w:p w14:paraId="692D56C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（6）投标人使用“新点投标文件制作软件”生成电子版加密投标文件（扩展名为HLBETF），在公共资源电子交易平台投标人系统内上传电子版加密投标文件。</w:t>
            </w:r>
          </w:p>
          <w:p w14:paraId="18B80CF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黑体" w:hAnsi="黑体" w:eastAsia="黑体" w:cs="黑体"/>
                <w:color w:val="auto"/>
                <w:kern w:val="0"/>
                <w:szCs w:val="21"/>
                <w:highlight w:val="none"/>
                <w:lang w:val="zh-TW" w:eastAsia="zh-CN"/>
              </w:rPr>
            </w:pPr>
            <w:r>
              <w:rPr>
                <w:rFonts w:hint="eastAsia" w:ascii="黑体" w:hAnsi="黑体" w:eastAsia="黑体" w:cs="黑体"/>
                <w:color w:val="auto"/>
                <w:kern w:val="0"/>
                <w:szCs w:val="21"/>
                <w:highlight w:val="none"/>
                <w:lang w:val="zh-TW" w:eastAsia="zh-CN"/>
              </w:rPr>
              <w:t>投标文件制作工具的下载地址：</w:t>
            </w:r>
          </w:p>
          <w:p w14:paraId="4740C3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黑体" w:hAnsi="黑体" w:eastAsia="黑体" w:cs="黑体"/>
                <w:color w:val="auto"/>
                <w:kern w:val="0"/>
                <w:szCs w:val="21"/>
                <w:highlight w:val="none"/>
                <w:lang w:val="zh-TW" w:eastAsia="zh-CN"/>
              </w:rPr>
            </w:pPr>
            <w:r>
              <w:rPr>
                <w:rFonts w:hint="eastAsia" w:ascii="黑体" w:hAnsi="黑体" w:eastAsia="黑体" w:cs="黑体"/>
                <w:color w:val="auto"/>
                <w:kern w:val="0"/>
                <w:szCs w:val="21"/>
                <w:highlight w:val="none"/>
                <w:lang w:val="zh-TW" w:eastAsia="zh-CN"/>
              </w:rPr>
              <w:fldChar w:fldCharType="begin"/>
            </w:r>
            <w:r>
              <w:rPr>
                <w:rFonts w:hint="eastAsia" w:ascii="黑体" w:hAnsi="黑体" w:eastAsia="黑体" w:cs="黑体"/>
                <w:color w:val="auto"/>
                <w:kern w:val="0"/>
                <w:szCs w:val="21"/>
                <w:highlight w:val="none"/>
                <w:lang w:val="zh-TW" w:eastAsia="zh-CN"/>
              </w:rPr>
              <w:instrText xml:space="preserve"> HYPERLINK "https://download.bqpoint.com/?SourceFrom=Ztb&amp;ZtbSoftXiaQuCode=0822&amp;ZtbSoftType=tballinclusive&amp;SoftGuid=afd56623-5a65-41e3-993a-48cfa2cc2b15&amp;RootGuid=a7b335b5-2d2a-4323-a16c-e204c351557f&amp;softtypecode=03" </w:instrText>
            </w:r>
            <w:r>
              <w:rPr>
                <w:rFonts w:hint="eastAsia" w:ascii="黑体" w:hAnsi="黑体" w:eastAsia="黑体" w:cs="黑体"/>
                <w:color w:val="auto"/>
                <w:kern w:val="0"/>
                <w:szCs w:val="21"/>
                <w:highlight w:val="none"/>
                <w:lang w:val="zh-TW" w:eastAsia="zh-CN"/>
              </w:rPr>
              <w:fldChar w:fldCharType="separate"/>
            </w:r>
            <w:r>
              <w:rPr>
                <w:rStyle w:val="27"/>
                <w:rFonts w:hint="eastAsia" w:ascii="黑体" w:hAnsi="黑体" w:eastAsia="黑体" w:cs="黑体"/>
                <w:kern w:val="0"/>
                <w:szCs w:val="21"/>
                <w:highlight w:val="none"/>
                <w:lang w:val="zh-TW" w:eastAsia="zh-CN"/>
              </w:rPr>
              <w:t>https://download.bqpoint.com/?SourceFrom=Ztb&amp;ZtbSoftXiaQuCode=0822&amp;ZtbSoftType=tballinclusive&amp;SoftGuid=afd56623-5a65-41e3-993a-48cfa2cc2b15&amp;RootGuid=a7b335b5-2d2a-4323-a16c-e204c351557f&amp;softtypecode=03</w:t>
            </w:r>
            <w:r>
              <w:rPr>
                <w:rFonts w:hint="eastAsia" w:ascii="黑体" w:hAnsi="黑体" w:eastAsia="黑体" w:cs="黑体"/>
                <w:color w:val="auto"/>
                <w:kern w:val="0"/>
                <w:szCs w:val="21"/>
                <w:highlight w:val="none"/>
                <w:lang w:val="zh-TW" w:eastAsia="zh-CN"/>
              </w:rPr>
              <w:fldChar w:fldCharType="end"/>
            </w:r>
          </w:p>
          <w:p w14:paraId="782491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黑体" w:hAnsi="黑体" w:eastAsia="黑体" w:cs="黑体"/>
                <w:color w:val="auto"/>
                <w:kern w:val="0"/>
                <w:szCs w:val="21"/>
                <w:highlight w:val="none"/>
                <w:lang w:val="zh-TW" w:eastAsia="zh-CN"/>
              </w:rPr>
            </w:pPr>
            <w:r>
              <w:rPr>
                <w:rFonts w:hint="eastAsia" w:ascii="黑体" w:hAnsi="黑体" w:eastAsia="黑体" w:cs="黑体"/>
                <w:color w:val="auto"/>
                <w:kern w:val="0"/>
                <w:szCs w:val="21"/>
                <w:highlight w:val="none"/>
                <w:lang w:val="zh-TW" w:eastAsia="zh-CN"/>
              </w:rPr>
              <w:t>（</w:t>
            </w:r>
            <w:r>
              <w:rPr>
                <w:rFonts w:hint="eastAsia" w:ascii="黑体" w:hAnsi="黑体" w:eastAsia="黑体" w:cs="黑体"/>
                <w:color w:val="auto"/>
                <w:kern w:val="0"/>
                <w:szCs w:val="21"/>
                <w:highlight w:val="none"/>
                <w:lang w:val="en-US" w:eastAsia="zh-CN"/>
              </w:rPr>
              <w:t>7</w:t>
            </w:r>
            <w:r>
              <w:rPr>
                <w:rFonts w:hint="eastAsia" w:ascii="黑体" w:hAnsi="黑体" w:eastAsia="黑体" w:cs="黑体"/>
                <w:color w:val="auto"/>
                <w:kern w:val="0"/>
                <w:szCs w:val="21"/>
                <w:highlight w:val="none"/>
                <w:lang w:val="zh-TW" w:eastAsia="zh-CN"/>
              </w:rPr>
              <w:t>）授权委托书或法定代表人身份证明要求：</w:t>
            </w:r>
            <w:r>
              <w:rPr>
                <w:rFonts w:hint="eastAsia" w:ascii="黑体" w:hAnsi="黑体" w:eastAsia="黑体" w:cs="黑体"/>
                <w:color w:val="auto"/>
                <w:kern w:val="0"/>
                <w:szCs w:val="21"/>
                <w:highlight w:val="none"/>
                <w:u w:val="single"/>
                <w:lang w:val="zh-TW" w:eastAsia="zh-CN"/>
              </w:rPr>
              <w:t>法人或法人授权代理人 身份证原件彩色扫描件且在有效期内</w:t>
            </w:r>
            <w:r>
              <w:rPr>
                <w:rFonts w:hint="eastAsia" w:ascii="黑体" w:hAnsi="黑体" w:eastAsia="黑体" w:cs="黑体"/>
                <w:color w:val="auto"/>
                <w:kern w:val="0"/>
                <w:szCs w:val="21"/>
                <w:highlight w:val="none"/>
                <w:lang w:val="zh-TW" w:eastAsia="zh-CN"/>
              </w:rPr>
              <w:t>。</w:t>
            </w:r>
          </w:p>
          <w:p w14:paraId="763039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default" w:ascii="黑体" w:hAnsi="黑体" w:eastAsia="黑体" w:cs="黑体"/>
                <w:color w:val="auto"/>
                <w:kern w:val="0"/>
                <w:szCs w:val="21"/>
                <w:highlight w:val="none"/>
                <w:lang w:val="en-US" w:eastAsia="zh-CN"/>
              </w:rPr>
            </w:pPr>
            <w:r>
              <w:rPr>
                <w:rFonts w:hint="eastAsia" w:ascii="黑体" w:hAnsi="黑体" w:eastAsia="黑体" w:cs="黑体"/>
                <w:color w:val="auto"/>
                <w:kern w:val="0"/>
                <w:szCs w:val="21"/>
                <w:highlight w:val="none"/>
                <w:lang w:val="zh-TW" w:eastAsia="zh-CN"/>
              </w:rPr>
              <w:t>（</w:t>
            </w:r>
            <w:r>
              <w:rPr>
                <w:rFonts w:hint="eastAsia" w:ascii="黑体" w:hAnsi="黑体" w:eastAsia="黑体" w:cs="黑体"/>
                <w:color w:val="auto"/>
                <w:kern w:val="0"/>
                <w:szCs w:val="21"/>
                <w:highlight w:val="none"/>
                <w:lang w:val="en-US" w:eastAsia="zh-CN"/>
              </w:rPr>
              <w:t>8</w:t>
            </w:r>
            <w:r>
              <w:rPr>
                <w:rFonts w:hint="eastAsia" w:ascii="黑体" w:hAnsi="黑体" w:eastAsia="黑体" w:cs="黑体"/>
                <w:color w:val="auto"/>
                <w:kern w:val="0"/>
                <w:szCs w:val="21"/>
                <w:highlight w:val="none"/>
                <w:lang w:val="zh-TW" w:eastAsia="zh-CN"/>
              </w:rPr>
              <w:t>）联合体投标编制要求：</w:t>
            </w:r>
            <w:r>
              <w:rPr>
                <w:rFonts w:hint="eastAsia" w:ascii="黑体" w:hAnsi="黑体" w:eastAsia="黑体" w:cs="黑体"/>
                <w:color w:val="auto"/>
                <w:kern w:val="0"/>
                <w:szCs w:val="21"/>
                <w:highlight w:val="none"/>
                <w:u w:val="single"/>
                <w:lang w:val="en-US" w:eastAsia="zh-CN"/>
              </w:rPr>
              <w:t xml:space="preserve">  /   </w:t>
            </w:r>
            <w:r>
              <w:rPr>
                <w:rFonts w:hint="eastAsia" w:ascii="黑体" w:hAnsi="黑体" w:eastAsia="黑体" w:cs="黑体"/>
                <w:color w:val="auto"/>
                <w:kern w:val="0"/>
                <w:szCs w:val="21"/>
                <w:highlight w:val="none"/>
                <w:lang w:val="en-US" w:eastAsia="zh-CN"/>
              </w:rPr>
              <w:t>。</w:t>
            </w:r>
          </w:p>
          <w:p w14:paraId="453341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黑体" w:hAnsi="黑体" w:eastAsia="黑体" w:cs="黑体"/>
                <w:color w:val="auto"/>
                <w:kern w:val="0"/>
                <w:szCs w:val="21"/>
                <w:highlight w:val="none"/>
                <w:lang w:val="zh-TW" w:eastAsia="zh-CN"/>
              </w:rPr>
            </w:pPr>
            <w:r>
              <w:rPr>
                <w:rFonts w:hint="eastAsia" w:ascii="黑体" w:hAnsi="黑体" w:eastAsia="黑体" w:cs="黑体"/>
                <w:color w:val="auto"/>
                <w:kern w:val="0"/>
                <w:szCs w:val="21"/>
                <w:highlight w:val="none"/>
                <w:lang w:val="zh-TW" w:eastAsia="zh-CN"/>
              </w:rPr>
              <w:t>（</w:t>
            </w:r>
            <w:r>
              <w:rPr>
                <w:rFonts w:hint="eastAsia" w:ascii="黑体" w:hAnsi="黑体" w:eastAsia="黑体" w:cs="黑体"/>
                <w:color w:val="auto"/>
                <w:kern w:val="0"/>
                <w:szCs w:val="21"/>
                <w:highlight w:val="none"/>
                <w:lang w:val="en-US" w:eastAsia="zh-CN"/>
              </w:rPr>
              <w:t>9</w:t>
            </w:r>
            <w:r>
              <w:rPr>
                <w:rFonts w:hint="eastAsia" w:ascii="黑体" w:hAnsi="黑体" w:eastAsia="黑体" w:cs="黑体"/>
                <w:color w:val="auto"/>
                <w:kern w:val="0"/>
                <w:szCs w:val="21"/>
                <w:highlight w:val="none"/>
                <w:lang w:val="zh-TW" w:eastAsia="zh-CN"/>
              </w:rPr>
              <w:t>）电子交易平台技术支持电话：</w:t>
            </w:r>
            <w:r>
              <w:rPr>
                <w:rFonts w:hint="eastAsia" w:ascii="黑体" w:hAnsi="黑体" w:eastAsia="黑体" w:cs="黑体"/>
                <w:color w:val="auto"/>
                <w:kern w:val="0"/>
                <w:szCs w:val="21"/>
                <w:highlight w:val="none"/>
                <w:u w:val="single"/>
                <w:lang w:val="zh-TW" w:eastAsia="zh-CN"/>
              </w:rPr>
              <w:t>0471-5332612/0512-58188511</w:t>
            </w:r>
            <w:r>
              <w:rPr>
                <w:rFonts w:hint="eastAsia" w:ascii="黑体" w:hAnsi="黑体" w:eastAsia="黑体" w:cs="黑体"/>
                <w:color w:val="auto"/>
                <w:kern w:val="0"/>
                <w:szCs w:val="21"/>
                <w:highlight w:val="none"/>
                <w:lang w:val="zh-TW" w:eastAsia="zh-CN"/>
              </w:rPr>
              <w:t>。</w:t>
            </w:r>
          </w:p>
          <w:p w14:paraId="01E4853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（10）技术文件编制方式</w:t>
            </w:r>
          </w:p>
          <w:p w14:paraId="3E895A12">
            <w:pPr>
              <w:keepNext w:val="0"/>
              <w:keepLines w:val="0"/>
              <w:pageBreakBefore w:val="0"/>
              <w:suppressLineNumbers w:val="0"/>
              <w:shd w:val="clear" w:color="auto" w:fill="auto"/>
              <w:kinsoku/>
              <w:wordWrap w:val="0"/>
              <w:overflowPunct/>
              <w:autoSpaceDE/>
              <w:autoSpaceDN/>
              <w:bidi w:val="0"/>
              <w:adjustRightInd/>
              <w:spacing w:before="0" w:beforeAutospacing="0" w:after="0" w:afterAutospacing="0" w:line="360" w:lineRule="auto"/>
              <w:ind w:left="0" w:leftChars="0" w:right="0" w:rightChars="0"/>
              <w:jc w:val="both"/>
              <w:textAlignment w:val="auto"/>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☑明标；</w:t>
            </w:r>
          </w:p>
          <w:p w14:paraId="1CC825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□暗标</w:t>
            </w:r>
            <w:r>
              <w:rPr>
                <w:rStyle w:val="28"/>
                <w:rFonts w:hint="eastAsia" w:ascii="黑体" w:hAnsi="黑体" w:eastAsia="黑体" w:cs="黑体"/>
                <w:color w:val="auto"/>
                <w:sz w:val="21"/>
                <w:szCs w:val="21"/>
                <w:highlight w:val="none"/>
                <w:lang w:val="en-US" w:eastAsia="zh-CN"/>
              </w:rPr>
              <w:footnoteReference w:id="1"/>
            </w:r>
            <w:r>
              <w:rPr>
                <w:rFonts w:hint="eastAsia" w:ascii="黑体" w:hAnsi="黑体" w:eastAsia="黑体" w:cs="黑体"/>
                <w:color w:val="auto"/>
                <w:sz w:val="21"/>
                <w:szCs w:val="21"/>
                <w:highlight w:val="none"/>
                <w:lang w:val="en-US" w:eastAsia="zh-CN"/>
              </w:rPr>
              <w:t>，应满足下列要求：施工组织设计（技术文件）采用无标识（暗标）形式进行编制及评审，投标人应按照招标文件中要求的格式及编制要求单独编制成册并单独上传至电子招投标系统技术文件部分，未按规定格式编制的，将否决其投标。</w:t>
            </w:r>
          </w:p>
          <w:p w14:paraId="487F72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黑体" w:hAnsi="黑体" w:eastAsia="黑体" w:cs="黑体"/>
                <w:color w:val="auto"/>
                <w:sz w:val="21"/>
                <w:szCs w:val="21"/>
                <w:highlight w:val="none"/>
                <w:lang w:val="zh-TW" w:eastAsia="zh-CN"/>
              </w:rPr>
            </w:pPr>
            <w:r>
              <w:rPr>
                <w:rFonts w:hint="eastAsia" w:ascii="黑体" w:hAnsi="黑体" w:eastAsia="黑体" w:cs="黑体"/>
                <w:color w:val="auto"/>
                <w:sz w:val="21"/>
                <w:szCs w:val="21"/>
                <w:highlight w:val="none"/>
                <w:lang w:val="en-US" w:eastAsia="zh-CN"/>
              </w:rPr>
              <w:t>（11）其他要求：</w:t>
            </w:r>
            <w:r>
              <w:rPr>
                <w:rFonts w:hint="eastAsia" w:ascii="黑体" w:hAnsi="黑体" w:eastAsia="黑体" w:cs="黑体"/>
                <w:color w:val="auto"/>
                <w:sz w:val="21"/>
                <w:szCs w:val="21"/>
                <w:highlight w:val="none"/>
                <w:u w:val="single"/>
                <w:lang w:val="en-US" w:eastAsia="zh-CN"/>
              </w:rPr>
              <w:t xml:space="preserve">          /          </w:t>
            </w:r>
            <w:r>
              <w:rPr>
                <w:rFonts w:hint="eastAsia" w:ascii="黑体" w:hAnsi="黑体" w:eastAsia="黑体" w:cs="黑体"/>
                <w:color w:val="auto"/>
                <w:sz w:val="21"/>
                <w:szCs w:val="21"/>
                <w:highlight w:val="none"/>
                <w:lang w:val="en-US" w:eastAsia="zh-CN"/>
              </w:rPr>
              <w:t>。</w:t>
            </w:r>
          </w:p>
        </w:tc>
      </w:tr>
      <w:tr w14:paraId="66063417">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61172F34">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3.7.4</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710742B7">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投标文件副本份数及其他要求</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0D673729">
            <w:pPr>
              <w:spacing w:line="360" w:lineRule="exact"/>
              <w:rPr>
                <w:rFonts w:hint="eastAsia" w:ascii="黑体" w:hAnsi="黑体" w:eastAsia="黑体" w:cs="黑体"/>
                <w:color w:val="auto"/>
                <w:szCs w:val="21"/>
                <w:highlight w:val="none"/>
                <w:u w:val="single"/>
                <w:lang w:val="en-US" w:eastAsia="zh-CN"/>
              </w:rPr>
            </w:pPr>
            <w:r>
              <w:rPr>
                <w:rFonts w:hint="eastAsia" w:ascii="黑体" w:hAnsi="黑体" w:eastAsia="黑体" w:cs="黑体"/>
                <w:color w:val="auto"/>
                <w:szCs w:val="21"/>
                <w:highlight w:val="none"/>
                <w:u w:val="none"/>
                <w:lang w:val="en-US" w:eastAsia="zh-CN"/>
              </w:rPr>
              <w:t>采用电子招投标，不适用。</w:t>
            </w:r>
          </w:p>
        </w:tc>
      </w:tr>
      <w:tr w14:paraId="2282D566">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480F6A1F">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3.7.5</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5EC6FE16">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编制</w:t>
            </w:r>
            <w:r>
              <w:rPr>
                <w:rFonts w:hint="eastAsia" w:ascii="黑体" w:hAnsi="黑体" w:eastAsia="黑体" w:cs="黑体"/>
                <w:color w:val="auto"/>
                <w:szCs w:val="21"/>
                <w:highlight w:val="none"/>
              </w:rPr>
              <w:t>的要求</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7F9EF874">
            <w:pPr>
              <w:rPr>
                <w:rStyle w:val="43"/>
                <w:rFonts w:hint="eastAsia" w:ascii="黑体" w:hAnsi="黑体" w:eastAsia="黑体" w:cs="黑体"/>
                <w:color w:val="auto"/>
                <w:sz w:val="21"/>
                <w:szCs w:val="21"/>
                <w:highlight w:val="none"/>
                <w:lang w:val="en-US" w:eastAsia="zh-CN"/>
              </w:rPr>
            </w:pPr>
            <w:r>
              <w:rPr>
                <w:rStyle w:val="43"/>
                <w:rFonts w:hint="eastAsia" w:ascii="黑体" w:hAnsi="黑体" w:eastAsia="黑体" w:cs="黑体"/>
                <w:color w:val="auto"/>
                <w:sz w:val="21"/>
                <w:szCs w:val="21"/>
                <w:highlight w:val="none"/>
                <w:lang w:val="en-US" w:eastAsia="zh-CN"/>
              </w:rPr>
              <w:t>按照电子交易平台要求，中标后提供纸质版。</w:t>
            </w:r>
          </w:p>
          <w:p w14:paraId="32DBCB32">
            <w:pPr>
              <w:spacing w:line="360" w:lineRule="auto"/>
              <w:rPr>
                <w:rStyle w:val="43"/>
                <w:rFonts w:hint="eastAsia" w:ascii="黑体" w:hAnsi="黑体" w:eastAsia="黑体" w:cs="黑体"/>
                <w:b/>
                <w:bCs/>
                <w:color w:val="auto"/>
                <w:sz w:val="21"/>
                <w:szCs w:val="21"/>
                <w:highlight w:val="none"/>
                <w:lang w:val="en-US" w:eastAsia="zh-CN"/>
              </w:rPr>
            </w:pPr>
            <w:r>
              <w:rPr>
                <w:rStyle w:val="35"/>
                <w:rFonts w:hint="eastAsia" w:ascii="黑体" w:hAnsi="黑体" w:eastAsia="黑体" w:cs="黑体"/>
                <w:b/>
                <w:bCs/>
                <w:color w:val="auto"/>
                <w:sz w:val="21"/>
                <w:szCs w:val="21"/>
                <w:highlight w:val="none"/>
                <w:lang w:val="zh-TW" w:eastAsia="zh-TW"/>
              </w:rPr>
              <w:t>开标时无需递交纸质版投标文件，中标候选人公示期结束后，前3名中标候选人须提供纸质版投标文件，一正</w:t>
            </w:r>
            <w:r>
              <w:rPr>
                <w:rStyle w:val="35"/>
                <w:rFonts w:hint="eastAsia" w:ascii="黑体" w:hAnsi="黑体" w:eastAsia="黑体" w:cs="黑体"/>
                <w:b/>
                <w:bCs/>
                <w:color w:val="auto"/>
                <w:sz w:val="21"/>
                <w:szCs w:val="21"/>
                <w:highlight w:val="none"/>
                <w:lang w:val="en-US" w:eastAsia="zh-CN"/>
              </w:rPr>
              <w:t>三</w:t>
            </w:r>
            <w:r>
              <w:rPr>
                <w:rStyle w:val="35"/>
                <w:rFonts w:hint="eastAsia" w:ascii="黑体" w:hAnsi="黑体" w:eastAsia="黑体" w:cs="黑体"/>
                <w:b/>
                <w:bCs/>
                <w:color w:val="auto"/>
                <w:sz w:val="21"/>
                <w:szCs w:val="21"/>
                <w:highlight w:val="none"/>
                <w:lang w:val="zh-TW" w:eastAsia="zh-TW"/>
              </w:rPr>
              <w:t>副</w:t>
            </w:r>
            <w:r>
              <w:rPr>
                <w:rStyle w:val="35"/>
                <w:rFonts w:hint="eastAsia" w:ascii="黑体" w:hAnsi="黑体" w:eastAsia="黑体" w:cs="黑体"/>
                <w:b/>
                <w:bCs/>
                <w:color w:val="auto"/>
                <w:sz w:val="21"/>
                <w:szCs w:val="21"/>
                <w:highlight w:val="none"/>
                <w:lang w:val="zh-TW" w:eastAsia="zh-CN"/>
              </w:rPr>
              <w:t>（必须与上传公共资源交易平台的电子文档投标内容一致），</w:t>
            </w:r>
            <w:r>
              <w:rPr>
                <w:rStyle w:val="35"/>
                <w:rFonts w:hint="eastAsia" w:ascii="黑体" w:hAnsi="黑体" w:eastAsia="黑体" w:cs="黑体"/>
                <w:b/>
                <w:bCs/>
                <w:color w:val="auto"/>
                <w:sz w:val="21"/>
                <w:szCs w:val="21"/>
                <w:highlight w:val="none"/>
                <w:lang w:val="en-US" w:eastAsia="zh-CN"/>
              </w:rPr>
              <w:t>送至代理公司</w:t>
            </w:r>
            <w:r>
              <w:rPr>
                <w:rStyle w:val="35"/>
                <w:rFonts w:hint="eastAsia" w:ascii="黑体" w:hAnsi="黑体" w:eastAsia="黑体" w:cs="黑体"/>
                <w:b/>
                <w:bCs/>
                <w:color w:val="auto"/>
                <w:sz w:val="21"/>
                <w:szCs w:val="21"/>
                <w:highlight w:val="none"/>
                <w:lang w:val="zh-TW" w:eastAsia="zh-TW"/>
              </w:rPr>
              <w:t>。</w:t>
            </w:r>
          </w:p>
          <w:p w14:paraId="44D76B06">
            <w:pPr>
              <w:pStyle w:val="21"/>
              <w:spacing w:line="360" w:lineRule="auto"/>
              <w:ind w:left="0" w:leftChars="0" w:firstLine="0" w:firstLineChars="0"/>
              <w:rPr>
                <w:rFonts w:hint="eastAsia" w:ascii="黑体" w:hAnsi="黑体" w:eastAsia="黑体" w:cs="黑体"/>
                <w:highlight w:val="none"/>
                <w:lang w:val="en-US"/>
              </w:rPr>
            </w:pPr>
            <w:r>
              <w:rPr>
                <w:rStyle w:val="43"/>
                <w:rFonts w:hint="eastAsia" w:ascii="黑体" w:hAnsi="黑体" w:eastAsia="黑体" w:cs="黑体"/>
                <w:b/>
                <w:bCs/>
                <w:color w:val="auto"/>
                <w:sz w:val="21"/>
                <w:szCs w:val="21"/>
                <w:highlight w:val="none"/>
                <w:lang w:val="en-US" w:eastAsia="zh-CN"/>
              </w:rPr>
              <w:t>纸质版投标文件需采用固定胶装，可分册装订，分册装订时应在封皮标明（第*册/共*册）。</w:t>
            </w:r>
          </w:p>
        </w:tc>
      </w:tr>
      <w:tr w14:paraId="729851E1">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77E37E27">
            <w:pPr>
              <w:keepNext w:val="0"/>
              <w:keepLines w:val="0"/>
              <w:pageBreakBefore w:val="0"/>
              <w:suppressLineNumbers w:val="0"/>
              <w:shd w:val="clear" w:color="auto" w:fill="auto"/>
              <w:kinsoku/>
              <w:wordWrap w:val="0"/>
              <w:overflowPunct/>
              <w:autoSpaceDE/>
              <w:autoSpaceDN/>
              <w:bidi w:val="0"/>
              <w:adjustRightInd/>
              <w:spacing w:before="0" w:beforeAutospacing="0" w:after="0" w:afterAutospacing="0" w:line="400" w:lineRule="exact"/>
              <w:ind w:left="0" w:leftChars="0" w:right="0" w:rightChars="0"/>
              <w:jc w:val="center"/>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4.1.1</w:t>
            </w:r>
          </w:p>
          <w:p w14:paraId="0A268952">
            <w:pPr>
              <w:keepNext w:val="0"/>
              <w:keepLines w:val="0"/>
              <w:pageBreakBefore w:val="0"/>
              <w:suppressLineNumbers w:val="0"/>
              <w:shd w:val="clear" w:color="auto" w:fill="auto"/>
              <w:kinsoku/>
              <w:wordWrap w:val="0"/>
              <w:overflowPunct/>
              <w:autoSpaceDE/>
              <w:autoSpaceDN/>
              <w:bidi w:val="0"/>
              <w:adjustRightInd/>
              <w:spacing w:before="0" w:beforeAutospacing="0" w:after="0" w:afterAutospacing="0" w:line="400" w:lineRule="exact"/>
              <w:ind w:left="0" w:leftChars="0" w:right="0" w:rightChars="0"/>
              <w:jc w:val="center"/>
              <w:textAlignment w:val="auto"/>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4.1.2</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044C1EFE">
            <w:pPr>
              <w:keepNext w:val="0"/>
              <w:keepLines w:val="0"/>
              <w:pageBreakBefore w:val="0"/>
              <w:suppressLineNumbers w:val="0"/>
              <w:shd w:val="clear" w:color="auto" w:fill="auto"/>
              <w:kinsoku/>
              <w:wordWrap w:val="0"/>
              <w:overflowPunct/>
              <w:autoSpaceDE/>
              <w:autoSpaceDN/>
              <w:bidi w:val="0"/>
              <w:adjustRightInd/>
              <w:spacing w:before="0" w:beforeAutospacing="0" w:after="0" w:afterAutospacing="0" w:line="400" w:lineRule="exact"/>
              <w:ind w:left="0" w:leftChars="0" w:right="0" w:rightChars="0"/>
              <w:jc w:val="center"/>
              <w:textAlignment w:val="auto"/>
              <w:rPr>
                <w:rFonts w:hint="eastAsia" w:ascii="黑体" w:hAnsi="黑体" w:eastAsia="黑体" w:cs="黑体"/>
                <w:color w:val="auto"/>
                <w:highlight w:val="none"/>
              </w:rPr>
            </w:pPr>
            <w:r>
              <w:rPr>
                <w:rFonts w:hint="eastAsia" w:ascii="黑体" w:hAnsi="黑体" w:eastAsia="黑体" w:cs="黑体"/>
                <w:color w:val="auto"/>
                <w:sz w:val="21"/>
                <w:szCs w:val="21"/>
                <w:highlight w:val="none"/>
              </w:rPr>
              <w:t>投标文件的</w:t>
            </w:r>
            <w:r>
              <w:rPr>
                <w:rFonts w:hint="eastAsia" w:ascii="黑体" w:hAnsi="黑体" w:eastAsia="黑体" w:cs="黑体"/>
                <w:color w:val="auto"/>
                <w:sz w:val="21"/>
                <w:szCs w:val="21"/>
                <w:highlight w:val="none"/>
                <w:lang w:val="en-US" w:eastAsia="zh-CN"/>
              </w:rPr>
              <w:t>加密</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1941A9B2">
            <w:pPr>
              <w:keepNext w:val="0"/>
              <w:keepLines w:val="0"/>
              <w:pageBreakBefore w:val="0"/>
              <w:widowControl w:val="0"/>
              <w:shd w:val="clear" w:color="auto" w:fill="auto"/>
              <w:kinsoku w:val="0"/>
              <w:wordWrap w:val="0"/>
              <w:overflowPunct/>
              <w:topLinePunct w:val="0"/>
              <w:autoSpaceDE/>
              <w:autoSpaceDN/>
              <w:bidi w:val="0"/>
              <w:adjustRightInd/>
              <w:snapToGrid/>
              <w:spacing w:line="360" w:lineRule="atLeast"/>
              <w:textAlignment w:val="auto"/>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投标文件应通过电子交易平台专用软件加密，具体要求如下：</w:t>
            </w:r>
            <w:r>
              <w:rPr>
                <w:rFonts w:hint="eastAsia" w:ascii="黑体" w:hAnsi="黑体" w:eastAsia="黑体" w:cs="黑体"/>
                <w:color w:val="auto"/>
                <w:szCs w:val="21"/>
                <w:highlight w:val="none"/>
                <w:u w:val="single"/>
                <w:lang w:val="en-US" w:eastAsia="zh-CN"/>
              </w:rPr>
              <w:t>详见内蒙古自治区工程项目交易系统（https://219.148.175.179:9443/tpbidder）下载的操作手册</w:t>
            </w:r>
            <w:r>
              <w:rPr>
                <w:rFonts w:hint="eastAsia" w:ascii="黑体" w:hAnsi="黑体" w:eastAsia="黑体" w:cs="黑体"/>
                <w:color w:val="auto"/>
                <w:szCs w:val="21"/>
                <w:highlight w:val="none"/>
                <w:lang w:val="en-US" w:eastAsia="zh-CN"/>
              </w:rPr>
              <w:t>。</w:t>
            </w:r>
          </w:p>
        </w:tc>
      </w:tr>
      <w:tr w14:paraId="1DE869A8">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3EE6556A">
            <w:pPr>
              <w:spacing w:line="400" w:lineRule="exac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4.2.2</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03F9EF00">
            <w:pPr>
              <w:spacing w:line="400" w:lineRule="exac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递交投标文件地点</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390FF37C">
            <w:pPr>
              <w:spacing w:line="360" w:lineRule="exact"/>
              <w:rPr>
                <w:rFonts w:hint="eastAsia" w:ascii="黑体" w:hAnsi="黑体" w:eastAsia="黑体" w:cs="黑体"/>
                <w:b/>
                <w:color w:val="auto"/>
                <w:sz w:val="21"/>
                <w:szCs w:val="21"/>
                <w:highlight w:val="none"/>
                <w:lang w:val="zh-TW" w:eastAsia="zh-CN"/>
              </w:rPr>
            </w:pPr>
            <w:r>
              <w:rPr>
                <w:rFonts w:hint="eastAsia" w:ascii="黑体" w:hAnsi="黑体" w:eastAsia="黑体" w:cs="黑体"/>
                <w:b/>
                <w:color w:val="auto"/>
                <w:sz w:val="21"/>
                <w:szCs w:val="21"/>
                <w:highlight w:val="none"/>
                <w:lang w:val="en-US" w:eastAsia="zh-CN"/>
              </w:rPr>
              <w:t xml:space="preserve">地点：本项目采用不见面开标方式，投标人无需到达开标现场，开标当日在投标截止时间前登录内蒙古自治区不见面开标大厅” </w:t>
            </w:r>
          </w:p>
          <w:p w14:paraId="0FD77435">
            <w:pPr>
              <w:spacing w:line="360" w:lineRule="exact"/>
              <w:rPr>
                <w:rFonts w:hint="eastAsia" w:ascii="黑体" w:hAnsi="黑体" w:eastAsia="黑体" w:cs="黑体"/>
                <w:color w:val="auto"/>
                <w:szCs w:val="21"/>
                <w:highlight w:val="none"/>
              </w:rPr>
            </w:pPr>
            <w:r>
              <w:rPr>
                <w:rFonts w:hint="eastAsia" w:ascii="黑体" w:hAnsi="黑体" w:eastAsia="黑体" w:cs="黑体"/>
                <w:b/>
                <w:color w:val="auto"/>
                <w:sz w:val="21"/>
                <w:szCs w:val="21"/>
                <w:highlight w:val="none"/>
                <w:lang w:val="en-US" w:eastAsia="zh-CN"/>
              </w:rPr>
              <w:t>（https://219.148.175.179:9443/BidOpening）在线参加开标会议，完成远程签到、解密、查看唱标、确认报价、异议澄清等交互环节；解密时间为30分钟，系统无法更改解密时间，根据《电子招投标办法》第三十一条：因投标人原因造成投标文件未解密的，视为撤销其投标文件；因投标人之外的原因造成投标文件未解密的，视为撤回其投标文件，投标人有权要求责任方赔偿因此遭受的直接损失。</w:t>
            </w:r>
          </w:p>
        </w:tc>
      </w:tr>
      <w:tr w14:paraId="64802975">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7F0F5976">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4.2.3</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6D63EA47">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是否退还投标文件</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32176A2D">
            <w:pPr>
              <w:spacing w:line="400" w:lineRule="exact"/>
              <w:rPr>
                <w:rFonts w:hint="eastAsia" w:ascii="黑体" w:hAnsi="黑体" w:eastAsia="黑体" w:cs="黑体"/>
                <w:b/>
                <w:color w:val="000000"/>
                <w:szCs w:val="21"/>
                <w:highlight w:val="none"/>
                <w:lang w:val="zh-TW" w:eastAsia="zh-CN"/>
              </w:rPr>
            </w:pPr>
            <w:r>
              <w:rPr>
                <w:rFonts w:hint="eastAsia" w:ascii="黑体" w:hAnsi="黑体" w:eastAsia="黑体" w:cs="黑体"/>
                <w:b/>
                <w:color w:val="000000"/>
                <w:szCs w:val="21"/>
                <w:highlight w:val="none"/>
                <w:lang w:val="zh-TW"/>
              </w:rPr>
              <w:t>■</w:t>
            </w:r>
            <w:r>
              <w:rPr>
                <w:rFonts w:hint="eastAsia" w:ascii="黑体" w:hAnsi="黑体" w:eastAsia="黑体" w:cs="黑体"/>
                <w:b/>
                <w:color w:val="000000"/>
                <w:szCs w:val="21"/>
                <w:highlight w:val="none"/>
                <w:lang w:val="zh-TW" w:eastAsia="zh-TW"/>
              </w:rPr>
              <w:t>否</w:t>
            </w:r>
            <w:r>
              <w:rPr>
                <w:rFonts w:hint="eastAsia" w:ascii="黑体" w:hAnsi="黑体" w:eastAsia="黑体" w:cs="黑体"/>
                <w:b/>
                <w:color w:val="000000"/>
                <w:szCs w:val="21"/>
                <w:highlight w:val="none"/>
                <w:lang w:val="zh-TW" w:eastAsia="zh-CN"/>
              </w:rPr>
              <w:t>，</w:t>
            </w:r>
          </w:p>
          <w:p w14:paraId="1C263DD6">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b/>
                <w:color w:val="000000"/>
                <w:szCs w:val="21"/>
                <w:highlight w:val="none"/>
                <w:lang w:val="zh-TW" w:eastAsia="zh-CN"/>
              </w:rPr>
              <w:t>□</w:t>
            </w:r>
            <w:r>
              <w:rPr>
                <w:rFonts w:hint="eastAsia" w:ascii="黑体" w:hAnsi="黑体" w:eastAsia="黑体" w:cs="黑体"/>
                <w:b/>
                <w:color w:val="000000"/>
                <w:szCs w:val="21"/>
                <w:highlight w:val="none"/>
                <w:lang w:val="zh-TW" w:eastAsia="zh-TW"/>
              </w:rPr>
              <w:t>是，退还时间：</w:t>
            </w:r>
            <w:r>
              <w:rPr>
                <w:rFonts w:hint="eastAsia" w:ascii="黑体" w:hAnsi="黑体" w:eastAsia="黑体" w:cs="黑体"/>
                <w:b/>
                <w:color w:val="000000"/>
                <w:szCs w:val="21"/>
                <w:highlight w:val="none"/>
                <w:u w:val="single"/>
                <w:lang w:val="en-US" w:eastAsia="zh-CN"/>
              </w:rPr>
              <w:t xml:space="preserve">         </w:t>
            </w:r>
            <w:r>
              <w:rPr>
                <w:rFonts w:hint="eastAsia" w:ascii="黑体" w:hAnsi="黑体" w:eastAsia="黑体" w:cs="黑体"/>
                <w:b/>
                <w:color w:val="000000"/>
                <w:szCs w:val="21"/>
                <w:highlight w:val="none"/>
                <w:lang w:val="zh-TW" w:eastAsia="zh-TW"/>
              </w:rPr>
              <w:t>。</w:t>
            </w:r>
          </w:p>
        </w:tc>
      </w:tr>
      <w:tr w14:paraId="334F2022">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5426375D">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5.1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307C2BD5">
            <w:pPr>
              <w:shd w:val="clear" w:color="auto" w:fill="auto"/>
              <w:spacing w:line="360" w:lineRule="atLeast"/>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开标时间和</w:t>
            </w:r>
            <w:r>
              <w:rPr>
                <w:rFonts w:hint="eastAsia" w:ascii="黑体" w:hAnsi="黑体" w:eastAsia="黑体" w:cs="黑体"/>
                <w:color w:val="auto"/>
                <w:szCs w:val="21"/>
                <w:highlight w:val="none"/>
                <w:lang w:val="en-US" w:eastAsia="zh-CN"/>
              </w:rPr>
              <w:t>网址</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48B3B584">
            <w:pPr>
              <w:rPr>
                <w:rFonts w:hint="eastAsia" w:ascii="黑体" w:hAnsi="黑体" w:eastAsia="黑体" w:cs="黑体"/>
                <w:b w:val="0"/>
                <w:bCs/>
                <w:color w:val="auto"/>
                <w:highlight w:val="none"/>
              </w:rPr>
            </w:pPr>
            <w:r>
              <w:rPr>
                <w:rFonts w:hint="eastAsia" w:ascii="黑体" w:hAnsi="黑体" w:eastAsia="黑体" w:cs="黑体"/>
                <w:b w:val="0"/>
                <w:bCs/>
                <w:color w:val="auto"/>
                <w:highlight w:val="none"/>
              </w:rPr>
              <w:t>开标时间：同投标截止时间</w:t>
            </w:r>
          </w:p>
          <w:p w14:paraId="6D60807F">
            <w:pPr>
              <w:rPr>
                <w:rFonts w:hint="eastAsia" w:ascii="黑体" w:hAnsi="黑体" w:eastAsia="黑体" w:cs="黑体"/>
                <w:b w:val="0"/>
                <w:bCs/>
                <w:color w:val="auto"/>
                <w:highlight w:val="none"/>
                <w:u w:val="single"/>
                <w:lang w:eastAsia="zh-CN"/>
              </w:rPr>
            </w:pPr>
            <w:r>
              <w:rPr>
                <w:rFonts w:hint="eastAsia" w:ascii="黑体" w:hAnsi="黑体" w:eastAsia="黑体" w:cs="黑体"/>
                <w:b w:val="0"/>
                <w:bCs/>
                <w:color w:val="auto"/>
                <w:highlight w:val="none"/>
              </w:rPr>
              <w:t>开标地点：</w:t>
            </w:r>
            <w:r>
              <w:rPr>
                <w:rFonts w:hint="eastAsia" w:ascii="黑体" w:hAnsi="黑体" w:eastAsia="黑体" w:cs="黑体"/>
                <w:b w:val="0"/>
                <w:bCs/>
                <w:color w:val="auto"/>
                <w:highlight w:val="none"/>
                <w:u w:val="single"/>
                <w:lang w:eastAsia="zh-CN"/>
              </w:rPr>
              <w:t>本项目采用不见面开标方式，投标人自行登录不见面开标大厅参与开标。</w:t>
            </w:r>
            <w:r>
              <w:rPr>
                <w:rFonts w:hint="eastAsia" w:ascii="黑体" w:hAnsi="黑体" w:eastAsia="黑体" w:cs="黑体"/>
                <w:b w:val="0"/>
                <w:bCs/>
                <w:color w:val="auto"/>
                <w:highlight w:val="none"/>
                <w:u w:val="single"/>
                <w:lang w:val="en-US" w:eastAsia="zh-CN"/>
              </w:rPr>
              <w:t xml:space="preserve">登录内蒙古自治区不见面开标大厅” </w:t>
            </w:r>
          </w:p>
          <w:p w14:paraId="04FC02FB">
            <w:pPr>
              <w:rPr>
                <w:rFonts w:hint="eastAsia" w:ascii="黑体" w:hAnsi="黑体" w:eastAsia="黑体" w:cs="黑体"/>
                <w:b w:val="0"/>
                <w:bCs/>
                <w:color w:val="auto"/>
                <w:highlight w:val="none"/>
                <w:u w:val="single"/>
                <w:lang w:val="en-US" w:eastAsia="zh-CN"/>
              </w:rPr>
            </w:pPr>
            <w:r>
              <w:rPr>
                <w:rFonts w:hint="eastAsia" w:ascii="黑体" w:hAnsi="黑体" w:eastAsia="黑体" w:cs="黑体"/>
                <w:b w:val="0"/>
                <w:bCs/>
                <w:color w:val="auto"/>
                <w:highlight w:val="none"/>
                <w:u w:val="single"/>
                <w:lang w:val="en-US" w:eastAsia="zh-CN"/>
              </w:rPr>
              <w:t>（https://219.148.175.179:9443/BidOpening）</w:t>
            </w:r>
          </w:p>
          <w:p w14:paraId="1BF3B90A">
            <w:pPr>
              <w:keepNext w:val="0"/>
              <w:keepLines w:val="0"/>
              <w:pageBreakBefore w:val="0"/>
              <w:widowControl w:val="0"/>
              <w:kinsoku w:val="0"/>
              <w:wordWrap w:val="0"/>
              <w:overflowPunct/>
              <w:topLinePunct w:val="0"/>
              <w:autoSpaceDE/>
              <w:autoSpaceDN/>
              <w:bidi w:val="0"/>
              <w:adjustRightInd/>
              <w:snapToGrid/>
              <w:textAlignment w:val="auto"/>
              <w:rPr>
                <w:rFonts w:hint="eastAsia" w:ascii="黑体" w:hAnsi="黑体" w:eastAsia="黑体" w:cs="黑体"/>
                <w:b w:val="0"/>
                <w:bCs/>
                <w:color w:val="auto"/>
                <w:highlight w:val="none"/>
                <w:lang w:val="en-US" w:eastAsia="zh-CN"/>
              </w:rPr>
            </w:pPr>
            <w:r>
              <w:rPr>
                <w:rFonts w:hint="eastAsia" w:ascii="黑体" w:hAnsi="黑体" w:eastAsia="黑体" w:cs="黑体"/>
                <w:b w:val="0"/>
                <w:bCs/>
                <w:color w:val="auto"/>
                <w:highlight w:val="none"/>
                <w:lang w:val="en-US" w:eastAsia="zh-CN"/>
              </w:rPr>
              <w:t xml:space="preserve">注：在开标时间前，安装好数字证书驱动程序，提前登录内蒙古自治区不见面开标大厅” </w:t>
            </w:r>
          </w:p>
          <w:p w14:paraId="27FD4E6E">
            <w:pPr>
              <w:rPr>
                <w:rFonts w:hint="eastAsia" w:ascii="黑体" w:hAnsi="黑体" w:eastAsia="黑体" w:cs="黑体"/>
                <w:b w:val="0"/>
                <w:bCs/>
                <w:color w:val="auto"/>
                <w:highlight w:val="none"/>
              </w:rPr>
            </w:pPr>
            <w:r>
              <w:rPr>
                <w:rFonts w:hint="eastAsia" w:ascii="黑体" w:hAnsi="黑体" w:eastAsia="黑体" w:cs="黑体"/>
                <w:b w:val="0"/>
                <w:bCs/>
                <w:color w:val="auto"/>
                <w:highlight w:val="none"/>
                <w:lang w:val="en-US" w:eastAsia="zh-CN"/>
              </w:rPr>
              <w:t>（https://219.148.175.179:9443/BidOpening），在线上开标页面，按照操作视频完成开标程序。</w:t>
            </w:r>
          </w:p>
          <w:p w14:paraId="0297CE92">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b w:val="0"/>
                <w:bCs/>
                <w:color w:val="auto"/>
                <w:highlight w:val="none"/>
                <w:lang w:val="en-US" w:eastAsia="zh-CN"/>
              </w:rPr>
              <w:t>招标（采购）人代表、监标人需携带本人身份证和招标（采购）人数字证书到达开标现场参加开标。招标（采购）代理机构工作人员需携带本人身份证和招标（采购）代理机构数字证书到达开标现场参加开标，投标人代表无需到达开标现场，登录公共资源电子交易平台全程在线开标（不见面开标）。</w:t>
            </w:r>
          </w:p>
        </w:tc>
      </w:tr>
      <w:tr w14:paraId="13A20E6D">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5ABFD746">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5.2.</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1AA3B20C">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开标程序</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06C8819B">
            <w:pPr>
              <w:shd w:val="clear" w:color="auto" w:fill="auto"/>
              <w:spacing w:line="360" w:lineRule="atLeast"/>
              <w:rPr>
                <w:rFonts w:hint="eastAsia" w:ascii="黑体" w:hAnsi="黑体" w:eastAsia="黑体" w:cs="黑体"/>
                <w:color w:val="auto"/>
                <w:szCs w:val="21"/>
                <w:highlight w:val="none"/>
                <w:lang w:val="en-US" w:eastAsia="zh-CN"/>
              </w:rPr>
            </w:pPr>
            <w:r>
              <w:rPr>
                <w:rFonts w:hint="eastAsia" w:ascii="黑体" w:hAnsi="黑体" w:eastAsia="黑体" w:cs="黑体"/>
                <w:b/>
                <w:bCs/>
                <w:color w:val="auto"/>
                <w:szCs w:val="21"/>
                <w:highlight w:val="none"/>
                <w:lang w:val="en-US" w:eastAsia="zh-CN"/>
              </w:rPr>
              <w:t>开标程序按照电子交易系统程序进行，具体程序如下：</w:t>
            </w:r>
          </w:p>
          <w:p w14:paraId="72EB9960">
            <w:pPr>
              <w:pStyle w:val="21"/>
              <w:ind w:left="0" w:leftChars="0" w:firstLine="0" w:firstLineChars="0"/>
              <w:rPr>
                <w:rFonts w:hint="eastAsia" w:ascii="黑体" w:hAnsi="黑体" w:eastAsia="黑体" w:cs="黑体"/>
                <w:b/>
                <w:bCs/>
                <w:highlight w:val="none"/>
                <w:lang w:val="en-US" w:eastAsia="zh-CN"/>
              </w:rPr>
            </w:pPr>
            <w:r>
              <w:rPr>
                <w:rFonts w:hint="eastAsia" w:ascii="黑体" w:hAnsi="黑体" w:eastAsia="黑体" w:cs="黑体"/>
                <w:b/>
                <w:bCs/>
                <w:color w:val="auto"/>
                <w:szCs w:val="21"/>
                <w:highlight w:val="none"/>
              </w:rPr>
              <w:t>第一个信封（商务及技术文件） 开标程序</w:t>
            </w:r>
            <w:r>
              <w:rPr>
                <w:rFonts w:hint="eastAsia" w:ascii="黑体" w:hAnsi="黑体" w:eastAsia="黑体" w:cs="黑体"/>
                <w:b/>
                <w:bCs/>
                <w:color w:val="auto"/>
                <w:szCs w:val="21"/>
                <w:highlight w:val="none"/>
                <w:lang w:eastAsia="zh-CN"/>
              </w:rPr>
              <w:t>：</w:t>
            </w:r>
          </w:p>
          <w:p w14:paraId="00DEECC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val="0"/>
                <w:bCs w:val="0"/>
                <w:color w:val="auto"/>
                <w:szCs w:val="21"/>
                <w:highlight w:val="none"/>
                <w:u w:val="single"/>
              </w:rPr>
            </w:pPr>
            <w:r>
              <w:rPr>
                <w:rFonts w:hint="eastAsia" w:ascii="黑体" w:hAnsi="黑体" w:eastAsia="黑体" w:cs="黑体"/>
                <w:b w:val="0"/>
                <w:bCs w:val="0"/>
                <w:color w:val="auto"/>
                <w:szCs w:val="21"/>
                <w:highlight w:val="none"/>
                <w:u w:val="single"/>
              </w:rPr>
              <w:t>主持人按下列程序对投标文件第一个信封（商务及技术文件）进行开标：</w:t>
            </w:r>
          </w:p>
          <w:p w14:paraId="0E891CE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val="0"/>
                <w:bCs w:val="0"/>
                <w:color w:val="auto"/>
                <w:szCs w:val="21"/>
                <w:highlight w:val="none"/>
                <w:u w:val="none"/>
              </w:rPr>
            </w:pPr>
            <w:r>
              <w:rPr>
                <w:rFonts w:hint="eastAsia" w:ascii="黑体" w:hAnsi="黑体" w:eastAsia="黑体" w:cs="黑体"/>
                <w:b w:val="0"/>
                <w:bCs w:val="0"/>
                <w:color w:val="auto"/>
                <w:szCs w:val="21"/>
                <w:highlight w:val="none"/>
                <w:u w:val="none"/>
              </w:rPr>
              <w:t>（</w:t>
            </w:r>
            <w:r>
              <w:rPr>
                <w:rFonts w:hint="eastAsia" w:ascii="黑体" w:hAnsi="黑体" w:eastAsia="黑体" w:cs="黑体"/>
                <w:b w:val="0"/>
                <w:bCs w:val="0"/>
                <w:color w:val="auto"/>
                <w:szCs w:val="21"/>
                <w:highlight w:val="none"/>
                <w:u w:val="none"/>
                <w:lang w:val="en-US" w:eastAsia="zh-CN"/>
              </w:rPr>
              <w:t>1</w:t>
            </w:r>
            <w:r>
              <w:rPr>
                <w:rFonts w:hint="eastAsia" w:ascii="黑体" w:hAnsi="黑体" w:eastAsia="黑体" w:cs="黑体"/>
                <w:b w:val="0"/>
                <w:bCs w:val="0"/>
                <w:color w:val="auto"/>
                <w:szCs w:val="21"/>
                <w:highlight w:val="none"/>
                <w:u w:val="none"/>
              </w:rPr>
              <w:t>）</w:t>
            </w:r>
            <w:r>
              <w:rPr>
                <w:rFonts w:hint="eastAsia" w:ascii="黑体" w:hAnsi="黑体" w:eastAsia="黑体" w:cs="黑体"/>
                <w:b w:val="0"/>
                <w:bCs w:val="0"/>
                <w:color w:val="auto"/>
                <w:szCs w:val="21"/>
                <w:highlight w:val="none"/>
                <w:u w:val="single"/>
              </w:rPr>
              <w:t>宣布开标纪律；</w:t>
            </w:r>
          </w:p>
          <w:p w14:paraId="2F2D2A8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val="0"/>
                <w:bCs w:val="0"/>
                <w:color w:val="auto"/>
                <w:szCs w:val="21"/>
                <w:highlight w:val="none"/>
                <w:u w:val="single"/>
              </w:rPr>
            </w:pPr>
            <w:r>
              <w:rPr>
                <w:rFonts w:hint="eastAsia" w:ascii="黑体" w:hAnsi="黑体" w:eastAsia="黑体" w:cs="黑体"/>
                <w:b w:val="0"/>
                <w:bCs w:val="0"/>
                <w:color w:val="auto"/>
                <w:szCs w:val="21"/>
                <w:highlight w:val="none"/>
                <w:u w:val="none"/>
              </w:rPr>
              <w:t>（</w:t>
            </w:r>
            <w:r>
              <w:rPr>
                <w:rFonts w:hint="eastAsia" w:ascii="黑体" w:hAnsi="黑体" w:eastAsia="黑体" w:cs="黑体"/>
                <w:b w:val="0"/>
                <w:bCs w:val="0"/>
                <w:color w:val="auto"/>
                <w:szCs w:val="21"/>
                <w:highlight w:val="none"/>
                <w:u w:val="none"/>
                <w:lang w:val="en-US" w:eastAsia="zh-CN"/>
              </w:rPr>
              <w:t>2</w:t>
            </w:r>
            <w:r>
              <w:rPr>
                <w:rFonts w:hint="eastAsia" w:ascii="黑体" w:hAnsi="黑体" w:eastAsia="黑体" w:cs="黑体"/>
                <w:b w:val="0"/>
                <w:bCs w:val="0"/>
                <w:color w:val="auto"/>
                <w:szCs w:val="21"/>
                <w:highlight w:val="none"/>
                <w:u w:val="none"/>
              </w:rPr>
              <w:t>）</w:t>
            </w:r>
            <w:r>
              <w:rPr>
                <w:rFonts w:hint="eastAsia" w:ascii="黑体" w:hAnsi="黑体" w:eastAsia="黑体" w:cs="黑体"/>
                <w:b w:val="0"/>
                <w:bCs w:val="0"/>
                <w:color w:val="auto"/>
                <w:szCs w:val="21"/>
                <w:highlight w:val="none"/>
                <w:u w:val="single"/>
              </w:rPr>
              <w:t>公布在投标截止时间前递交投标文件的投标人数量；</w:t>
            </w:r>
          </w:p>
          <w:p w14:paraId="1934871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val="0"/>
                <w:bCs w:val="0"/>
                <w:color w:val="auto"/>
                <w:szCs w:val="21"/>
                <w:highlight w:val="none"/>
                <w:u w:val="single"/>
                <w:lang w:val="zh-TW"/>
              </w:rPr>
            </w:pPr>
            <w:r>
              <w:rPr>
                <w:rFonts w:hint="eastAsia" w:ascii="黑体" w:hAnsi="黑体" w:eastAsia="黑体" w:cs="黑体"/>
                <w:b w:val="0"/>
                <w:bCs w:val="0"/>
                <w:color w:val="auto"/>
                <w:szCs w:val="21"/>
                <w:highlight w:val="none"/>
                <w:u w:val="none"/>
              </w:rPr>
              <w:t>（</w:t>
            </w:r>
            <w:r>
              <w:rPr>
                <w:rFonts w:hint="eastAsia" w:ascii="黑体" w:hAnsi="黑体" w:eastAsia="黑体" w:cs="黑体"/>
                <w:b w:val="0"/>
                <w:bCs w:val="0"/>
                <w:color w:val="auto"/>
                <w:szCs w:val="21"/>
                <w:highlight w:val="none"/>
                <w:u w:val="none"/>
                <w:lang w:val="en-US" w:eastAsia="zh-CN"/>
              </w:rPr>
              <w:t>3</w:t>
            </w:r>
            <w:r>
              <w:rPr>
                <w:rFonts w:hint="eastAsia" w:ascii="黑体" w:hAnsi="黑体" w:eastAsia="黑体" w:cs="黑体"/>
                <w:b w:val="0"/>
                <w:bCs w:val="0"/>
                <w:color w:val="auto"/>
                <w:szCs w:val="21"/>
                <w:highlight w:val="none"/>
                <w:u w:val="none"/>
              </w:rPr>
              <w:t>）</w:t>
            </w:r>
            <w:r>
              <w:rPr>
                <w:rFonts w:hint="eastAsia" w:ascii="黑体" w:hAnsi="黑体" w:eastAsia="黑体" w:cs="黑体"/>
                <w:b w:val="0"/>
                <w:bCs w:val="0"/>
                <w:color w:val="auto"/>
                <w:szCs w:val="21"/>
                <w:highlight w:val="none"/>
                <w:u w:val="single"/>
              </w:rPr>
              <w:t>公布标段名称、投标保证金的递交情况；</w:t>
            </w:r>
          </w:p>
          <w:p w14:paraId="6ECC5AB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val="0"/>
                <w:bCs w:val="0"/>
                <w:color w:val="auto"/>
                <w:szCs w:val="21"/>
                <w:highlight w:val="none"/>
                <w:u w:val="single"/>
              </w:rPr>
            </w:pPr>
            <w:r>
              <w:rPr>
                <w:rFonts w:hint="eastAsia" w:ascii="黑体" w:hAnsi="黑体" w:eastAsia="黑体" w:cs="黑体"/>
                <w:b w:val="0"/>
                <w:bCs w:val="0"/>
                <w:color w:val="auto"/>
                <w:szCs w:val="21"/>
                <w:highlight w:val="none"/>
                <w:u w:val="none"/>
              </w:rPr>
              <w:t>（</w:t>
            </w:r>
            <w:r>
              <w:rPr>
                <w:rFonts w:hint="eastAsia" w:ascii="黑体" w:hAnsi="黑体" w:eastAsia="黑体" w:cs="黑体"/>
                <w:b w:val="0"/>
                <w:bCs w:val="0"/>
                <w:color w:val="auto"/>
                <w:szCs w:val="21"/>
                <w:highlight w:val="none"/>
                <w:u w:val="none"/>
                <w:lang w:val="en-US" w:eastAsia="zh-CN"/>
              </w:rPr>
              <w:t>4</w:t>
            </w:r>
            <w:r>
              <w:rPr>
                <w:rFonts w:hint="eastAsia" w:ascii="黑体" w:hAnsi="黑体" w:eastAsia="黑体" w:cs="黑体"/>
                <w:b w:val="0"/>
                <w:bCs w:val="0"/>
                <w:color w:val="auto"/>
                <w:szCs w:val="21"/>
                <w:highlight w:val="none"/>
                <w:u w:val="none"/>
              </w:rPr>
              <w:t>）</w:t>
            </w:r>
            <w:r>
              <w:rPr>
                <w:rFonts w:hint="eastAsia" w:ascii="黑体" w:hAnsi="黑体" w:eastAsia="黑体" w:cs="黑体"/>
                <w:b w:val="0"/>
                <w:bCs w:val="0"/>
                <w:color w:val="auto"/>
                <w:szCs w:val="21"/>
                <w:highlight w:val="none"/>
                <w:u w:val="single"/>
              </w:rPr>
              <w:t>解密</w:t>
            </w:r>
            <w:r>
              <w:rPr>
                <w:rFonts w:hint="eastAsia" w:ascii="黑体" w:hAnsi="黑体" w:eastAsia="黑体" w:cs="黑体"/>
                <w:b w:val="0"/>
                <w:bCs w:val="0"/>
                <w:color w:val="auto"/>
                <w:szCs w:val="21"/>
                <w:highlight w:val="none"/>
                <w:u w:val="single"/>
                <w:lang w:val="en-US" w:eastAsia="zh-CN"/>
              </w:rPr>
              <w:t>第一信封</w:t>
            </w:r>
            <w:r>
              <w:rPr>
                <w:rFonts w:hint="eastAsia" w:ascii="黑体" w:hAnsi="黑体" w:eastAsia="黑体" w:cs="黑体"/>
                <w:b w:val="0"/>
                <w:bCs w:val="0"/>
                <w:color w:val="auto"/>
                <w:szCs w:val="21"/>
                <w:highlight w:val="none"/>
                <w:u w:val="single"/>
              </w:rPr>
              <w:t>加密投标文件</w:t>
            </w:r>
            <w:r>
              <w:rPr>
                <w:rFonts w:hint="eastAsia" w:ascii="黑体" w:hAnsi="黑体" w:eastAsia="黑体" w:cs="黑体"/>
                <w:b w:val="0"/>
                <w:bCs w:val="0"/>
                <w:color w:val="auto"/>
                <w:szCs w:val="21"/>
                <w:highlight w:val="none"/>
                <w:u w:val="single"/>
                <w:lang w:eastAsia="zh-CN"/>
              </w:rPr>
              <w:t>（</w:t>
            </w:r>
            <w:r>
              <w:rPr>
                <w:rFonts w:hint="eastAsia" w:ascii="黑体" w:hAnsi="黑体" w:eastAsia="黑体" w:cs="黑体"/>
                <w:b w:val="0"/>
                <w:bCs w:val="0"/>
                <w:color w:val="auto"/>
                <w:szCs w:val="21"/>
                <w:highlight w:val="none"/>
                <w:u w:val="single"/>
                <w:lang w:val="en-US" w:eastAsia="zh-CN"/>
              </w:rPr>
              <w:t>投标人解密时间为各标段开标后30分钟内。因投标人自身原因未能按时解密的，责任由投标人自行承担</w:t>
            </w:r>
            <w:r>
              <w:rPr>
                <w:rFonts w:hint="eastAsia" w:ascii="黑体" w:hAnsi="黑体" w:eastAsia="黑体" w:cs="黑体"/>
                <w:b w:val="0"/>
                <w:bCs w:val="0"/>
                <w:color w:val="auto"/>
                <w:szCs w:val="21"/>
                <w:highlight w:val="none"/>
                <w:u w:val="single"/>
                <w:lang w:eastAsia="zh-CN"/>
              </w:rPr>
              <w:t>）</w:t>
            </w:r>
            <w:r>
              <w:rPr>
                <w:rFonts w:hint="eastAsia" w:ascii="黑体" w:hAnsi="黑体" w:eastAsia="黑体" w:cs="黑体"/>
                <w:b w:val="0"/>
                <w:bCs w:val="0"/>
                <w:color w:val="auto"/>
                <w:szCs w:val="21"/>
                <w:highlight w:val="none"/>
                <w:u w:val="single"/>
              </w:rPr>
              <w:t>；</w:t>
            </w:r>
          </w:p>
          <w:p w14:paraId="3BB79B7E">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黑体" w:hAnsi="黑体" w:eastAsia="黑体" w:cs="黑体"/>
                <w:b w:val="0"/>
                <w:bCs w:val="0"/>
                <w:color w:val="auto"/>
                <w:szCs w:val="21"/>
                <w:highlight w:val="none"/>
                <w:lang w:val="en-US" w:eastAsia="zh-CN"/>
              </w:rPr>
            </w:pPr>
            <w:r>
              <w:rPr>
                <w:rFonts w:hint="eastAsia" w:ascii="黑体" w:hAnsi="黑体" w:eastAsia="黑体" w:cs="黑体"/>
                <w:b w:val="0"/>
                <w:bCs w:val="0"/>
                <w:color w:val="auto"/>
                <w:szCs w:val="21"/>
                <w:highlight w:val="none"/>
                <w:u w:val="none"/>
              </w:rPr>
              <w:t>（</w:t>
            </w:r>
            <w:r>
              <w:rPr>
                <w:rFonts w:hint="eastAsia" w:ascii="黑体" w:hAnsi="黑体" w:eastAsia="黑体" w:cs="黑体"/>
                <w:b w:val="0"/>
                <w:bCs w:val="0"/>
                <w:color w:val="auto"/>
                <w:szCs w:val="21"/>
                <w:highlight w:val="none"/>
                <w:u w:val="none"/>
                <w:lang w:val="en-US" w:eastAsia="zh-CN"/>
              </w:rPr>
              <w:t>5</w:t>
            </w:r>
            <w:r>
              <w:rPr>
                <w:rFonts w:hint="eastAsia" w:ascii="黑体" w:hAnsi="黑体" w:eastAsia="黑体" w:cs="黑体"/>
                <w:b w:val="0"/>
                <w:bCs w:val="0"/>
                <w:color w:val="auto"/>
                <w:szCs w:val="21"/>
                <w:highlight w:val="none"/>
                <w:u w:val="none"/>
              </w:rPr>
              <w:t>）</w:t>
            </w:r>
            <w:r>
              <w:rPr>
                <w:rFonts w:hint="eastAsia" w:ascii="黑体" w:hAnsi="黑体" w:eastAsia="黑体" w:cs="黑体"/>
                <w:b w:val="0"/>
                <w:bCs w:val="0"/>
                <w:color w:val="auto"/>
                <w:szCs w:val="21"/>
                <w:highlight w:val="none"/>
                <w:u w:val="single"/>
              </w:rPr>
              <w:t>导入并读取所有解密成功的投标文件第一信封（商务及技术文件）的内容；</w:t>
            </w:r>
          </w:p>
          <w:p w14:paraId="7BE95FA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val="0"/>
                <w:bCs w:val="0"/>
                <w:color w:val="auto"/>
                <w:szCs w:val="21"/>
                <w:highlight w:val="none"/>
                <w:u w:val="single"/>
              </w:rPr>
            </w:pPr>
            <w:r>
              <w:rPr>
                <w:rFonts w:hint="eastAsia" w:ascii="黑体" w:hAnsi="黑体" w:eastAsia="黑体" w:cs="黑体"/>
                <w:b w:val="0"/>
                <w:bCs w:val="0"/>
                <w:color w:val="auto"/>
                <w:szCs w:val="21"/>
                <w:highlight w:val="none"/>
                <w:u w:val="none"/>
              </w:rPr>
              <w:t>（</w:t>
            </w:r>
            <w:r>
              <w:rPr>
                <w:rFonts w:hint="eastAsia" w:ascii="黑体" w:hAnsi="黑体" w:eastAsia="黑体" w:cs="黑体"/>
                <w:b w:val="0"/>
                <w:bCs w:val="0"/>
                <w:color w:val="auto"/>
                <w:szCs w:val="21"/>
                <w:highlight w:val="none"/>
                <w:u w:val="none"/>
                <w:lang w:val="en-US" w:eastAsia="zh-CN"/>
              </w:rPr>
              <w:t>6</w:t>
            </w:r>
            <w:r>
              <w:rPr>
                <w:rFonts w:hint="eastAsia" w:ascii="黑体" w:hAnsi="黑体" w:eastAsia="黑体" w:cs="黑体"/>
                <w:b w:val="0"/>
                <w:bCs w:val="0"/>
                <w:color w:val="auto"/>
                <w:szCs w:val="21"/>
                <w:highlight w:val="none"/>
                <w:u w:val="none"/>
              </w:rPr>
              <w:t>）</w:t>
            </w:r>
            <w:r>
              <w:rPr>
                <w:rFonts w:hint="eastAsia" w:ascii="黑体" w:hAnsi="黑体" w:eastAsia="黑体" w:cs="黑体"/>
                <w:b w:val="0"/>
                <w:bCs w:val="0"/>
                <w:color w:val="auto"/>
                <w:szCs w:val="21"/>
                <w:highlight w:val="none"/>
                <w:u w:val="single"/>
              </w:rPr>
              <w:t>开标结束。</w:t>
            </w:r>
          </w:p>
          <w:p w14:paraId="2B6BE208">
            <w:pPr>
              <w:tabs>
                <w:tab w:val="left" w:pos="5640"/>
              </w:tabs>
              <w:spacing w:line="380" w:lineRule="exact"/>
              <w:rPr>
                <w:rFonts w:hint="eastAsia" w:ascii="黑体" w:hAnsi="黑体" w:eastAsia="黑体" w:cs="黑体"/>
                <w:b w:val="0"/>
                <w:bCs w:val="0"/>
                <w:color w:val="auto"/>
                <w:szCs w:val="21"/>
                <w:highlight w:val="none"/>
                <w:u w:val="none"/>
                <w:lang w:eastAsia="zh-CN"/>
              </w:rPr>
            </w:pPr>
            <w:r>
              <w:rPr>
                <w:rFonts w:hint="eastAsia" w:ascii="黑体" w:hAnsi="黑体" w:eastAsia="黑体" w:cs="黑体"/>
                <w:b w:val="0"/>
                <w:bCs w:val="0"/>
                <w:color w:val="auto"/>
                <w:szCs w:val="21"/>
                <w:highlight w:val="none"/>
                <w:u w:val="none"/>
                <w:lang w:eastAsia="zh-CN"/>
              </w:rPr>
              <w:t>备注：</w:t>
            </w:r>
          </w:p>
          <w:p w14:paraId="779B2F6E">
            <w:pPr>
              <w:tabs>
                <w:tab w:val="left" w:pos="5640"/>
              </w:tabs>
              <w:spacing w:line="380" w:lineRule="exact"/>
              <w:rPr>
                <w:rFonts w:hint="eastAsia" w:ascii="黑体" w:hAnsi="黑体" w:eastAsia="黑体" w:cs="黑体"/>
                <w:b w:val="0"/>
                <w:bCs w:val="0"/>
                <w:color w:val="auto"/>
                <w:szCs w:val="21"/>
                <w:highlight w:val="none"/>
                <w:u w:val="single"/>
                <w:lang w:eastAsia="zh-CN"/>
              </w:rPr>
            </w:pPr>
            <w:r>
              <w:rPr>
                <w:rFonts w:hint="eastAsia" w:ascii="黑体" w:hAnsi="黑体" w:eastAsia="黑体" w:cs="黑体"/>
                <w:b w:val="0"/>
                <w:bCs w:val="0"/>
                <w:color w:val="auto"/>
                <w:szCs w:val="21"/>
                <w:highlight w:val="none"/>
                <w:u w:val="single"/>
                <w:lang w:eastAsia="zh-CN"/>
              </w:rPr>
              <w:t>1、投标人在投标截止时间前，自行登录不见面开标大厅，按照操作手册及系统提示完成开标前签到。</w:t>
            </w:r>
          </w:p>
          <w:p w14:paraId="42BFEDC8">
            <w:pPr>
              <w:tabs>
                <w:tab w:val="left" w:pos="5640"/>
              </w:tabs>
              <w:spacing w:line="380" w:lineRule="exact"/>
              <w:rPr>
                <w:rFonts w:hint="eastAsia" w:ascii="黑体" w:hAnsi="黑体" w:eastAsia="黑体" w:cs="黑体"/>
                <w:b w:val="0"/>
                <w:bCs w:val="0"/>
                <w:color w:val="auto"/>
                <w:szCs w:val="21"/>
                <w:highlight w:val="none"/>
                <w:u w:val="single"/>
              </w:rPr>
            </w:pPr>
            <w:r>
              <w:rPr>
                <w:rFonts w:hint="eastAsia" w:ascii="黑体" w:hAnsi="黑体" w:eastAsia="黑体" w:cs="黑体"/>
                <w:b w:val="0"/>
                <w:bCs w:val="0"/>
                <w:color w:val="auto"/>
                <w:szCs w:val="21"/>
                <w:highlight w:val="none"/>
                <w:u w:val="single"/>
                <w:lang w:val="en-US" w:eastAsia="zh-CN"/>
              </w:rPr>
              <w:t>2</w:t>
            </w:r>
            <w:r>
              <w:rPr>
                <w:rFonts w:hint="eastAsia" w:ascii="黑体" w:hAnsi="黑体" w:eastAsia="黑体" w:cs="黑体"/>
                <w:b w:val="0"/>
                <w:bCs w:val="0"/>
                <w:color w:val="auto"/>
                <w:szCs w:val="21"/>
                <w:highlight w:val="none"/>
                <w:u w:val="single"/>
              </w:rPr>
              <w:t>、招标人代表在开标现场应首先在开标系统内查询、审核确认投标人保证金是否按照招标公告（文件）规定的形式和金额递交。投标保证金审查确认合格的投标人方可自行在开标</w:t>
            </w:r>
            <w:r>
              <w:rPr>
                <w:rFonts w:hint="eastAsia" w:ascii="黑体" w:hAnsi="黑体" w:eastAsia="黑体" w:cs="黑体"/>
                <w:b w:val="0"/>
                <w:bCs w:val="0"/>
                <w:color w:val="auto"/>
                <w:szCs w:val="21"/>
                <w:highlight w:val="none"/>
                <w:u w:val="single"/>
                <w:lang w:val="en-US" w:eastAsia="zh-CN"/>
              </w:rPr>
              <w:t>系统内</w:t>
            </w:r>
            <w:r>
              <w:rPr>
                <w:rFonts w:hint="eastAsia" w:ascii="黑体" w:hAnsi="黑体" w:eastAsia="黑体" w:cs="黑体"/>
                <w:b w:val="0"/>
                <w:bCs w:val="0"/>
                <w:color w:val="auto"/>
                <w:szCs w:val="21"/>
                <w:highlight w:val="none"/>
                <w:u w:val="single"/>
              </w:rPr>
              <w:t>以各自的用户名和数字证书共同解密合格投标人的加密投标文件，系统自动提取投标人上传并解密后的投标文件。</w:t>
            </w:r>
          </w:p>
          <w:p w14:paraId="5048F47C">
            <w:pPr>
              <w:pStyle w:val="21"/>
              <w:ind w:left="0" w:leftChars="0" w:firstLine="0" w:firstLineChars="0"/>
              <w:rPr>
                <w:rFonts w:hint="eastAsia" w:ascii="黑体" w:hAnsi="黑体" w:eastAsia="黑体" w:cs="黑体"/>
                <w:b w:val="0"/>
                <w:bCs w:val="0"/>
                <w:color w:val="auto"/>
                <w:szCs w:val="21"/>
                <w:highlight w:val="none"/>
                <w:u w:val="single"/>
                <w:lang w:val="zh-TW" w:eastAsia="zh-CN"/>
              </w:rPr>
            </w:pPr>
            <w:r>
              <w:rPr>
                <w:rFonts w:hint="eastAsia" w:ascii="黑体" w:hAnsi="黑体" w:eastAsia="黑体" w:cs="黑体"/>
                <w:b w:val="0"/>
                <w:bCs w:val="0"/>
                <w:color w:val="auto"/>
                <w:sz w:val="21"/>
                <w:szCs w:val="21"/>
                <w:highlight w:val="none"/>
                <w:lang w:val="en-US" w:eastAsia="zh-CN"/>
              </w:rPr>
              <w:t>3</w:t>
            </w:r>
            <w:r>
              <w:rPr>
                <w:rFonts w:hint="eastAsia" w:ascii="黑体" w:hAnsi="黑体" w:eastAsia="黑体" w:cs="黑体"/>
                <w:b w:val="0"/>
                <w:bCs w:val="0"/>
                <w:color w:val="auto"/>
                <w:sz w:val="21"/>
                <w:szCs w:val="21"/>
                <w:highlight w:val="none"/>
              </w:rPr>
              <w:t>、</w:t>
            </w:r>
            <w:r>
              <w:rPr>
                <w:rFonts w:hint="eastAsia" w:ascii="黑体" w:hAnsi="黑体" w:eastAsia="黑体" w:cs="黑体"/>
                <w:b w:val="0"/>
                <w:bCs w:val="0"/>
                <w:color w:val="auto"/>
                <w:szCs w:val="21"/>
                <w:highlight w:val="none"/>
                <w:u w:val="single"/>
                <w:lang w:val="zh-TW"/>
              </w:rPr>
              <w:t>开标顺序：按标段的顺序</w:t>
            </w:r>
            <w:r>
              <w:rPr>
                <w:rFonts w:hint="eastAsia" w:ascii="黑体" w:hAnsi="黑体" w:eastAsia="黑体" w:cs="黑体"/>
                <w:b w:val="0"/>
                <w:bCs w:val="0"/>
                <w:color w:val="auto"/>
                <w:szCs w:val="21"/>
                <w:highlight w:val="none"/>
                <w:u w:val="single"/>
                <w:lang w:val="zh-TW" w:eastAsia="zh-CN"/>
              </w:rPr>
              <w:t>。</w:t>
            </w:r>
          </w:p>
          <w:p w14:paraId="2BC5B7D5">
            <w:pPr>
              <w:pStyle w:val="21"/>
              <w:ind w:left="0" w:leftChars="0" w:firstLine="0" w:firstLineChars="0"/>
              <w:rPr>
                <w:rFonts w:hint="eastAsia" w:ascii="黑体" w:hAnsi="黑体" w:eastAsia="黑体" w:cs="黑体"/>
                <w:b/>
                <w:bCs/>
                <w:color w:val="auto"/>
                <w:szCs w:val="21"/>
                <w:highlight w:val="none"/>
                <w:lang w:eastAsia="zh-CN"/>
              </w:rPr>
            </w:pPr>
            <w:r>
              <w:rPr>
                <w:rFonts w:hint="eastAsia" w:ascii="黑体" w:hAnsi="黑体" w:eastAsia="黑体" w:cs="黑体"/>
                <w:b/>
                <w:bCs/>
                <w:color w:val="auto"/>
                <w:szCs w:val="21"/>
                <w:highlight w:val="none"/>
              </w:rPr>
              <w:t>第二个信封（报价文件）开标程序</w:t>
            </w:r>
            <w:r>
              <w:rPr>
                <w:rFonts w:hint="eastAsia" w:ascii="黑体" w:hAnsi="黑体" w:eastAsia="黑体" w:cs="黑体"/>
                <w:b/>
                <w:bCs/>
                <w:color w:val="auto"/>
                <w:szCs w:val="21"/>
                <w:highlight w:val="none"/>
                <w:lang w:eastAsia="zh-CN"/>
              </w:rPr>
              <w:t>：</w:t>
            </w:r>
          </w:p>
          <w:p w14:paraId="6A8B8B9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val="0"/>
                <w:bCs w:val="0"/>
                <w:color w:val="auto"/>
                <w:szCs w:val="21"/>
                <w:highlight w:val="none"/>
                <w:u w:val="single"/>
              </w:rPr>
            </w:pPr>
            <w:r>
              <w:rPr>
                <w:rFonts w:hint="eastAsia" w:ascii="黑体" w:hAnsi="黑体" w:eastAsia="黑体" w:cs="黑体"/>
                <w:b w:val="0"/>
                <w:bCs w:val="0"/>
                <w:color w:val="auto"/>
                <w:szCs w:val="21"/>
                <w:highlight w:val="none"/>
                <w:u w:val="single"/>
              </w:rPr>
              <w:t>招标人将按照本章第5.1款规定的时间和地点对投标文件第二个信封（报价文件）进行开标。主持人按下列程序进行开标：</w:t>
            </w:r>
          </w:p>
          <w:p w14:paraId="6ECF14E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val="0"/>
                <w:bCs w:val="0"/>
                <w:color w:val="auto"/>
                <w:szCs w:val="21"/>
                <w:highlight w:val="none"/>
                <w:u w:val="single"/>
              </w:rPr>
            </w:pPr>
            <w:r>
              <w:rPr>
                <w:rFonts w:hint="eastAsia" w:ascii="黑体" w:hAnsi="黑体" w:eastAsia="黑体" w:cs="黑体"/>
                <w:b w:val="0"/>
                <w:bCs w:val="0"/>
                <w:color w:val="auto"/>
                <w:szCs w:val="21"/>
                <w:highlight w:val="none"/>
                <w:u w:val="none"/>
              </w:rPr>
              <w:t>（1）</w:t>
            </w:r>
            <w:r>
              <w:rPr>
                <w:rFonts w:hint="eastAsia" w:ascii="黑体" w:hAnsi="黑体" w:eastAsia="黑体" w:cs="黑体"/>
                <w:b w:val="0"/>
                <w:bCs w:val="0"/>
                <w:color w:val="auto"/>
                <w:szCs w:val="21"/>
                <w:highlight w:val="none"/>
                <w:u w:val="single"/>
              </w:rPr>
              <w:t>宣布开标纪律；</w:t>
            </w:r>
          </w:p>
          <w:p w14:paraId="7463291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val="0"/>
                <w:bCs w:val="0"/>
                <w:color w:val="auto"/>
                <w:szCs w:val="21"/>
                <w:highlight w:val="none"/>
                <w:u w:val="single"/>
                <w:lang w:val="en-US" w:eastAsia="zh-CN"/>
              </w:rPr>
            </w:pPr>
            <w:r>
              <w:rPr>
                <w:rFonts w:hint="eastAsia" w:ascii="黑体" w:hAnsi="黑体" w:eastAsia="黑体" w:cs="黑体"/>
                <w:b w:val="0"/>
                <w:bCs w:val="0"/>
                <w:color w:val="auto"/>
                <w:szCs w:val="21"/>
                <w:highlight w:val="none"/>
                <w:u w:val="none"/>
              </w:rPr>
              <w:t>（2）</w:t>
            </w:r>
            <w:r>
              <w:rPr>
                <w:rFonts w:hint="eastAsia" w:ascii="黑体" w:hAnsi="黑体" w:eastAsia="黑体" w:cs="黑体"/>
                <w:b w:val="0"/>
                <w:bCs w:val="0"/>
                <w:color w:val="auto"/>
                <w:szCs w:val="21"/>
                <w:highlight w:val="none"/>
                <w:u w:val="single"/>
              </w:rPr>
              <w:t>宣布通过投标文件第一个信封（商务及技术文件）评审的投标人名单</w:t>
            </w:r>
            <w:r>
              <w:rPr>
                <w:rFonts w:hint="eastAsia" w:ascii="黑体" w:hAnsi="黑体" w:eastAsia="黑体" w:cs="黑体"/>
                <w:b w:val="0"/>
                <w:bCs w:val="0"/>
                <w:color w:val="auto"/>
                <w:szCs w:val="21"/>
                <w:highlight w:val="none"/>
                <w:u w:val="single"/>
                <w:lang w:val="en-US" w:eastAsia="zh-CN"/>
              </w:rPr>
              <w:t>；</w:t>
            </w:r>
          </w:p>
          <w:p w14:paraId="1B21AC0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val="0"/>
                <w:bCs w:val="0"/>
                <w:color w:val="auto"/>
                <w:szCs w:val="21"/>
                <w:highlight w:val="none"/>
                <w:u w:val="single"/>
                <w:lang w:val="en-US" w:eastAsia="zh-CN"/>
              </w:rPr>
            </w:pPr>
            <w:r>
              <w:rPr>
                <w:rFonts w:hint="eastAsia" w:ascii="黑体" w:hAnsi="黑体" w:eastAsia="黑体" w:cs="黑体"/>
                <w:b w:val="0"/>
                <w:bCs w:val="0"/>
                <w:color w:val="auto"/>
                <w:szCs w:val="21"/>
                <w:highlight w:val="none"/>
                <w:u w:val="single"/>
                <w:lang w:eastAsia="zh-CN"/>
              </w:rPr>
              <w:t>（</w:t>
            </w:r>
            <w:r>
              <w:rPr>
                <w:rFonts w:hint="eastAsia" w:ascii="黑体" w:hAnsi="黑体" w:eastAsia="黑体" w:cs="黑体"/>
                <w:b w:val="0"/>
                <w:bCs w:val="0"/>
                <w:color w:val="auto"/>
                <w:szCs w:val="21"/>
                <w:highlight w:val="none"/>
                <w:u w:val="single"/>
                <w:lang w:val="en-US" w:eastAsia="zh-CN"/>
              </w:rPr>
              <w:t>3</w:t>
            </w:r>
            <w:r>
              <w:rPr>
                <w:rFonts w:hint="eastAsia" w:ascii="黑体" w:hAnsi="黑体" w:eastAsia="黑体" w:cs="黑体"/>
                <w:b w:val="0"/>
                <w:bCs w:val="0"/>
                <w:color w:val="auto"/>
                <w:szCs w:val="21"/>
                <w:highlight w:val="none"/>
                <w:u w:val="single"/>
                <w:lang w:eastAsia="zh-CN"/>
              </w:rPr>
              <w:t>）</w:t>
            </w:r>
            <w:r>
              <w:rPr>
                <w:rFonts w:hint="eastAsia" w:ascii="黑体" w:hAnsi="黑体" w:eastAsia="黑体" w:cs="黑体"/>
                <w:b w:val="0"/>
                <w:bCs w:val="0"/>
                <w:color w:val="auto"/>
                <w:szCs w:val="21"/>
                <w:highlight w:val="none"/>
                <w:u w:val="single"/>
                <w:lang w:val="en-US" w:eastAsia="zh-CN"/>
              </w:rPr>
              <w:t>第二信封投标文件解密（对通过第一个信封（商务及技术文件）投标人，招标人进行第二个信封的解密（无需投标人解密第二个信封文件））；</w:t>
            </w:r>
          </w:p>
          <w:p w14:paraId="6BF1D41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val="0"/>
                <w:bCs w:val="0"/>
                <w:color w:val="auto"/>
                <w:szCs w:val="21"/>
                <w:highlight w:val="none"/>
                <w:u w:val="single"/>
              </w:rPr>
            </w:pPr>
            <w:r>
              <w:rPr>
                <w:rFonts w:hint="eastAsia" w:ascii="黑体" w:hAnsi="黑体" w:eastAsia="黑体" w:cs="黑体"/>
                <w:b w:val="0"/>
                <w:bCs w:val="0"/>
                <w:color w:val="auto"/>
                <w:szCs w:val="21"/>
                <w:highlight w:val="none"/>
                <w:u w:val="single"/>
              </w:rPr>
              <w:t>（</w:t>
            </w:r>
            <w:r>
              <w:rPr>
                <w:rFonts w:hint="eastAsia" w:ascii="黑体" w:hAnsi="黑体" w:eastAsia="黑体" w:cs="黑体"/>
                <w:b w:val="0"/>
                <w:bCs w:val="0"/>
                <w:color w:val="auto"/>
                <w:szCs w:val="21"/>
                <w:highlight w:val="none"/>
                <w:u w:val="single"/>
                <w:lang w:val="en-US" w:eastAsia="zh-CN"/>
              </w:rPr>
              <w:t>4</w:t>
            </w:r>
            <w:r>
              <w:rPr>
                <w:rFonts w:hint="eastAsia" w:ascii="黑体" w:hAnsi="黑体" w:eastAsia="黑体" w:cs="黑体"/>
                <w:b w:val="0"/>
                <w:bCs w:val="0"/>
                <w:color w:val="auto"/>
                <w:szCs w:val="21"/>
                <w:highlight w:val="none"/>
                <w:u w:val="single"/>
              </w:rPr>
              <w:t>）开标人将所有投标文件第二信封（报价文件）的内容导入“</w:t>
            </w:r>
            <w:r>
              <w:rPr>
                <w:rFonts w:hint="eastAsia" w:ascii="黑体" w:hAnsi="黑体" w:eastAsia="黑体" w:cs="黑体"/>
                <w:b w:val="0"/>
                <w:bCs w:val="0"/>
                <w:color w:val="auto"/>
                <w:spacing w:val="-2"/>
                <w:szCs w:val="21"/>
                <w:highlight w:val="none"/>
                <w:u w:val="single"/>
                <w:lang w:val="en-US" w:eastAsia="zh-CN"/>
              </w:rPr>
              <w:t>内蒙古自治区</w:t>
            </w:r>
            <w:r>
              <w:rPr>
                <w:rFonts w:hint="eastAsia" w:ascii="黑体" w:hAnsi="黑体" w:eastAsia="黑体" w:cs="黑体"/>
                <w:b w:val="0"/>
                <w:bCs w:val="0"/>
                <w:color w:val="auto"/>
                <w:szCs w:val="21"/>
                <w:highlight w:val="none"/>
                <w:u w:val="single"/>
              </w:rPr>
              <w:t>公共资源电子交易平台”的开标评标系统，未通过投标文件第一信封（商务及技术文件）评审的投标人</w:t>
            </w:r>
            <w:r>
              <w:rPr>
                <w:rFonts w:hint="eastAsia" w:ascii="黑体" w:hAnsi="黑体" w:eastAsia="黑体" w:cs="黑体"/>
                <w:b w:val="0"/>
                <w:bCs w:val="0"/>
                <w:color w:val="auto"/>
                <w:szCs w:val="21"/>
                <w:highlight w:val="none"/>
                <w:u w:val="single"/>
                <w:lang w:val="en-US" w:eastAsia="zh-CN"/>
              </w:rPr>
              <w:t>及</w:t>
            </w:r>
            <w:r>
              <w:rPr>
                <w:rFonts w:hint="eastAsia" w:ascii="黑体" w:hAnsi="黑体" w:eastAsia="黑体" w:cs="黑体"/>
                <w:b w:val="0"/>
                <w:bCs w:val="0"/>
                <w:color w:val="auto"/>
                <w:szCs w:val="21"/>
                <w:highlight w:val="none"/>
                <w:u w:val="single"/>
                <w:lang w:eastAsia="zh-CN"/>
              </w:rPr>
              <w:t>未进入排名前三名的</w:t>
            </w:r>
            <w:r>
              <w:rPr>
                <w:rFonts w:hint="eastAsia" w:ascii="黑体" w:hAnsi="黑体" w:eastAsia="黑体" w:cs="黑体"/>
                <w:b w:val="0"/>
                <w:bCs w:val="0"/>
                <w:color w:val="auto"/>
                <w:szCs w:val="21"/>
                <w:highlight w:val="none"/>
                <w:u w:val="single"/>
              </w:rPr>
              <w:t>投标人的第二信封（报价文件）不予读取；</w:t>
            </w:r>
          </w:p>
          <w:p w14:paraId="5E8393C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val="0"/>
                <w:bCs w:val="0"/>
                <w:color w:val="auto"/>
                <w:szCs w:val="21"/>
                <w:highlight w:val="none"/>
                <w:u w:val="single"/>
                <w:lang w:eastAsia="zh-CN"/>
              </w:rPr>
            </w:pPr>
            <w:r>
              <w:rPr>
                <w:rFonts w:hint="eastAsia" w:ascii="黑体" w:hAnsi="黑体" w:eastAsia="黑体" w:cs="黑体"/>
                <w:b w:val="0"/>
                <w:bCs w:val="0"/>
                <w:color w:val="auto"/>
                <w:szCs w:val="21"/>
                <w:highlight w:val="none"/>
                <w:u w:val="single"/>
                <w:lang w:val="en-US" w:eastAsia="zh-CN"/>
              </w:rPr>
              <w:t>（5）</w:t>
            </w:r>
            <w:r>
              <w:rPr>
                <w:rFonts w:hint="eastAsia" w:ascii="黑体" w:hAnsi="黑体" w:eastAsia="黑体" w:cs="黑体"/>
                <w:b w:val="0"/>
                <w:bCs w:val="0"/>
                <w:color w:val="auto"/>
                <w:szCs w:val="21"/>
                <w:highlight w:val="none"/>
                <w:u w:val="single"/>
                <w:lang w:eastAsia="zh-CN"/>
              </w:rPr>
              <w:t>电子</w:t>
            </w:r>
            <w:r>
              <w:rPr>
                <w:rFonts w:hint="eastAsia" w:ascii="黑体" w:hAnsi="黑体" w:eastAsia="黑体" w:cs="黑体"/>
                <w:b w:val="0"/>
                <w:bCs w:val="0"/>
                <w:color w:val="auto"/>
                <w:szCs w:val="21"/>
                <w:highlight w:val="none"/>
                <w:u w:val="single"/>
              </w:rPr>
              <w:t>唱标</w:t>
            </w:r>
            <w:r>
              <w:rPr>
                <w:rFonts w:hint="eastAsia" w:ascii="黑体" w:hAnsi="黑体" w:eastAsia="黑体" w:cs="黑体"/>
                <w:b w:val="0"/>
                <w:bCs w:val="0"/>
                <w:color w:val="auto"/>
                <w:szCs w:val="21"/>
                <w:highlight w:val="none"/>
                <w:u w:val="single"/>
                <w:lang w:eastAsia="zh-CN"/>
              </w:rPr>
              <w:t>；</w:t>
            </w:r>
          </w:p>
          <w:p w14:paraId="18E1223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val="0"/>
                <w:bCs w:val="0"/>
                <w:color w:val="auto"/>
                <w:szCs w:val="21"/>
                <w:highlight w:val="none"/>
                <w:u w:val="single"/>
                <w:lang w:eastAsia="zh-CN"/>
              </w:rPr>
            </w:pPr>
            <w:r>
              <w:rPr>
                <w:rFonts w:hint="eastAsia" w:ascii="黑体" w:hAnsi="黑体" w:eastAsia="黑体" w:cs="黑体"/>
                <w:b w:val="0"/>
                <w:bCs w:val="0"/>
                <w:color w:val="auto"/>
                <w:szCs w:val="21"/>
                <w:highlight w:val="none"/>
                <w:u w:val="single"/>
                <w:lang w:val="en-US" w:eastAsia="zh-CN"/>
              </w:rPr>
              <w:t>（6）</w:t>
            </w:r>
            <w:r>
              <w:rPr>
                <w:rFonts w:hint="eastAsia" w:ascii="黑体" w:hAnsi="黑体" w:eastAsia="黑体" w:cs="黑体"/>
                <w:b w:val="0"/>
                <w:bCs w:val="0"/>
                <w:color w:val="auto"/>
                <w:szCs w:val="21"/>
                <w:highlight w:val="none"/>
                <w:u w:val="single"/>
                <w:lang w:eastAsia="zh-CN"/>
              </w:rPr>
              <w:t>现场计算评标基准价（如需）；</w:t>
            </w:r>
          </w:p>
          <w:p w14:paraId="4998D4C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b w:val="0"/>
                <w:bCs w:val="0"/>
                <w:color w:val="auto"/>
                <w:szCs w:val="21"/>
                <w:highlight w:val="none"/>
                <w:u w:val="single"/>
              </w:rPr>
            </w:pPr>
            <w:r>
              <w:rPr>
                <w:rFonts w:hint="eastAsia" w:ascii="黑体" w:hAnsi="黑体" w:eastAsia="黑体" w:cs="黑体"/>
                <w:b w:val="0"/>
                <w:bCs w:val="0"/>
                <w:color w:val="auto"/>
                <w:szCs w:val="21"/>
                <w:highlight w:val="none"/>
                <w:u w:val="single"/>
              </w:rPr>
              <w:t>（</w:t>
            </w:r>
            <w:r>
              <w:rPr>
                <w:rFonts w:hint="eastAsia" w:ascii="黑体" w:hAnsi="黑体" w:eastAsia="黑体" w:cs="黑体"/>
                <w:b w:val="0"/>
                <w:bCs w:val="0"/>
                <w:color w:val="auto"/>
                <w:szCs w:val="21"/>
                <w:highlight w:val="none"/>
                <w:u w:val="single"/>
                <w:lang w:val="en-US" w:eastAsia="zh-CN"/>
              </w:rPr>
              <w:t>7</w:t>
            </w:r>
            <w:r>
              <w:rPr>
                <w:rFonts w:hint="eastAsia" w:ascii="黑体" w:hAnsi="黑体" w:eastAsia="黑体" w:cs="黑体"/>
                <w:b w:val="0"/>
                <w:bCs w:val="0"/>
                <w:color w:val="auto"/>
                <w:szCs w:val="21"/>
                <w:highlight w:val="none"/>
                <w:u w:val="single"/>
              </w:rPr>
              <w:t>）开标结束。</w:t>
            </w:r>
          </w:p>
          <w:p w14:paraId="02E615AD">
            <w:pPr>
              <w:spacing w:line="380" w:lineRule="exact"/>
              <w:rPr>
                <w:rFonts w:hint="eastAsia" w:ascii="黑体" w:hAnsi="黑体" w:eastAsia="黑体" w:cs="黑体"/>
                <w:b w:val="0"/>
                <w:bCs w:val="0"/>
                <w:color w:val="auto"/>
                <w:szCs w:val="21"/>
                <w:highlight w:val="none"/>
                <w:u w:val="single"/>
                <w:lang w:val="en-US" w:eastAsia="zh-CN"/>
              </w:rPr>
            </w:pPr>
            <w:r>
              <w:rPr>
                <w:rFonts w:hint="eastAsia" w:ascii="黑体" w:hAnsi="黑体" w:eastAsia="黑体" w:cs="黑体"/>
                <w:b w:val="0"/>
                <w:bCs w:val="0"/>
                <w:color w:val="auto"/>
                <w:szCs w:val="21"/>
                <w:highlight w:val="none"/>
                <w:u w:val="single"/>
                <w:lang w:eastAsia="zh-CN"/>
              </w:rPr>
              <w:t>备注</w:t>
            </w:r>
            <w:r>
              <w:rPr>
                <w:rFonts w:hint="eastAsia" w:ascii="黑体" w:hAnsi="黑体" w:eastAsia="黑体" w:cs="黑体"/>
                <w:b w:val="0"/>
                <w:bCs w:val="0"/>
                <w:color w:val="auto"/>
                <w:szCs w:val="21"/>
                <w:highlight w:val="none"/>
                <w:u w:val="single"/>
              </w:rPr>
              <w:t>：1、</w:t>
            </w:r>
            <w:r>
              <w:rPr>
                <w:rFonts w:hint="eastAsia" w:ascii="黑体" w:hAnsi="黑体" w:eastAsia="黑体" w:cs="黑体"/>
                <w:b w:val="0"/>
                <w:bCs w:val="0"/>
                <w:color w:val="auto"/>
                <w:szCs w:val="21"/>
                <w:highlight w:val="none"/>
                <w:u w:val="single"/>
                <w:lang w:val="en-US" w:eastAsia="zh-CN"/>
              </w:rPr>
              <w:t>对通过第一个信封（商务及技术文件）投标人，招标人进行第二个信封的解密（无需投标人解密第二个信封文件）。</w:t>
            </w:r>
          </w:p>
          <w:p w14:paraId="65294DF8">
            <w:pPr>
              <w:spacing w:line="380" w:lineRule="exact"/>
              <w:rPr>
                <w:rFonts w:hint="eastAsia" w:ascii="黑体" w:hAnsi="黑体" w:eastAsia="黑体" w:cs="黑体"/>
                <w:b w:val="0"/>
                <w:bCs w:val="0"/>
                <w:color w:val="auto"/>
                <w:szCs w:val="21"/>
                <w:highlight w:val="none"/>
                <w:u w:val="single"/>
              </w:rPr>
            </w:pPr>
            <w:r>
              <w:rPr>
                <w:rFonts w:hint="eastAsia" w:ascii="黑体" w:hAnsi="黑体" w:eastAsia="黑体" w:cs="黑体"/>
                <w:b w:val="0"/>
                <w:bCs w:val="0"/>
                <w:color w:val="auto"/>
                <w:szCs w:val="21"/>
                <w:highlight w:val="none"/>
                <w:u w:val="single"/>
                <w:lang w:val="en-US" w:eastAsia="zh-CN"/>
              </w:rPr>
              <w:t>2、</w:t>
            </w:r>
            <w:r>
              <w:rPr>
                <w:rFonts w:hint="eastAsia" w:ascii="黑体" w:hAnsi="黑体" w:eastAsia="黑体" w:cs="黑体"/>
                <w:b w:val="0"/>
                <w:bCs w:val="0"/>
                <w:color w:val="auto"/>
                <w:szCs w:val="21"/>
                <w:highlight w:val="none"/>
                <w:u w:val="single"/>
              </w:rPr>
              <w:t>系统自动提取投标人上传并</w:t>
            </w:r>
            <w:r>
              <w:rPr>
                <w:rFonts w:hint="eastAsia" w:ascii="黑体" w:hAnsi="黑体" w:eastAsia="黑体" w:cs="黑体"/>
                <w:b w:val="0"/>
                <w:bCs w:val="0"/>
                <w:color w:val="auto"/>
                <w:szCs w:val="21"/>
                <w:highlight w:val="none"/>
                <w:u w:val="single"/>
                <w:lang w:val="en-US" w:eastAsia="zh-CN"/>
              </w:rPr>
              <w:t>由招标人</w:t>
            </w:r>
            <w:r>
              <w:rPr>
                <w:rFonts w:hint="eastAsia" w:ascii="黑体" w:hAnsi="黑体" w:eastAsia="黑体" w:cs="黑体"/>
                <w:b w:val="0"/>
                <w:bCs w:val="0"/>
                <w:color w:val="auto"/>
                <w:szCs w:val="21"/>
                <w:highlight w:val="none"/>
                <w:u w:val="single"/>
              </w:rPr>
              <w:t>解密后的投标文件，系统采取语音自动唱标。语音自动唱标结束后由招标人或招标人</w:t>
            </w:r>
            <w:r>
              <w:rPr>
                <w:rFonts w:hint="eastAsia" w:ascii="黑体" w:hAnsi="黑体" w:eastAsia="黑体" w:cs="黑体"/>
                <w:b w:val="0"/>
                <w:bCs w:val="0"/>
                <w:color w:val="auto"/>
                <w:szCs w:val="21"/>
                <w:highlight w:val="none"/>
                <w:u w:val="single"/>
                <w:lang w:val="en-US" w:eastAsia="zh-CN"/>
              </w:rPr>
              <w:t>委托招标的代理机构</w:t>
            </w:r>
            <w:r>
              <w:rPr>
                <w:rFonts w:hint="eastAsia" w:ascii="黑体" w:hAnsi="黑体" w:eastAsia="黑体" w:cs="黑体"/>
                <w:b w:val="0"/>
                <w:bCs w:val="0"/>
                <w:color w:val="auto"/>
                <w:szCs w:val="21"/>
                <w:highlight w:val="none"/>
                <w:u w:val="single"/>
              </w:rPr>
              <w:t>用数字证书在系统内确认开标结果。</w:t>
            </w:r>
          </w:p>
          <w:p w14:paraId="681688BB">
            <w:pPr>
              <w:pStyle w:val="21"/>
              <w:ind w:left="0" w:leftChars="0" w:firstLine="0" w:firstLineChars="0"/>
              <w:rPr>
                <w:rFonts w:hint="eastAsia" w:ascii="黑体" w:hAnsi="黑体" w:eastAsia="黑体" w:cs="黑体"/>
                <w:b/>
                <w:bCs/>
                <w:color w:val="auto"/>
                <w:szCs w:val="21"/>
                <w:highlight w:val="none"/>
                <w:lang w:val="en-US" w:eastAsia="zh-CN"/>
              </w:rPr>
            </w:pPr>
            <w:r>
              <w:rPr>
                <w:rFonts w:hint="eastAsia" w:ascii="黑体" w:hAnsi="黑体" w:eastAsia="黑体" w:cs="黑体"/>
                <w:b w:val="0"/>
                <w:bCs w:val="0"/>
                <w:color w:val="auto"/>
                <w:sz w:val="21"/>
                <w:szCs w:val="21"/>
                <w:highlight w:val="none"/>
                <w:lang w:val="en-US" w:eastAsia="zh-CN"/>
              </w:rPr>
              <w:t>3</w:t>
            </w:r>
            <w:r>
              <w:rPr>
                <w:rFonts w:hint="eastAsia" w:ascii="黑体" w:hAnsi="黑体" w:eastAsia="黑体" w:cs="黑体"/>
                <w:b w:val="0"/>
                <w:bCs w:val="0"/>
                <w:color w:val="auto"/>
                <w:sz w:val="21"/>
                <w:szCs w:val="21"/>
                <w:highlight w:val="none"/>
              </w:rPr>
              <w:t>、</w:t>
            </w:r>
            <w:r>
              <w:rPr>
                <w:rFonts w:hint="eastAsia" w:ascii="黑体" w:hAnsi="黑体" w:eastAsia="黑体" w:cs="黑体"/>
                <w:b w:val="0"/>
                <w:bCs w:val="0"/>
                <w:color w:val="auto"/>
                <w:sz w:val="21"/>
                <w:szCs w:val="21"/>
                <w:highlight w:val="none"/>
                <w:u w:val="single"/>
                <w:lang w:val="zh-TW"/>
              </w:rPr>
              <w:t>开标顺序：</w:t>
            </w:r>
            <w:r>
              <w:rPr>
                <w:rFonts w:hint="eastAsia" w:ascii="黑体" w:hAnsi="黑体" w:eastAsia="黑体" w:cs="黑体"/>
                <w:b w:val="0"/>
                <w:bCs w:val="0"/>
                <w:color w:val="auto"/>
                <w:sz w:val="21"/>
                <w:szCs w:val="21"/>
                <w:highlight w:val="none"/>
                <w:u w:val="single"/>
              </w:rPr>
              <w:t>按标段的顺序</w:t>
            </w:r>
            <w:r>
              <w:rPr>
                <w:rFonts w:hint="eastAsia" w:ascii="黑体" w:hAnsi="黑体" w:eastAsia="黑体" w:cs="黑体"/>
                <w:b w:val="0"/>
                <w:bCs w:val="0"/>
                <w:color w:val="auto"/>
                <w:sz w:val="21"/>
                <w:szCs w:val="21"/>
                <w:highlight w:val="none"/>
                <w:u w:val="single"/>
                <w:lang w:eastAsia="zh-CN"/>
              </w:rPr>
              <w:t>。</w:t>
            </w:r>
          </w:p>
        </w:tc>
      </w:tr>
      <w:tr w14:paraId="0DF4788E">
        <w:tblPrEx>
          <w:tblCellMar>
            <w:top w:w="0" w:type="dxa"/>
            <w:left w:w="108" w:type="dxa"/>
            <w:bottom w:w="0" w:type="dxa"/>
            <w:right w:w="108" w:type="dxa"/>
          </w:tblCellMar>
        </w:tblPrEx>
        <w:trPr>
          <w:trHeight w:val="1291"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3EF27489">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6.1.1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7758D648">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评标委员会的组建</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3A6FA45B">
            <w:pPr>
              <w:shd w:val="clear" w:color="auto" w:fill="auto"/>
              <w:spacing w:line="360" w:lineRule="atLeast"/>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评标委员会构成：</w:t>
            </w:r>
            <w:r>
              <w:rPr>
                <w:rFonts w:hint="eastAsia" w:ascii="黑体" w:hAnsi="黑体" w:eastAsia="黑体" w:cs="黑体"/>
                <w:b/>
                <w:bCs/>
                <w:color w:val="auto"/>
                <w:szCs w:val="21"/>
                <w:highlight w:val="none"/>
                <w:u w:val="single"/>
                <w:lang w:val="en-US" w:eastAsia="zh-CN"/>
              </w:rPr>
              <w:t xml:space="preserve"> 7 </w:t>
            </w:r>
            <w:r>
              <w:rPr>
                <w:rFonts w:hint="eastAsia" w:ascii="黑体" w:hAnsi="黑体" w:eastAsia="黑体" w:cs="黑体"/>
                <w:b/>
                <w:bCs/>
                <w:color w:val="auto"/>
                <w:szCs w:val="21"/>
                <w:highlight w:val="none"/>
              </w:rPr>
              <w:t>人，其中招标人代表</w:t>
            </w:r>
            <w:r>
              <w:rPr>
                <w:rFonts w:hint="eastAsia" w:ascii="黑体" w:hAnsi="黑体" w:eastAsia="黑体" w:cs="黑体"/>
                <w:b/>
                <w:bCs/>
                <w:color w:val="auto"/>
                <w:szCs w:val="21"/>
                <w:highlight w:val="none"/>
                <w:u w:val="single"/>
                <w:lang w:val="en-US" w:eastAsia="zh-CN"/>
              </w:rPr>
              <w:t xml:space="preserve"> 2 </w:t>
            </w:r>
            <w:r>
              <w:rPr>
                <w:rFonts w:hint="eastAsia" w:ascii="黑体" w:hAnsi="黑体" w:eastAsia="黑体" w:cs="黑体"/>
                <w:b/>
                <w:bCs/>
                <w:color w:val="auto"/>
                <w:szCs w:val="21"/>
                <w:highlight w:val="none"/>
              </w:rPr>
              <w:t>人，专家</w:t>
            </w:r>
            <w:r>
              <w:rPr>
                <w:rFonts w:hint="eastAsia" w:ascii="黑体" w:hAnsi="黑体" w:eastAsia="黑体" w:cs="黑体"/>
                <w:b/>
                <w:bCs/>
                <w:color w:val="auto"/>
                <w:szCs w:val="21"/>
                <w:highlight w:val="none"/>
                <w:u w:val="single"/>
                <w:lang w:val="en-US" w:eastAsia="zh-CN"/>
              </w:rPr>
              <w:t xml:space="preserve"> 5 </w:t>
            </w:r>
            <w:r>
              <w:rPr>
                <w:rFonts w:hint="eastAsia" w:ascii="黑体" w:hAnsi="黑体" w:eastAsia="黑体" w:cs="黑体"/>
                <w:b/>
                <w:bCs/>
                <w:color w:val="auto"/>
                <w:szCs w:val="21"/>
                <w:highlight w:val="none"/>
              </w:rPr>
              <w:t>人；</w:t>
            </w:r>
          </w:p>
          <w:p w14:paraId="3E61A1EF">
            <w:pPr>
              <w:shd w:val="clear" w:color="auto" w:fill="auto"/>
              <w:spacing w:line="360" w:lineRule="atLeas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rPr>
              <w:t>评标专家确定方式：依法从相应评标专家库中随机抽取</w:t>
            </w:r>
            <w:r>
              <w:rPr>
                <w:rFonts w:hint="eastAsia" w:ascii="黑体" w:hAnsi="黑体" w:eastAsia="黑体" w:cs="黑体"/>
                <w:color w:val="auto"/>
                <w:szCs w:val="21"/>
                <w:highlight w:val="none"/>
                <w:lang w:eastAsia="zh-CN"/>
              </w:rPr>
              <w:t>。</w:t>
            </w:r>
          </w:p>
        </w:tc>
      </w:tr>
      <w:tr w14:paraId="0940F11A">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226CC7A9">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6.3.2</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1DFB37F6">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评标委员会推荐中标候选人的人数</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6F71FE27">
            <w:pPr>
              <w:shd w:val="clear" w:color="auto" w:fill="auto"/>
              <w:spacing w:line="360" w:lineRule="atLeast"/>
              <w:rPr>
                <w:rFonts w:hint="eastAsia" w:ascii="黑体" w:hAnsi="黑体" w:eastAsia="黑体" w:cs="黑体"/>
                <w:color w:val="auto"/>
                <w:spacing w:val="10"/>
                <w:szCs w:val="21"/>
                <w:highlight w:val="none"/>
                <w:bdr w:val="single" w:color="auto" w:sz="4" w:space="0"/>
                <w:lang w:val="en-US" w:eastAsia="zh-CN"/>
              </w:rPr>
            </w:pPr>
            <w:r>
              <w:rPr>
                <w:rFonts w:hint="eastAsia" w:ascii="黑体" w:hAnsi="黑体" w:eastAsia="黑体" w:cs="黑体"/>
                <w:b/>
                <w:color w:val="auto"/>
                <w:szCs w:val="21"/>
                <w:highlight w:val="none"/>
                <w:u w:val="single"/>
              </w:rPr>
              <w:t>不超过3个并标明顺序</w:t>
            </w:r>
            <w:r>
              <w:rPr>
                <w:rFonts w:hint="eastAsia" w:ascii="黑体" w:hAnsi="黑体" w:eastAsia="黑体" w:cs="黑体"/>
                <w:b/>
                <w:color w:val="auto"/>
                <w:szCs w:val="21"/>
                <w:highlight w:val="none"/>
                <w:u w:val="single"/>
                <w:lang w:eastAsia="zh-CN"/>
              </w:rPr>
              <w:t>。</w:t>
            </w:r>
          </w:p>
        </w:tc>
      </w:tr>
      <w:tr w14:paraId="3347DCDA">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1D411FDB">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7.1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0D35EAB9">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中标候选人公示媒介及期限</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104521FA">
            <w:pPr>
              <w:shd w:val="clear" w:color="auto" w:fill="auto"/>
              <w:spacing w:line="360" w:lineRule="atLeast"/>
              <w:rPr>
                <w:rFonts w:hint="eastAsia" w:ascii="黑体" w:hAnsi="黑体" w:eastAsia="黑体" w:cs="黑体"/>
                <w:color w:val="auto"/>
                <w:highlight w:val="none"/>
                <w:lang w:val="en-US" w:eastAsia="zh-CN"/>
              </w:rPr>
            </w:pPr>
            <w:r>
              <w:rPr>
                <w:rFonts w:hint="eastAsia" w:ascii="黑体" w:hAnsi="黑体" w:eastAsia="黑体" w:cs="黑体"/>
                <w:color w:val="auto"/>
                <w:highlight w:val="none"/>
              </w:rPr>
              <w:t>公示媒介：</w:t>
            </w:r>
            <w:r>
              <w:rPr>
                <w:rFonts w:hint="eastAsia" w:ascii="黑体" w:hAnsi="黑体" w:eastAsia="黑体" w:cs="黑体"/>
                <w:i w:val="0"/>
                <w:iCs w:val="0"/>
                <w:caps w:val="0"/>
                <w:color w:val="000000"/>
                <w:spacing w:val="0"/>
                <w:sz w:val="21"/>
                <w:szCs w:val="21"/>
                <w:highlight w:val="none"/>
                <w:u w:val="single"/>
                <w:shd w:val="clear" w:color="auto" w:fill="FFFFFF"/>
              </w:rPr>
              <w:t>内蒙古自治区公共资源交易网（http://ggzyjy.nmg.gov.cn）、中国招标投标公共服务平台（http://www.cebpubservice.com）、内蒙古招标投标公共服务平台（http://www.nmgztb.com.cn）</w:t>
            </w:r>
            <w:r>
              <w:rPr>
                <w:rFonts w:hint="eastAsia" w:ascii="黑体" w:hAnsi="黑体" w:eastAsia="黑体" w:cs="黑体"/>
                <w:i w:val="0"/>
                <w:iCs w:val="0"/>
                <w:caps w:val="0"/>
                <w:color w:val="000000"/>
                <w:spacing w:val="0"/>
                <w:sz w:val="21"/>
                <w:szCs w:val="21"/>
                <w:highlight w:val="none"/>
                <w:u w:val="single"/>
                <w:shd w:val="clear" w:color="auto" w:fill="FFFFFF"/>
                <w:lang w:eastAsia="zh-CN"/>
              </w:rPr>
              <w:t>、</w:t>
            </w:r>
            <w:r>
              <w:rPr>
                <w:rFonts w:hint="eastAsia" w:ascii="黑体" w:hAnsi="黑体" w:eastAsia="黑体" w:cs="黑体"/>
                <w:i w:val="0"/>
                <w:iCs w:val="0"/>
                <w:caps w:val="0"/>
                <w:color w:val="000000"/>
                <w:spacing w:val="0"/>
                <w:sz w:val="21"/>
                <w:szCs w:val="21"/>
                <w:highlight w:val="none"/>
                <w:u w:val="single"/>
                <w:shd w:val="clear" w:color="auto" w:fill="FFFFFF"/>
                <w:lang w:val="zh-TW" w:eastAsia="zh-CN"/>
              </w:rPr>
              <w:t>中国采购与招标网（www.chinabidding.com.cn）、内蒙古自治区交通运输厅政务网站（http://jtyst.nmg.gov.cn/zwgk/xmztb/zbgg/）</w:t>
            </w:r>
          </w:p>
          <w:p w14:paraId="79743300">
            <w:pPr>
              <w:shd w:val="clear" w:color="auto" w:fill="auto"/>
              <w:spacing w:line="360" w:lineRule="atLeast"/>
              <w:rPr>
                <w:rFonts w:hint="eastAsia" w:ascii="黑体" w:hAnsi="黑体" w:eastAsia="黑体" w:cs="黑体"/>
                <w:color w:val="auto"/>
                <w:highlight w:val="none"/>
              </w:rPr>
            </w:pPr>
            <w:r>
              <w:rPr>
                <w:rFonts w:hint="eastAsia" w:ascii="黑体" w:hAnsi="黑体" w:eastAsia="黑体" w:cs="黑体"/>
                <w:color w:val="auto"/>
                <w:highlight w:val="none"/>
              </w:rPr>
              <w:t>公示期限：</w:t>
            </w:r>
            <w:r>
              <w:rPr>
                <w:rStyle w:val="42"/>
                <w:rFonts w:hint="eastAsia" w:ascii="黑体" w:hAnsi="黑体" w:eastAsia="黑体" w:cs="黑体"/>
                <w:b/>
                <w:bCs/>
                <w:color w:val="auto"/>
                <w:kern w:val="0"/>
                <w:sz w:val="21"/>
                <w:szCs w:val="21"/>
                <w:highlight w:val="none"/>
                <w:u w:val="single"/>
                <w:lang w:val="zh-TW"/>
              </w:rPr>
              <w:t>不少于3</w:t>
            </w:r>
            <w:r>
              <w:rPr>
                <w:rFonts w:hint="eastAsia" w:ascii="黑体" w:hAnsi="黑体" w:eastAsia="黑体" w:cs="黑体"/>
                <w:color w:val="auto"/>
                <w:highlight w:val="none"/>
              </w:rPr>
              <w:t>日</w:t>
            </w:r>
          </w:p>
          <w:p w14:paraId="72D5B952">
            <w:pPr>
              <w:shd w:val="clear" w:color="auto" w:fill="auto"/>
              <w:spacing w:line="360" w:lineRule="atLeas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公示的其他内容：</w:t>
            </w:r>
          </w:p>
          <w:p w14:paraId="5996287A">
            <w:pPr>
              <w:spacing w:line="360" w:lineRule="exact"/>
              <w:ind w:firstLine="422" w:firstLineChars="200"/>
              <w:jc w:val="left"/>
              <w:rPr>
                <w:rFonts w:hint="eastAsia" w:ascii="黑体" w:hAnsi="黑体" w:eastAsia="黑体" w:cs="黑体"/>
                <w:b/>
                <w:color w:val="auto"/>
                <w:highlight w:val="none"/>
                <w:u w:val="single"/>
              </w:rPr>
            </w:pPr>
            <w:r>
              <w:rPr>
                <w:rFonts w:hint="eastAsia" w:ascii="黑体" w:hAnsi="黑体" w:eastAsia="黑体" w:cs="黑体"/>
                <w:b/>
                <w:color w:val="auto"/>
                <w:highlight w:val="none"/>
                <w:u w:val="single"/>
              </w:rPr>
              <w:t xml:space="preserve">1、中标候选人排序、名称、投标报价； </w:t>
            </w:r>
          </w:p>
          <w:p w14:paraId="642F76FE">
            <w:pPr>
              <w:spacing w:line="360" w:lineRule="exact"/>
              <w:jc w:val="left"/>
              <w:rPr>
                <w:rFonts w:hint="eastAsia" w:ascii="黑体" w:hAnsi="黑体" w:eastAsia="黑体" w:cs="黑体"/>
                <w:b/>
                <w:color w:val="auto"/>
                <w:highlight w:val="none"/>
                <w:u w:val="single"/>
              </w:rPr>
            </w:pPr>
            <w:r>
              <w:rPr>
                <w:rFonts w:hint="eastAsia" w:ascii="黑体" w:hAnsi="黑体" w:eastAsia="黑体" w:cs="黑体"/>
                <w:b/>
                <w:color w:val="auto"/>
                <w:highlight w:val="none"/>
                <w:u w:val="single"/>
              </w:rPr>
              <w:t xml:space="preserve">　　2、中标候选人在投标文件中承诺的主要人员姓名、资格； </w:t>
            </w:r>
          </w:p>
          <w:p w14:paraId="2E4BBBCF">
            <w:pPr>
              <w:spacing w:line="360" w:lineRule="exact"/>
              <w:jc w:val="left"/>
              <w:rPr>
                <w:rFonts w:hint="eastAsia" w:ascii="黑体" w:hAnsi="黑体" w:eastAsia="黑体" w:cs="黑体"/>
                <w:b/>
                <w:color w:val="auto"/>
                <w:highlight w:val="none"/>
                <w:u w:val="single"/>
              </w:rPr>
            </w:pPr>
            <w:r>
              <w:rPr>
                <w:rFonts w:hint="eastAsia" w:ascii="黑体" w:hAnsi="黑体" w:eastAsia="黑体" w:cs="黑体"/>
                <w:b/>
                <w:color w:val="auto"/>
                <w:highlight w:val="none"/>
                <w:u w:val="single"/>
              </w:rPr>
              <w:t xml:space="preserve">　　3、被否决投标的投标人名称、否决依据和原因； </w:t>
            </w:r>
          </w:p>
          <w:p w14:paraId="56673C29">
            <w:pPr>
              <w:spacing w:line="360" w:lineRule="exact"/>
              <w:jc w:val="left"/>
              <w:rPr>
                <w:rFonts w:hint="eastAsia" w:ascii="黑体" w:hAnsi="黑体" w:eastAsia="黑体" w:cs="黑体"/>
                <w:b/>
                <w:color w:val="auto"/>
                <w:highlight w:val="none"/>
                <w:u w:val="single"/>
              </w:rPr>
            </w:pPr>
            <w:r>
              <w:rPr>
                <w:rFonts w:hint="eastAsia" w:ascii="黑体" w:hAnsi="黑体" w:eastAsia="黑体" w:cs="黑体"/>
                <w:b/>
                <w:color w:val="auto"/>
                <w:highlight w:val="none"/>
                <w:u w:val="single"/>
              </w:rPr>
              <w:t>　　4、招标文件规定公示的其他内容。</w:t>
            </w:r>
            <w:r>
              <w:rPr>
                <w:rFonts w:hint="eastAsia" w:ascii="黑体" w:hAnsi="黑体" w:eastAsia="黑体" w:cs="黑体"/>
                <w:color w:val="auto"/>
                <w:szCs w:val="21"/>
                <w:highlight w:val="none"/>
                <w:u w:val="single"/>
              </w:rPr>
              <w:t xml:space="preserve"> </w:t>
            </w:r>
          </w:p>
          <w:p w14:paraId="6952F216">
            <w:pPr>
              <w:pStyle w:val="21"/>
              <w:ind w:left="0" w:leftChars="0" w:firstLine="0" w:firstLineChars="0"/>
              <w:rPr>
                <w:rFonts w:hint="eastAsia" w:ascii="黑体" w:hAnsi="黑体" w:eastAsia="黑体" w:cs="黑体"/>
                <w:highlight w:val="none"/>
              </w:rPr>
            </w:pPr>
            <w:r>
              <w:rPr>
                <w:rFonts w:hint="eastAsia" w:ascii="黑体" w:hAnsi="黑体" w:eastAsia="黑体" w:cs="黑体"/>
                <w:b/>
                <w:color w:val="auto"/>
                <w:kern w:val="0"/>
                <w:szCs w:val="21"/>
                <w:highlight w:val="none"/>
                <w:u w:val="single"/>
                <w:lang w:eastAsia="zh-TW"/>
              </w:rPr>
              <w:t>投标人或者其他利害关系人对评标结果有异议的，应当在公示期间内提出。根据《中华人民共和国招标投标实施条例》第五十四条、第六十条等规定和国家发改委等七部委《工程建设项目招标投标活动投诉处理办法》和招标文件投标人须知第8.5.1条投诉的有关规定，投标人或其他利害关系人对该公示内容有异议的，应当在中标人公示期间向招标人以书面形式提出。提出异议或投诉内容中必须有明确的请求和必要的证明材料。投诉人是法人的，投诉书必须由其法定代表人或者授权代表签字并盖章；其他组织或者个人投诉的，投诉书必须由主要负责人或者投诉人本人签字，并附有效身份证明复印件。</w:t>
            </w:r>
          </w:p>
        </w:tc>
      </w:tr>
      <w:tr w14:paraId="2700A3E0">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3F37F95D">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7.4</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5EA5339D">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是否授权评标委员会确定中标人</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5ED909E8">
            <w:pPr>
              <w:rPr>
                <w:rStyle w:val="42"/>
                <w:rFonts w:hint="eastAsia" w:ascii="黑体" w:hAnsi="黑体" w:eastAsia="黑体" w:cs="黑体"/>
                <w:color w:val="auto"/>
                <w:kern w:val="0"/>
                <w:sz w:val="21"/>
                <w:szCs w:val="21"/>
                <w:highlight w:val="none"/>
                <w:lang w:val="zh-TW" w:eastAsia="zh-TW"/>
              </w:rPr>
            </w:pPr>
            <w:r>
              <w:rPr>
                <w:rStyle w:val="42"/>
                <w:rFonts w:hint="eastAsia" w:ascii="黑体" w:hAnsi="黑体" w:eastAsia="黑体" w:cs="黑体"/>
                <w:color w:val="auto"/>
                <w:kern w:val="0"/>
                <w:sz w:val="21"/>
                <w:szCs w:val="21"/>
                <w:highlight w:val="none"/>
                <w:lang w:val="zh-TW" w:eastAsia="zh-TW"/>
              </w:rPr>
              <w:t>□是</w:t>
            </w:r>
          </w:p>
          <w:p w14:paraId="6DAEB1F8">
            <w:pPr>
              <w:shd w:val="clear" w:color="auto" w:fill="auto"/>
              <w:snapToGrid w:val="0"/>
              <w:spacing w:line="360" w:lineRule="atLeast"/>
              <w:rPr>
                <w:rFonts w:hint="eastAsia" w:ascii="黑体" w:hAnsi="黑体" w:eastAsia="黑体" w:cs="黑体"/>
                <w:color w:val="auto"/>
                <w:szCs w:val="21"/>
                <w:highlight w:val="none"/>
              </w:rPr>
            </w:pPr>
            <w:r>
              <w:rPr>
                <w:rStyle w:val="42"/>
                <w:rFonts w:hint="eastAsia" w:ascii="黑体" w:hAnsi="黑体" w:eastAsia="黑体" w:cs="黑体"/>
                <w:color w:val="auto"/>
                <w:kern w:val="0"/>
                <w:sz w:val="21"/>
                <w:szCs w:val="21"/>
                <w:highlight w:val="none"/>
                <w:lang w:val="zh-TW"/>
              </w:rPr>
              <w:t>■</w:t>
            </w:r>
            <w:r>
              <w:rPr>
                <w:rStyle w:val="42"/>
                <w:rFonts w:hint="eastAsia" w:ascii="黑体" w:hAnsi="黑体" w:eastAsia="黑体" w:cs="黑体"/>
                <w:color w:val="auto"/>
                <w:kern w:val="0"/>
                <w:sz w:val="21"/>
                <w:szCs w:val="21"/>
                <w:highlight w:val="none"/>
                <w:lang w:val="zh-TW" w:eastAsia="zh-TW"/>
              </w:rPr>
              <w:t>否</w:t>
            </w:r>
          </w:p>
        </w:tc>
      </w:tr>
      <w:tr w14:paraId="41193DE4">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337BF659">
            <w:pPr>
              <w:shd w:val="clear" w:color="auto" w:fill="auto"/>
              <w:spacing w:line="360" w:lineRule="atLeast"/>
              <w:jc w:val="center"/>
              <w:rPr>
                <w:rFonts w:hint="eastAsia" w:ascii="黑体" w:hAnsi="黑体" w:eastAsia="黑体" w:cs="黑体"/>
                <w:color w:val="auto"/>
                <w:highlight w:val="none"/>
              </w:rPr>
            </w:pPr>
            <w:r>
              <w:rPr>
                <w:rFonts w:hint="eastAsia" w:ascii="黑体" w:hAnsi="黑体" w:eastAsia="黑体" w:cs="黑体"/>
                <w:color w:val="auto"/>
                <w:highlight w:val="none"/>
              </w:rPr>
              <w:t>7.5</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3C12F8D1">
            <w:pPr>
              <w:shd w:val="clear" w:color="auto" w:fill="auto"/>
              <w:spacing w:line="360" w:lineRule="atLeast"/>
              <w:jc w:val="center"/>
              <w:rPr>
                <w:rFonts w:hint="eastAsia" w:ascii="黑体" w:hAnsi="黑体" w:eastAsia="黑体" w:cs="黑体"/>
                <w:color w:val="auto"/>
                <w:highlight w:val="none"/>
              </w:rPr>
            </w:pPr>
            <w:r>
              <w:rPr>
                <w:rFonts w:hint="eastAsia" w:ascii="黑体" w:hAnsi="黑体" w:eastAsia="黑体" w:cs="黑体"/>
                <w:color w:val="auto"/>
                <w:highlight w:val="none"/>
              </w:rPr>
              <w:t>中标通知书和中标结果通知发出的形式</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543B7555">
            <w:pPr>
              <w:rPr>
                <w:rStyle w:val="37"/>
                <w:rFonts w:hint="eastAsia" w:ascii="黑体" w:hAnsi="黑体" w:eastAsia="黑体" w:cs="黑体"/>
                <w:color w:val="auto"/>
                <w:highlight w:val="none"/>
                <w:lang w:val="en-US" w:eastAsia="zh-CN"/>
              </w:rPr>
            </w:pPr>
            <w:r>
              <w:rPr>
                <w:rStyle w:val="37"/>
                <w:rFonts w:hint="eastAsia" w:ascii="黑体" w:hAnsi="黑体" w:eastAsia="黑体" w:cs="黑体"/>
                <w:color w:val="auto"/>
                <w:highlight w:val="none"/>
                <w:lang w:val="zh-TW" w:eastAsia="zh-CN"/>
              </w:rPr>
              <w:t>中标通知书发出的形式：</w:t>
            </w:r>
            <w:r>
              <w:rPr>
                <w:rStyle w:val="37"/>
                <w:rFonts w:hint="eastAsia" w:ascii="黑体" w:hAnsi="黑体" w:eastAsia="黑体" w:cs="黑体"/>
                <w:b/>
                <w:bCs/>
                <w:color w:val="auto"/>
                <w:highlight w:val="none"/>
                <w:u w:val="single"/>
                <w:lang w:val="zh-TW" w:eastAsia="zh-CN"/>
              </w:rPr>
              <w:t>交易系统内数据电文形式</w:t>
            </w:r>
          </w:p>
          <w:p w14:paraId="09492A1B">
            <w:pPr>
              <w:shd w:val="clear" w:color="auto" w:fill="auto"/>
              <w:spacing w:line="360" w:lineRule="atLeast"/>
              <w:rPr>
                <w:rFonts w:hint="eastAsia" w:ascii="黑体" w:hAnsi="黑体" w:eastAsia="黑体" w:cs="黑体"/>
                <w:color w:val="auto"/>
                <w:highlight w:val="none"/>
              </w:rPr>
            </w:pPr>
            <w:r>
              <w:rPr>
                <w:rStyle w:val="37"/>
                <w:rFonts w:hint="eastAsia" w:ascii="黑体" w:hAnsi="黑体" w:eastAsia="黑体" w:cs="黑体"/>
                <w:color w:val="auto"/>
                <w:highlight w:val="none"/>
                <w:lang w:val="zh-TW" w:eastAsia="zh-CN"/>
              </w:rPr>
              <w:t>中标结果通知书发出的形式：</w:t>
            </w:r>
            <w:r>
              <w:rPr>
                <w:rStyle w:val="37"/>
                <w:rFonts w:hint="eastAsia" w:ascii="黑体" w:hAnsi="黑体" w:eastAsia="黑体" w:cs="黑体"/>
                <w:b/>
                <w:bCs/>
                <w:color w:val="auto"/>
                <w:highlight w:val="none"/>
                <w:u w:val="single"/>
                <w:lang w:val="zh-TW" w:eastAsia="zh-CN"/>
              </w:rPr>
              <w:t>交易系统内数据电文形式</w:t>
            </w:r>
          </w:p>
        </w:tc>
      </w:tr>
      <w:tr w14:paraId="6EBD0345">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64EE43AF">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7.6</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05E8FC52">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中标结果公告媒介及期限</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5E0A909C">
            <w:pPr>
              <w:shd w:val="clear" w:color="auto" w:fill="auto"/>
              <w:spacing w:line="360" w:lineRule="atLeast"/>
              <w:rPr>
                <w:rFonts w:hint="eastAsia" w:ascii="黑体" w:hAnsi="黑体" w:eastAsia="黑体" w:cs="黑体"/>
                <w:color w:val="auto"/>
                <w:highlight w:val="none"/>
              </w:rPr>
            </w:pPr>
            <w:r>
              <w:rPr>
                <w:rFonts w:hint="eastAsia" w:ascii="黑体" w:hAnsi="黑体" w:eastAsia="黑体" w:cs="黑体"/>
                <w:color w:val="auto"/>
                <w:highlight w:val="none"/>
              </w:rPr>
              <w:t>公告媒介：</w:t>
            </w:r>
            <w:r>
              <w:rPr>
                <w:rFonts w:hint="eastAsia" w:ascii="黑体" w:hAnsi="黑体" w:eastAsia="黑体" w:cs="黑体"/>
                <w:i w:val="0"/>
                <w:iCs w:val="0"/>
                <w:caps w:val="0"/>
                <w:color w:val="000000"/>
                <w:spacing w:val="0"/>
                <w:sz w:val="21"/>
                <w:szCs w:val="21"/>
                <w:highlight w:val="none"/>
                <w:u w:val="single"/>
                <w:shd w:val="clear" w:color="auto" w:fill="FFFFFF"/>
              </w:rPr>
              <w:t>内蒙古自治区公共资源交易网（http://ggzyjy.nmg.gov.cn）、中国招标投标公共服务平台（http://www.cebpubservice.com）、内蒙古招标投标公共服务平台（http://www.nmgztb.com.cn）</w:t>
            </w:r>
            <w:r>
              <w:rPr>
                <w:rFonts w:hint="eastAsia" w:ascii="黑体" w:hAnsi="黑体" w:eastAsia="黑体" w:cs="黑体"/>
                <w:i w:val="0"/>
                <w:iCs w:val="0"/>
                <w:caps w:val="0"/>
                <w:color w:val="000000"/>
                <w:spacing w:val="0"/>
                <w:sz w:val="21"/>
                <w:szCs w:val="21"/>
                <w:highlight w:val="none"/>
                <w:u w:val="single"/>
                <w:shd w:val="clear" w:color="auto" w:fill="FFFFFF"/>
                <w:lang w:eastAsia="zh-CN"/>
              </w:rPr>
              <w:t>、</w:t>
            </w:r>
            <w:r>
              <w:rPr>
                <w:rFonts w:hint="eastAsia" w:ascii="黑体" w:hAnsi="黑体" w:eastAsia="黑体" w:cs="黑体"/>
                <w:i w:val="0"/>
                <w:iCs w:val="0"/>
                <w:caps w:val="0"/>
                <w:color w:val="000000"/>
                <w:spacing w:val="0"/>
                <w:sz w:val="21"/>
                <w:szCs w:val="21"/>
                <w:highlight w:val="none"/>
                <w:u w:val="single"/>
                <w:shd w:val="clear" w:color="auto" w:fill="FFFFFF"/>
                <w:lang w:val="zh-TW" w:eastAsia="zh-CN"/>
              </w:rPr>
              <w:t>中国采购与招标网（www.chinabidding.com.cn）、内蒙古自治区交通运输厅政务网站（http://jtyst.nmg.gov.cn/zwgk/xmztb/zbgg/）</w:t>
            </w:r>
          </w:p>
          <w:p w14:paraId="3B26727E">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color w:val="auto"/>
                <w:highlight w:val="none"/>
              </w:rPr>
              <w:t>公告期限：</w:t>
            </w:r>
            <w:r>
              <w:rPr>
                <w:rStyle w:val="42"/>
                <w:rFonts w:hint="eastAsia" w:ascii="黑体" w:hAnsi="黑体" w:eastAsia="黑体" w:cs="黑体"/>
                <w:b/>
                <w:bCs/>
                <w:color w:val="auto"/>
                <w:kern w:val="0"/>
                <w:sz w:val="21"/>
                <w:szCs w:val="21"/>
                <w:highlight w:val="none"/>
                <w:u w:val="single"/>
                <w:lang w:val="zh-TW"/>
              </w:rPr>
              <w:t>不少于</w:t>
            </w:r>
            <w:r>
              <w:rPr>
                <w:rStyle w:val="42"/>
                <w:rFonts w:hint="eastAsia" w:ascii="黑体" w:hAnsi="黑体" w:eastAsia="黑体" w:cs="黑体"/>
                <w:b/>
                <w:bCs/>
                <w:color w:val="auto"/>
                <w:kern w:val="0"/>
                <w:sz w:val="21"/>
                <w:szCs w:val="21"/>
                <w:highlight w:val="none"/>
                <w:u w:val="single"/>
                <w:lang w:val="en-US" w:eastAsia="zh-CN"/>
              </w:rPr>
              <w:t>3</w:t>
            </w:r>
            <w:r>
              <w:rPr>
                <w:rFonts w:hint="eastAsia" w:ascii="黑体" w:hAnsi="黑体" w:eastAsia="黑体" w:cs="黑体"/>
                <w:color w:val="auto"/>
                <w:highlight w:val="none"/>
              </w:rPr>
              <w:t>日</w:t>
            </w:r>
          </w:p>
        </w:tc>
      </w:tr>
      <w:tr w14:paraId="5DAC5807">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3D76540B">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7.7.1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343EEF67">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履约保证金</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5D34187A">
            <w:pPr>
              <w:pStyle w:val="7"/>
              <w:shd w:val="clear" w:color="auto" w:fill="auto"/>
              <w:topLinePunct/>
              <w:spacing w:line="360" w:lineRule="atLeas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是否要求中标人提交履约保证金：</w:t>
            </w:r>
          </w:p>
          <w:p w14:paraId="24FF092F">
            <w:pPr>
              <w:rPr>
                <w:rFonts w:hint="eastAsia" w:ascii="黑体" w:hAnsi="黑体" w:eastAsia="黑体" w:cs="黑体"/>
                <w:color w:val="auto"/>
                <w:sz w:val="21"/>
                <w:szCs w:val="21"/>
                <w:highlight w:val="none"/>
                <w:lang w:val="en-US" w:eastAsia="zh-CN"/>
              </w:rPr>
            </w:pPr>
            <w:r>
              <w:rPr>
                <w:rStyle w:val="42"/>
                <w:rFonts w:hint="eastAsia" w:ascii="黑体" w:hAnsi="黑体" w:eastAsia="黑体" w:cs="黑体"/>
                <w:color w:val="000000"/>
                <w:kern w:val="0"/>
                <w:sz w:val="21"/>
                <w:szCs w:val="21"/>
                <w:highlight w:val="none"/>
                <w:lang w:val="zh-TW"/>
              </w:rPr>
              <w:t>■</w:t>
            </w:r>
            <w:r>
              <w:rPr>
                <w:rStyle w:val="42"/>
                <w:rFonts w:hint="eastAsia" w:ascii="黑体" w:hAnsi="黑体" w:eastAsia="黑体" w:cs="黑体"/>
                <w:color w:val="000000"/>
                <w:kern w:val="0"/>
                <w:sz w:val="21"/>
                <w:szCs w:val="21"/>
                <w:highlight w:val="none"/>
                <w:lang w:val="zh-TW" w:eastAsia="zh-TW"/>
              </w:rPr>
              <w:t>要求</w:t>
            </w:r>
            <w:r>
              <w:rPr>
                <w:rFonts w:hint="eastAsia" w:ascii="黑体" w:hAnsi="黑体" w:eastAsia="黑体" w:cs="黑体"/>
                <w:color w:val="auto"/>
                <w:sz w:val="21"/>
                <w:szCs w:val="21"/>
                <w:highlight w:val="none"/>
              </w:rPr>
              <w:t>，履约保证金的形式：</w:t>
            </w:r>
            <w:r>
              <w:rPr>
                <w:rStyle w:val="42"/>
                <w:rFonts w:hint="eastAsia" w:ascii="黑体" w:hAnsi="黑体" w:eastAsia="黑体" w:cs="黑体"/>
                <w:b/>
                <w:color w:val="000000"/>
                <w:kern w:val="0"/>
                <w:sz w:val="21"/>
                <w:szCs w:val="21"/>
                <w:highlight w:val="none"/>
                <w:u w:val="single"/>
                <w:lang w:val="zh-TW" w:eastAsia="zh-TW"/>
              </w:rPr>
              <w:t>保函或现金、支票形式</w:t>
            </w:r>
          </w:p>
          <w:p w14:paraId="08CB3DD1">
            <w:pPr>
              <w:shd w:val="clear" w:color="auto" w:fill="auto"/>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履约保证金的金额：</w:t>
            </w:r>
            <w:r>
              <w:rPr>
                <w:rFonts w:hint="eastAsia" w:ascii="黑体" w:hAnsi="黑体" w:eastAsia="黑体" w:cs="黑体"/>
                <w:b/>
                <w:bCs/>
                <w:color w:val="auto"/>
                <w:szCs w:val="21"/>
                <w:highlight w:val="none"/>
                <w:u w:val="single"/>
                <w:lang w:val="en-US" w:eastAsia="zh-CN"/>
              </w:rPr>
              <w:t>3</w:t>
            </w:r>
            <w:r>
              <w:rPr>
                <w:rFonts w:hint="eastAsia" w:ascii="黑体" w:hAnsi="黑体" w:eastAsia="黑体" w:cs="黑体"/>
                <w:b/>
                <w:bCs/>
                <w:color w:val="auto"/>
                <w:szCs w:val="21"/>
                <w:highlight w:val="none"/>
              </w:rPr>
              <w:t>％</w:t>
            </w:r>
            <w:r>
              <w:rPr>
                <w:rFonts w:hint="eastAsia" w:ascii="黑体" w:hAnsi="黑体" w:eastAsia="黑体" w:cs="黑体"/>
                <w:color w:val="auto"/>
                <w:szCs w:val="21"/>
                <w:highlight w:val="none"/>
              </w:rPr>
              <w:t>签约合同价</w:t>
            </w:r>
            <w:r>
              <w:rPr>
                <w:rFonts w:hint="eastAsia" w:ascii="黑体" w:hAnsi="黑体" w:eastAsia="黑体" w:cs="黑体"/>
                <w:color w:val="auto"/>
                <w:spacing w:val="-6"/>
                <w:szCs w:val="21"/>
                <w:highlight w:val="none"/>
                <w:lang w:eastAsia="zh-CN"/>
              </w:rPr>
              <w:t>。</w:t>
            </w:r>
          </w:p>
          <w:p w14:paraId="0B69E6DC">
            <w:pPr>
              <w:rPr>
                <w:rFonts w:hint="eastAsia" w:ascii="黑体" w:hAnsi="黑体" w:eastAsia="黑体" w:cs="黑体"/>
                <w:b/>
                <w:color w:val="auto"/>
                <w:szCs w:val="21"/>
                <w:highlight w:val="none"/>
                <w:u w:val="single"/>
                <w:lang w:eastAsia="zh-CN"/>
              </w:rPr>
            </w:pPr>
            <w:r>
              <w:rPr>
                <w:rFonts w:hint="eastAsia" w:ascii="黑体" w:hAnsi="黑体" w:eastAsia="黑体" w:cs="黑体"/>
                <w:b/>
                <w:color w:val="auto"/>
                <w:szCs w:val="21"/>
                <w:highlight w:val="none"/>
                <w:u w:val="single"/>
              </w:rPr>
              <w:t>农民工工资保证金为</w:t>
            </w:r>
            <w:r>
              <w:rPr>
                <w:rFonts w:hint="eastAsia" w:ascii="黑体" w:hAnsi="黑体" w:eastAsia="黑体" w:cs="黑体"/>
                <w:b/>
                <w:color w:val="auto"/>
                <w:szCs w:val="21"/>
                <w:highlight w:val="none"/>
                <w:u w:val="single"/>
                <w:lang w:val="en-US" w:eastAsia="zh-CN"/>
              </w:rPr>
              <w:t>合同价</w:t>
            </w:r>
            <w:r>
              <w:rPr>
                <w:rFonts w:hint="eastAsia" w:ascii="黑体" w:hAnsi="黑体" w:eastAsia="黑体" w:cs="黑体"/>
                <w:b/>
                <w:color w:val="auto"/>
                <w:szCs w:val="21"/>
                <w:highlight w:val="none"/>
                <w:u w:val="single"/>
              </w:rPr>
              <w:t>的</w:t>
            </w:r>
            <w:r>
              <w:rPr>
                <w:rFonts w:hint="eastAsia" w:ascii="黑体" w:hAnsi="黑体" w:eastAsia="黑体" w:cs="黑体"/>
                <w:b/>
                <w:color w:val="auto"/>
                <w:szCs w:val="21"/>
                <w:highlight w:val="none"/>
                <w:u w:val="single"/>
                <w:lang w:val="en-US" w:eastAsia="zh-CN"/>
              </w:rPr>
              <w:t>2</w:t>
            </w:r>
            <w:r>
              <w:rPr>
                <w:rFonts w:hint="eastAsia" w:ascii="黑体" w:hAnsi="黑体" w:eastAsia="黑体" w:cs="黑体"/>
                <w:b/>
                <w:color w:val="auto"/>
                <w:szCs w:val="21"/>
                <w:highlight w:val="none"/>
                <w:u w:val="single"/>
              </w:rPr>
              <w:t>%（中标人需</w:t>
            </w:r>
            <w:r>
              <w:rPr>
                <w:rFonts w:hint="eastAsia" w:ascii="黑体" w:hAnsi="黑体" w:eastAsia="黑体" w:cs="黑体"/>
                <w:b/>
                <w:color w:val="auto"/>
                <w:szCs w:val="21"/>
                <w:highlight w:val="none"/>
                <w:u w:val="single"/>
                <w:lang w:eastAsia="zh-CN"/>
              </w:rPr>
              <w:t>依法开设农民工工资专用账户</w:t>
            </w:r>
            <w:r>
              <w:rPr>
                <w:rFonts w:hint="eastAsia" w:ascii="黑体" w:hAnsi="黑体" w:eastAsia="黑体" w:cs="黑体"/>
                <w:b/>
                <w:color w:val="auto"/>
                <w:szCs w:val="21"/>
                <w:highlight w:val="none"/>
                <w:u w:val="single"/>
              </w:rPr>
              <w:t>）</w:t>
            </w:r>
            <w:r>
              <w:rPr>
                <w:rFonts w:hint="eastAsia" w:ascii="黑体" w:hAnsi="黑体" w:eastAsia="黑体" w:cs="黑体"/>
                <w:b/>
                <w:color w:val="auto"/>
                <w:szCs w:val="21"/>
                <w:highlight w:val="none"/>
                <w:u w:val="single"/>
                <w:lang w:eastAsia="zh-CN"/>
              </w:rPr>
              <w:t>；</w:t>
            </w:r>
          </w:p>
          <w:p w14:paraId="09C2DD08">
            <w:pPr>
              <w:rPr>
                <w:rFonts w:hint="eastAsia"/>
                <w:highlight w:val="none"/>
              </w:rPr>
            </w:pPr>
            <w:r>
              <w:rPr>
                <w:rFonts w:hint="eastAsia" w:ascii="黑体" w:hAnsi="黑体" w:eastAsia="黑体" w:cs="黑体"/>
                <w:b/>
                <w:color w:val="auto"/>
                <w:szCs w:val="21"/>
                <w:highlight w:val="none"/>
                <w:u w:val="single"/>
                <w:lang w:eastAsia="zh-CN"/>
              </w:rPr>
              <w:t>农民工工资保证金的形式：保函或现金（一次性缴存）</w:t>
            </w:r>
          </w:p>
          <w:p w14:paraId="3C071D10">
            <w:pPr>
              <w:shd w:val="clear" w:color="auto" w:fill="auto"/>
              <w:spacing w:line="360" w:lineRule="atLeast"/>
              <w:rPr>
                <w:rFonts w:hint="eastAsia" w:ascii="黑体" w:hAnsi="黑体" w:eastAsia="黑体" w:cs="黑体"/>
                <w:color w:val="auto"/>
                <w:szCs w:val="21"/>
                <w:highlight w:val="none"/>
              </w:rPr>
            </w:pPr>
            <w:r>
              <w:rPr>
                <w:rStyle w:val="42"/>
                <w:rFonts w:hint="eastAsia" w:ascii="黑体" w:hAnsi="黑体" w:eastAsia="黑体" w:cs="黑体"/>
                <w:color w:val="auto"/>
                <w:kern w:val="0"/>
                <w:sz w:val="21"/>
                <w:szCs w:val="21"/>
                <w:highlight w:val="none"/>
                <w:lang w:val="zh-TW" w:eastAsia="zh-TW"/>
              </w:rPr>
              <w:t>□不要求</w:t>
            </w:r>
          </w:p>
        </w:tc>
      </w:tr>
      <w:tr w14:paraId="483582E8">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264024DC">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8.5.1</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13F37EF3">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监督部门</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3D36394A">
            <w:pPr>
              <w:shd w:val="clear" w:color="auto" w:fill="auto"/>
              <w:spacing w:line="360" w:lineRule="atLeast"/>
              <w:rPr>
                <w:rFonts w:hint="eastAsia" w:ascii="黑体" w:hAnsi="黑体" w:eastAsia="黑体" w:cs="黑体"/>
                <w:color w:val="auto"/>
                <w:szCs w:val="21"/>
                <w:highlight w:val="none"/>
                <w:u w:val="none"/>
              </w:rPr>
            </w:pPr>
            <w:r>
              <w:rPr>
                <w:rFonts w:hint="eastAsia" w:ascii="黑体" w:hAnsi="黑体" w:eastAsia="黑体" w:cs="黑体"/>
                <w:color w:val="auto"/>
                <w:szCs w:val="21"/>
                <w:highlight w:val="none"/>
                <w:u w:val="none"/>
              </w:rPr>
              <w:t xml:space="preserve">行业监管：新巴尔虎左旗住房建设和交通运输局 </w:t>
            </w:r>
          </w:p>
          <w:p w14:paraId="3417BAD5">
            <w:pPr>
              <w:shd w:val="clear" w:color="auto" w:fill="auto"/>
              <w:spacing w:line="360" w:lineRule="atLeast"/>
              <w:rPr>
                <w:rFonts w:hint="eastAsia" w:ascii="黑体" w:hAnsi="黑体" w:eastAsia="黑体" w:cs="黑体"/>
                <w:color w:val="auto"/>
                <w:szCs w:val="21"/>
                <w:highlight w:val="none"/>
                <w:u w:val="none"/>
              </w:rPr>
            </w:pPr>
            <w:r>
              <w:rPr>
                <w:rFonts w:hint="eastAsia" w:ascii="黑体" w:hAnsi="黑体" w:eastAsia="黑体" w:cs="黑体"/>
                <w:color w:val="auto"/>
                <w:szCs w:val="21"/>
                <w:highlight w:val="none"/>
                <w:u w:val="none"/>
              </w:rPr>
              <w:t>地    址：新巴尔虎左旗阿木古郎镇呼格吉乐街和巴尔虎路交汇处向北1500米</w:t>
            </w:r>
          </w:p>
          <w:p w14:paraId="064C693F">
            <w:pPr>
              <w:rPr>
                <w:rFonts w:hint="eastAsia" w:ascii="黑体" w:hAnsi="黑体" w:eastAsia="黑体" w:cs="黑体"/>
                <w:color w:val="auto"/>
                <w:szCs w:val="21"/>
                <w:highlight w:val="none"/>
                <w:u w:val="none"/>
              </w:rPr>
            </w:pPr>
            <w:r>
              <w:rPr>
                <w:rFonts w:hint="eastAsia" w:ascii="黑体" w:hAnsi="黑体" w:eastAsia="黑体" w:cs="黑体"/>
                <w:color w:val="auto"/>
                <w:szCs w:val="21"/>
                <w:highlight w:val="none"/>
                <w:u w:val="none"/>
              </w:rPr>
              <w:t>联 系 人：玲玲</w:t>
            </w:r>
          </w:p>
          <w:p w14:paraId="4B1575AE">
            <w:pPr>
              <w:shd w:val="clear" w:color="auto" w:fill="auto"/>
              <w:spacing w:line="360" w:lineRule="atLeas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none"/>
              </w:rPr>
              <w:t>联系电话：0470-6603085</w:t>
            </w:r>
          </w:p>
        </w:tc>
      </w:tr>
      <w:tr w14:paraId="5E79D74D">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46E87055">
            <w:pPr>
              <w:shd w:val="clear" w:color="auto" w:fill="auto"/>
              <w:spacing w:line="360" w:lineRule="atLeast"/>
              <w:jc w:val="center"/>
              <w:rPr>
                <w:rFonts w:hint="eastAsia" w:ascii="黑体" w:hAnsi="黑体" w:eastAsia="黑体" w:cs="黑体"/>
                <w:color w:val="auto"/>
                <w:szCs w:val="21"/>
                <w:highlight w:val="none"/>
              </w:rPr>
            </w:pPr>
            <w:r>
              <w:rPr>
                <w:rFonts w:hint="eastAsia" w:ascii="黑体" w:hAnsi="黑体" w:eastAsia="黑体" w:cs="黑体"/>
                <w:color w:val="auto"/>
                <w:highlight w:val="none"/>
              </w:rPr>
              <w:t>9</w:t>
            </w:r>
          </w:p>
        </w:tc>
        <w:tc>
          <w:tcPr>
            <w:tcW w:w="1026" w:type="pct"/>
            <w:tcBorders>
              <w:top w:val="single" w:color="auto" w:sz="4" w:space="0"/>
              <w:left w:val="single" w:color="auto" w:sz="4" w:space="0"/>
              <w:bottom w:val="single" w:color="auto" w:sz="4" w:space="0"/>
              <w:right w:val="single" w:color="auto" w:sz="4" w:space="0"/>
            </w:tcBorders>
            <w:noWrap w:val="0"/>
            <w:vAlign w:val="center"/>
          </w:tcPr>
          <w:p w14:paraId="075CDD40">
            <w:pPr>
              <w:shd w:val="clear" w:color="auto" w:fill="auto"/>
              <w:spacing w:line="360" w:lineRule="atLeast"/>
              <w:jc w:val="center"/>
              <w:rPr>
                <w:rFonts w:hint="eastAsia" w:ascii="黑体" w:hAnsi="黑体" w:eastAsia="黑体" w:cs="黑体"/>
                <w:color w:val="auto"/>
                <w:szCs w:val="21"/>
                <w:highlight w:val="none"/>
                <w:lang w:val="en-US" w:eastAsia="zh-CN"/>
              </w:rPr>
            </w:pPr>
            <w:r>
              <w:rPr>
                <w:rFonts w:hint="eastAsia" w:ascii="黑体" w:hAnsi="黑体" w:eastAsia="黑体" w:cs="黑体"/>
                <w:color w:val="auto"/>
                <w:highlight w:val="none"/>
              </w:rPr>
              <w:t>电子招标投标</w:t>
            </w:r>
            <w:r>
              <w:rPr>
                <w:rFonts w:hint="eastAsia" w:ascii="黑体" w:hAnsi="黑体" w:eastAsia="黑体" w:cs="黑体"/>
                <w:color w:val="auto"/>
                <w:highlight w:val="none"/>
                <w:lang w:val="en-US" w:eastAsia="zh-CN"/>
              </w:rPr>
              <w:t>其他要求</w:t>
            </w:r>
          </w:p>
        </w:tc>
        <w:tc>
          <w:tcPr>
            <w:tcW w:w="3432" w:type="pct"/>
            <w:tcBorders>
              <w:top w:val="single" w:color="auto" w:sz="4" w:space="0"/>
              <w:left w:val="single" w:color="auto" w:sz="4" w:space="0"/>
              <w:bottom w:val="single" w:color="auto" w:sz="4" w:space="0"/>
              <w:right w:val="single" w:color="auto" w:sz="4" w:space="0"/>
            </w:tcBorders>
            <w:noWrap w:val="0"/>
            <w:vAlign w:val="center"/>
          </w:tcPr>
          <w:p w14:paraId="7A1F8D7B">
            <w:pPr>
              <w:snapToGrid w:val="0"/>
              <w:spacing w:line="360" w:lineRule="auto"/>
              <w:rPr>
                <w:rFonts w:hint="eastAsia" w:ascii="黑体" w:hAnsi="黑体" w:eastAsia="黑体" w:cs="黑体"/>
                <w:color w:val="auto"/>
                <w:highlight w:val="none"/>
              </w:rPr>
            </w:pPr>
            <w:r>
              <w:rPr>
                <w:rFonts w:hint="eastAsia" w:ascii="黑体" w:hAnsi="黑体" w:eastAsia="黑体" w:cs="黑体"/>
                <w:color w:val="auto"/>
                <w:highlight w:val="none"/>
                <w:lang w:val="en-US" w:eastAsia="zh-CN"/>
              </w:rPr>
              <w:t>其他</w:t>
            </w:r>
            <w:r>
              <w:rPr>
                <w:rFonts w:hint="eastAsia" w:ascii="黑体" w:hAnsi="黑体" w:eastAsia="黑体" w:cs="黑体"/>
                <w:color w:val="auto"/>
                <w:highlight w:val="none"/>
              </w:rPr>
              <w:t>要求：</w:t>
            </w:r>
          </w:p>
          <w:p w14:paraId="465EC6F6">
            <w:pPr>
              <w:snapToGrid w:val="0"/>
              <w:spacing w:line="360" w:lineRule="auto"/>
              <w:rPr>
                <w:rFonts w:hint="eastAsia" w:ascii="黑体" w:hAnsi="黑体" w:eastAsia="黑体" w:cs="黑体"/>
                <w:color w:val="auto"/>
                <w:highlight w:val="none"/>
                <w:u w:val="single"/>
              </w:rPr>
            </w:pPr>
            <w:r>
              <w:rPr>
                <w:rFonts w:hint="eastAsia" w:ascii="黑体" w:hAnsi="黑体" w:eastAsia="黑体" w:cs="黑体"/>
                <w:color w:val="auto"/>
                <w:highlight w:val="none"/>
                <w:u w:val="single"/>
              </w:rPr>
              <w:t>1.有意参与本项目的投标人应在内蒙古自治区公共资源交易网电子交易平台系统注册并办理数字证书后 （https://ggzyjy.nmg.gov.cn）登入投标人系统。相关办理程序和要求请投标人在内蒙古自治区公共资源交易网 （https://ggzyjy.nmg.gov.cn）办事指南、通知公告和下载中心查询。 投标人在系统内填写投标信息并提交后再在投标人系统内领取招标（采购）文件。评标委员会以投标人制作加密的投标文件作为评审依据。投标人应对其提交投标文件中相关信息的真实性、合法性、有效性、完整性负责。否则，投标人应承担相应责任。</w:t>
            </w:r>
          </w:p>
          <w:p w14:paraId="0C1D928C">
            <w:pPr>
              <w:snapToGrid w:val="0"/>
              <w:spacing w:line="360" w:lineRule="auto"/>
              <w:rPr>
                <w:rFonts w:hint="default" w:ascii="黑体" w:hAnsi="黑体" w:eastAsia="黑体" w:cs="黑体"/>
                <w:color w:val="auto"/>
                <w:highlight w:val="none"/>
                <w:u w:val="single"/>
                <w:lang w:val="en-US" w:eastAsia="zh-CN"/>
              </w:rPr>
            </w:pPr>
            <w:r>
              <w:rPr>
                <w:rFonts w:hint="eastAsia" w:ascii="黑体" w:hAnsi="黑体" w:eastAsia="黑体" w:cs="黑体"/>
                <w:color w:val="auto"/>
                <w:highlight w:val="none"/>
                <w:u w:val="single"/>
                <w:lang w:val="en-US" w:eastAsia="zh-CN"/>
              </w:rPr>
              <w:t>2.投标人在投标截止后再行上传信息或更改信息均视为无效，不得作为评审依据进行评定。</w:t>
            </w:r>
          </w:p>
          <w:p w14:paraId="064A29C9">
            <w:pPr>
              <w:snapToGrid w:val="0"/>
              <w:spacing w:line="360" w:lineRule="auto"/>
              <w:rPr>
                <w:rFonts w:hint="default" w:ascii="黑体" w:hAnsi="黑体" w:eastAsia="黑体" w:cs="黑体"/>
                <w:color w:val="auto"/>
                <w:highlight w:val="none"/>
                <w:u w:val="single"/>
                <w:lang w:val="en-US" w:eastAsia="zh-CN"/>
              </w:rPr>
            </w:pPr>
            <w:r>
              <w:rPr>
                <w:rFonts w:hint="eastAsia" w:ascii="黑体" w:hAnsi="黑体" w:eastAsia="黑体" w:cs="黑体"/>
                <w:color w:val="auto"/>
                <w:highlight w:val="none"/>
                <w:u w:val="single"/>
                <w:lang w:val="en-US" w:eastAsia="zh-CN"/>
              </w:rPr>
              <w:t>3.招标文件中未提到的其他事宜应按内蒙古自治区公共资源交易网 （https://ggzyjy.nmg.gov.cn）“重要通知栏目查询和查看文件”中 发布的办事指南、流程及制度中规定的内容执行。</w:t>
            </w:r>
          </w:p>
          <w:p w14:paraId="26B31AE1">
            <w:pPr>
              <w:snapToGrid w:val="0"/>
              <w:spacing w:line="360" w:lineRule="auto"/>
              <w:rPr>
                <w:rFonts w:hint="eastAsia" w:ascii="黑体" w:hAnsi="黑体" w:eastAsia="黑体" w:cs="黑体"/>
                <w:color w:val="auto"/>
                <w:szCs w:val="21"/>
                <w:highlight w:val="none"/>
                <w:lang w:val="en-US" w:eastAsia="zh-CN"/>
              </w:rPr>
            </w:pPr>
            <w:r>
              <w:rPr>
                <w:rFonts w:hint="eastAsia" w:ascii="黑体" w:hAnsi="黑体" w:eastAsia="黑体" w:cs="黑体"/>
                <w:color w:val="auto"/>
                <w:highlight w:val="none"/>
                <w:u w:val="single"/>
                <w:lang w:val="en-US" w:eastAsia="zh-CN"/>
              </w:rPr>
              <w:t>4.</w:t>
            </w:r>
            <w:r>
              <w:rPr>
                <w:rFonts w:hint="eastAsia" w:ascii="黑体" w:hAnsi="黑体" w:eastAsia="黑体" w:cs="黑体"/>
                <w:color w:val="auto"/>
                <w:szCs w:val="21"/>
                <w:highlight w:val="none"/>
                <w:u w:val="single"/>
              </w:rPr>
              <w:t>技术支持电话:0512-58188511、0471-5332612）。</w:t>
            </w:r>
          </w:p>
        </w:tc>
      </w:tr>
      <w:tr w14:paraId="1D4A62AF">
        <w:tblPrEx>
          <w:tblCellMar>
            <w:top w:w="0" w:type="dxa"/>
            <w:left w:w="108" w:type="dxa"/>
            <w:bottom w:w="0" w:type="dxa"/>
            <w:right w:w="108" w:type="dxa"/>
          </w:tblCellMar>
        </w:tblPrEx>
        <w:trPr>
          <w:trHeight w:val="340" w:hRule="atLeast"/>
        </w:trPr>
        <w:tc>
          <w:tcPr>
            <w:tcW w:w="5000" w:type="pct"/>
            <w:gridSpan w:val="3"/>
            <w:tcBorders>
              <w:top w:val="single" w:color="auto" w:sz="4" w:space="0"/>
              <w:left w:val="single" w:color="auto" w:sz="4" w:space="0"/>
              <w:bottom w:val="single" w:color="auto" w:sz="4" w:space="0"/>
              <w:right w:val="single" w:color="auto" w:sz="4" w:space="0"/>
            </w:tcBorders>
            <w:noWrap w:val="0"/>
            <w:vAlign w:val="center"/>
          </w:tcPr>
          <w:p w14:paraId="46040AC9">
            <w:pPr>
              <w:shd w:val="clear" w:color="auto" w:fill="auto"/>
              <w:spacing w:line="360" w:lineRule="atLeas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需要补充的其他内容</w:t>
            </w:r>
          </w:p>
        </w:tc>
      </w:tr>
      <w:tr w14:paraId="7CAEE1D2">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30C58581">
            <w:pPr>
              <w:jc w:val="center"/>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1.4.4</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10F80E72">
            <w:pPr>
              <w:spacing w:line="252" w:lineRule="auto"/>
              <w:rPr>
                <w:rFonts w:hint="eastAsia" w:ascii="黑体" w:hAnsi="黑体" w:eastAsia="黑体" w:cs="黑体"/>
                <w:b/>
                <w:bCs/>
                <w:color w:val="auto"/>
                <w:szCs w:val="21"/>
                <w:highlight w:val="none"/>
                <w:u w:val="single"/>
                <w:lang w:val="en-US" w:eastAsia="zh-CN"/>
              </w:rPr>
            </w:pPr>
            <w:r>
              <w:rPr>
                <w:rFonts w:hint="eastAsia" w:ascii="黑体" w:hAnsi="黑体" w:eastAsia="黑体" w:cs="黑体"/>
                <w:b/>
                <w:bCs/>
                <w:color w:val="auto"/>
                <w:szCs w:val="21"/>
                <w:highlight w:val="none"/>
                <w:u w:val="single"/>
                <w:lang w:val="en-US" w:eastAsia="zh-CN"/>
              </w:rPr>
              <w:t>1.4.4细化：</w:t>
            </w:r>
          </w:p>
          <w:p w14:paraId="64E8EDD6">
            <w:pPr>
              <w:spacing w:line="380" w:lineRule="exact"/>
              <w:jc w:val="left"/>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1.4.4投标人（包括联合体各成员）不得存在下列不良状况或不良信用记录：</w:t>
            </w:r>
          </w:p>
          <w:p w14:paraId="5C39769C">
            <w:pPr>
              <w:spacing w:line="380" w:lineRule="exact"/>
              <w:jc w:val="left"/>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（1）被省级及以上交通运输主管部门取消招标项目所在地的投标资格且处于有效期内；</w:t>
            </w:r>
          </w:p>
          <w:p w14:paraId="06F72981">
            <w:pPr>
              <w:spacing w:line="380" w:lineRule="exact"/>
              <w:jc w:val="left"/>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（2）被责令停业，暂扣或吊销执照，或吊销资质证书；</w:t>
            </w:r>
          </w:p>
          <w:p w14:paraId="4794737C">
            <w:pPr>
              <w:spacing w:line="380" w:lineRule="exact"/>
              <w:jc w:val="left"/>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（3）进入清算程序，或被宣告破产，或其他丧失履约能力的情形；</w:t>
            </w:r>
          </w:p>
          <w:p w14:paraId="4D7B96C6">
            <w:pPr>
              <w:spacing w:line="380" w:lineRule="exact"/>
              <w:jc w:val="left"/>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（4）在国家企业信用信息公示系统（http://www.gsxt.gov.cn/）中被列入严重违法失信企业名单；</w:t>
            </w:r>
          </w:p>
          <w:p w14:paraId="5D380D80">
            <w:pPr>
              <w:spacing w:line="380" w:lineRule="exact"/>
              <w:jc w:val="left"/>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（5）在“信用中国”网站（http://www.creditchina.gov.cn/）中被列入失信被执行人名单；</w:t>
            </w:r>
          </w:p>
          <w:p w14:paraId="1CAC970B">
            <w:pPr>
              <w:spacing w:line="360" w:lineRule="auto"/>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w:t>
            </w:r>
            <w:r>
              <w:rPr>
                <w:rFonts w:hint="eastAsia" w:ascii="黑体" w:hAnsi="黑体" w:eastAsia="黑体" w:cs="黑体"/>
                <w:b/>
                <w:bCs/>
                <w:color w:val="auto"/>
                <w:sz w:val="21"/>
                <w:szCs w:val="21"/>
                <w:highlight w:val="none"/>
                <w:lang w:val="en-US" w:eastAsia="zh-CN"/>
              </w:rPr>
              <w:t>6</w:t>
            </w:r>
            <w:r>
              <w:rPr>
                <w:rFonts w:hint="eastAsia" w:ascii="黑体" w:hAnsi="黑体" w:eastAsia="黑体" w:cs="黑体"/>
                <w:b/>
                <w:bCs/>
                <w:color w:val="auto"/>
                <w:sz w:val="21"/>
                <w:szCs w:val="21"/>
                <w:highlight w:val="none"/>
              </w:rPr>
              <w:t>）</w:t>
            </w:r>
            <w:r>
              <w:rPr>
                <w:rFonts w:hint="eastAsia" w:ascii="黑体" w:hAnsi="黑体" w:eastAsia="黑体" w:cs="黑体"/>
                <w:b/>
                <w:bCs/>
                <w:color w:val="auto"/>
                <w:sz w:val="21"/>
                <w:szCs w:val="21"/>
                <w:highlight w:val="none"/>
                <w:u w:val="single"/>
                <w:lang w:val="en-US" w:eastAsia="zh-CN"/>
              </w:rPr>
              <w:t>投标人及其法定代表人、拟委任的项目经理在近三年内存在行贿犯罪行为的</w:t>
            </w:r>
            <w:r>
              <w:rPr>
                <w:rFonts w:hint="eastAsia" w:ascii="黑体" w:hAnsi="黑体" w:eastAsia="黑体" w:cs="黑体"/>
                <w:b/>
                <w:bCs/>
                <w:color w:val="auto"/>
                <w:highlight w:val="none"/>
                <w:u w:val="single"/>
                <w:lang w:eastAsia="zh-CN"/>
              </w:rPr>
              <w:t>（</w:t>
            </w:r>
            <w:r>
              <w:rPr>
                <w:rFonts w:hint="eastAsia" w:ascii="黑体" w:hAnsi="黑体" w:eastAsia="黑体" w:cs="黑体"/>
                <w:b/>
                <w:bCs/>
                <w:color w:val="auto"/>
                <w:highlight w:val="none"/>
                <w:u w:val="single"/>
                <w:lang w:val="en-US" w:eastAsia="zh-CN"/>
              </w:rPr>
              <w:t>以本单位出具的</w:t>
            </w:r>
            <w:r>
              <w:rPr>
                <w:rFonts w:hint="eastAsia" w:ascii="黑体" w:hAnsi="黑体" w:eastAsia="黑体" w:cs="黑体"/>
                <w:b/>
                <w:bCs/>
                <w:color w:val="auto"/>
                <w:highlight w:val="none"/>
                <w:u w:val="single"/>
                <w:lang w:eastAsia="zh-CN"/>
              </w:rPr>
              <w:t>书面承诺书</w:t>
            </w:r>
            <w:r>
              <w:rPr>
                <w:rFonts w:hint="eastAsia" w:ascii="黑体" w:hAnsi="黑体" w:eastAsia="黑体" w:cs="黑体"/>
                <w:b/>
                <w:bCs/>
                <w:color w:val="auto"/>
                <w:highlight w:val="none"/>
                <w:u w:val="single"/>
                <w:lang w:val="en-US" w:eastAsia="zh-CN"/>
              </w:rPr>
              <w:t>为准</w:t>
            </w:r>
            <w:r>
              <w:rPr>
                <w:rFonts w:hint="eastAsia" w:ascii="黑体" w:hAnsi="黑体" w:eastAsia="黑体" w:cs="黑体"/>
                <w:b/>
                <w:bCs/>
                <w:color w:val="auto"/>
                <w:highlight w:val="none"/>
                <w:u w:val="single"/>
                <w:lang w:eastAsia="zh-CN"/>
              </w:rPr>
              <w:t>）</w:t>
            </w:r>
            <w:r>
              <w:rPr>
                <w:rFonts w:hint="eastAsia" w:ascii="黑体" w:hAnsi="黑体" w:eastAsia="黑体" w:cs="黑体"/>
                <w:b/>
                <w:bCs/>
                <w:color w:val="auto"/>
                <w:sz w:val="21"/>
                <w:szCs w:val="21"/>
                <w:highlight w:val="none"/>
                <w:lang w:val="en-US" w:eastAsia="zh-CN"/>
              </w:rPr>
              <w:t>；</w:t>
            </w:r>
          </w:p>
          <w:p w14:paraId="2D0F37EC">
            <w:pPr>
              <w:spacing w:line="360" w:lineRule="auto"/>
              <w:rPr>
                <w:rFonts w:hint="eastAsia" w:ascii="黑体" w:hAnsi="黑体" w:eastAsia="黑体" w:cs="黑体"/>
                <w:b/>
                <w:color w:val="auto"/>
                <w:szCs w:val="21"/>
                <w:highlight w:val="none"/>
                <w:lang w:val="en-US" w:eastAsia="zh-CN"/>
              </w:rPr>
            </w:pPr>
            <w:r>
              <w:rPr>
                <w:rFonts w:hint="eastAsia" w:ascii="黑体" w:hAnsi="黑体" w:eastAsia="黑体" w:cs="黑体"/>
                <w:b/>
                <w:bCs/>
                <w:color w:val="auto"/>
                <w:sz w:val="21"/>
                <w:szCs w:val="21"/>
                <w:highlight w:val="none"/>
              </w:rPr>
              <w:t>（</w:t>
            </w:r>
            <w:r>
              <w:rPr>
                <w:rFonts w:hint="eastAsia" w:ascii="黑体" w:hAnsi="黑体" w:eastAsia="黑体" w:cs="黑体"/>
                <w:b/>
                <w:bCs/>
                <w:color w:val="auto"/>
                <w:sz w:val="21"/>
                <w:szCs w:val="21"/>
                <w:highlight w:val="none"/>
                <w:lang w:val="en-US" w:eastAsia="zh-CN"/>
              </w:rPr>
              <w:t>7</w:t>
            </w:r>
            <w:r>
              <w:rPr>
                <w:rFonts w:hint="eastAsia" w:ascii="黑体" w:hAnsi="黑体" w:eastAsia="黑体" w:cs="黑体"/>
                <w:b/>
                <w:bCs/>
                <w:color w:val="auto"/>
                <w:sz w:val="21"/>
                <w:szCs w:val="21"/>
                <w:highlight w:val="none"/>
              </w:rPr>
              <w:t>）法律法规或投标人须知前附表规定的其他情形。</w:t>
            </w:r>
          </w:p>
        </w:tc>
      </w:tr>
      <w:tr w14:paraId="55B2321B">
        <w:tblPrEx>
          <w:tblCellMar>
            <w:top w:w="0" w:type="dxa"/>
            <w:left w:w="108" w:type="dxa"/>
            <w:bottom w:w="0" w:type="dxa"/>
            <w:right w:w="108" w:type="dxa"/>
          </w:tblCellMar>
        </w:tblPrEx>
        <w:trPr>
          <w:trHeight w:val="340"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1A85899F">
            <w:pPr>
              <w:shd w:val="clear" w:color="auto" w:fill="auto"/>
              <w:spacing w:line="360" w:lineRule="atLeast"/>
              <w:jc w:val="center"/>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3.2</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50AF3344">
            <w:pPr>
              <w:shd w:val="clear" w:color="auto" w:fill="auto"/>
              <w:spacing w:line="360" w:lineRule="atLeast"/>
              <w:jc w:val="left"/>
              <w:rPr>
                <w:rFonts w:hint="eastAsia" w:ascii="黑体" w:hAnsi="黑体" w:eastAsia="黑体" w:cs="黑体"/>
                <w:b/>
                <w:bCs/>
                <w:color w:val="auto"/>
                <w:szCs w:val="21"/>
                <w:highlight w:val="none"/>
                <w:lang w:eastAsia="zh-CN"/>
              </w:rPr>
            </w:pPr>
            <w:r>
              <w:rPr>
                <w:rFonts w:hint="eastAsia" w:ascii="黑体" w:hAnsi="黑体" w:eastAsia="黑体" w:cs="黑体"/>
                <w:b/>
                <w:bCs/>
                <w:color w:val="auto"/>
                <w:szCs w:val="21"/>
                <w:highlight w:val="none"/>
              </w:rPr>
              <w:t>补充</w:t>
            </w:r>
            <w:r>
              <w:rPr>
                <w:rFonts w:hint="eastAsia" w:ascii="黑体" w:hAnsi="黑体" w:eastAsia="黑体" w:cs="黑体"/>
                <w:b/>
                <w:bCs/>
                <w:color w:val="auto"/>
                <w:szCs w:val="21"/>
                <w:highlight w:val="none"/>
                <w:lang w:eastAsia="zh-CN"/>
              </w:rPr>
              <w:t>：</w:t>
            </w:r>
          </w:p>
          <w:p w14:paraId="26CAE69A">
            <w:pPr>
              <w:shd w:val="clear" w:color="auto" w:fill="auto"/>
              <w:spacing w:line="360" w:lineRule="auto"/>
              <w:jc w:val="left"/>
              <w:rPr>
                <w:rFonts w:hint="eastAsia" w:ascii="黑体" w:hAnsi="黑体" w:eastAsia="黑体" w:cs="黑体"/>
                <w:b w:val="0"/>
                <w:bCs w:val="0"/>
                <w:color w:val="000000" w:themeColor="text1"/>
                <w:szCs w:val="21"/>
                <w:highlight w:val="none"/>
                <w14:textFill>
                  <w14:solidFill>
                    <w14:schemeClr w14:val="tx1"/>
                  </w14:solidFill>
                </w14:textFill>
              </w:rPr>
            </w:pPr>
            <w:r>
              <w:rPr>
                <w:rFonts w:hint="eastAsia" w:ascii="黑体" w:hAnsi="黑体" w:eastAsia="黑体" w:cs="黑体"/>
                <w:b w:val="0"/>
                <w:bCs w:val="0"/>
                <w:color w:val="000000" w:themeColor="text1"/>
                <w:szCs w:val="21"/>
                <w:highlight w:val="none"/>
                <w14:textFill>
                  <w14:solidFill>
                    <w14:schemeClr w14:val="tx1"/>
                  </w14:solidFill>
                </w14:textFill>
              </w:rPr>
              <w:t>3.2.9投标人中标后应按照招标文件规定和监理人的指示及发包人颁发的建设管理办法做好驻地建设，达到施工标准化以及实用、卫生、消防、环保、美观的标准。承包人驻地建设的有关费用以总额的形式列入投标报价的相应子目中。</w:t>
            </w:r>
          </w:p>
          <w:p w14:paraId="7EA77973">
            <w:pPr>
              <w:shd w:val="clear" w:color="auto" w:fill="auto"/>
              <w:spacing w:line="360" w:lineRule="auto"/>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3.2.10</w:t>
            </w:r>
            <w:r>
              <w:rPr>
                <w:rFonts w:hint="eastAsia" w:ascii="黑体" w:hAnsi="黑体" w:eastAsia="黑体" w:cs="黑体"/>
                <w:b w:val="0"/>
                <w:bCs/>
                <w:color w:val="auto"/>
                <w:szCs w:val="21"/>
                <w:highlight w:val="none"/>
                <w:lang w:val="en-US" w:eastAsia="zh-CN"/>
              </w:rPr>
              <w:t>工程一切险和第三方责任险的保险费按工程量固化清单中固定金额报价。承包人装备险和承包人职工的(人身)事故险由承包人自行投保，保险费由承包人承担并支付，并包含在所报的单价或总额价中，不单独报价。</w:t>
            </w:r>
          </w:p>
          <w:p w14:paraId="3434563F">
            <w:pPr>
              <w:spacing w:line="360" w:lineRule="auto"/>
              <w:rPr>
                <w:rFonts w:hint="eastAsia" w:ascii="黑体" w:hAnsi="黑体" w:eastAsia="黑体" w:cs="黑体"/>
                <w:b w:val="0"/>
                <w:bCs/>
                <w:color w:val="auto"/>
                <w:szCs w:val="21"/>
                <w:highlight w:val="none"/>
              </w:rPr>
            </w:pPr>
            <w:r>
              <w:rPr>
                <w:rFonts w:hint="eastAsia" w:ascii="黑体" w:hAnsi="黑体" w:eastAsia="黑体" w:cs="黑体"/>
                <w:b w:val="0"/>
                <w:bCs/>
                <w:color w:val="auto"/>
                <w:szCs w:val="21"/>
                <w:highlight w:val="none"/>
              </w:rPr>
              <w:t>3.2.1</w:t>
            </w:r>
            <w:r>
              <w:rPr>
                <w:rFonts w:hint="eastAsia" w:ascii="黑体" w:hAnsi="黑体" w:eastAsia="黑体" w:cs="黑体"/>
                <w:b w:val="0"/>
                <w:bCs/>
                <w:color w:val="auto"/>
                <w:szCs w:val="21"/>
                <w:highlight w:val="none"/>
                <w:lang w:val="en-US" w:eastAsia="zh-CN"/>
              </w:rPr>
              <w:t>1</w:t>
            </w:r>
            <w:r>
              <w:rPr>
                <w:rFonts w:hint="eastAsia" w:ascii="黑体" w:hAnsi="黑体" w:eastAsia="黑体" w:cs="黑体"/>
                <w:b w:val="0"/>
                <w:bCs/>
                <w:color w:val="auto"/>
                <w:szCs w:val="21"/>
                <w:highlight w:val="none"/>
              </w:rPr>
              <w:t>承包人应充分考虑在施工过程中可能采取的保通措施、安全保护措施、文明施工措施和标准化施工。凡是本项目与其他在建工程有相互交叉干扰，承包人应充分考虑到窝工、返工增加的费用，做好与其它施工单位的协调、配合工作，并提供方便，无条件接受发包人的指挥，承包人应将其采取上述措施而可能发生的全部费用计入投标报价中，发包人将不另行支付。本项目内与原有公路、已建铁路、航道、堤防、输电线路、通讯缆线、供水、输油、输气管道、军用设施、居民住宅区、文物古迹等有交叉、干扰的地段，承包人应在不干扰原有公路及铁路正常运营以及注意保护各种管道管线、输电线路、通讯缆线，不干扰附近居民正常生活、不破坏文物古迹等的前提下合理安排施工组织计划，采取有效措施保证施工安全，在现场设置施工和安全标志，并在必要时疏导现有交通流。凡是有跨河桥梁和涉水涵洞的，承包人应合理安排工期，以尽可能避开汛期进行水中施工，确保汛期施工的安全和施工质量。承包人应对上述所有工作负责，发包人将根据承包人的要求给予适当协助。承包人应将其采取上述措施而可能发生的全部费用计入投标报价中，发包人将不另行支付。如因承包人采取的措施不力，影响公路、铁路、航道、堤防、通讯缆线、供水、输油、输气管道等正常安全运营、居民的正常生活、其他工程的正常施工而给其它部门或个人造成的一切损失，或由上述原因造成本工程工期的拖延或施工费用的增加，均由承包人自行负责，发包人不负任何责任。</w:t>
            </w:r>
          </w:p>
          <w:p w14:paraId="38C6A515">
            <w:pPr>
              <w:spacing w:line="360" w:lineRule="auto"/>
              <w:rPr>
                <w:rFonts w:hint="eastAsia" w:ascii="黑体" w:hAnsi="黑体" w:eastAsia="黑体" w:cs="黑体"/>
                <w:b w:val="0"/>
                <w:bCs/>
                <w:color w:val="auto"/>
                <w:szCs w:val="21"/>
                <w:highlight w:val="none"/>
              </w:rPr>
            </w:pPr>
            <w:r>
              <w:rPr>
                <w:rFonts w:hint="eastAsia" w:ascii="黑体" w:hAnsi="黑体" w:eastAsia="黑体" w:cs="黑体"/>
                <w:b w:val="0"/>
                <w:bCs/>
                <w:color w:val="auto"/>
                <w:szCs w:val="21"/>
                <w:highlight w:val="none"/>
              </w:rPr>
              <w:t>3.2.</w:t>
            </w:r>
            <w:r>
              <w:rPr>
                <w:rFonts w:hint="eastAsia" w:ascii="黑体" w:hAnsi="黑体" w:eastAsia="黑体" w:cs="黑体"/>
                <w:b w:val="0"/>
                <w:bCs/>
                <w:color w:val="auto"/>
                <w:szCs w:val="21"/>
                <w:highlight w:val="none"/>
                <w:lang w:val="en-US" w:eastAsia="zh-CN"/>
              </w:rPr>
              <w:t>12</w:t>
            </w:r>
            <w:r>
              <w:rPr>
                <w:rFonts w:hint="eastAsia" w:ascii="黑体" w:hAnsi="黑体" w:eastAsia="黑体" w:cs="黑体"/>
                <w:b w:val="0"/>
                <w:bCs/>
                <w:color w:val="auto"/>
                <w:szCs w:val="21"/>
                <w:highlight w:val="none"/>
              </w:rPr>
              <w:t>投标人在投标报价中要按照《内蒙古自治区草原植被恢复费征收使用管理办法》和税务部门的有关规定分别考虑各类临时用地的草原植被费及砂石材料的资源费等相关费用，发包人不单独计量支付。必要时发包人有权对该类费用代扣代缴。</w:t>
            </w:r>
          </w:p>
          <w:p w14:paraId="78EDB88B">
            <w:pPr>
              <w:spacing w:line="360" w:lineRule="auto"/>
              <w:rPr>
                <w:rFonts w:hint="eastAsia" w:ascii="黑体" w:hAnsi="黑体" w:eastAsia="黑体" w:cs="黑体"/>
                <w:b w:val="0"/>
                <w:bCs/>
                <w:color w:val="auto"/>
                <w:szCs w:val="21"/>
                <w:highlight w:val="none"/>
              </w:rPr>
            </w:pPr>
            <w:r>
              <w:rPr>
                <w:rFonts w:hint="eastAsia" w:ascii="黑体" w:hAnsi="黑体" w:eastAsia="黑体" w:cs="黑体"/>
                <w:b w:val="0"/>
                <w:bCs/>
                <w:color w:val="auto"/>
                <w:szCs w:val="21"/>
                <w:highlight w:val="none"/>
              </w:rPr>
              <w:t>3.2.1</w:t>
            </w:r>
            <w:r>
              <w:rPr>
                <w:rFonts w:hint="eastAsia" w:ascii="黑体" w:hAnsi="黑体" w:eastAsia="黑体" w:cs="黑体"/>
                <w:b w:val="0"/>
                <w:bCs/>
                <w:color w:val="auto"/>
                <w:szCs w:val="21"/>
                <w:highlight w:val="none"/>
                <w:lang w:val="en-US" w:eastAsia="zh-CN"/>
              </w:rPr>
              <w:t>3</w:t>
            </w:r>
            <w:r>
              <w:rPr>
                <w:rFonts w:hint="eastAsia" w:ascii="黑体" w:hAnsi="黑体" w:eastAsia="黑体" w:cs="黑体"/>
                <w:b w:val="0"/>
                <w:bCs/>
                <w:color w:val="auto"/>
                <w:szCs w:val="21"/>
                <w:highlight w:val="none"/>
              </w:rPr>
              <w:t>承包人因承包本合同工程需缴纳的一切税费均由承包人摊入各工程子目的单价或总额价中，发包人不单独支付。税费标准执行国家及地方政府的相关文件。</w:t>
            </w:r>
          </w:p>
          <w:p w14:paraId="20A0C194">
            <w:pPr>
              <w:pStyle w:val="21"/>
              <w:spacing w:line="360" w:lineRule="auto"/>
              <w:ind w:left="0" w:leftChars="0" w:firstLine="0" w:firstLineChars="0"/>
              <w:rPr>
                <w:rFonts w:hint="eastAsia"/>
                <w:highlight w:val="none"/>
              </w:rPr>
            </w:pPr>
            <w:r>
              <w:rPr>
                <w:rFonts w:hint="eastAsia" w:ascii="黑体" w:hAnsi="黑体" w:eastAsia="黑体" w:cs="黑体"/>
                <w:b w:val="0"/>
                <w:bCs/>
                <w:color w:val="auto"/>
                <w:szCs w:val="21"/>
                <w:highlight w:val="none"/>
                <w:lang w:val="en-US" w:eastAsia="zh-CN"/>
              </w:rPr>
              <w:t>3.2.14建设单位协助施工单位负责办理道路封闭、改线相关手续，施工单位负责现场交通警示、引导标志的设立摆放、维护，专人进行看管。</w:t>
            </w:r>
          </w:p>
        </w:tc>
      </w:tr>
      <w:tr w14:paraId="0DFA20D1">
        <w:tblPrEx>
          <w:tblCellMar>
            <w:top w:w="0" w:type="dxa"/>
            <w:left w:w="108" w:type="dxa"/>
            <w:bottom w:w="0" w:type="dxa"/>
            <w:right w:w="108" w:type="dxa"/>
          </w:tblCellMar>
        </w:tblPrEx>
        <w:trPr>
          <w:trHeight w:val="405"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5A6B1B8D">
            <w:pPr>
              <w:pStyle w:val="34"/>
              <w:shd w:val="clear" w:color="auto" w:fill="auto"/>
              <w:spacing w:before="0" w:line="240" w:lineRule="auto"/>
              <w:jc w:val="center"/>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3.5.9</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3E8080EB">
            <w:pPr>
              <w:rPr>
                <w:rFonts w:hint="eastAsia" w:ascii="黑体" w:hAnsi="黑体" w:eastAsia="黑体" w:cs="黑体"/>
                <w:b/>
                <w:bCs/>
                <w:color w:val="auto"/>
                <w:szCs w:val="21"/>
                <w:highlight w:val="none"/>
                <w:lang w:val="en-US" w:eastAsia="zh-CN"/>
              </w:rPr>
            </w:pPr>
            <w:r>
              <w:rPr>
                <w:rFonts w:hint="eastAsia" w:ascii="黑体" w:hAnsi="黑体" w:eastAsia="黑体" w:cs="黑体"/>
                <w:b/>
                <w:bCs/>
                <w:color w:val="auto"/>
                <w:szCs w:val="21"/>
                <w:highlight w:val="none"/>
                <w:lang w:val="en-US" w:eastAsia="zh-CN"/>
              </w:rPr>
              <w:t>细化：</w:t>
            </w:r>
          </w:p>
          <w:p w14:paraId="0181ABD2">
            <w:pPr>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rPr>
              <w:t>除合同条款约定的特殊情形外，投标人在投标文件中填报的项目经理</w:t>
            </w:r>
            <w:r>
              <w:rPr>
                <w:rFonts w:hint="eastAsia" w:ascii="黑体" w:hAnsi="黑体" w:eastAsia="黑体" w:cs="黑体"/>
                <w:color w:val="auto"/>
                <w:szCs w:val="21"/>
                <w:highlight w:val="none"/>
                <w:lang w:eastAsia="zh-CN"/>
              </w:rPr>
              <w:t>、</w:t>
            </w:r>
            <w:r>
              <w:rPr>
                <w:rFonts w:hint="eastAsia" w:ascii="黑体" w:hAnsi="黑体" w:eastAsia="黑体" w:cs="黑体"/>
                <w:color w:val="auto"/>
                <w:szCs w:val="21"/>
                <w:highlight w:val="none"/>
                <w:lang w:val="en-US" w:eastAsia="zh-CN"/>
              </w:rPr>
              <w:t>项目总工</w:t>
            </w:r>
            <w:r>
              <w:rPr>
                <w:rFonts w:hint="eastAsia" w:ascii="黑体" w:hAnsi="黑体" w:eastAsia="黑体" w:cs="黑体"/>
                <w:color w:val="auto"/>
                <w:szCs w:val="21"/>
                <w:highlight w:val="none"/>
              </w:rPr>
              <w:t>不允许更换。</w:t>
            </w:r>
          </w:p>
        </w:tc>
      </w:tr>
      <w:tr w14:paraId="745255CD">
        <w:tblPrEx>
          <w:tblCellMar>
            <w:top w:w="0" w:type="dxa"/>
            <w:left w:w="108" w:type="dxa"/>
            <w:bottom w:w="0" w:type="dxa"/>
            <w:right w:w="108" w:type="dxa"/>
          </w:tblCellMar>
        </w:tblPrEx>
        <w:trPr>
          <w:trHeight w:val="405"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025ADE09">
            <w:pPr>
              <w:shd w:val="clear" w:color="auto" w:fill="auto"/>
              <w:spacing w:line="360" w:lineRule="atLeast"/>
              <w:jc w:val="center"/>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8.5.1</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347CB464">
            <w:pPr>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u w:val="single"/>
              </w:rPr>
              <w:t>投诉人投诉时，应当提交投诉书。投诉书应当包括下列内容： </w:t>
            </w:r>
          </w:p>
          <w:p w14:paraId="17806296">
            <w:pPr>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u w:val="single"/>
              </w:rPr>
              <w:t>（一）投诉人的名称、地址及有效联系方式；</w:t>
            </w:r>
          </w:p>
          <w:p w14:paraId="7D02DBC4">
            <w:pPr>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u w:val="single"/>
              </w:rPr>
              <w:t>（二）被投诉人的名称、地址及有效联系方式； </w:t>
            </w:r>
          </w:p>
          <w:p w14:paraId="68D445FE">
            <w:pPr>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u w:val="single"/>
              </w:rPr>
              <w:t>（三）投诉事项的基本事实； </w:t>
            </w:r>
          </w:p>
          <w:p w14:paraId="50D69CA2">
            <w:pPr>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u w:val="single"/>
              </w:rPr>
              <w:t>（四）异议的提出及招标人答复情况；</w:t>
            </w:r>
          </w:p>
          <w:p w14:paraId="18751FA6">
            <w:pPr>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u w:val="single"/>
              </w:rPr>
              <w:t>（五）相关请求及主张；</w:t>
            </w:r>
          </w:p>
          <w:p w14:paraId="6A301FD9">
            <w:pPr>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u w:val="single"/>
              </w:rPr>
              <w:t>（六）有效线索和相关证明材料。</w:t>
            </w:r>
          </w:p>
          <w:p w14:paraId="4160AAFF">
            <w:pPr>
              <w:shd w:val="clear" w:color="auto" w:fill="auto"/>
              <w:spacing w:line="360" w:lineRule="atLeast"/>
              <w:jc w:val="left"/>
              <w:rPr>
                <w:rFonts w:hint="eastAsia" w:ascii="黑体" w:hAnsi="黑体" w:eastAsia="黑体" w:cs="黑体"/>
                <w:color w:val="auto"/>
                <w:szCs w:val="21"/>
                <w:highlight w:val="none"/>
                <w:lang w:val="en-US" w:eastAsia="zh-CN"/>
              </w:rPr>
            </w:pPr>
            <w:r>
              <w:rPr>
                <w:rFonts w:hint="eastAsia" w:ascii="黑体" w:hAnsi="黑体" w:eastAsia="黑体" w:cs="黑体"/>
                <w:b/>
                <w:color w:val="auto"/>
                <w:szCs w:val="21"/>
                <w:highlight w:val="none"/>
                <w:u w:val="single"/>
              </w:rPr>
              <w:t>未按规定提出异议或者未提交已提出异议的证明文件的投诉，交通运输主管部门可以不予受理。</w:t>
            </w:r>
          </w:p>
        </w:tc>
      </w:tr>
      <w:tr w14:paraId="2B7B1B02">
        <w:tblPrEx>
          <w:tblCellMar>
            <w:top w:w="0" w:type="dxa"/>
            <w:left w:w="108" w:type="dxa"/>
            <w:bottom w:w="0" w:type="dxa"/>
            <w:right w:w="108" w:type="dxa"/>
          </w:tblCellMar>
        </w:tblPrEx>
        <w:trPr>
          <w:trHeight w:val="405"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555CB761">
            <w:pPr>
              <w:shd w:val="clear" w:color="auto" w:fill="auto"/>
              <w:spacing w:line="360" w:lineRule="atLeast"/>
              <w:jc w:val="center"/>
              <w:rPr>
                <w:rFonts w:hint="default"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10.1</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614978EF">
            <w:pPr>
              <w:shd w:val="clear" w:color="auto" w:fill="auto"/>
              <w:spacing w:line="360" w:lineRule="atLeast"/>
              <w:jc w:val="left"/>
              <w:rPr>
                <w:rFonts w:hint="eastAsia" w:ascii="黑体" w:hAnsi="黑体" w:eastAsia="黑体" w:cs="黑体"/>
                <w:b w:val="0"/>
                <w:bCs/>
                <w:color w:val="auto"/>
                <w:szCs w:val="21"/>
                <w:highlight w:val="none"/>
                <w:u w:val="none"/>
              </w:rPr>
            </w:pPr>
            <w:r>
              <w:rPr>
                <w:rFonts w:hint="eastAsia" w:ascii="黑体" w:hAnsi="黑体" w:eastAsia="黑体" w:cs="黑体"/>
                <w:b w:val="0"/>
                <w:bCs/>
                <w:color w:val="auto"/>
                <w:szCs w:val="21"/>
                <w:highlight w:val="none"/>
                <w:u w:val="none"/>
              </w:rPr>
              <w:t>开标补救措施</w:t>
            </w:r>
          </w:p>
          <w:p w14:paraId="2655C965">
            <w:pPr>
              <w:shd w:val="clear" w:color="auto" w:fill="auto"/>
              <w:spacing w:line="360" w:lineRule="atLeast"/>
              <w:jc w:val="left"/>
              <w:rPr>
                <w:rFonts w:hint="eastAsia" w:ascii="黑体" w:hAnsi="黑体" w:eastAsia="黑体" w:cs="黑体"/>
                <w:b w:val="0"/>
                <w:bCs/>
                <w:color w:val="auto"/>
                <w:szCs w:val="21"/>
                <w:highlight w:val="none"/>
                <w:u w:val="none"/>
                <w:lang w:eastAsia="zh-CN"/>
              </w:rPr>
            </w:pPr>
            <w:r>
              <w:rPr>
                <w:rFonts w:hint="eastAsia" w:ascii="黑体" w:hAnsi="黑体" w:eastAsia="黑体" w:cs="黑体"/>
                <w:b w:val="0"/>
                <w:bCs/>
                <w:color w:val="auto"/>
                <w:szCs w:val="21"/>
                <w:highlight w:val="none"/>
                <w:u w:val="none"/>
                <w:lang w:val="en-US" w:eastAsia="zh-CN"/>
              </w:rPr>
              <w:t>1、</w:t>
            </w:r>
            <w:r>
              <w:rPr>
                <w:rFonts w:hint="eastAsia" w:ascii="黑体" w:hAnsi="黑体" w:eastAsia="黑体" w:cs="黑体"/>
                <w:b w:val="0"/>
                <w:bCs/>
                <w:color w:val="auto"/>
                <w:szCs w:val="21"/>
                <w:highlight w:val="none"/>
                <w:u w:val="none"/>
              </w:rPr>
              <w:t>开标过程中因</w:t>
            </w:r>
            <w:r>
              <w:rPr>
                <w:rFonts w:hint="eastAsia" w:ascii="黑体" w:hAnsi="黑体" w:eastAsia="黑体" w:cs="黑体"/>
                <w:b w:val="0"/>
                <w:bCs/>
                <w:color w:val="auto"/>
                <w:szCs w:val="21"/>
                <w:highlight w:val="none"/>
                <w:u w:val="none"/>
                <w:lang w:val="en-US" w:eastAsia="zh-CN"/>
              </w:rPr>
              <w:t>下</w:t>
            </w:r>
            <w:r>
              <w:rPr>
                <w:rFonts w:hint="eastAsia" w:ascii="黑体" w:hAnsi="黑体" w:eastAsia="黑体" w:cs="黑体"/>
                <w:b w:val="0"/>
                <w:bCs/>
                <w:color w:val="auto"/>
                <w:szCs w:val="21"/>
                <w:highlight w:val="none"/>
                <w:u w:val="none"/>
              </w:rPr>
              <w:t>列原因，导致系统无法正常运行，将按</w:t>
            </w:r>
            <w:r>
              <w:rPr>
                <w:rFonts w:hint="eastAsia" w:ascii="黑体" w:hAnsi="黑体" w:eastAsia="黑体" w:cs="黑体"/>
                <w:b w:val="0"/>
                <w:bCs/>
                <w:color w:val="auto"/>
                <w:szCs w:val="21"/>
                <w:highlight w:val="none"/>
                <w:u w:val="none"/>
                <w:lang w:val="en-US" w:eastAsia="zh-CN"/>
              </w:rPr>
              <w:t>第二项</w:t>
            </w:r>
            <w:r>
              <w:rPr>
                <w:rFonts w:hint="eastAsia" w:ascii="黑体" w:hAnsi="黑体" w:eastAsia="黑体" w:cs="黑体"/>
                <w:b w:val="0"/>
                <w:bCs/>
                <w:color w:val="auto"/>
                <w:szCs w:val="21"/>
                <w:highlight w:val="none"/>
                <w:u w:val="none"/>
              </w:rPr>
              <w:t>的规定采取补救措施</w:t>
            </w:r>
            <w:r>
              <w:rPr>
                <w:rFonts w:hint="eastAsia" w:ascii="黑体" w:hAnsi="黑体" w:eastAsia="黑体" w:cs="黑体"/>
                <w:b w:val="0"/>
                <w:bCs/>
                <w:color w:val="auto"/>
                <w:szCs w:val="21"/>
                <w:highlight w:val="none"/>
                <w:u w:val="none"/>
                <w:lang w:eastAsia="zh-CN"/>
              </w:rPr>
              <w:t>：</w:t>
            </w:r>
          </w:p>
          <w:p w14:paraId="096AC6B4">
            <w:pPr>
              <w:shd w:val="clear" w:color="auto" w:fill="auto"/>
              <w:spacing w:line="360" w:lineRule="atLeast"/>
              <w:jc w:val="left"/>
              <w:rPr>
                <w:rFonts w:hint="eastAsia" w:ascii="黑体" w:hAnsi="黑体" w:eastAsia="黑体" w:cs="黑体"/>
                <w:b w:val="0"/>
                <w:bCs/>
                <w:color w:val="auto"/>
                <w:szCs w:val="21"/>
                <w:highlight w:val="none"/>
                <w:u w:val="none"/>
              </w:rPr>
            </w:pPr>
            <w:r>
              <w:rPr>
                <w:rFonts w:hint="eastAsia" w:ascii="黑体" w:hAnsi="黑体" w:eastAsia="黑体" w:cs="黑体"/>
                <w:b w:val="0"/>
                <w:bCs/>
                <w:color w:val="auto"/>
                <w:szCs w:val="21"/>
                <w:highlight w:val="none"/>
                <w:u w:val="none"/>
                <w:lang w:eastAsia="zh-CN"/>
              </w:rPr>
              <w:t>（</w:t>
            </w:r>
            <w:r>
              <w:rPr>
                <w:rFonts w:hint="eastAsia" w:ascii="黑体" w:hAnsi="黑体" w:eastAsia="黑体" w:cs="黑体"/>
                <w:b w:val="0"/>
                <w:bCs/>
                <w:color w:val="auto"/>
                <w:szCs w:val="21"/>
                <w:highlight w:val="none"/>
                <w:u w:val="none"/>
                <w:lang w:val="en-US" w:eastAsia="zh-CN"/>
              </w:rPr>
              <w:t>1</w:t>
            </w:r>
            <w:r>
              <w:rPr>
                <w:rFonts w:hint="eastAsia" w:ascii="黑体" w:hAnsi="黑体" w:eastAsia="黑体" w:cs="黑体"/>
                <w:b w:val="0"/>
                <w:bCs/>
                <w:color w:val="auto"/>
                <w:szCs w:val="21"/>
                <w:highlight w:val="none"/>
                <w:u w:val="none"/>
                <w:lang w:eastAsia="zh-CN"/>
              </w:rPr>
              <w:t>）</w:t>
            </w:r>
            <w:r>
              <w:rPr>
                <w:rFonts w:hint="eastAsia" w:ascii="黑体" w:hAnsi="黑体" w:eastAsia="黑体" w:cs="黑体"/>
                <w:b w:val="0"/>
                <w:bCs/>
                <w:color w:val="auto"/>
                <w:szCs w:val="21"/>
                <w:highlight w:val="none"/>
                <w:u w:val="none"/>
              </w:rPr>
              <w:t>因“电子交易平台”系统故障导致投标人无法正常上传的投标文件。</w:t>
            </w:r>
          </w:p>
          <w:p w14:paraId="2ED46A2B">
            <w:pPr>
              <w:shd w:val="clear" w:color="auto" w:fill="auto"/>
              <w:spacing w:line="360" w:lineRule="atLeast"/>
              <w:jc w:val="left"/>
              <w:rPr>
                <w:rFonts w:hint="eastAsia" w:ascii="黑体" w:hAnsi="黑体" w:eastAsia="黑体" w:cs="黑体"/>
                <w:b w:val="0"/>
                <w:bCs/>
                <w:color w:val="auto"/>
                <w:szCs w:val="21"/>
                <w:highlight w:val="none"/>
                <w:u w:val="none"/>
                <w:lang w:eastAsia="zh-CN"/>
              </w:rPr>
            </w:pPr>
            <w:r>
              <w:rPr>
                <w:rFonts w:hint="eastAsia" w:ascii="黑体" w:hAnsi="黑体" w:eastAsia="黑体" w:cs="黑体"/>
                <w:b w:val="0"/>
                <w:bCs/>
                <w:color w:val="auto"/>
                <w:szCs w:val="21"/>
                <w:highlight w:val="none"/>
                <w:u w:val="none"/>
                <w:lang w:eastAsia="zh-CN"/>
              </w:rPr>
              <w:t>（</w:t>
            </w:r>
            <w:r>
              <w:rPr>
                <w:rFonts w:hint="eastAsia" w:ascii="黑体" w:hAnsi="黑体" w:eastAsia="黑体" w:cs="黑体"/>
                <w:b w:val="0"/>
                <w:bCs/>
                <w:color w:val="auto"/>
                <w:szCs w:val="21"/>
                <w:highlight w:val="none"/>
                <w:u w:val="none"/>
                <w:lang w:val="en-US" w:eastAsia="zh-CN"/>
              </w:rPr>
              <w:t>2</w:t>
            </w:r>
            <w:r>
              <w:rPr>
                <w:rFonts w:hint="eastAsia" w:ascii="黑体" w:hAnsi="黑体" w:eastAsia="黑体" w:cs="黑体"/>
                <w:b w:val="0"/>
                <w:bCs/>
                <w:color w:val="auto"/>
                <w:szCs w:val="21"/>
                <w:highlight w:val="none"/>
                <w:u w:val="none"/>
                <w:lang w:eastAsia="zh-CN"/>
              </w:rPr>
              <w:t>）</w:t>
            </w:r>
            <w:r>
              <w:rPr>
                <w:rFonts w:hint="eastAsia" w:ascii="黑体" w:hAnsi="黑体" w:eastAsia="黑体" w:cs="黑体"/>
                <w:b w:val="0"/>
                <w:bCs/>
                <w:color w:val="auto"/>
                <w:szCs w:val="21"/>
                <w:highlight w:val="none"/>
                <w:u w:val="none"/>
              </w:rPr>
              <w:t>当出现以下情况时，应对未开标的中止电子开标，并在恢复正常后及时安排时间开标</w:t>
            </w:r>
            <w:r>
              <w:rPr>
                <w:rFonts w:hint="eastAsia" w:ascii="黑体" w:hAnsi="黑体" w:eastAsia="黑体" w:cs="黑体"/>
                <w:b w:val="0"/>
                <w:bCs/>
                <w:color w:val="auto"/>
                <w:szCs w:val="21"/>
                <w:highlight w:val="none"/>
                <w:u w:val="none"/>
                <w:lang w:val="en-US" w:eastAsia="zh-CN"/>
              </w:rPr>
              <w:t>及评标工作：</w:t>
            </w:r>
          </w:p>
          <w:p w14:paraId="638DC5F2">
            <w:pPr>
              <w:shd w:val="clear" w:color="auto" w:fill="auto"/>
              <w:spacing w:line="360" w:lineRule="atLeast"/>
              <w:jc w:val="left"/>
              <w:rPr>
                <w:rFonts w:hint="eastAsia" w:ascii="黑体" w:hAnsi="黑体" w:eastAsia="黑体" w:cs="黑体"/>
                <w:b w:val="0"/>
                <w:bCs/>
                <w:color w:val="auto"/>
                <w:szCs w:val="21"/>
                <w:highlight w:val="none"/>
                <w:u w:val="none"/>
              </w:rPr>
            </w:pPr>
            <w:r>
              <w:rPr>
                <w:rFonts w:hint="eastAsia" w:ascii="黑体" w:hAnsi="黑体" w:eastAsia="黑体" w:cs="黑体"/>
                <w:b w:val="0"/>
                <w:bCs/>
                <w:color w:val="auto"/>
                <w:szCs w:val="21"/>
                <w:highlight w:val="none"/>
                <w:u w:val="none"/>
                <w:lang w:val="en-US" w:eastAsia="zh-CN"/>
              </w:rPr>
              <w:t>①</w:t>
            </w:r>
            <w:r>
              <w:rPr>
                <w:rFonts w:hint="eastAsia" w:ascii="黑体" w:hAnsi="黑体" w:eastAsia="黑体" w:cs="黑体"/>
                <w:b w:val="0"/>
                <w:bCs/>
                <w:color w:val="auto"/>
                <w:szCs w:val="21"/>
                <w:highlight w:val="none"/>
                <w:u w:val="none"/>
              </w:rPr>
              <w:t>系统服务器发生故障，无法访问或无法使用系统；</w:t>
            </w:r>
          </w:p>
          <w:p w14:paraId="44FF1820">
            <w:pPr>
              <w:shd w:val="clear" w:color="auto" w:fill="auto"/>
              <w:spacing w:line="360" w:lineRule="atLeast"/>
              <w:jc w:val="left"/>
              <w:rPr>
                <w:rFonts w:hint="eastAsia" w:ascii="黑体" w:hAnsi="黑体" w:eastAsia="黑体" w:cs="黑体"/>
                <w:b w:val="0"/>
                <w:bCs/>
                <w:color w:val="auto"/>
                <w:szCs w:val="21"/>
                <w:highlight w:val="none"/>
                <w:u w:val="none"/>
              </w:rPr>
            </w:pPr>
            <w:r>
              <w:rPr>
                <w:rFonts w:hint="eastAsia" w:ascii="黑体" w:hAnsi="黑体" w:eastAsia="黑体" w:cs="黑体"/>
                <w:b w:val="0"/>
                <w:bCs/>
                <w:color w:val="auto"/>
                <w:szCs w:val="21"/>
                <w:highlight w:val="none"/>
                <w:u w:val="none"/>
                <w:lang w:val="en-US" w:eastAsia="zh-CN"/>
              </w:rPr>
              <w:t>②</w:t>
            </w:r>
            <w:r>
              <w:rPr>
                <w:rFonts w:hint="eastAsia" w:ascii="黑体" w:hAnsi="黑体" w:eastAsia="黑体" w:cs="黑体"/>
                <w:b w:val="0"/>
                <w:bCs/>
                <w:color w:val="auto"/>
                <w:szCs w:val="21"/>
                <w:highlight w:val="none"/>
                <w:u w:val="none"/>
              </w:rPr>
              <w:t>系统的软件或数据库出现错误，不能进行正常操作；</w:t>
            </w:r>
          </w:p>
          <w:p w14:paraId="687889E1">
            <w:pPr>
              <w:shd w:val="clear" w:color="auto" w:fill="auto"/>
              <w:spacing w:line="360" w:lineRule="atLeast"/>
              <w:jc w:val="left"/>
              <w:rPr>
                <w:rFonts w:hint="eastAsia" w:ascii="黑体" w:hAnsi="黑体" w:eastAsia="黑体" w:cs="黑体"/>
                <w:b w:val="0"/>
                <w:bCs/>
                <w:color w:val="auto"/>
                <w:szCs w:val="21"/>
                <w:highlight w:val="none"/>
                <w:u w:val="none"/>
              </w:rPr>
            </w:pPr>
            <w:r>
              <w:rPr>
                <w:rFonts w:hint="eastAsia" w:ascii="黑体" w:hAnsi="黑体" w:eastAsia="黑体" w:cs="黑体"/>
                <w:b w:val="0"/>
                <w:bCs/>
                <w:color w:val="auto"/>
                <w:szCs w:val="21"/>
                <w:highlight w:val="none"/>
                <w:u w:val="none"/>
                <w:lang w:val="en-US" w:eastAsia="zh-CN"/>
              </w:rPr>
              <w:t>③</w:t>
            </w:r>
            <w:r>
              <w:rPr>
                <w:rFonts w:hint="eastAsia" w:ascii="黑体" w:hAnsi="黑体" w:eastAsia="黑体" w:cs="黑体"/>
                <w:b w:val="0"/>
                <w:bCs/>
                <w:color w:val="auto"/>
                <w:szCs w:val="21"/>
                <w:highlight w:val="none"/>
                <w:u w:val="none"/>
              </w:rPr>
              <w:t>系统发现有安全漏洞，有潜在的泄密危险；</w:t>
            </w:r>
          </w:p>
          <w:p w14:paraId="6D3A0367">
            <w:pPr>
              <w:shd w:val="clear" w:color="auto" w:fill="auto"/>
              <w:spacing w:line="360" w:lineRule="atLeast"/>
              <w:jc w:val="left"/>
              <w:rPr>
                <w:rFonts w:hint="eastAsia" w:ascii="黑体" w:hAnsi="黑体" w:eastAsia="黑体" w:cs="黑体"/>
                <w:b w:val="0"/>
                <w:bCs/>
                <w:color w:val="auto"/>
                <w:szCs w:val="21"/>
                <w:highlight w:val="none"/>
                <w:u w:val="none"/>
              </w:rPr>
            </w:pPr>
            <w:r>
              <w:rPr>
                <w:rFonts w:hint="eastAsia" w:ascii="黑体" w:hAnsi="黑体" w:eastAsia="黑体" w:cs="黑体"/>
                <w:b w:val="0"/>
                <w:bCs/>
                <w:color w:val="auto"/>
                <w:szCs w:val="21"/>
                <w:highlight w:val="none"/>
                <w:u w:val="none"/>
                <w:lang w:val="en-US" w:eastAsia="zh-CN"/>
              </w:rPr>
              <w:t>④</w:t>
            </w:r>
            <w:r>
              <w:rPr>
                <w:rFonts w:hint="eastAsia" w:ascii="黑体" w:hAnsi="黑体" w:eastAsia="黑体" w:cs="黑体"/>
                <w:b w:val="0"/>
                <w:bCs/>
                <w:color w:val="auto"/>
                <w:szCs w:val="21"/>
                <w:highlight w:val="none"/>
                <w:u w:val="none"/>
              </w:rPr>
              <w:t>出现断电事故且短时间内无法恢复供电；</w:t>
            </w:r>
          </w:p>
          <w:p w14:paraId="4DF3DDD0">
            <w:pPr>
              <w:shd w:val="clear" w:color="auto" w:fill="auto"/>
              <w:spacing w:line="360" w:lineRule="atLeast"/>
              <w:jc w:val="left"/>
              <w:rPr>
                <w:rFonts w:hint="eastAsia" w:ascii="黑体" w:hAnsi="黑体" w:eastAsia="黑体" w:cs="黑体"/>
                <w:b w:val="0"/>
                <w:bCs/>
                <w:color w:val="auto"/>
                <w:szCs w:val="21"/>
                <w:highlight w:val="none"/>
                <w:u w:val="none"/>
              </w:rPr>
            </w:pPr>
            <w:r>
              <w:rPr>
                <w:rFonts w:hint="eastAsia" w:ascii="黑体" w:hAnsi="黑体" w:eastAsia="黑体" w:cs="黑体"/>
                <w:b w:val="0"/>
                <w:bCs/>
                <w:color w:val="auto"/>
                <w:szCs w:val="21"/>
                <w:highlight w:val="none"/>
                <w:u w:val="none"/>
                <w:lang w:val="en-US" w:eastAsia="zh-CN"/>
              </w:rPr>
              <w:t>⑤</w:t>
            </w:r>
            <w:r>
              <w:rPr>
                <w:rFonts w:hint="eastAsia" w:ascii="黑体" w:hAnsi="黑体" w:eastAsia="黑体" w:cs="黑体"/>
                <w:b w:val="0"/>
                <w:bCs/>
                <w:color w:val="auto"/>
                <w:szCs w:val="21"/>
                <w:highlight w:val="none"/>
                <w:u w:val="none"/>
              </w:rPr>
              <w:t>其他无法保证招投标过程正常进行的情形。</w:t>
            </w:r>
          </w:p>
          <w:p w14:paraId="03CCCF80">
            <w:pPr>
              <w:shd w:val="clear" w:color="auto" w:fill="auto"/>
              <w:spacing w:line="360" w:lineRule="atLeast"/>
              <w:jc w:val="left"/>
              <w:rPr>
                <w:rFonts w:hint="eastAsia" w:ascii="黑体" w:hAnsi="黑体" w:eastAsia="黑体" w:cs="黑体"/>
                <w:b w:val="0"/>
                <w:bCs/>
                <w:color w:val="auto"/>
                <w:szCs w:val="21"/>
                <w:highlight w:val="none"/>
                <w:u w:val="none"/>
                <w:lang w:val="en-US" w:eastAsia="zh-CN"/>
              </w:rPr>
            </w:pPr>
            <w:r>
              <w:rPr>
                <w:rFonts w:hint="eastAsia" w:ascii="黑体" w:hAnsi="黑体" w:eastAsia="黑体" w:cs="黑体"/>
                <w:b w:val="0"/>
                <w:bCs/>
                <w:color w:val="auto"/>
                <w:szCs w:val="21"/>
                <w:highlight w:val="none"/>
                <w:u w:val="none"/>
                <w:lang w:val="en-US" w:eastAsia="zh-CN"/>
              </w:rPr>
              <w:t>2、发生本条款第一项所列的情况，应采取补救措施，现场经监督同意，可以暂停开标至情况解决继续开展开标及评标工作。</w:t>
            </w:r>
          </w:p>
          <w:p w14:paraId="70A1BB95">
            <w:pPr>
              <w:shd w:val="clear" w:color="auto" w:fill="auto"/>
              <w:spacing w:line="360" w:lineRule="atLeast"/>
              <w:jc w:val="left"/>
              <w:rPr>
                <w:rFonts w:hint="eastAsia" w:ascii="黑体" w:hAnsi="黑体" w:eastAsia="黑体" w:cs="黑体"/>
                <w:b/>
                <w:color w:val="auto"/>
                <w:szCs w:val="21"/>
                <w:highlight w:val="none"/>
                <w:u w:val="single"/>
              </w:rPr>
            </w:pPr>
            <w:r>
              <w:rPr>
                <w:rFonts w:hint="eastAsia" w:ascii="黑体" w:hAnsi="黑体" w:eastAsia="黑体" w:cs="黑体"/>
                <w:b w:val="0"/>
                <w:bCs/>
                <w:color w:val="auto"/>
                <w:szCs w:val="21"/>
                <w:highlight w:val="none"/>
                <w:u w:val="none"/>
                <w:lang w:val="en-US" w:eastAsia="zh-CN"/>
              </w:rPr>
              <w:t>3、</w:t>
            </w:r>
            <w:r>
              <w:rPr>
                <w:rFonts w:hint="eastAsia" w:ascii="黑体" w:hAnsi="黑体" w:eastAsia="黑体" w:cs="黑体"/>
                <w:b w:val="0"/>
                <w:bCs/>
                <w:color w:val="auto"/>
                <w:szCs w:val="21"/>
                <w:highlight w:val="none"/>
                <w:u w:val="none"/>
              </w:rPr>
              <w:t>采取补救措施时，必须对原有资料及信息作出妥善保密处理。</w:t>
            </w:r>
          </w:p>
        </w:tc>
      </w:tr>
      <w:tr w14:paraId="7932A4BD">
        <w:tblPrEx>
          <w:tblCellMar>
            <w:top w:w="0" w:type="dxa"/>
            <w:left w:w="108" w:type="dxa"/>
            <w:bottom w:w="0" w:type="dxa"/>
            <w:right w:w="108" w:type="dxa"/>
          </w:tblCellMar>
        </w:tblPrEx>
        <w:trPr>
          <w:trHeight w:val="869"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584E3B88">
            <w:pPr>
              <w:keepNext w:val="0"/>
              <w:keepLines w:val="0"/>
              <w:pageBreakBefore w:val="0"/>
              <w:suppressLineNumbers w:val="0"/>
              <w:shd w:val="clear" w:color="auto" w:fill="auto"/>
              <w:kinsoku/>
              <w:wordWrap w:val="0"/>
              <w:overflowPunct/>
              <w:autoSpaceDE/>
              <w:autoSpaceDN/>
              <w:bidi w:val="0"/>
              <w:adjustRightInd/>
              <w:spacing w:before="0" w:beforeAutospacing="0" w:after="0" w:afterAutospacing="0" w:line="400" w:lineRule="exact"/>
              <w:ind w:left="0" w:leftChars="0" w:right="0" w:rightChars="0"/>
              <w:jc w:val="center"/>
              <w:textAlignment w:val="auto"/>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10.2</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305D8B63">
            <w:pPr>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u w:val="single"/>
              </w:rPr>
              <w:t>补充：</w:t>
            </w:r>
          </w:p>
          <w:p w14:paraId="2F6ABBFA">
            <w:pPr>
              <w:rPr>
                <w:rFonts w:hint="eastAsia" w:ascii="黑体" w:hAnsi="黑体" w:eastAsia="黑体" w:cs="黑体"/>
                <w:color w:val="auto"/>
                <w:sz w:val="21"/>
                <w:szCs w:val="21"/>
                <w:highlight w:val="none"/>
                <w:lang w:val="en-US" w:eastAsia="zh-CN"/>
              </w:rPr>
            </w:pPr>
            <w:r>
              <w:rPr>
                <w:rFonts w:hint="eastAsia" w:ascii="黑体" w:hAnsi="黑体" w:eastAsia="黑体" w:cs="黑体"/>
                <w:b/>
                <w:color w:val="auto"/>
                <w:szCs w:val="21"/>
                <w:highlight w:val="none"/>
                <w:u w:val="single"/>
              </w:rPr>
              <w:t>招标文件中要求投标人提供的各类证照复印件均指彩色扫描件或彩色复印件，其他资料的复印件可为黑白扫描件或黑白复印件。</w:t>
            </w:r>
          </w:p>
        </w:tc>
      </w:tr>
      <w:tr w14:paraId="49EB790E">
        <w:tblPrEx>
          <w:tblCellMar>
            <w:top w:w="0" w:type="dxa"/>
            <w:left w:w="108" w:type="dxa"/>
            <w:bottom w:w="0" w:type="dxa"/>
            <w:right w:w="108" w:type="dxa"/>
          </w:tblCellMar>
        </w:tblPrEx>
        <w:trPr>
          <w:trHeight w:val="863"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75766821">
            <w:pPr>
              <w:keepNext w:val="0"/>
              <w:keepLines w:val="0"/>
              <w:pageBreakBefore w:val="0"/>
              <w:suppressLineNumbers w:val="0"/>
              <w:shd w:val="clear" w:color="auto" w:fill="auto"/>
              <w:kinsoku/>
              <w:wordWrap w:val="0"/>
              <w:overflowPunct/>
              <w:autoSpaceDE/>
              <w:autoSpaceDN/>
              <w:bidi w:val="0"/>
              <w:adjustRightInd/>
              <w:spacing w:before="0" w:beforeAutospacing="0" w:after="0" w:afterAutospacing="0" w:line="400" w:lineRule="exact"/>
              <w:ind w:left="0" w:leftChars="0" w:right="0" w:rightChars="0"/>
              <w:jc w:val="center"/>
              <w:textAlignment w:val="auto"/>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10.3</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7F210190">
            <w:pPr>
              <w:spacing w:line="360" w:lineRule="exact"/>
              <w:jc w:val="left"/>
              <w:rPr>
                <w:rFonts w:hint="eastAsia" w:ascii="黑体" w:hAnsi="黑体" w:eastAsia="黑体" w:cs="黑体"/>
                <w:color w:val="auto"/>
                <w:sz w:val="21"/>
                <w:szCs w:val="21"/>
                <w:highlight w:val="none"/>
                <w:lang w:val="en-US" w:eastAsia="zh-CN"/>
              </w:rPr>
            </w:pPr>
            <w:r>
              <w:rPr>
                <w:rFonts w:hint="eastAsia" w:ascii="黑体" w:hAnsi="黑体" w:eastAsia="黑体" w:cs="黑体"/>
                <w:b/>
                <w:color w:val="auto"/>
                <w:szCs w:val="21"/>
                <w:highlight w:val="none"/>
                <w:u w:val="single"/>
                <w:lang w:val="en-US" w:eastAsia="zh-CN"/>
              </w:rPr>
              <w:t>招标文件中要求（加）盖“单位章”均指“公章”。</w:t>
            </w:r>
          </w:p>
        </w:tc>
      </w:tr>
      <w:tr w14:paraId="6B6DEA1E">
        <w:tblPrEx>
          <w:tblCellMar>
            <w:top w:w="0" w:type="dxa"/>
            <w:left w:w="108" w:type="dxa"/>
            <w:bottom w:w="0" w:type="dxa"/>
            <w:right w:w="108" w:type="dxa"/>
          </w:tblCellMar>
        </w:tblPrEx>
        <w:trPr>
          <w:trHeight w:val="863"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3EAE8402">
            <w:pPr>
              <w:spacing w:line="360" w:lineRule="exact"/>
              <w:jc w:val="center"/>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Cs w:val="21"/>
                <w:highlight w:val="none"/>
              </w:rPr>
              <w:t>10.</w:t>
            </w:r>
            <w:r>
              <w:rPr>
                <w:rFonts w:hint="eastAsia" w:ascii="黑体" w:hAnsi="黑体" w:eastAsia="黑体" w:cs="黑体"/>
                <w:color w:val="auto"/>
                <w:szCs w:val="21"/>
                <w:highlight w:val="none"/>
                <w:lang w:val="en-US" w:eastAsia="zh-CN"/>
              </w:rPr>
              <w:t>4</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675A8033">
            <w:pPr>
              <w:spacing w:line="380" w:lineRule="exact"/>
              <w:rPr>
                <w:rFonts w:hint="eastAsia" w:ascii="黑体" w:hAnsi="黑体" w:eastAsia="黑体" w:cs="黑体"/>
                <w:b/>
                <w:bCs w:val="0"/>
                <w:color w:val="auto"/>
                <w:szCs w:val="21"/>
                <w:highlight w:val="none"/>
                <w:u w:val="none"/>
              </w:rPr>
            </w:pPr>
            <w:r>
              <w:rPr>
                <w:rFonts w:hint="eastAsia" w:ascii="黑体" w:hAnsi="黑体" w:eastAsia="黑体" w:cs="黑体"/>
                <w:b/>
                <w:color w:val="auto"/>
                <w:szCs w:val="21"/>
                <w:highlight w:val="none"/>
                <w:u w:val="none"/>
              </w:rPr>
              <w:t>投标人代表无</w:t>
            </w:r>
            <w:r>
              <w:rPr>
                <w:rFonts w:hint="eastAsia" w:ascii="黑体" w:hAnsi="黑体" w:eastAsia="黑体" w:cs="黑体"/>
                <w:b/>
                <w:bCs w:val="0"/>
                <w:color w:val="auto"/>
                <w:szCs w:val="21"/>
                <w:highlight w:val="none"/>
                <w:u w:val="none"/>
              </w:rPr>
              <w:t>需到达开标现场，</w:t>
            </w:r>
            <w:r>
              <w:rPr>
                <w:rFonts w:hint="eastAsia" w:ascii="黑体" w:hAnsi="黑体" w:eastAsia="黑体" w:cs="黑体"/>
                <w:b/>
                <w:bCs w:val="0"/>
                <w:color w:val="auto"/>
                <w:highlight w:val="none"/>
                <w:lang w:val="en-US" w:eastAsia="zh-CN"/>
              </w:rPr>
              <w:t>登录内蒙古自治区不见面开标大厅（https://219.148.175.179:9443/BidOpening）</w:t>
            </w:r>
          </w:p>
          <w:p w14:paraId="1A91F09E">
            <w:pPr>
              <w:spacing w:line="380" w:lineRule="exact"/>
              <w:rPr>
                <w:rFonts w:hint="eastAsia" w:ascii="黑体" w:hAnsi="黑体" w:eastAsia="黑体" w:cs="黑体"/>
                <w:color w:val="auto"/>
                <w:sz w:val="21"/>
                <w:szCs w:val="21"/>
                <w:highlight w:val="none"/>
                <w:lang w:val="en-US" w:eastAsia="zh-CN"/>
              </w:rPr>
            </w:pPr>
            <w:r>
              <w:rPr>
                <w:rFonts w:hint="eastAsia" w:ascii="黑体" w:hAnsi="黑体" w:eastAsia="黑体" w:cs="黑体"/>
                <w:b/>
                <w:color w:val="auto"/>
                <w:szCs w:val="21"/>
                <w:highlight w:val="none"/>
                <w:u w:val="none"/>
              </w:rPr>
              <w:t>注：投标人应自行在开标时间前，在</w:t>
            </w:r>
            <w:r>
              <w:rPr>
                <w:rFonts w:hint="eastAsia" w:ascii="黑体" w:hAnsi="黑体" w:eastAsia="黑体" w:cs="黑体"/>
                <w:b/>
                <w:color w:val="auto"/>
                <w:szCs w:val="21"/>
                <w:highlight w:val="none"/>
                <w:u w:val="none"/>
                <w:lang w:val="en-US" w:eastAsia="zh-CN"/>
              </w:rPr>
              <w:t>内蒙古自治区</w:t>
            </w:r>
            <w:r>
              <w:rPr>
                <w:rFonts w:hint="eastAsia" w:ascii="黑体" w:hAnsi="黑体" w:eastAsia="黑体" w:cs="黑体"/>
                <w:b/>
                <w:color w:val="auto"/>
                <w:szCs w:val="21"/>
                <w:highlight w:val="none"/>
                <w:u w:val="none"/>
              </w:rPr>
              <w:t>公共资源电子交易平台投标人系统内填写、提交投标信息。投标人提交投标信息后平台系统内无法更改。投标信息中投标人代表关联投标人诚信库注册人员信息。</w:t>
            </w:r>
          </w:p>
        </w:tc>
      </w:tr>
      <w:tr w14:paraId="7E857433">
        <w:tblPrEx>
          <w:tblCellMar>
            <w:top w:w="0" w:type="dxa"/>
            <w:left w:w="108" w:type="dxa"/>
            <w:bottom w:w="0" w:type="dxa"/>
            <w:right w:w="108" w:type="dxa"/>
          </w:tblCellMar>
        </w:tblPrEx>
        <w:trPr>
          <w:trHeight w:val="863"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2BB35096">
            <w:pPr>
              <w:spacing w:line="360" w:lineRule="exact"/>
              <w:jc w:val="center"/>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Cs w:val="21"/>
                <w:highlight w:val="none"/>
                <w:lang w:val="en-US" w:eastAsia="zh-CN"/>
              </w:rPr>
              <w:t>10.5</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42E177E3">
            <w:pPr>
              <w:spacing w:line="380" w:lineRule="exact"/>
              <w:rPr>
                <w:rFonts w:hint="eastAsia" w:ascii="黑体" w:hAnsi="黑体" w:eastAsia="黑体" w:cs="黑体"/>
                <w:color w:val="auto"/>
                <w:sz w:val="21"/>
                <w:szCs w:val="21"/>
                <w:highlight w:val="none"/>
                <w:lang w:val="en-US" w:eastAsia="zh-CN"/>
              </w:rPr>
            </w:pPr>
            <w:r>
              <w:rPr>
                <w:rFonts w:hint="eastAsia" w:ascii="黑体" w:hAnsi="黑体" w:eastAsia="黑体" w:cs="黑体"/>
                <w:b/>
                <w:bCs/>
                <w:color w:val="auto"/>
                <w:highlight w:val="none"/>
              </w:rPr>
              <w:t>系统前期准备、具体流程及操作详见</w:t>
            </w:r>
            <w:r>
              <w:rPr>
                <w:rFonts w:hint="eastAsia" w:ascii="黑体" w:hAnsi="黑体" w:eastAsia="黑体" w:cs="黑体"/>
                <w:b/>
                <w:bCs/>
                <w:color w:val="auto"/>
                <w:highlight w:val="none"/>
                <w:lang w:val="en-US" w:eastAsia="zh-CN"/>
              </w:rPr>
              <w:t>内蒙古自治区工程项目交易系统下载的</w:t>
            </w:r>
            <w:r>
              <w:rPr>
                <w:rFonts w:hint="eastAsia" w:ascii="黑体" w:hAnsi="黑体" w:eastAsia="黑体" w:cs="黑体"/>
                <w:b/>
                <w:bCs/>
                <w:color w:val="auto"/>
                <w:highlight w:val="none"/>
              </w:rPr>
              <w:t>《内蒙古自治区建设工程统一招投标系统使用手册》，请投标人自行阅读，解密时间为</w:t>
            </w:r>
            <w:r>
              <w:rPr>
                <w:rFonts w:hint="eastAsia" w:ascii="黑体" w:hAnsi="黑体" w:eastAsia="黑体" w:cs="黑体"/>
                <w:b/>
                <w:bCs/>
                <w:color w:val="auto"/>
                <w:highlight w:val="none"/>
                <w:lang w:val="en-US" w:eastAsia="zh-CN"/>
              </w:rPr>
              <w:t>30</w:t>
            </w:r>
            <w:r>
              <w:rPr>
                <w:rFonts w:hint="eastAsia" w:ascii="黑体" w:hAnsi="黑体" w:eastAsia="黑体" w:cs="黑体"/>
                <w:b/>
                <w:bCs/>
                <w:color w:val="auto"/>
                <w:highlight w:val="none"/>
              </w:rPr>
              <w:t>分钟</w:t>
            </w:r>
            <w:r>
              <w:rPr>
                <w:rFonts w:hint="eastAsia" w:ascii="黑体" w:hAnsi="黑体" w:eastAsia="黑体" w:cs="黑体"/>
                <w:b/>
                <w:bCs/>
                <w:color w:val="auto"/>
                <w:highlight w:val="none"/>
              </w:rPr>
              <w:t>，系统无法更改解密时间，根据《电子招投标办法》第三十一条：因投标人原因造成投标文件未解密的，视为撤销其投标文件；因投标人之外的原因造成投标文件未解密的，视为撤回其投标文件，投标人有权要求责任方赔偿因此遭受的直接损失。部分投标文件未解密的，其他投标文件的开标可以继续进行。请各投标人提前做好系统前期准备（在不见面登录页面右侧按照提示下载播放器收看开标视频，如电脑无内置音频播放器，电脑需连接音箱收听唱标），以免影响投标。</w:t>
            </w:r>
          </w:p>
        </w:tc>
      </w:tr>
      <w:tr w14:paraId="200791B4">
        <w:tblPrEx>
          <w:tblCellMar>
            <w:top w:w="0" w:type="dxa"/>
            <w:left w:w="108" w:type="dxa"/>
            <w:bottom w:w="0" w:type="dxa"/>
            <w:right w:w="108" w:type="dxa"/>
          </w:tblCellMar>
        </w:tblPrEx>
        <w:trPr>
          <w:trHeight w:val="863"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36DA6820">
            <w:pPr>
              <w:spacing w:line="360" w:lineRule="exact"/>
              <w:jc w:val="center"/>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Cs w:val="21"/>
                <w:highlight w:val="none"/>
              </w:rPr>
              <w:t>10.</w:t>
            </w:r>
            <w:r>
              <w:rPr>
                <w:rFonts w:hint="eastAsia" w:ascii="黑体" w:hAnsi="黑体" w:eastAsia="黑体" w:cs="黑体"/>
                <w:color w:val="auto"/>
                <w:szCs w:val="21"/>
                <w:highlight w:val="none"/>
                <w:lang w:val="en-US" w:eastAsia="zh-CN"/>
              </w:rPr>
              <w:t>6</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09610696">
            <w:pPr>
              <w:spacing w:line="380" w:lineRule="exact"/>
              <w:rPr>
                <w:rFonts w:hint="eastAsia" w:ascii="黑体" w:hAnsi="黑体" w:eastAsia="黑体" w:cs="黑体"/>
                <w:color w:val="auto"/>
                <w:sz w:val="21"/>
                <w:szCs w:val="21"/>
                <w:highlight w:val="none"/>
                <w:lang w:val="en-US" w:eastAsia="zh-CN"/>
              </w:rPr>
            </w:pPr>
            <w:r>
              <w:rPr>
                <w:rFonts w:hint="eastAsia" w:ascii="黑体" w:hAnsi="黑体" w:eastAsia="黑体" w:cs="黑体"/>
                <w:b/>
                <w:bCs/>
                <w:color w:val="auto"/>
                <w:szCs w:val="21"/>
                <w:highlight w:val="none"/>
                <w:lang w:val="en-US" w:eastAsia="zh-CN"/>
              </w:rPr>
              <w:t>招标文件中未提到的其他事宜应按内蒙古自治区公共资源交易中心网站（http://ggzyjy.nmg.gov.cn）“重要通知栏目查询和查看文件”中发布的办事指南、流程及制度中规定的内容执行。</w:t>
            </w:r>
          </w:p>
        </w:tc>
      </w:tr>
      <w:tr w14:paraId="0C7453BA">
        <w:tblPrEx>
          <w:tblCellMar>
            <w:top w:w="0" w:type="dxa"/>
            <w:left w:w="108" w:type="dxa"/>
            <w:bottom w:w="0" w:type="dxa"/>
            <w:right w:w="108" w:type="dxa"/>
          </w:tblCellMar>
        </w:tblPrEx>
        <w:trPr>
          <w:trHeight w:val="863"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043C0346">
            <w:pPr>
              <w:spacing w:line="360" w:lineRule="exact"/>
              <w:jc w:val="center"/>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Cs w:val="21"/>
                <w:highlight w:val="none"/>
              </w:rPr>
              <w:t>10.</w:t>
            </w:r>
            <w:r>
              <w:rPr>
                <w:rFonts w:hint="eastAsia" w:ascii="黑体" w:hAnsi="黑体" w:eastAsia="黑体" w:cs="黑体"/>
                <w:color w:val="auto"/>
                <w:szCs w:val="21"/>
                <w:highlight w:val="none"/>
                <w:lang w:val="en-US" w:eastAsia="zh-CN"/>
              </w:rPr>
              <w:t>7</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25D592BB">
            <w:pPr>
              <w:spacing w:line="380" w:lineRule="exact"/>
              <w:rPr>
                <w:rFonts w:hint="eastAsia" w:ascii="黑体" w:hAnsi="黑体" w:eastAsia="黑体" w:cs="黑体"/>
                <w:color w:val="auto"/>
                <w:sz w:val="21"/>
                <w:szCs w:val="21"/>
                <w:highlight w:val="none"/>
                <w:lang w:val="en-US" w:eastAsia="zh-CN"/>
              </w:rPr>
            </w:pPr>
            <w:r>
              <w:rPr>
                <w:rFonts w:hint="eastAsia" w:ascii="黑体" w:hAnsi="黑体" w:eastAsia="黑体" w:cs="黑体"/>
                <w:b/>
                <w:color w:val="auto"/>
                <w:szCs w:val="21"/>
                <w:highlight w:val="none"/>
              </w:rPr>
              <w:t>投标人的投标总价一经开标宣布并确认，无论何种原因，不准改变。投标人应根据工程量清单所列细目进行平衡报价，招标人不接受不平衡报价。对明显不合理的单价</w:t>
            </w:r>
            <w:r>
              <w:rPr>
                <w:rFonts w:hint="eastAsia" w:ascii="黑体" w:hAnsi="黑体" w:eastAsia="黑体" w:cs="黑体"/>
                <w:b/>
                <w:color w:val="auto"/>
                <w:highlight w:val="none"/>
                <w:u w:val="none"/>
                <w:lang w:val="en-US" w:eastAsia="zh-CN"/>
              </w:rPr>
              <w:t>（正负50%呼伦贝尔市市场价投标月单价）</w:t>
            </w:r>
            <w:r>
              <w:rPr>
                <w:rFonts w:hint="eastAsia" w:ascii="黑体" w:hAnsi="黑体" w:eastAsia="黑体" w:cs="黑体"/>
                <w:b/>
                <w:color w:val="auto"/>
                <w:szCs w:val="21"/>
                <w:highlight w:val="none"/>
              </w:rPr>
              <w:t>，招标人有权在合同总价（即投标函大写文字报价）不变的前提下调整并在合同澄清时要求投标人确认，使报价趋于合理，调整后的标价工程量清单经双方代表签字认可后作为合同文件的组成部分，投标人对此应予接受，否则，招标人将取消其中标资格，并没收其投标保证金。</w:t>
            </w:r>
            <w:r>
              <w:rPr>
                <w:rFonts w:hint="eastAsia" w:ascii="黑体" w:hAnsi="黑体" w:eastAsia="黑体" w:cs="黑体"/>
                <w:b/>
                <w:color w:val="auto"/>
                <w:highlight w:val="none"/>
                <w:u w:val="none"/>
                <w:lang w:val="en-US" w:eastAsia="zh-CN"/>
              </w:rPr>
              <w:t xml:space="preserve">                                                                                                                                                                                                                                                            </w:t>
            </w:r>
            <w:r>
              <w:rPr>
                <w:rFonts w:hint="eastAsia" w:ascii="黑体" w:hAnsi="黑体" w:eastAsia="黑体" w:cs="黑体"/>
                <w:b/>
                <w:color w:val="auto"/>
                <w:highlight w:val="none"/>
                <w:u w:val="single"/>
                <w:lang w:val="en-US" w:eastAsia="zh-CN"/>
              </w:rPr>
              <w:t xml:space="preserve">                       </w:t>
            </w:r>
          </w:p>
        </w:tc>
      </w:tr>
      <w:tr w14:paraId="3DDBDF28">
        <w:tblPrEx>
          <w:tblCellMar>
            <w:top w:w="0" w:type="dxa"/>
            <w:left w:w="108" w:type="dxa"/>
            <w:bottom w:w="0" w:type="dxa"/>
            <w:right w:w="108" w:type="dxa"/>
          </w:tblCellMar>
        </w:tblPrEx>
        <w:trPr>
          <w:trHeight w:val="863"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7A0F2AE5">
            <w:pPr>
              <w:spacing w:line="360" w:lineRule="exact"/>
              <w:jc w:val="center"/>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Cs w:val="21"/>
                <w:highlight w:val="none"/>
                <w:lang w:val="en-US" w:eastAsia="zh-CN"/>
              </w:rPr>
              <w:t>10.8</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1D135E30">
            <w:pPr>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评标委员会应对在评标过程中发现的投标人围标串标、转借资质行为进行评审和认定。投标人存在围标串标、转借资质行为的，评标委员会应否决其投标，并上报交易平台进行公示，没收其投标保证金并承担相应的法律责任。</w:t>
            </w:r>
          </w:p>
          <w:p w14:paraId="041B8C25">
            <w:pPr>
              <w:spacing w:line="380" w:lineRule="exact"/>
              <w:rPr>
                <w:rFonts w:hint="eastAsia" w:ascii="黑体" w:hAnsi="黑体" w:eastAsia="黑体" w:cs="黑体"/>
                <w:color w:val="auto"/>
                <w:sz w:val="21"/>
                <w:szCs w:val="21"/>
                <w:highlight w:val="none"/>
                <w:lang w:val="en-US" w:eastAsia="zh-CN"/>
              </w:rPr>
            </w:pPr>
            <w:r>
              <w:rPr>
                <w:rFonts w:hint="eastAsia" w:ascii="黑体" w:hAnsi="黑体" w:eastAsia="黑体" w:cs="黑体"/>
                <w:b/>
                <w:color w:val="auto"/>
                <w:szCs w:val="21"/>
                <w:highlight w:val="none"/>
              </w:rPr>
              <w:t>如在项目中标后，发现投标人有围标串标、转借资质等违法行为并且情况属实的，上报交易平台进行公示，中标无效、没收其投标保证金并承担相应的法律责任。</w:t>
            </w:r>
          </w:p>
        </w:tc>
      </w:tr>
      <w:tr w14:paraId="1DAB6F6D">
        <w:tblPrEx>
          <w:tblCellMar>
            <w:top w:w="0" w:type="dxa"/>
            <w:left w:w="108" w:type="dxa"/>
            <w:bottom w:w="0" w:type="dxa"/>
            <w:right w:w="108" w:type="dxa"/>
          </w:tblCellMar>
        </w:tblPrEx>
        <w:trPr>
          <w:trHeight w:val="863"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151FC2F9">
            <w:pPr>
              <w:spacing w:line="360" w:lineRule="exact"/>
              <w:jc w:val="center"/>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Cs w:val="21"/>
                <w:highlight w:val="none"/>
                <w:lang w:val="en-US" w:eastAsia="zh-CN"/>
              </w:rPr>
              <w:t>10.9</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7E30789B">
            <w:pPr>
              <w:spacing w:line="380" w:lineRule="exact"/>
              <w:rPr>
                <w:rFonts w:hint="eastAsia" w:ascii="黑体" w:hAnsi="黑体" w:eastAsia="黑体" w:cs="黑体"/>
                <w:color w:val="auto"/>
                <w:sz w:val="21"/>
                <w:szCs w:val="21"/>
                <w:highlight w:val="none"/>
                <w:lang w:val="en-US" w:eastAsia="zh-CN"/>
              </w:rPr>
            </w:pPr>
            <w:r>
              <w:rPr>
                <w:rFonts w:hint="eastAsia" w:ascii="黑体" w:hAnsi="黑体" w:eastAsia="黑体" w:cs="黑体"/>
                <w:b/>
                <w:bCs/>
                <w:color w:val="auto"/>
                <w:szCs w:val="21"/>
                <w:highlight w:val="none"/>
                <w:lang w:eastAsia="zh-CN"/>
              </w:rPr>
              <w:t>办理料场</w:t>
            </w:r>
            <w:r>
              <w:rPr>
                <w:rFonts w:hint="eastAsia" w:ascii="黑体" w:hAnsi="黑体" w:eastAsia="黑体" w:cs="黑体"/>
                <w:b/>
                <w:bCs/>
                <w:color w:val="auto"/>
                <w:szCs w:val="21"/>
                <w:highlight w:val="none"/>
              </w:rPr>
              <w:t>等相关手续需要中标人配合招标人办理</w:t>
            </w:r>
            <w:r>
              <w:rPr>
                <w:rFonts w:hint="eastAsia" w:ascii="黑体" w:hAnsi="黑体" w:eastAsia="黑体" w:cs="黑体"/>
                <w:b/>
                <w:bCs/>
                <w:color w:val="auto"/>
                <w:szCs w:val="21"/>
                <w:highlight w:val="none"/>
                <w:lang w:eastAsia="zh-CN"/>
              </w:rPr>
              <w:t>。</w:t>
            </w:r>
          </w:p>
        </w:tc>
      </w:tr>
      <w:tr w14:paraId="4CE91CA4">
        <w:tblPrEx>
          <w:tblCellMar>
            <w:top w:w="0" w:type="dxa"/>
            <w:left w:w="108" w:type="dxa"/>
            <w:bottom w:w="0" w:type="dxa"/>
            <w:right w:w="108" w:type="dxa"/>
          </w:tblCellMar>
        </w:tblPrEx>
        <w:trPr>
          <w:trHeight w:val="863"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6A64A247">
            <w:pPr>
              <w:spacing w:line="360" w:lineRule="exact"/>
              <w:jc w:val="center"/>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Cs w:val="21"/>
                <w:highlight w:val="none"/>
                <w:lang w:val="en-US" w:eastAsia="zh-CN"/>
              </w:rPr>
              <w:t>10.10</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778F0C3B">
            <w:pPr>
              <w:spacing w:line="38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《工程建设项目招标代理机构管理暂行办法》第十五条  招标代理服务费用应当由招标人支付，招标人、代理机构与投标人另有约定的，从其约定。</w:t>
            </w:r>
          </w:p>
        </w:tc>
      </w:tr>
      <w:tr w14:paraId="15582232">
        <w:tblPrEx>
          <w:tblCellMar>
            <w:top w:w="0" w:type="dxa"/>
            <w:left w:w="108" w:type="dxa"/>
            <w:bottom w:w="0" w:type="dxa"/>
            <w:right w:w="108" w:type="dxa"/>
          </w:tblCellMar>
        </w:tblPrEx>
        <w:trPr>
          <w:trHeight w:val="863"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223C3591">
            <w:pPr>
              <w:spacing w:line="360" w:lineRule="exact"/>
              <w:jc w:val="center"/>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Cs w:val="21"/>
                <w:highlight w:val="none"/>
                <w:lang w:val="en-US" w:eastAsia="zh-CN"/>
              </w:rPr>
              <w:t>10.11</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2B38EDAA">
            <w:pPr>
              <w:spacing w:line="380" w:lineRule="exact"/>
              <w:rPr>
                <w:rFonts w:hint="eastAsia" w:ascii="黑体" w:hAnsi="黑体" w:eastAsia="黑体" w:cs="黑体"/>
                <w:color w:val="auto"/>
                <w:sz w:val="21"/>
                <w:szCs w:val="21"/>
                <w:highlight w:val="none"/>
                <w:lang w:val="en-US" w:eastAsia="zh-CN"/>
              </w:rPr>
            </w:pPr>
            <w:r>
              <w:rPr>
                <w:rFonts w:hint="eastAsia" w:ascii="黑体" w:hAnsi="黑体" w:eastAsia="黑体" w:cs="黑体"/>
                <w:b w:val="0"/>
                <w:bCs w:val="0"/>
                <w:color w:val="auto"/>
                <w:szCs w:val="21"/>
                <w:highlight w:val="none"/>
                <w:lang w:eastAsia="zh-CN"/>
              </w:rPr>
              <w:t>投标人须知与投标人须知前附表不一致时，以投标人须知前附表为准。</w:t>
            </w:r>
          </w:p>
        </w:tc>
      </w:tr>
      <w:tr w14:paraId="686CF8F8">
        <w:tblPrEx>
          <w:tblCellMar>
            <w:top w:w="0" w:type="dxa"/>
            <w:left w:w="108" w:type="dxa"/>
            <w:bottom w:w="0" w:type="dxa"/>
            <w:right w:w="108" w:type="dxa"/>
          </w:tblCellMar>
        </w:tblPrEx>
        <w:trPr>
          <w:trHeight w:val="863" w:hRule="atLeast"/>
        </w:trPr>
        <w:tc>
          <w:tcPr>
            <w:tcW w:w="540" w:type="pct"/>
            <w:tcBorders>
              <w:top w:val="single" w:color="auto" w:sz="4" w:space="0"/>
              <w:left w:val="single" w:color="auto" w:sz="4" w:space="0"/>
              <w:bottom w:val="single" w:color="auto" w:sz="4" w:space="0"/>
              <w:right w:val="single" w:color="auto" w:sz="4" w:space="0"/>
            </w:tcBorders>
            <w:noWrap w:val="0"/>
            <w:vAlign w:val="center"/>
          </w:tcPr>
          <w:p w14:paraId="63810140">
            <w:pPr>
              <w:spacing w:line="360" w:lineRule="exact"/>
              <w:jc w:val="center"/>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Cs w:val="21"/>
                <w:highlight w:val="none"/>
                <w:lang w:val="en-US" w:eastAsia="zh-CN"/>
              </w:rPr>
              <w:t>10.12</w:t>
            </w:r>
          </w:p>
        </w:tc>
        <w:tc>
          <w:tcPr>
            <w:tcW w:w="4459" w:type="pct"/>
            <w:gridSpan w:val="2"/>
            <w:tcBorders>
              <w:top w:val="single" w:color="auto" w:sz="4" w:space="0"/>
              <w:left w:val="single" w:color="auto" w:sz="4" w:space="0"/>
              <w:bottom w:val="single" w:color="auto" w:sz="4" w:space="0"/>
              <w:right w:val="single" w:color="auto" w:sz="4" w:space="0"/>
            </w:tcBorders>
            <w:noWrap w:val="0"/>
            <w:vAlign w:val="center"/>
          </w:tcPr>
          <w:p w14:paraId="4D3B81F1">
            <w:pPr>
              <w:spacing w:line="380" w:lineRule="exact"/>
              <w:rPr>
                <w:rFonts w:hint="eastAsia" w:ascii="黑体" w:hAnsi="黑体" w:eastAsia="黑体" w:cs="黑体"/>
                <w:color w:val="auto"/>
                <w:sz w:val="21"/>
                <w:szCs w:val="21"/>
                <w:highlight w:val="none"/>
                <w:lang w:val="en-US" w:eastAsia="zh-CN"/>
              </w:rPr>
            </w:pPr>
            <w:r>
              <w:rPr>
                <w:rFonts w:hint="eastAsia" w:ascii="黑体" w:hAnsi="黑体" w:eastAsia="黑体" w:cs="黑体"/>
                <w:b/>
                <w:bCs/>
                <w:color w:val="auto"/>
                <w:sz w:val="21"/>
                <w:szCs w:val="21"/>
                <w:highlight w:val="none"/>
              </w:rPr>
              <w:t>每个投标人最多可对</w:t>
            </w:r>
            <w:r>
              <w:rPr>
                <w:rFonts w:hint="eastAsia" w:ascii="黑体" w:hAnsi="黑体" w:eastAsia="黑体" w:cs="黑体"/>
                <w:b/>
                <w:bCs/>
                <w:color w:val="auto"/>
                <w:sz w:val="21"/>
                <w:szCs w:val="21"/>
                <w:highlight w:val="none"/>
                <w:lang w:val="en-US" w:eastAsia="zh-CN"/>
              </w:rPr>
              <w:t xml:space="preserve"> </w:t>
            </w:r>
            <w:r>
              <w:rPr>
                <w:rFonts w:hint="eastAsia" w:ascii="黑体" w:hAnsi="黑体" w:eastAsia="黑体" w:cs="黑体"/>
                <w:b/>
                <w:bCs/>
                <w:color w:val="auto"/>
                <w:sz w:val="21"/>
                <w:szCs w:val="21"/>
                <w:highlight w:val="none"/>
                <w:u w:val="single"/>
                <w:lang w:eastAsia="zh-CN"/>
              </w:rPr>
              <w:t>1</w:t>
            </w:r>
            <w:r>
              <w:rPr>
                <w:rFonts w:hint="eastAsia" w:ascii="黑体" w:hAnsi="黑体" w:eastAsia="黑体" w:cs="黑体"/>
                <w:b/>
                <w:bCs/>
                <w:color w:val="auto"/>
                <w:sz w:val="21"/>
                <w:szCs w:val="21"/>
                <w:highlight w:val="none"/>
                <w:u w:val="single"/>
                <w:lang w:val="en-US" w:eastAsia="zh-CN"/>
              </w:rPr>
              <w:t xml:space="preserve"> </w:t>
            </w:r>
            <w:r>
              <w:rPr>
                <w:rFonts w:hint="eastAsia" w:ascii="黑体" w:hAnsi="黑体" w:eastAsia="黑体" w:cs="黑体"/>
                <w:b/>
                <w:bCs/>
                <w:color w:val="auto"/>
                <w:sz w:val="21"/>
                <w:szCs w:val="21"/>
                <w:highlight w:val="none"/>
              </w:rPr>
              <w:t>个标段投标；</w:t>
            </w:r>
            <w:r>
              <w:rPr>
                <w:rFonts w:hint="eastAsia" w:ascii="黑体" w:hAnsi="黑体" w:eastAsia="黑体" w:cs="黑体"/>
                <w:b/>
                <w:bCs/>
                <w:color w:val="auto"/>
                <w:sz w:val="21"/>
                <w:szCs w:val="21"/>
                <w:highlight w:val="none"/>
                <w:lang w:val="en-US" w:eastAsia="zh-CN"/>
              </w:rPr>
              <w:t>在</w:t>
            </w:r>
            <w:r>
              <w:rPr>
                <w:rFonts w:hint="eastAsia" w:ascii="黑体" w:hAnsi="黑体" w:eastAsia="黑体" w:cs="黑体"/>
                <w:b/>
                <w:bCs/>
                <w:color w:val="auto"/>
                <w:sz w:val="21"/>
                <w:szCs w:val="21"/>
                <w:highlight w:val="none"/>
                <w:u w:val="single"/>
                <w:lang w:val="en-US" w:eastAsia="zh-CN"/>
              </w:rPr>
              <w:t>2024</w:t>
            </w:r>
            <w:r>
              <w:rPr>
                <w:rFonts w:hint="eastAsia" w:ascii="黑体" w:hAnsi="黑体" w:eastAsia="黑体" w:cs="黑体"/>
                <w:b/>
                <w:bCs/>
                <w:color w:val="auto"/>
                <w:sz w:val="21"/>
                <w:szCs w:val="21"/>
                <w:highlight w:val="none"/>
                <w:lang w:val="en-US" w:eastAsia="zh-CN"/>
              </w:rPr>
              <w:t>年度公路施工企业全国综合信用评价等级或</w:t>
            </w:r>
            <w:r>
              <w:rPr>
                <w:rFonts w:hint="eastAsia" w:ascii="黑体" w:hAnsi="黑体" w:eastAsia="黑体" w:cs="黑体"/>
                <w:b/>
                <w:bCs/>
                <w:color w:val="auto"/>
                <w:sz w:val="21"/>
                <w:szCs w:val="21"/>
                <w:highlight w:val="none"/>
                <w:u w:val="single"/>
                <w:lang w:val="en-US" w:eastAsia="zh-CN"/>
              </w:rPr>
              <w:t>2024</w:t>
            </w:r>
            <w:r>
              <w:rPr>
                <w:rFonts w:hint="eastAsia" w:ascii="黑体" w:hAnsi="黑体" w:eastAsia="黑体" w:cs="黑体"/>
                <w:b/>
                <w:bCs/>
                <w:color w:val="auto"/>
                <w:sz w:val="21"/>
                <w:szCs w:val="21"/>
                <w:highlight w:val="none"/>
                <w:lang w:val="en-US" w:eastAsia="zh-CN"/>
              </w:rPr>
              <w:t>年度内蒙古自治区交通运输厅公路施工企业信用评价</w:t>
            </w:r>
            <w:r>
              <w:rPr>
                <w:rFonts w:hint="eastAsia" w:ascii="黑体" w:hAnsi="黑体" w:eastAsia="黑体" w:cs="黑体"/>
                <w:b/>
                <w:bCs/>
                <w:color w:val="auto"/>
                <w:sz w:val="21"/>
                <w:szCs w:val="21"/>
                <w:highlight w:val="none"/>
              </w:rPr>
              <w:t>评为</w:t>
            </w:r>
            <w:r>
              <w:rPr>
                <w:rFonts w:hint="eastAsia" w:ascii="黑体" w:hAnsi="黑体" w:eastAsia="黑体" w:cs="黑体"/>
                <w:b/>
                <w:bCs/>
                <w:color w:val="auto"/>
                <w:sz w:val="21"/>
                <w:szCs w:val="21"/>
                <w:highlight w:val="none"/>
                <w:u w:val="none"/>
                <w:lang w:eastAsia="zh-CN"/>
              </w:rPr>
              <w:t>“</w:t>
            </w:r>
            <w:r>
              <w:rPr>
                <w:rFonts w:hint="eastAsia" w:ascii="黑体" w:hAnsi="黑体" w:eastAsia="黑体" w:cs="黑体"/>
                <w:b/>
                <w:bCs/>
                <w:color w:val="auto"/>
                <w:sz w:val="21"/>
                <w:szCs w:val="21"/>
                <w:highlight w:val="none"/>
                <w:u w:val="none"/>
                <w:lang w:val="en-US" w:eastAsia="zh-CN"/>
              </w:rPr>
              <w:t>AA</w:t>
            </w:r>
            <w:r>
              <w:rPr>
                <w:rFonts w:hint="eastAsia" w:ascii="黑体" w:hAnsi="黑体" w:eastAsia="黑体" w:cs="黑体"/>
                <w:b/>
                <w:bCs/>
                <w:color w:val="auto"/>
                <w:sz w:val="21"/>
                <w:szCs w:val="21"/>
                <w:highlight w:val="none"/>
                <w:u w:val="none"/>
                <w:lang w:eastAsia="zh-CN"/>
              </w:rPr>
              <w:t>”</w:t>
            </w:r>
            <w:r>
              <w:rPr>
                <w:rFonts w:hint="eastAsia" w:ascii="黑体" w:hAnsi="黑体" w:eastAsia="黑体" w:cs="黑体"/>
                <w:b/>
                <w:bCs/>
                <w:color w:val="auto"/>
                <w:sz w:val="21"/>
                <w:szCs w:val="21"/>
                <w:highlight w:val="none"/>
              </w:rPr>
              <w:t>信用等级的投标人，最多可对</w:t>
            </w:r>
            <w:r>
              <w:rPr>
                <w:rFonts w:hint="eastAsia" w:ascii="黑体" w:hAnsi="黑体" w:eastAsia="黑体" w:cs="黑体"/>
                <w:b/>
                <w:bCs/>
                <w:color w:val="auto"/>
                <w:sz w:val="21"/>
                <w:szCs w:val="21"/>
                <w:highlight w:val="none"/>
                <w:lang w:val="en-US" w:eastAsia="zh-CN"/>
              </w:rPr>
              <w:t xml:space="preserve"> </w:t>
            </w:r>
            <w:r>
              <w:rPr>
                <w:rFonts w:hint="eastAsia" w:ascii="黑体" w:hAnsi="黑体" w:eastAsia="黑体" w:cs="黑体"/>
                <w:b/>
                <w:bCs/>
                <w:color w:val="auto"/>
                <w:sz w:val="21"/>
                <w:szCs w:val="21"/>
                <w:highlight w:val="none"/>
                <w:u w:val="single"/>
                <w:lang w:val="en-US" w:eastAsia="zh-CN"/>
              </w:rPr>
              <w:t xml:space="preserve">2 </w:t>
            </w:r>
            <w:r>
              <w:rPr>
                <w:rFonts w:hint="eastAsia" w:ascii="黑体" w:hAnsi="黑体" w:eastAsia="黑体" w:cs="黑体"/>
                <w:b/>
                <w:bCs/>
                <w:color w:val="auto"/>
                <w:sz w:val="21"/>
                <w:szCs w:val="21"/>
                <w:highlight w:val="none"/>
              </w:rPr>
              <w:t>个标段投标。每个投标人允许中</w:t>
            </w:r>
            <w:r>
              <w:rPr>
                <w:rFonts w:hint="eastAsia" w:ascii="黑体" w:hAnsi="黑体" w:eastAsia="黑体" w:cs="黑体"/>
                <w:b/>
                <w:bCs/>
                <w:color w:val="auto"/>
                <w:sz w:val="21"/>
                <w:szCs w:val="21"/>
                <w:highlight w:val="none"/>
                <w:u w:val="none"/>
                <w:lang w:val="en-US" w:eastAsia="zh-CN"/>
              </w:rPr>
              <w:t>1</w:t>
            </w:r>
            <w:r>
              <w:rPr>
                <w:rFonts w:hint="eastAsia" w:ascii="黑体" w:hAnsi="黑体" w:eastAsia="黑体" w:cs="黑体"/>
                <w:b/>
                <w:bCs/>
                <w:color w:val="auto"/>
                <w:sz w:val="21"/>
                <w:szCs w:val="21"/>
                <w:highlight w:val="none"/>
              </w:rPr>
              <w:t>个标</w:t>
            </w:r>
            <w:r>
              <w:rPr>
                <w:rFonts w:hint="eastAsia" w:ascii="黑体" w:hAnsi="黑体" w:eastAsia="黑体" w:cs="黑体"/>
                <w:b/>
                <w:bCs/>
                <w:color w:val="auto"/>
                <w:sz w:val="21"/>
                <w:szCs w:val="21"/>
                <w:highlight w:val="none"/>
                <w:lang w:val="en-US" w:eastAsia="zh-CN"/>
              </w:rPr>
              <w:t>段</w:t>
            </w:r>
            <w:r>
              <w:rPr>
                <w:rFonts w:hint="eastAsia" w:ascii="黑体" w:hAnsi="黑体" w:eastAsia="黑体" w:cs="黑体"/>
                <w:b/>
                <w:bCs/>
                <w:color w:val="auto"/>
                <w:sz w:val="21"/>
                <w:szCs w:val="21"/>
                <w:highlight w:val="none"/>
                <w:lang w:eastAsia="zh-CN"/>
              </w:rPr>
              <w:t>，</w:t>
            </w:r>
            <w:r>
              <w:rPr>
                <w:rFonts w:hint="eastAsia" w:ascii="黑体" w:hAnsi="黑体" w:eastAsia="黑体" w:cs="黑体"/>
                <w:b/>
                <w:bCs/>
                <w:color w:val="auto"/>
                <w:sz w:val="21"/>
                <w:szCs w:val="21"/>
                <w:highlight w:val="none"/>
                <w:lang w:val="en-US" w:eastAsia="zh-CN"/>
              </w:rPr>
              <w:t>同一投标人在多个标段排名第一时，按照投标人在投标文件中承诺的优先顺序推荐中标候选人</w:t>
            </w:r>
            <w:r>
              <w:rPr>
                <w:rFonts w:hint="eastAsia" w:ascii="黑体" w:hAnsi="黑体" w:eastAsia="黑体" w:cs="黑体"/>
                <w:b/>
                <w:bCs/>
                <w:color w:val="auto"/>
                <w:sz w:val="21"/>
                <w:szCs w:val="21"/>
                <w:highlight w:val="none"/>
              </w:rPr>
              <w:t>。</w:t>
            </w:r>
          </w:p>
        </w:tc>
      </w:tr>
    </w:tbl>
    <w:p w14:paraId="42567B1C">
      <w:pPr>
        <w:rPr>
          <w:rFonts w:hint="eastAsia"/>
          <w:highlight w:val="none"/>
        </w:rPr>
      </w:pPr>
      <w:bookmarkStart w:id="13" w:name="_Toc234832863"/>
      <w:bookmarkStart w:id="14" w:name="_Toc501257053"/>
      <w:bookmarkStart w:id="15" w:name="_Toc16598"/>
      <w:r>
        <w:rPr>
          <w:rFonts w:hint="eastAsia"/>
          <w:highlight w:val="none"/>
        </w:rPr>
        <w:br w:type="page"/>
      </w:r>
    </w:p>
    <w:p w14:paraId="1ADCA80E">
      <w:pPr>
        <w:pStyle w:val="3"/>
        <w:bidi w:val="0"/>
        <w:rPr>
          <w:color w:val="auto"/>
          <w:highlight w:val="none"/>
        </w:rPr>
      </w:pPr>
      <w:r>
        <w:rPr>
          <w:rFonts w:hint="eastAsia"/>
          <w:highlight w:val="none"/>
        </w:rPr>
        <w:t>附录1  资格审查条件（资质最低</w:t>
      </w:r>
      <w:r>
        <w:rPr>
          <w:rFonts w:hint="eastAsia"/>
          <w:highlight w:val="none"/>
          <w:lang w:eastAsia="zh-CN"/>
        </w:rPr>
        <w:t>要求</w:t>
      </w:r>
      <w:r>
        <w:rPr>
          <w:rFonts w:hint="eastAsia"/>
          <w:highlight w:val="none"/>
        </w:rPr>
        <w:t>）</w:t>
      </w:r>
      <w:bookmarkEnd w:id="13"/>
      <w:bookmarkEnd w:id="14"/>
      <w:bookmarkEnd w:id="15"/>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
      <w:tblGrid>
        <w:gridCol w:w="1643"/>
        <w:gridCol w:w="7597"/>
      </w:tblGrid>
      <w:tr w14:paraId="11BD72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85" w:type="dxa"/>
          </w:tblCellMar>
        </w:tblPrEx>
        <w:trPr>
          <w:trHeight w:val="454" w:hRule="atLeast"/>
          <w:jc w:val="center"/>
        </w:trPr>
        <w:tc>
          <w:tcPr>
            <w:tcW w:w="1643" w:type="dxa"/>
            <w:noWrap w:val="0"/>
            <w:vAlign w:val="center"/>
          </w:tcPr>
          <w:p w14:paraId="6AEB9C7C">
            <w:pPr>
              <w:jc w:val="center"/>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项  目</w:t>
            </w:r>
          </w:p>
        </w:tc>
        <w:tc>
          <w:tcPr>
            <w:tcW w:w="7597" w:type="dxa"/>
            <w:noWrap w:val="0"/>
            <w:vAlign w:val="center"/>
          </w:tcPr>
          <w:p w14:paraId="35479B79">
            <w:pPr>
              <w:jc w:val="center"/>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施工企业资质等级要求</w:t>
            </w:r>
          </w:p>
        </w:tc>
      </w:tr>
      <w:tr w14:paraId="603AC6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85" w:type="dxa"/>
          </w:tblCellMar>
        </w:tblPrEx>
        <w:trPr>
          <w:trHeight w:val="597" w:hRule="atLeast"/>
          <w:jc w:val="center"/>
        </w:trPr>
        <w:tc>
          <w:tcPr>
            <w:tcW w:w="1643" w:type="dxa"/>
            <w:noWrap w:val="0"/>
            <w:vAlign w:val="center"/>
          </w:tcPr>
          <w:p w14:paraId="14663B8F">
            <w:pPr>
              <w:adjustRightInd w:val="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法人资格</w:t>
            </w:r>
          </w:p>
        </w:tc>
        <w:tc>
          <w:tcPr>
            <w:tcW w:w="7597" w:type="dxa"/>
            <w:noWrap w:val="0"/>
            <w:vAlign w:val="center"/>
          </w:tcPr>
          <w:p w14:paraId="64A1CB35">
            <w:pPr>
              <w:adjustRightInd w:val="0"/>
              <w:snapToGrid w:val="0"/>
              <w:rPr>
                <w:rFonts w:hint="eastAsia" w:ascii="黑体" w:hAnsi="黑体" w:eastAsia="黑体" w:cs="黑体"/>
                <w:color w:val="auto"/>
                <w:szCs w:val="21"/>
                <w:highlight w:val="none"/>
              </w:rPr>
            </w:pPr>
            <w:r>
              <w:rPr>
                <w:rFonts w:hint="eastAsia" w:ascii="黑体" w:hAnsi="黑体" w:eastAsia="黑体" w:cs="黑体"/>
                <w:b w:val="0"/>
                <w:bCs w:val="0"/>
                <w:highlight w:val="none"/>
                <w:lang w:val="en-US" w:eastAsia="zh-CN"/>
              </w:rPr>
              <w:t>具有国内注册的独立法人资格及有效的企业法人营业执照</w:t>
            </w:r>
            <w:r>
              <w:rPr>
                <w:rFonts w:hint="eastAsia" w:ascii="黑体" w:hAnsi="黑体" w:eastAsia="黑体" w:cs="黑体"/>
                <w:color w:val="auto"/>
                <w:szCs w:val="21"/>
                <w:highlight w:val="none"/>
              </w:rPr>
              <w:t>。</w:t>
            </w:r>
          </w:p>
        </w:tc>
      </w:tr>
      <w:tr w14:paraId="1E2FB0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85" w:type="dxa"/>
          </w:tblCellMar>
        </w:tblPrEx>
        <w:trPr>
          <w:trHeight w:val="589" w:hRule="atLeast"/>
          <w:jc w:val="center"/>
        </w:trPr>
        <w:tc>
          <w:tcPr>
            <w:tcW w:w="1643" w:type="dxa"/>
            <w:noWrap w:val="0"/>
            <w:vAlign w:val="center"/>
          </w:tcPr>
          <w:p w14:paraId="7706AB9B">
            <w:pPr>
              <w:adjustRightInd w:val="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资质等级</w:t>
            </w:r>
          </w:p>
        </w:tc>
        <w:tc>
          <w:tcPr>
            <w:tcW w:w="7597" w:type="dxa"/>
            <w:noWrap w:val="0"/>
            <w:vAlign w:val="center"/>
          </w:tcPr>
          <w:p w14:paraId="7BE325BD">
            <w:pPr>
              <w:adjustRightInd w:val="0"/>
              <w:rPr>
                <w:rFonts w:hint="eastAsia" w:ascii="黑体" w:hAnsi="黑体" w:eastAsia="黑体" w:cs="黑体"/>
                <w:b/>
                <w:bCs/>
                <w:color w:val="auto"/>
                <w:szCs w:val="21"/>
                <w:highlight w:val="none"/>
                <w:lang w:val="en-US" w:eastAsia="zh-CN"/>
              </w:rPr>
            </w:pPr>
            <w:r>
              <w:rPr>
                <w:rFonts w:hint="eastAsia" w:ascii="黑体" w:hAnsi="黑体" w:eastAsia="黑体" w:cs="黑体"/>
                <w:b/>
                <w:bCs/>
                <w:color w:val="auto"/>
                <w:szCs w:val="21"/>
                <w:highlight w:val="none"/>
                <w:lang w:val="en-US" w:eastAsia="zh-CN"/>
              </w:rPr>
              <w:t>投标人满足以下①、②、③任意一项要求即可：</w:t>
            </w:r>
          </w:p>
          <w:p w14:paraId="20144184">
            <w:pPr>
              <w:adjustRightInd w:val="0"/>
              <w:rPr>
                <w:rFonts w:hint="eastAsia" w:ascii="黑体" w:hAnsi="黑体" w:eastAsia="黑体" w:cs="黑体"/>
                <w:b w:val="0"/>
                <w:bCs w:val="0"/>
                <w:color w:val="auto"/>
                <w:szCs w:val="21"/>
                <w:highlight w:val="none"/>
                <w:lang w:val="en-US" w:eastAsia="zh-CN"/>
              </w:rPr>
            </w:pPr>
            <w:r>
              <w:rPr>
                <w:rFonts w:hint="eastAsia" w:ascii="黑体" w:hAnsi="黑体" w:eastAsia="黑体" w:cs="黑体"/>
                <w:b/>
                <w:bCs/>
                <w:color w:val="auto"/>
                <w:szCs w:val="21"/>
                <w:highlight w:val="none"/>
                <w:lang w:val="en-US" w:eastAsia="zh-CN"/>
              </w:rPr>
              <w:t>①</w:t>
            </w:r>
            <w:r>
              <w:rPr>
                <w:rFonts w:hint="eastAsia" w:ascii="黑体" w:hAnsi="黑体" w:eastAsia="黑体" w:cs="黑体"/>
                <w:b w:val="0"/>
                <w:bCs w:val="0"/>
                <w:color w:val="auto"/>
                <w:szCs w:val="21"/>
                <w:highlight w:val="none"/>
                <w:lang w:val="en-US" w:eastAsia="zh-CN"/>
              </w:rPr>
              <w:t>根据《住房和城乡建设部关于印发建设工程企业资质管理制度改革方案的通知》（建市〔2020〕94号），投标人应具备建设行政主管部门颁发的公路工程施工总承包乙级及以上等级资质（资质应在有效期内），若投标人未办理、变更上述资质，则需具备建设行政主管部门颁发的</w:t>
            </w:r>
            <w:r>
              <w:rPr>
                <w:rFonts w:hint="eastAsia" w:ascii="黑体" w:hAnsi="黑体" w:eastAsia="黑体" w:cs="黑体"/>
                <w:b/>
                <w:bCs/>
                <w:color w:val="auto"/>
                <w:szCs w:val="21"/>
                <w:highlight w:val="none"/>
                <w:lang w:val="en-US" w:eastAsia="zh-CN"/>
              </w:rPr>
              <w:t>公路工程施工总承包三级</w:t>
            </w:r>
            <w:r>
              <w:rPr>
                <w:rFonts w:hint="eastAsia" w:ascii="黑体" w:hAnsi="黑体" w:eastAsia="黑体" w:cs="黑体"/>
                <w:b w:val="0"/>
                <w:bCs w:val="0"/>
                <w:color w:val="auto"/>
                <w:szCs w:val="21"/>
                <w:highlight w:val="none"/>
                <w:lang w:val="en-US" w:eastAsia="zh-CN"/>
              </w:rPr>
              <w:t>及以上等级资质（资质应在有效期内）。</w:t>
            </w:r>
          </w:p>
          <w:p w14:paraId="13450571">
            <w:pPr>
              <w:adjustRightInd w:val="0"/>
              <w:rPr>
                <w:rFonts w:hint="eastAsia" w:ascii="黑体" w:hAnsi="黑体" w:eastAsia="黑体" w:cs="黑体"/>
                <w:b w:val="0"/>
                <w:bCs w:val="0"/>
                <w:color w:val="auto"/>
                <w:szCs w:val="21"/>
                <w:highlight w:val="none"/>
                <w:lang w:val="en-US" w:eastAsia="zh-CN"/>
              </w:rPr>
            </w:pPr>
            <w:r>
              <w:rPr>
                <w:rFonts w:hint="eastAsia" w:ascii="黑体" w:hAnsi="黑体" w:eastAsia="黑体" w:cs="黑体"/>
                <w:b/>
                <w:bCs/>
                <w:color w:val="auto"/>
                <w:szCs w:val="21"/>
                <w:highlight w:val="none"/>
                <w:lang w:val="en-US" w:eastAsia="zh-CN"/>
              </w:rPr>
              <w:t>②</w:t>
            </w:r>
            <w:r>
              <w:rPr>
                <w:rFonts w:hint="eastAsia" w:ascii="黑体" w:hAnsi="黑体" w:eastAsia="黑体" w:cs="黑体"/>
                <w:b w:val="0"/>
                <w:bCs w:val="0"/>
                <w:color w:val="auto"/>
                <w:szCs w:val="21"/>
                <w:highlight w:val="none"/>
                <w:lang w:val="en-US" w:eastAsia="zh-CN"/>
              </w:rPr>
              <w:t>具有交通运输行政主管部门颁发的公路养护工程二类乙级（资质应在有效期内）。</w:t>
            </w:r>
          </w:p>
          <w:p w14:paraId="759893CC">
            <w:pPr>
              <w:adjustRightInd w:val="0"/>
              <w:rPr>
                <w:rFonts w:hint="eastAsia" w:ascii="黑体" w:hAnsi="黑体" w:eastAsia="黑体" w:cs="黑体"/>
                <w:b/>
                <w:bCs/>
                <w:color w:val="000000"/>
                <w:szCs w:val="21"/>
                <w:highlight w:val="none"/>
                <w:lang w:val="en-US" w:eastAsia="zh-CN"/>
              </w:rPr>
            </w:pPr>
            <w:r>
              <w:rPr>
                <w:rFonts w:hint="eastAsia" w:ascii="黑体" w:hAnsi="黑体" w:eastAsia="黑体" w:cs="黑体"/>
                <w:b/>
                <w:bCs/>
                <w:color w:val="auto"/>
                <w:szCs w:val="21"/>
                <w:highlight w:val="none"/>
                <w:lang w:val="en-US" w:eastAsia="zh-CN"/>
              </w:rPr>
              <w:t>③</w:t>
            </w:r>
            <w:r>
              <w:rPr>
                <w:rFonts w:hint="eastAsia" w:ascii="黑体" w:hAnsi="黑体" w:eastAsia="黑体" w:cs="黑体"/>
                <w:b w:val="0"/>
                <w:bCs w:val="0"/>
                <w:color w:val="auto"/>
                <w:szCs w:val="21"/>
                <w:highlight w:val="none"/>
                <w:lang w:val="en-US" w:eastAsia="zh-CN"/>
              </w:rPr>
              <w:t>具有交通运输行政主管部门颁发的路基路面养护乙级及以上资质（资质应在有效期内）。</w:t>
            </w:r>
          </w:p>
        </w:tc>
      </w:tr>
      <w:tr w14:paraId="791CF1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85" w:type="dxa"/>
          </w:tblCellMar>
        </w:tblPrEx>
        <w:trPr>
          <w:trHeight w:val="608" w:hRule="atLeast"/>
          <w:jc w:val="center"/>
        </w:trPr>
        <w:tc>
          <w:tcPr>
            <w:tcW w:w="1643" w:type="dxa"/>
            <w:noWrap w:val="0"/>
            <w:vAlign w:val="center"/>
          </w:tcPr>
          <w:p w14:paraId="3D77FE20">
            <w:pPr>
              <w:adjustRightInd w:val="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安全生产许可证</w:t>
            </w:r>
          </w:p>
        </w:tc>
        <w:tc>
          <w:tcPr>
            <w:tcW w:w="7597" w:type="dxa"/>
            <w:noWrap w:val="0"/>
            <w:vAlign w:val="center"/>
          </w:tcPr>
          <w:p w14:paraId="4A44FA8C">
            <w:pPr>
              <w:adjustRightInd w:val="0"/>
              <w:rPr>
                <w:rFonts w:hint="eastAsia" w:ascii="黑体" w:hAnsi="黑体" w:eastAsia="黑体" w:cs="黑体"/>
                <w:color w:val="auto"/>
                <w:szCs w:val="21"/>
                <w:highlight w:val="none"/>
              </w:rPr>
            </w:pPr>
            <w:r>
              <w:rPr>
                <w:rFonts w:hint="eastAsia" w:ascii="黑体" w:hAnsi="黑体" w:eastAsia="黑体" w:cs="黑体"/>
                <w:b w:val="0"/>
                <w:bCs w:val="0"/>
                <w:highlight w:val="none"/>
                <w:lang w:val="en-US" w:eastAsia="zh-CN"/>
              </w:rPr>
              <w:t>具有有效的安全生产许可证</w:t>
            </w:r>
            <w:r>
              <w:rPr>
                <w:rFonts w:hint="eastAsia" w:ascii="黑体" w:hAnsi="黑体" w:eastAsia="黑体" w:cs="黑体"/>
                <w:color w:val="auto"/>
                <w:szCs w:val="21"/>
                <w:highlight w:val="none"/>
              </w:rPr>
              <w:t>。</w:t>
            </w:r>
          </w:p>
        </w:tc>
      </w:tr>
      <w:tr w14:paraId="759A2E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85" w:type="dxa"/>
          </w:tblCellMar>
        </w:tblPrEx>
        <w:trPr>
          <w:trHeight w:val="711" w:hRule="atLeast"/>
          <w:jc w:val="center"/>
        </w:trPr>
        <w:tc>
          <w:tcPr>
            <w:tcW w:w="1643" w:type="dxa"/>
            <w:noWrap w:val="0"/>
            <w:vAlign w:val="center"/>
          </w:tcPr>
          <w:p w14:paraId="600725B3">
            <w:pPr>
              <w:adjustRightInd w:val="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开户许可证</w:t>
            </w:r>
          </w:p>
        </w:tc>
        <w:tc>
          <w:tcPr>
            <w:tcW w:w="7597" w:type="dxa"/>
            <w:noWrap w:val="0"/>
            <w:vAlign w:val="center"/>
          </w:tcPr>
          <w:p w14:paraId="3308FCD4">
            <w:pPr>
              <w:adjustRightInd w:val="0"/>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有效的基本账户开户许可证或基本存款账户信息</w:t>
            </w:r>
            <w:r>
              <w:rPr>
                <w:rFonts w:hint="eastAsia" w:ascii="黑体" w:hAnsi="黑体" w:eastAsia="黑体" w:cs="黑体"/>
                <w:b/>
                <w:color w:val="auto"/>
                <w:szCs w:val="21"/>
                <w:highlight w:val="none"/>
                <w:lang w:eastAsia="zh-CN"/>
              </w:rPr>
              <w:t>。</w:t>
            </w:r>
          </w:p>
        </w:tc>
      </w:tr>
    </w:tbl>
    <w:p w14:paraId="1608473B">
      <w:pPr>
        <w:snapToGrid w:val="0"/>
        <w:spacing w:line="360" w:lineRule="exact"/>
        <w:ind w:firstLine="360" w:firstLineChars="200"/>
        <w:rPr>
          <w:rFonts w:eastAsia="隶书"/>
          <w:b/>
          <w:color w:val="auto"/>
          <w:sz w:val="32"/>
          <w:highlight w:val="none"/>
        </w:rPr>
      </w:pPr>
      <w:r>
        <w:rPr>
          <w:rFonts w:hint="eastAsia" w:ascii="黑体" w:hAnsi="黑体" w:eastAsia="黑体" w:cs="黑体"/>
          <w:bCs/>
          <w:color w:val="auto"/>
          <w:sz w:val="18"/>
          <w:szCs w:val="18"/>
          <w:highlight w:val="none"/>
        </w:rPr>
        <w:t>注：在《投标文件》投标人基本情况表及附件中反映。</w:t>
      </w:r>
      <w:r>
        <w:rPr>
          <w:rFonts w:ascii="黑体" w:hAnsi="黑体" w:eastAsia="黑体" w:cs="黑体"/>
          <w:bCs/>
          <w:color w:val="auto"/>
          <w:sz w:val="18"/>
          <w:szCs w:val="18"/>
          <w:highlight w:val="none"/>
        </w:rPr>
        <w:t>投标人应对相关信息应真实性、合法性、有效性、完整性负责。否则，投标人应承担相应责任。</w:t>
      </w:r>
    </w:p>
    <w:p w14:paraId="2E2476CB">
      <w:pPr>
        <w:pStyle w:val="3"/>
        <w:bidi w:val="0"/>
        <w:rPr>
          <w:rFonts w:hint="eastAsia"/>
          <w:highlight w:val="none"/>
        </w:rPr>
      </w:pPr>
      <w:bookmarkStart w:id="16" w:name="_Toc234832864"/>
      <w:bookmarkStart w:id="17" w:name="_Toc501257054"/>
      <w:bookmarkStart w:id="18" w:name="_Toc20389"/>
      <w:r>
        <w:rPr>
          <w:highlight w:val="none"/>
        </w:rPr>
        <w:t>附录2  资格审查条件（财务最低要求</w:t>
      </w:r>
      <w:r>
        <w:rPr>
          <w:rFonts w:hint="eastAsia"/>
          <w:highlight w:val="none"/>
        </w:rPr>
        <w:t>）</w:t>
      </w:r>
      <w:bookmarkEnd w:id="16"/>
      <w:bookmarkEnd w:id="17"/>
      <w:bookmarkEnd w:id="18"/>
    </w:p>
    <w:tbl>
      <w:tblPr>
        <w:tblStyle w:val="22"/>
        <w:tblW w:w="9238" w:type="dxa"/>
        <w:tblInd w:w="-231"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9238"/>
      </w:tblGrid>
      <w:tr w14:paraId="5CADDC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72" w:hRule="atLeast"/>
        </w:trPr>
        <w:tc>
          <w:tcPr>
            <w:tcW w:w="9238" w:type="dxa"/>
            <w:noWrap w:val="0"/>
            <w:vAlign w:val="center"/>
          </w:tcPr>
          <w:p w14:paraId="2862AB49">
            <w:pPr>
              <w:spacing w:line="360" w:lineRule="exact"/>
              <w:jc w:val="center"/>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财 务 要 求</w:t>
            </w:r>
          </w:p>
        </w:tc>
      </w:tr>
      <w:tr w14:paraId="2B57FF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4" w:hRule="atLeast"/>
        </w:trPr>
        <w:tc>
          <w:tcPr>
            <w:tcW w:w="9238" w:type="dxa"/>
            <w:noWrap w:val="0"/>
            <w:vAlign w:val="center"/>
          </w:tcPr>
          <w:p w14:paraId="02982838">
            <w:pPr>
              <w:numPr>
                <w:ilvl w:val="0"/>
                <w:numId w:val="0"/>
              </w:numPr>
              <w:rPr>
                <w:rFonts w:hint="eastAsia" w:ascii="黑体" w:hAnsi="黑体" w:eastAsia="黑体" w:cs="黑体"/>
                <w:color w:val="auto"/>
                <w:szCs w:val="21"/>
                <w:highlight w:val="none"/>
              </w:rPr>
            </w:pPr>
            <w:r>
              <w:rPr>
                <w:rFonts w:hint="eastAsia" w:ascii="黑体" w:hAnsi="黑体" w:eastAsia="黑体" w:cs="黑体"/>
                <w:color w:val="000000"/>
                <w:szCs w:val="21"/>
                <w:highlight w:val="none"/>
                <w:lang w:eastAsia="zh-CN"/>
              </w:rPr>
              <w:t>近三年，20</w:t>
            </w:r>
            <w:r>
              <w:rPr>
                <w:rFonts w:hint="eastAsia" w:ascii="黑体" w:hAnsi="黑体" w:eastAsia="黑体" w:cs="黑体"/>
                <w:color w:val="000000"/>
                <w:szCs w:val="21"/>
                <w:highlight w:val="none"/>
                <w:lang w:val="en-US" w:eastAsia="zh-CN"/>
              </w:rPr>
              <w:t>23</w:t>
            </w:r>
            <w:r>
              <w:rPr>
                <w:rFonts w:hint="eastAsia" w:ascii="黑体" w:hAnsi="黑体" w:eastAsia="黑体" w:cs="黑体"/>
                <w:color w:val="000000"/>
                <w:szCs w:val="21"/>
                <w:highlight w:val="none"/>
                <w:lang w:val="zh-TW" w:eastAsia="zh-CN"/>
              </w:rPr>
              <w:t>年至</w:t>
            </w:r>
            <w:r>
              <w:rPr>
                <w:rFonts w:hint="eastAsia" w:ascii="黑体" w:hAnsi="黑体" w:eastAsia="黑体" w:cs="黑体"/>
                <w:color w:val="000000"/>
                <w:szCs w:val="21"/>
                <w:highlight w:val="none"/>
                <w:lang w:eastAsia="zh-CN"/>
              </w:rPr>
              <w:t>202</w:t>
            </w:r>
            <w:r>
              <w:rPr>
                <w:rFonts w:hint="eastAsia" w:ascii="黑体" w:hAnsi="黑体" w:eastAsia="黑体" w:cs="黑体"/>
                <w:color w:val="000000"/>
                <w:szCs w:val="21"/>
                <w:highlight w:val="none"/>
                <w:lang w:val="en-US" w:eastAsia="zh-CN"/>
              </w:rPr>
              <w:t>5</w:t>
            </w:r>
            <w:r>
              <w:rPr>
                <w:rFonts w:hint="eastAsia" w:ascii="黑体" w:hAnsi="黑体" w:eastAsia="黑体" w:cs="黑体"/>
                <w:color w:val="000000"/>
                <w:szCs w:val="21"/>
                <w:highlight w:val="none"/>
                <w:lang w:val="zh-TW" w:eastAsia="zh-CN"/>
              </w:rPr>
              <w:t>年，</w:t>
            </w:r>
            <w:r>
              <w:rPr>
                <w:rFonts w:hint="eastAsia" w:ascii="黑体" w:hAnsi="黑体" w:eastAsia="黑体" w:cs="黑体"/>
                <w:color w:val="000000"/>
                <w:szCs w:val="21"/>
                <w:highlight w:val="none"/>
                <w:lang w:eastAsia="zh-CN"/>
              </w:rPr>
              <w:t>若202</w:t>
            </w:r>
            <w:r>
              <w:rPr>
                <w:rFonts w:hint="eastAsia" w:ascii="黑体" w:hAnsi="黑体" w:eastAsia="黑体" w:cs="黑体"/>
                <w:color w:val="000000"/>
                <w:szCs w:val="21"/>
                <w:highlight w:val="none"/>
                <w:lang w:val="en-US" w:eastAsia="zh-CN"/>
              </w:rPr>
              <w:t>5</w:t>
            </w:r>
            <w:r>
              <w:rPr>
                <w:rFonts w:hint="eastAsia" w:ascii="黑体" w:hAnsi="黑体" w:eastAsia="黑体" w:cs="黑体"/>
                <w:color w:val="000000"/>
                <w:szCs w:val="21"/>
                <w:highlight w:val="none"/>
                <w:lang w:eastAsia="zh-CN"/>
              </w:rPr>
              <w:t>年财务审计报告尚未生成，可提供20</w:t>
            </w:r>
            <w:r>
              <w:rPr>
                <w:rFonts w:hint="eastAsia" w:ascii="黑体" w:hAnsi="黑体" w:eastAsia="黑体" w:cs="黑体"/>
                <w:color w:val="000000"/>
                <w:szCs w:val="21"/>
                <w:highlight w:val="none"/>
                <w:lang w:val="en-US" w:eastAsia="zh-CN"/>
              </w:rPr>
              <w:t>22</w:t>
            </w:r>
            <w:r>
              <w:rPr>
                <w:rFonts w:hint="eastAsia" w:ascii="黑体" w:hAnsi="黑体" w:eastAsia="黑体" w:cs="黑体"/>
                <w:color w:val="000000"/>
                <w:szCs w:val="21"/>
                <w:highlight w:val="none"/>
                <w:lang w:eastAsia="zh-CN"/>
              </w:rPr>
              <w:t>年至20</w:t>
            </w:r>
            <w:r>
              <w:rPr>
                <w:rFonts w:hint="eastAsia" w:ascii="黑体" w:hAnsi="黑体" w:eastAsia="黑体" w:cs="黑体"/>
                <w:color w:val="000000"/>
                <w:szCs w:val="21"/>
                <w:highlight w:val="none"/>
                <w:lang w:val="en-US" w:eastAsia="zh-CN"/>
              </w:rPr>
              <w:t>24</w:t>
            </w:r>
            <w:r>
              <w:rPr>
                <w:rFonts w:hint="eastAsia" w:ascii="黑体" w:hAnsi="黑体" w:eastAsia="黑体" w:cs="黑体"/>
                <w:color w:val="000000"/>
                <w:szCs w:val="21"/>
                <w:highlight w:val="none"/>
                <w:lang w:eastAsia="zh-CN"/>
              </w:rPr>
              <w:t>年财务审计报告，成立时间不足三年的投标人，提供自成立以来的财务审计报告。</w:t>
            </w:r>
          </w:p>
        </w:tc>
      </w:tr>
    </w:tbl>
    <w:p w14:paraId="01BF4E45">
      <w:pPr>
        <w:shd w:val="clear" w:color="auto" w:fill="auto"/>
        <w:adjustRightInd w:val="0"/>
        <w:snapToGrid w:val="0"/>
        <w:spacing w:line="300" w:lineRule="exact"/>
        <w:ind w:firstLine="360" w:firstLineChars="200"/>
        <w:rPr>
          <w:rFonts w:hint="eastAsia" w:eastAsia="黑体"/>
          <w:color w:val="auto"/>
          <w:sz w:val="24"/>
          <w:highlight w:val="none"/>
        </w:rPr>
      </w:pPr>
      <w:r>
        <w:rPr>
          <w:rFonts w:hint="eastAsia" w:ascii="黑体" w:hAnsi="黑体" w:eastAsia="黑体" w:cs="黑体"/>
          <w:b w:val="0"/>
          <w:bCs w:val="0"/>
          <w:color w:val="auto"/>
          <w:sz w:val="18"/>
          <w:szCs w:val="18"/>
          <w:highlight w:val="none"/>
        </w:rPr>
        <w:t>注：在《投标文件》近年财务状况表及附件中反映。</w:t>
      </w:r>
    </w:p>
    <w:p w14:paraId="0F3D6BF9">
      <w:pPr>
        <w:pStyle w:val="3"/>
        <w:bidi w:val="0"/>
        <w:rPr>
          <w:rFonts w:hint="eastAsia" w:ascii="黑体" w:eastAsia="黑体"/>
          <w:color w:val="auto"/>
          <w:szCs w:val="28"/>
          <w:highlight w:val="none"/>
        </w:rPr>
      </w:pPr>
      <w:r>
        <w:rPr>
          <w:rFonts w:eastAsia="黑体"/>
          <w:color w:val="auto"/>
          <w:highlight w:val="none"/>
        </w:rPr>
        <w:br w:type="page"/>
      </w:r>
      <w:bookmarkStart w:id="19" w:name="_Toc11150"/>
      <w:bookmarkStart w:id="20" w:name="_Toc501257055"/>
      <w:bookmarkStart w:id="21" w:name="_Toc234832865"/>
      <w:r>
        <w:rPr>
          <w:highlight w:val="none"/>
        </w:rPr>
        <w:t xml:space="preserve">附录3 </w:t>
      </w:r>
      <w:r>
        <w:rPr>
          <w:rFonts w:hint="eastAsia"/>
          <w:highlight w:val="none"/>
          <w:lang w:eastAsia="zh-CN"/>
        </w:rPr>
        <w:t xml:space="preserve"> </w:t>
      </w:r>
      <w:r>
        <w:rPr>
          <w:highlight w:val="none"/>
        </w:rPr>
        <w:t>资格审查条件（业绩最低要求</w:t>
      </w:r>
      <w:r>
        <w:rPr>
          <w:rFonts w:hint="eastAsia"/>
          <w:highlight w:val="none"/>
        </w:rPr>
        <w:t>）</w:t>
      </w:r>
      <w:bookmarkEnd w:id="19"/>
      <w:bookmarkEnd w:id="20"/>
      <w:bookmarkEnd w:id="21"/>
    </w:p>
    <w:tbl>
      <w:tblPr>
        <w:tblStyle w:val="22"/>
        <w:tblW w:w="9208" w:type="dxa"/>
        <w:tblInd w:w="-231"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9208"/>
      </w:tblGrid>
      <w:tr w14:paraId="71D016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349" w:hRule="atLeast"/>
        </w:trPr>
        <w:tc>
          <w:tcPr>
            <w:tcW w:w="9208" w:type="dxa"/>
            <w:noWrap w:val="0"/>
            <w:vAlign w:val="center"/>
          </w:tcPr>
          <w:p w14:paraId="4399152F">
            <w:pPr>
              <w:spacing w:line="360" w:lineRule="exact"/>
              <w:jc w:val="center"/>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业 绩 要 求</w:t>
            </w:r>
          </w:p>
        </w:tc>
      </w:tr>
      <w:tr w14:paraId="6AAAE3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88" w:hRule="atLeast"/>
        </w:trPr>
        <w:tc>
          <w:tcPr>
            <w:tcW w:w="9208" w:type="dxa"/>
            <w:noWrap w:val="0"/>
            <w:vAlign w:val="center"/>
          </w:tcPr>
          <w:p w14:paraId="5E9CA42B">
            <w:pPr>
              <w:jc w:val="left"/>
              <w:rPr>
                <w:rFonts w:hint="eastAsia" w:ascii="黑体" w:hAnsi="黑体" w:eastAsia="黑体" w:cs="黑体"/>
                <w:b/>
                <w:bCs/>
                <w:color w:val="auto"/>
                <w:szCs w:val="21"/>
                <w:highlight w:val="none"/>
                <w:lang w:val="en-US" w:eastAsia="zh-CN"/>
              </w:rPr>
            </w:pPr>
            <w:r>
              <w:rPr>
                <w:rFonts w:hint="eastAsia" w:ascii="黑体" w:hAnsi="黑体" w:eastAsia="黑体" w:cs="黑体"/>
                <w:b w:val="0"/>
                <w:bCs w:val="0"/>
                <w:color w:val="000000"/>
                <w:szCs w:val="21"/>
                <w:highlight w:val="none"/>
              </w:rPr>
              <w:t>近</w:t>
            </w:r>
            <w:r>
              <w:rPr>
                <w:rFonts w:hint="eastAsia" w:ascii="黑体" w:hAnsi="黑体" w:eastAsia="黑体" w:cs="黑体"/>
                <w:b w:val="0"/>
                <w:bCs w:val="0"/>
                <w:color w:val="000000"/>
                <w:szCs w:val="21"/>
                <w:highlight w:val="none"/>
                <w:lang w:val="en-US" w:eastAsia="zh-CN"/>
              </w:rPr>
              <w:t>5</w:t>
            </w:r>
            <w:r>
              <w:rPr>
                <w:rFonts w:hint="eastAsia" w:ascii="黑体" w:hAnsi="黑体" w:eastAsia="黑体" w:cs="黑体"/>
                <w:b w:val="0"/>
                <w:bCs w:val="0"/>
                <w:color w:val="000000"/>
                <w:szCs w:val="21"/>
                <w:highlight w:val="none"/>
              </w:rPr>
              <w:t>年内（</w:t>
            </w:r>
            <w:r>
              <w:rPr>
                <w:rFonts w:hint="eastAsia" w:ascii="黑体" w:hAnsi="黑体" w:eastAsia="黑体" w:cs="黑体"/>
                <w:b w:val="0"/>
                <w:bCs w:val="0"/>
                <w:color w:val="000000"/>
                <w:szCs w:val="21"/>
                <w:highlight w:val="none"/>
                <w:lang w:val="en-US" w:eastAsia="zh-CN"/>
              </w:rPr>
              <w:t>2021</w:t>
            </w:r>
            <w:r>
              <w:rPr>
                <w:rFonts w:hint="eastAsia" w:ascii="黑体" w:hAnsi="黑体" w:eastAsia="黑体" w:cs="黑体"/>
                <w:b w:val="0"/>
                <w:bCs w:val="0"/>
                <w:color w:val="000000"/>
                <w:szCs w:val="21"/>
                <w:highlight w:val="none"/>
              </w:rPr>
              <w:t>年</w:t>
            </w:r>
            <w:r>
              <w:rPr>
                <w:rFonts w:hint="eastAsia" w:ascii="黑体" w:hAnsi="黑体" w:eastAsia="黑体" w:cs="黑体"/>
                <w:b w:val="0"/>
                <w:bCs w:val="0"/>
                <w:color w:val="000000"/>
                <w:szCs w:val="21"/>
                <w:highlight w:val="none"/>
                <w:lang w:val="en-US" w:eastAsia="zh-CN"/>
              </w:rPr>
              <w:t>1</w:t>
            </w:r>
            <w:r>
              <w:rPr>
                <w:rFonts w:hint="eastAsia" w:ascii="黑体" w:hAnsi="黑体" w:eastAsia="黑体" w:cs="黑体"/>
                <w:b w:val="0"/>
                <w:bCs w:val="0"/>
                <w:color w:val="000000"/>
                <w:szCs w:val="21"/>
                <w:highlight w:val="none"/>
              </w:rPr>
              <w:t>月</w:t>
            </w:r>
            <w:r>
              <w:rPr>
                <w:rFonts w:hint="eastAsia" w:ascii="黑体" w:hAnsi="黑体" w:eastAsia="黑体" w:cs="黑体"/>
                <w:b w:val="0"/>
                <w:bCs w:val="0"/>
                <w:color w:val="000000"/>
                <w:szCs w:val="21"/>
                <w:highlight w:val="none"/>
                <w:lang w:val="en-US" w:eastAsia="zh-CN"/>
              </w:rPr>
              <w:t>1日至</w:t>
            </w:r>
            <w:r>
              <w:rPr>
                <w:rFonts w:hint="eastAsia" w:ascii="黑体" w:hAnsi="黑体" w:eastAsia="黑体" w:cs="黑体"/>
                <w:b w:val="0"/>
                <w:bCs w:val="0"/>
                <w:color w:val="000000"/>
                <w:szCs w:val="21"/>
                <w:highlight w:val="none"/>
              </w:rPr>
              <w:t>投标截止日，</w:t>
            </w:r>
            <w:r>
              <w:rPr>
                <w:rFonts w:hint="eastAsia" w:ascii="黑体" w:hAnsi="黑体" w:eastAsia="黑体" w:cs="黑体"/>
                <w:b w:val="0"/>
                <w:bCs w:val="0"/>
                <w:color w:val="000000"/>
                <w:szCs w:val="21"/>
                <w:highlight w:val="none"/>
                <w:lang w:val="en-US" w:eastAsia="zh-CN"/>
              </w:rPr>
              <w:t>以交（或竣）工时间为准</w:t>
            </w:r>
            <w:r>
              <w:rPr>
                <w:rFonts w:hint="eastAsia" w:ascii="黑体" w:hAnsi="黑体" w:eastAsia="黑体" w:cs="黑体"/>
                <w:b w:val="0"/>
                <w:bCs w:val="0"/>
                <w:color w:val="000000"/>
                <w:szCs w:val="21"/>
                <w:highlight w:val="none"/>
              </w:rPr>
              <w:t>）至少独立施工过1</w:t>
            </w:r>
            <w:r>
              <w:rPr>
                <w:rFonts w:hint="eastAsia" w:ascii="黑体" w:hAnsi="黑体" w:eastAsia="黑体" w:cs="黑体"/>
                <w:b w:val="0"/>
                <w:bCs w:val="0"/>
                <w:color w:val="000000"/>
                <w:szCs w:val="21"/>
                <w:highlight w:val="none"/>
                <w:lang w:val="en-US" w:eastAsia="zh-CN"/>
              </w:rPr>
              <w:t>项公路等级为三级及以上公路工程</w:t>
            </w:r>
            <w:r>
              <w:rPr>
                <w:rFonts w:hint="eastAsia" w:ascii="黑体" w:hAnsi="黑体" w:eastAsia="黑体" w:cs="黑体"/>
                <w:b w:val="0"/>
                <w:bCs w:val="0"/>
                <w:color w:val="000000"/>
                <w:szCs w:val="21"/>
                <w:highlight w:val="none"/>
              </w:rPr>
              <w:t>项目，并通过竣工或交工验收</w:t>
            </w:r>
            <w:r>
              <w:rPr>
                <w:rFonts w:hint="eastAsia" w:ascii="黑体" w:hAnsi="黑体" w:eastAsia="黑体" w:cs="黑体"/>
                <w:b w:val="0"/>
                <w:bCs w:val="0"/>
                <w:color w:val="000000"/>
                <w:szCs w:val="21"/>
                <w:highlight w:val="none"/>
                <w:lang w:eastAsia="zh-CN"/>
              </w:rPr>
              <w:t>。</w:t>
            </w:r>
          </w:p>
        </w:tc>
      </w:tr>
    </w:tbl>
    <w:p w14:paraId="3F059C46">
      <w:pPr>
        <w:snapToGrid w:val="0"/>
        <w:spacing w:line="360" w:lineRule="exact"/>
        <w:rPr>
          <w:rFonts w:hint="eastAsia" w:ascii="黑体" w:hAnsi="黑体" w:eastAsia="黑体" w:cs="黑体"/>
          <w:b/>
          <w:bCs w:val="0"/>
          <w:color w:val="000000"/>
          <w:sz w:val="24"/>
          <w:szCs w:val="24"/>
          <w:highlight w:val="none"/>
        </w:rPr>
      </w:pPr>
      <w:bookmarkStart w:id="22" w:name="_Toc501257056"/>
      <w:bookmarkStart w:id="23" w:name="_Toc234832866"/>
      <w:r>
        <w:rPr>
          <w:rFonts w:hint="eastAsia" w:ascii="黑体" w:hAnsi="黑体" w:eastAsia="黑体" w:cs="黑体"/>
          <w:b/>
          <w:bCs w:val="0"/>
          <w:color w:val="000000"/>
          <w:sz w:val="24"/>
          <w:szCs w:val="24"/>
          <w:highlight w:val="none"/>
        </w:rPr>
        <w:t>注：</w:t>
      </w:r>
    </w:p>
    <w:p w14:paraId="33ABC3F0">
      <w:pPr>
        <w:snapToGrid w:val="0"/>
        <w:spacing w:line="360" w:lineRule="exact"/>
        <w:ind w:firstLine="361" w:firstLineChars="200"/>
        <w:rPr>
          <w:rFonts w:hint="eastAsia" w:ascii="黑体" w:hAnsi="黑体" w:eastAsia="黑体" w:cs="黑体"/>
          <w:b/>
          <w:bCs w:val="0"/>
          <w:color w:val="000000"/>
          <w:kern w:val="2"/>
          <w:sz w:val="18"/>
          <w:szCs w:val="18"/>
          <w:highlight w:val="none"/>
          <w:lang w:val="en-US" w:eastAsia="zh-CN" w:bidi="ar-SA"/>
        </w:rPr>
      </w:pPr>
      <w:r>
        <w:rPr>
          <w:rFonts w:hint="eastAsia" w:ascii="黑体" w:hAnsi="黑体" w:eastAsia="黑体" w:cs="黑体"/>
          <w:b/>
          <w:bCs w:val="0"/>
          <w:color w:val="000000"/>
          <w:kern w:val="2"/>
          <w:sz w:val="18"/>
          <w:szCs w:val="18"/>
          <w:highlight w:val="none"/>
          <w:lang w:val="en-US" w:eastAsia="zh-CN" w:bidi="ar-SA"/>
        </w:rPr>
        <w:t>1、在《投标文件》近年完成的类似项目情况表及附件中反映。</w:t>
      </w:r>
    </w:p>
    <w:p w14:paraId="77323CB9">
      <w:pPr>
        <w:pStyle w:val="8"/>
        <w:snapToGrid w:val="0"/>
        <w:spacing w:after="0"/>
        <w:ind w:firstLine="361" w:firstLineChars="200"/>
        <w:rPr>
          <w:rFonts w:hint="eastAsia" w:ascii="黑体" w:hAnsi="黑体" w:eastAsia="黑体" w:cs="黑体"/>
          <w:b/>
          <w:bCs w:val="0"/>
          <w:color w:val="000000"/>
          <w:sz w:val="18"/>
          <w:szCs w:val="18"/>
          <w:highlight w:val="none"/>
        </w:rPr>
      </w:pPr>
      <w:r>
        <w:rPr>
          <w:rFonts w:hint="eastAsia" w:ascii="黑体" w:hAnsi="黑体" w:eastAsia="黑体" w:cs="黑体"/>
          <w:b/>
          <w:bCs w:val="0"/>
          <w:color w:val="000000"/>
          <w:sz w:val="18"/>
          <w:szCs w:val="18"/>
          <w:highlight w:val="none"/>
          <w:lang w:val="en-US" w:eastAsia="zh-CN"/>
        </w:rPr>
        <w:t>2、</w:t>
      </w:r>
      <w:r>
        <w:rPr>
          <w:rFonts w:hint="eastAsia" w:ascii="黑体" w:hAnsi="黑体" w:eastAsia="黑体" w:cs="黑体"/>
          <w:b/>
          <w:bCs w:val="0"/>
          <w:color w:val="000000"/>
          <w:sz w:val="18"/>
          <w:szCs w:val="18"/>
          <w:highlight w:val="none"/>
        </w:rPr>
        <w:t>投标人应在第九章 投标文件格式“近年完成的类似项目情况表”后附满足“附录3 资格审查条件（业绩最低要求）”规定的相关证明材料，该证明材料应是投标人已列入交通运输部“</w:t>
      </w:r>
      <w:r>
        <w:rPr>
          <w:rFonts w:hint="eastAsia" w:ascii="黑体" w:hAnsi="黑体" w:eastAsia="黑体" w:cs="黑体"/>
          <w:b/>
          <w:bCs w:val="0"/>
          <w:color w:val="000000"/>
          <w:sz w:val="18"/>
          <w:szCs w:val="18"/>
          <w:highlight w:val="none"/>
          <w:lang w:eastAsia="zh-CN"/>
        </w:rPr>
        <w:t>全国公路建设市场监督管理查询系统</w:t>
      </w:r>
      <w:r>
        <w:rPr>
          <w:rFonts w:hint="eastAsia" w:ascii="黑体" w:hAnsi="黑体" w:eastAsia="黑体" w:cs="黑体"/>
          <w:b/>
          <w:bCs w:val="0"/>
          <w:color w:val="000000"/>
          <w:sz w:val="18"/>
          <w:szCs w:val="18"/>
          <w:highlight w:val="none"/>
        </w:rPr>
        <w:t>”中公开的“业绩信息”栏中的主包已建业绩或分包已建业绩的具体项目网页截图（截图内容应包括</w:t>
      </w:r>
      <w:r>
        <w:rPr>
          <w:rFonts w:hint="eastAsia" w:ascii="黑体" w:hAnsi="黑体" w:eastAsia="黑体" w:cs="黑体"/>
          <w:b/>
          <w:bCs/>
          <w:color w:val="000000"/>
          <w:sz w:val="18"/>
          <w:szCs w:val="18"/>
          <w:highlight w:val="none"/>
        </w:rPr>
        <w:t>“项目名称”“标段类型”“合同价”“主要工程量”“项目主要管理人员”等栏目在内的项目详细信息</w:t>
      </w:r>
      <w:r>
        <w:rPr>
          <w:rFonts w:hint="eastAsia" w:ascii="黑体" w:hAnsi="黑体" w:eastAsia="黑体" w:cs="黑体"/>
          <w:b/>
          <w:bCs w:val="0"/>
          <w:color w:val="000000"/>
          <w:sz w:val="18"/>
          <w:szCs w:val="18"/>
          <w:highlight w:val="none"/>
        </w:rPr>
        <w:t>）并注明该项目省厅录入或省厅审核的序号。</w:t>
      </w:r>
    </w:p>
    <w:p w14:paraId="0F22DACC">
      <w:pPr>
        <w:wordWrap w:val="0"/>
        <w:topLinePunct/>
        <w:rPr>
          <w:rFonts w:hint="eastAsia" w:ascii="黑体" w:hAnsi="黑体" w:eastAsia="黑体" w:cs="黑体"/>
          <w:b/>
          <w:bCs w:val="0"/>
          <w:color w:val="000000"/>
          <w:sz w:val="18"/>
          <w:szCs w:val="18"/>
          <w:highlight w:val="none"/>
        </w:rPr>
      </w:pPr>
      <w:r>
        <w:rPr>
          <w:rFonts w:hint="eastAsia" w:ascii="黑体" w:hAnsi="黑体" w:eastAsia="黑体" w:cs="黑体"/>
          <w:b/>
          <w:bCs w:val="0"/>
          <w:color w:val="000000"/>
          <w:sz w:val="18"/>
          <w:szCs w:val="18"/>
          <w:highlight w:val="none"/>
        </w:rPr>
        <w:t xml:space="preserve">    </w:t>
      </w:r>
      <w:r>
        <w:rPr>
          <w:rFonts w:hint="eastAsia" w:ascii="黑体" w:hAnsi="黑体" w:eastAsia="黑体" w:cs="黑体"/>
          <w:b/>
          <w:bCs w:val="0"/>
          <w:color w:val="000000"/>
          <w:sz w:val="18"/>
          <w:szCs w:val="18"/>
          <w:highlight w:val="none"/>
          <w:lang w:val="en-US" w:eastAsia="zh-CN"/>
        </w:rPr>
        <w:t>在交通运输部“全国公路建设市场监督管理系统”中无法查询，但可在企业所在地或项目所在地省级交通运输主管部门“公路建设市场监督管理系统”中查询的，应附省级交通运输主管部门“公路建设市场监督管理系统”中查询到的网页截图复印件</w:t>
      </w:r>
      <w:r>
        <w:rPr>
          <w:rFonts w:hint="eastAsia" w:ascii="黑体" w:hAnsi="黑体" w:eastAsia="黑体" w:cs="黑体"/>
          <w:b/>
          <w:bCs w:val="0"/>
          <w:color w:val="000000"/>
          <w:sz w:val="18"/>
          <w:szCs w:val="18"/>
          <w:highlight w:val="none"/>
        </w:rPr>
        <w:t>（截图内容应包括“项目名称”“标段类型”“合同价”“主要工程量”“项目主要管理人员”等栏目在内的项目详细信息）并注明该项目省厅录入或省厅审核的序号。</w:t>
      </w:r>
    </w:p>
    <w:p w14:paraId="2D582D17">
      <w:pPr>
        <w:wordWrap w:val="0"/>
        <w:topLinePunct/>
        <w:ind w:firstLine="361" w:firstLineChars="200"/>
        <w:rPr>
          <w:rFonts w:hint="eastAsia" w:ascii="黑体" w:hAnsi="黑体" w:eastAsia="黑体" w:cs="黑体"/>
          <w:b/>
          <w:bCs w:val="0"/>
          <w:color w:val="000000"/>
          <w:sz w:val="18"/>
          <w:szCs w:val="18"/>
          <w:highlight w:val="none"/>
        </w:rPr>
      </w:pPr>
      <w:r>
        <w:rPr>
          <w:rFonts w:hint="eastAsia" w:ascii="黑体" w:hAnsi="黑体" w:eastAsia="黑体" w:cs="黑体"/>
          <w:b/>
          <w:bCs w:val="0"/>
          <w:color w:val="000000"/>
          <w:sz w:val="18"/>
          <w:szCs w:val="18"/>
          <w:highlight w:val="none"/>
          <w:lang w:val="en-US" w:eastAsia="zh-CN"/>
        </w:rPr>
        <w:t>3</w:t>
      </w:r>
      <w:r>
        <w:rPr>
          <w:rFonts w:hint="eastAsia" w:ascii="黑体" w:hAnsi="黑体" w:eastAsia="黑体" w:cs="黑体"/>
          <w:b/>
          <w:bCs w:val="0"/>
          <w:color w:val="000000"/>
          <w:sz w:val="18"/>
          <w:szCs w:val="18"/>
          <w:highlight w:val="none"/>
          <w:lang w:eastAsia="zh-CN"/>
        </w:rPr>
        <w:t>、</w:t>
      </w:r>
      <w:r>
        <w:rPr>
          <w:rFonts w:hint="eastAsia" w:ascii="黑体" w:hAnsi="黑体" w:eastAsia="黑体" w:cs="黑体"/>
          <w:b/>
          <w:bCs w:val="0"/>
          <w:color w:val="000000"/>
          <w:sz w:val="18"/>
          <w:szCs w:val="18"/>
          <w:highlight w:val="none"/>
        </w:rPr>
        <w:t>在对投标人进行施工业绩审查时，与投标人具有投资参股关系的关联企业，或具有直接管理和被管理关系的母子公司的业绩不能作为投标人的业绩；如为联合体共同施工的业绩，需提供联合体协议书或相关证明材料，证明投标人所承担的工程内容。</w:t>
      </w:r>
    </w:p>
    <w:p w14:paraId="217FF4CF">
      <w:pPr>
        <w:wordWrap w:val="0"/>
        <w:topLinePunct/>
        <w:ind w:firstLine="361" w:firstLineChars="200"/>
        <w:rPr>
          <w:rFonts w:hint="eastAsia" w:ascii="黑体" w:hAnsi="黑体" w:eastAsia="黑体" w:cs="黑体"/>
          <w:b/>
          <w:bCs w:val="0"/>
          <w:color w:val="000000"/>
          <w:sz w:val="18"/>
          <w:szCs w:val="18"/>
          <w:highlight w:val="none"/>
          <w:u w:val="none"/>
        </w:rPr>
      </w:pPr>
      <w:r>
        <w:rPr>
          <w:rFonts w:hint="eastAsia" w:ascii="黑体" w:hAnsi="黑体" w:eastAsia="黑体" w:cs="黑体"/>
          <w:b/>
          <w:bCs w:val="0"/>
          <w:color w:val="000000"/>
          <w:sz w:val="18"/>
          <w:szCs w:val="18"/>
          <w:highlight w:val="none"/>
          <w:u w:val="none"/>
          <w:lang w:val="en-US" w:eastAsia="zh-CN"/>
        </w:rPr>
        <w:t>4、</w:t>
      </w:r>
      <w:r>
        <w:rPr>
          <w:rFonts w:hint="eastAsia" w:ascii="黑体" w:hAnsi="黑体" w:eastAsia="黑体" w:cs="黑体"/>
          <w:b/>
          <w:bCs w:val="0"/>
          <w:color w:val="000000"/>
          <w:sz w:val="18"/>
          <w:szCs w:val="18"/>
          <w:highlight w:val="none"/>
          <w:u w:val="none"/>
        </w:rPr>
        <w:t>评标时，</w:t>
      </w:r>
      <w:r>
        <w:rPr>
          <w:rFonts w:hint="eastAsia" w:ascii="黑体" w:hAnsi="黑体" w:eastAsia="黑体" w:cs="黑体"/>
          <w:b/>
          <w:bCs w:val="0"/>
          <w:color w:val="000000"/>
          <w:sz w:val="18"/>
          <w:szCs w:val="18"/>
          <w:highlight w:val="none"/>
          <w:u w:val="none"/>
          <w:lang w:val="en-US" w:eastAsia="zh-CN"/>
        </w:rPr>
        <w:t>评标委员会</w:t>
      </w:r>
      <w:r>
        <w:rPr>
          <w:rFonts w:hint="eastAsia" w:ascii="黑体" w:hAnsi="黑体" w:eastAsia="黑体" w:cs="黑体"/>
          <w:b/>
          <w:bCs w:val="0"/>
          <w:color w:val="000000"/>
          <w:sz w:val="18"/>
          <w:szCs w:val="18"/>
          <w:highlight w:val="none"/>
          <w:u w:val="none"/>
        </w:rPr>
        <w:t>将对投标人提供的具体项目网页截图在“</w:t>
      </w:r>
      <w:r>
        <w:rPr>
          <w:rFonts w:hint="eastAsia" w:ascii="黑体" w:hAnsi="黑体" w:eastAsia="黑体" w:cs="黑体"/>
          <w:b/>
          <w:bCs w:val="0"/>
          <w:color w:val="000000"/>
          <w:sz w:val="18"/>
          <w:szCs w:val="18"/>
          <w:highlight w:val="none"/>
          <w:u w:val="none"/>
          <w:lang w:eastAsia="zh-CN"/>
        </w:rPr>
        <w:t>全国公路建设市场监督管理系统</w:t>
      </w:r>
      <w:r>
        <w:rPr>
          <w:rFonts w:hint="eastAsia" w:ascii="黑体" w:hAnsi="黑体" w:eastAsia="黑体" w:cs="黑体"/>
          <w:b/>
          <w:bCs w:val="0"/>
          <w:color w:val="000000"/>
          <w:sz w:val="18"/>
          <w:szCs w:val="18"/>
          <w:highlight w:val="none"/>
          <w:u w:val="none"/>
        </w:rPr>
        <w:t>”或</w:t>
      </w:r>
      <w:r>
        <w:rPr>
          <w:rFonts w:hint="eastAsia" w:ascii="黑体" w:hAnsi="黑体" w:eastAsia="黑体" w:cs="黑体"/>
          <w:b/>
          <w:bCs w:val="0"/>
          <w:color w:val="000000"/>
          <w:sz w:val="18"/>
          <w:szCs w:val="18"/>
          <w:highlight w:val="none"/>
          <w:lang w:val="en-US" w:eastAsia="zh-CN"/>
        </w:rPr>
        <w:t>企业所在地或项目所在地省级交通运输主管部门“公路建设市场监督管理系统”中</w:t>
      </w:r>
      <w:r>
        <w:rPr>
          <w:rFonts w:hint="eastAsia" w:ascii="黑体" w:hAnsi="黑体" w:eastAsia="黑体" w:cs="黑体"/>
          <w:b/>
          <w:bCs w:val="0"/>
          <w:color w:val="000000"/>
          <w:sz w:val="18"/>
          <w:szCs w:val="18"/>
          <w:highlight w:val="none"/>
          <w:u w:val="none"/>
        </w:rPr>
        <w:t>进行核实。如投标人未提供相关项目网页截图或提供的相关项目网页截图中的信息不满足上述规定，则该项业绩不予认定。</w:t>
      </w:r>
    </w:p>
    <w:p w14:paraId="0D32796A">
      <w:pPr>
        <w:wordWrap w:val="0"/>
        <w:topLinePunct/>
        <w:ind w:firstLine="361" w:firstLineChars="200"/>
        <w:rPr>
          <w:rFonts w:hint="eastAsia" w:ascii="黑体" w:hAnsi="黑体" w:eastAsia="黑体" w:cs="黑体"/>
          <w:color w:val="000000"/>
          <w:sz w:val="30"/>
          <w:szCs w:val="30"/>
          <w:highlight w:val="none"/>
        </w:rPr>
      </w:pPr>
      <w:r>
        <w:rPr>
          <w:rFonts w:hint="eastAsia" w:ascii="黑体" w:hAnsi="黑体" w:eastAsia="黑体" w:cs="黑体"/>
          <w:b/>
          <w:bCs w:val="0"/>
          <w:color w:val="000000"/>
          <w:sz w:val="18"/>
          <w:szCs w:val="18"/>
          <w:highlight w:val="none"/>
          <w:lang w:val="en-US" w:eastAsia="zh-CN"/>
        </w:rPr>
        <w:t>5、</w:t>
      </w:r>
      <w:r>
        <w:rPr>
          <w:rFonts w:hint="eastAsia" w:ascii="黑体" w:hAnsi="黑体" w:eastAsia="黑体" w:cs="黑体"/>
          <w:b/>
          <w:bCs w:val="0"/>
          <w:color w:val="000000"/>
          <w:spacing w:val="-2"/>
          <w:sz w:val="18"/>
          <w:szCs w:val="18"/>
          <w:highlight w:val="none"/>
        </w:rPr>
        <w:t>投标人网上业绩信息必须有明确的交工日期及完成的工程内容，如未填写交工日期或主要工程内容中未体现出招标文件资格审查条件（业绩最低要求）中要求的相关工程内容，则业绩不予认定。</w:t>
      </w:r>
    </w:p>
    <w:p w14:paraId="7F06F1BC">
      <w:pPr>
        <w:pStyle w:val="2"/>
        <w:shd w:val="clear" w:color="auto" w:fill="auto"/>
        <w:spacing w:before="240" w:after="240" w:line="240" w:lineRule="atLeast"/>
        <w:jc w:val="both"/>
        <w:rPr>
          <w:rFonts w:ascii="黑体" w:eastAsia="黑体"/>
          <w:color w:val="auto"/>
          <w:sz w:val="28"/>
          <w:szCs w:val="28"/>
          <w:highlight w:val="none"/>
        </w:rPr>
      </w:pPr>
    </w:p>
    <w:p w14:paraId="235F7814">
      <w:pPr>
        <w:pStyle w:val="3"/>
        <w:bidi w:val="0"/>
        <w:rPr>
          <w:rFonts w:hint="eastAsia" w:ascii="黑体" w:eastAsia="黑体"/>
          <w:color w:val="auto"/>
          <w:szCs w:val="28"/>
          <w:highlight w:val="none"/>
        </w:rPr>
      </w:pPr>
      <w:bookmarkStart w:id="24" w:name="_Toc24898"/>
      <w:r>
        <w:rPr>
          <w:highlight w:val="none"/>
        </w:rPr>
        <w:t>附录4  资格审查条件（信誉最低要求</w:t>
      </w:r>
      <w:r>
        <w:rPr>
          <w:rFonts w:hint="eastAsia"/>
          <w:highlight w:val="none"/>
        </w:rPr>
        <w:t>）</w:t>
      </w:r>
      <w:bookmarkEnd w:id="22"/>
      <w:bookmarkEnd w:id="23"/>
      <w:bookmarkEnd w:id="24"/>
    </w:p>
    <w:tbl>
      <w:tblPr>
        <w:tblStyle w:val="22"/>
        <w:tblW w:w="9237" w:type="dxa"/>
        <w:tblInd w:w="-26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0" w:type="dxa"/>
          <w:bottom w:w="0" w:type="dxa"/>
          <w:right w:w="0" w:type="dxa"/>
        </w:tblCellMar>
      </w:tblPr>
      <w:tblGrid>
        <w:gridCol w:w="9237"/>
      </w:tblGrid>
      <w:tr w14:paraId="04B778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87" w:hRule="atLeast"/>
        </w:trPr>
        <w:tc>
          <w:tcPr>
            <w:tcW w:w="9237" w:type="dxa"/>
            <w:noWrap w:val="0"/>
            <w:vAlign w:val="center"/>
          </w:tcPr>
          <w:p w14:paraId="76BDAE67">
            <w:pPr>
              <w:spacing w:line="360" w:lineRule="exact"/>
              <w:jc w:val="center"/>
              <w:rPr>
                <w:rFonts w:hint="eastAsia" w:ascii="黑体" w:hAnsi="黑体" w:eastAsia="黑体" w:cs="黑体"/>
                <w:b/>
                <w:color w:val="000000"/>
                <w:szCs w:val="21"/>
                <w:highlight w:val="none"/>
              </w:rPr>
            </w:pPr>
            <w:r>
              <w:rPr>
                <w:rFonts w:hint="eastAsia" w:ascii="黑体" w:hAnsi="黑体" w:eastAsia="黑体" w:cs="黑体"/>
                <w:b/>
                <w:color w:val="000000"/>
                <w:szCs w:val="21"/>
                <w:highlight w:val="none"/>
              </w:rPr>
              <w:t>信 誉 要 求</w:t>
            </w:r>
          </w:p>
        </w:tc>
      </w:tr>
      <w:tr w14:paraId="08437E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05" w:hRule="atLeast"/>
        </w:trPr>
        <w:tc>
          <w:tcPr>
            <w:tcW w:w="9237" w:type="dxa"/>
            <w:noWrap w:val="0"/>
            <w:vAlign w:val="center"/>
          </w:tcPr>
          <w:p w14:paraId="34E5F33A">
            <w:pPr>
              <w:spacing w:line="360" w:lineRule="exact"/>
              <w:ind w:firstLine="420" w:firstLineChars="200"/>
              <w:rPr>
                <w:rFonts w:hint="eastAsia" w:ascii="黑体" w:hAnsi="黑体" w:eastAsia="黑体" w:cs="黑体"/>
                <w:color w:val="auto"/>
                <w:highlight w:val="none"/>
              </w:rPr>
            </w:pPr>
            <w:r>
              <w:rPr>
                <w:rFonts w:hint="eastAsia" w:ascii="黑体" w:hAnsi="黑体" w:eastAsia="黑体" w:cs="黑体"/>
                <w:color w:val="auto"/>
                <w:highlight w:val="none"/>
              </w:rPr>
              <w:t>1、投标人在最近3年内，未发生过重大安全或质量事故，不存在重大合同纠纷；</w:t>
            </w:r>
          </w:p>
          <w:p w14:paraId="784A32A8">
            <w:pPr>
              <w:spacing w:line="360" w:lineRule="exact"/>
              <w:ind w:firstLine="420" w:firstLineChars="200"/>
              <w:rPr>
                <w:rFonts w:hint="eastAsia" w:ascii="黑体" w:hAnsi="黑体" w:eastAsia="黑体" w:cs="黑体"/>
                <w:color w:val="auto"/>
                <w:highlight w:val="none"/>
              </w:rPr>
            </w:pPr>
            <w:r>
              <w:rPr>
                <w:rFonts w:hint="eastAsia" w:ascii="黑体" w:hAnsi="黑体" w:eastAsia="黑体" w:cs="黑体"/>
                <w:color w:val="auto"/>
                <w:highlight w:val="none"/>
              </w:rPr>
              <w:t>2、投标人在最近3年内，未发生过骗取中标和严重违约行为；</w:t>
            </w:r>
          </w:p>
          <w:p w14:paraId="67ADCE1C">
            <w:pPr>
              <w:spacing w:line="360" w:lineRule="exact"/>
              <w:ind w:firstLine="420"/>
              <w:rPr>
                <w:rFonts w:hint="eastAsia" w:ascii="黑体" w:hAnsi="黑体" w:eastAsia="黑体" w:cs="黑体"/>
                <w:color w:val="auto"/>
                <w:highlight w:val="none"/>
              </w:rPr>
            </w:pPr>
            <w:r>
              <w:rPr>
                <w:rFonts w:hint="eastAsia" w:ascii="黑体" w:hAnsi="黑体" w:eastAsia="黑体" w:cs="黑体"/>
                <w:color w:val="auto"/>
                <w:highlight w:val="none"/>
                <w:lang w:val="en-US" w:eastAsia="zh-CN"/>
              </w:rPr>
              <w:t>3</w:t>
            </w:r>
            <w:r>
              <w:rPr>
                <w:rFonts w:hint="eastAsia" w:ascii="黑体" w:hAnsi="黑体" w:eastAsia="黑体" w:cs="黑体"/>
                <w:color w:val="auto"/>
                <w:highlight w:val="none"/>
              </w:rPr>
              <w:t>、投标人在最近3年内未因严重违约或其它原因被交运部或内蒙古自治区交通运输厅列入“黑名单”。</w:t>
            </w:r>
          </w:p>
          <w:p w14:paraId="77D87D97">
            <w:pPr>
              <w:spacing w:line="360" w:lineRule="exact"/>
              <w:ind w:firstLine="420"/>
              <w:rPr>
                <w:rFonts w:hint="eastAsia" w:ascii="黑体" w:hAnsi="黑体" w:eastAsia="黑体" w:cs="黑体"/>
                <w:color w:val="auto"/>
                <w:highlight w:val="none"/>
              </w:rPr>
            </w:pPr>
            <w:r>
              <w:rPr>
                <w:rFonts w:hint="eastAsia" w:ascii="黑体" w:hAnsi="黑体" w:eastAsia="黑体" w:cs="黑体"/>
                <w:color w:val="auto"/>
                <w:highlight w:val="none"/>
                <w:lang w:val="en-US" w:eastAsia="zh-CN"/>
              </w:rPr>
              <w:t>4</w:t>
            </w:r>
            <w:r>
              <w:rPr>
                <w:rFonts w:hint="eastAsia" w:ascii="黑体" w:hAnsi="黑体" w:eastAsia="黑体" w:cs="黑体"/>
                <w:color w:val="auto"/>
                <w:highlight w:val="none"/>
              </w:rPr>
              <w:t>、投标人在国家信息中心主办“信用中国”网站（www.creditchina.Gov.cn）查询是否有失信记录，即截止开标当日评审时未被记入失信名单。</w:t>
            </w:r>
          </w:p>
          <w:p w14:paraId="2B3D104D">
            <w:pPr>
              <w:pStyle w:val="8"/>
              <w:ind w:firstLine="420" w:firstLineChars="200"/>
              <w:rPr>
                <w:rFonts w:hint="eastAsia" w:ascii="黑体" w:hAnsi="黑体" w:eastAsia="黑体" w:cs="黑体"/>
                <w:color w:val="000000"/>
                <w:highlight w:val="none"/>
                <w:lang w:val="en-US" w:eastAsia="zh-CN"/>
              </w:rPr>
            </w:pPr>
            <w:r>
              <w:rPr>
                <w:rFonts w:hint="eastAsia" w:ascii="黑体" w:hAnsi="黑体" w:eastAsia="黑体" w:cs="黑体"/>
                <w:color w:val="auto"/>
                <w:highlight w:val="none"/>
                <w:lang w:val="en-US" w:eastAsia="zh-CN"/>
              </w:rPr>
              <w:t>5、在国家企业信用信息公示系统（http://www.gsxt.gov.cn/）中未被列入严重违法失信企业名单</w:t>
            </w:r>
            <w:r>
              <w:rPr>
                <w:rFonts w:hint="eastAsia" w:ascii="黑体" w:hAnsi="黑体" w:eastAsia="黑体" w:cs="黑体"/>
                <w:highlight w:val="none"/>
                <w:lang w:val="en-US" w:eastAsia="zh-CN"/>
              </w:rPr>
              <w:t>；</w:t>
            </w:r>
          </w:p>
        </w:tc>
      </w:tr>
    </w:tbl>
    <w:p w14:paraId="01455E92">
      <w:pPr>
        <w:snapToGrid w:val="0"/>
        <w:spacing w:line="360" w:lineRule="exact"/>
        <w:rPr>
          <w:rFonts w:eastAsia="黑体"/>
          <w:b/>
          <w:color w:val="auto"/>
          <w:sz w:val="24"/>
          <w:highlight w:val="none"/>
        </w:rPr>
      </w:pPr>
      <w:r>
        <w:rPr>
          <w:rFonts w:hint="eastAsia" w:ascii="黑体" w:hAnsi="黑体" w:eastAsia="黑体" w:cs="黑体"/>
          <w:bCs/>
          <w:color w:val="000000"/>
          <w:sz w:val="18"/>
          <w:szCs w:val="18"/>
          <w:highlight w:val="none"/>
        </w:rPr>
        <w:t>注：在《投标文件》投标人的信誉情况表及附件中反映。“信用中国”网站查询应由评标委员会在评标现场进行查询。</w:t>
      </w:r>
    </w:p>
    <w:p w14:paraId="77EA13B9">
      <w:pPr>
        <w:pStyle w:val="3"/>
        <w:bidi w:val="0"/>
        <w:rPr>
          <w:rFonts w:hint="eastAsia" w:ascii="黑体" w:eastAsia="黑体"/>
          <w:color w:val="auto"/>
          <w:szCs w:val="28"/>
          <w:highlight w:val="none"/>
        </w:rPr>
      </w:pPr>
      <w:bookmarkStart w:id="25" w:name="_Toc31883"/>
      <w:bookmarkStart w:id="26" w:name="_Toc234832867"/>
      <w:bookmarkStart w:id="27" w:name="_Toc501257057"/>
      <w:r>
        <w:rPr>
          <w:highlight w:val="none"/>
        </w:rPr>
        <w:t>附录5  资格审查条件（项目经理和项目总工最低要求</w:t>
      </w:r>
      <w:r>
        <w:rPr>
          <w:rFonts w:hint="eastAsia"/>
          <w:highlight w:val="none"/>
        </w:rPr>
        <w:t>）</w:t>
      </w:r>
      <w:bookmarkEnd w:id="25"/>
      <w:bookmarkEnd w:id="26"/>
      <w:bookmarkEnd w:id="27"/>
    </w:p>
    <w:tbl>
      <w:tblPr>
        <w:tblStyle w:val="22"/>
        <w:tblW w:w="538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0" w:type="dxa"/>
          <w:bottom w:w="0" w:type="dxa"/>
          <w:right w:w="0" w:type="dxa"/>
        </w:tblCellMar>
      </w:tblPr>
      <w:tblGrid>
        <w:gridCol w:w="1473"/>
        <w:gridCol w:w="444"/>
        <w:gridCol w:w="5831"/>
        <w:gridCol w:w="1744"/>
      </w:tblGrid>
      <w:tr w14:paraId="5D7886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73" w:hRule="atLeast"/>
          <w:jc w:val="center"/>
        </w:trPr>
        <w:tc>
          <w:tcPr>
            <w:tcW w:w="776" w:type="pct"/>
            <w:noWrap w:val="0"/>
            <w:vAlign w:val="center"/>
          </w:tcPr>
          <w:p w14:paraId="177F7A4D">
            <w:pPr>
              <w:keepNext w:val="0"/>
              <w:keepLines w:val="0"/>
              <w:pageBreakBefore w:val="0"/>
              <w:widowControl w:val="0"/>
              <w:kinsoku/>
              <w:wordWrap/>
              <w:overflowPunct/>
              <w:topLinePunct w:val="0"/>
              <w:autoSpaceDE/>
              <w:autoSpaceDN/>
              <w:bidi w:val="0"/>
              <w:adjustRightInd/>
              <w:snapToGrid/>
              <w:spacing w:line="0" w:lineRule="atLeast"/>
              <w:jc w:val="center"/>
              <w:textAlignment w:val="auto"/>
              <w:outlineLvl w:val="9"/>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人  员</w:t>
            </w:r>
          </w:p>
        </w:tc>
        <w:tc>
          <w:tcPr>
            <w:tcW w:w="234" w:type="pct"/>
            <w:noWrap w:val="0"/>
            <w:vAlign w:val="center"/>
          </w:tcPr>
          <w:p w14:paraId="0202E9C1">
            <w:pPr>
              <w:keepNext w:val="0"/>
              <w:keepLines w:val="0"/>
              <w:pageBreakBefore w:val="0"/>
              <w:widowControl w:val="0"/>
              <w:kinsoku/>
              <w:wordWrap/>
              <w:overflowPunct/>
              <w:topLinePunct w:val="0"/>
              <w:autoSpaceDE/>
              <w:autoSpaceDN/>
              <w:bidi w:val="0"/>
              <w:adjustRightInd/>
              <w:snapToGrid/>
              <w:spacing w:line="0" w:lineRule="atLeast"/>
              <w:jc w:val="both"/>
              <w:textAlignment w:val="auto"/>
              <w:outlineLvl w:val="9"/>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数量</w:t>
            </w:r>
          </w:p>
        </w:tc>
        <w:tc>
          <w:tcPr>
            <w:tcW w:w="3071" w:type="pct"/>
            <w:noWrap w:val="0"/>
            <w:vAlign w:val="center"/>
          </w:tcPr>
          <w:p w14:paraId="6B4AA0B4">
            <w:pPr>
              <w:keepNext w:val="0"/>
              <w:keepLines w:val="0"/>
              <w:pageBreakBefore w:val="0"/>
              <w:widowControl w:val="0"/>
              <w:kinsoku/>
              <w:wordWrap/>
              <w:overflowPunct/>
              <w:topLinePunct w:val="0"/>
              <w:autoSpaceDE/>
              <w:autoSpaceDN/>
              <w:bidi w:val="0"/>
              <w:adjustRightInd/>
              <w:snapToGrid/>
              <w:spacing w:line="0" w:lineRule="atLeast"/>
              <w:jc w:val="center"/>
              <w:textAlignment w:val="auto"/>
              <w:outlineLvl w:val="9"/>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资 格 要 求</w:t>
            </w:r>
          </w:p>
        </w:tc>
        <w:tc>
          <w:tcPr>
            <w:tcW w:w="918" w:type="pct"/>
            <w:noWrap w:val="0"/>
            <w:vAlign w:val="center"/>
          </w:tcPr>
          <w:p w14:paraId="1A32EA01">
            <w:pPr>
              <w:keepNext w:val="0"/>
              <w:keepLines w:val="0"/>
              <w:pageBreakBefore w:val="0"/>
              <w:widowControl w:val="0"/>
              <w:kinsoku/>
              <w:wordWrap/>
              <w:overflowPunct/>
              <w:topLinePunct w:val="0"/>
              <w:autoSpaceDE/>
              <w:autoSpaceDN/>
              <w:bidi w:val="0"/>
              <w:adjustRightInd/>
              <w:snapToGrid/>
              <w:spacing w:line="0" w:lineRule="atLeast"/>
              <w:jc w:val="center"/>
              <w:textAlignment w:val="auto"/>
              <w:outlineLvl w:val="9"/>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lang w:eastAsia="zh-CN"/>
              </w:rPr>
              <w:t>在岗要求</w:t>
            </w:r>
          </w:p>
        </w:tc>
      </w:tr>
      <w:tr w14:paraId="339E1C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2858" w:hRule="atLeast"/>
          <w:jc w:val="center"/>
        </w:trPr>
        <w:tc>
          <w:tcPr>
            <w:tcW w:w="776" w:type="pct"/>
            <w:noWrap w:val="0"/>
            <w:vAlign w:val="center"/>
          </w:tcPr>
          <w:p w14:paraId="240F0B64">
            <w:pPr>
              <w:keepNext w:val="0"/>
              <w:keepLines w:val="0"/>
              <w:pageBreakBefore w:val="0"/>
              <w:widowControl w:val="0"/>
              <w:kinsoku/>
              <w:wordWrap/>
              <w:overflowPunct/>
              <w:topLinePunct w:val="0"/>
              <w:autoSpaceDE/>
              <w:autoSpaceDN/>
              <w:bidi w:val="0"/>
              <w:adjustRightInd/>
              <w:snapToGrid/>
              <w:spacing w:line="0" w:lineRule="atLeast"/>
              <w:jc w:val="center"/>
              <w:textAlignment w:val="auto"/>
              <w:outlineLvl w:val="9"/>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项目经理</w:t>
            </w:r>
          </w:p>
        </w:tc>
        <w:tc>
          <w:tcPr>
            <w:tcW w:w="234" w:type="pct"/>
            <w:noWrap w:val="0"/>
            <w:vAlign w:val="center"/>
          </w:tcPr>
          <w:p w14:paraId="7EC9741E">
            <w:pPr>
              <w:keepNext w:val="0"/>
              <w:keepLines w:val="0"/>
              <w:pageBreakBefore w:val="0"/>
              <w:widowControl w:val="0"/>
              <w:kinsoku/>
              <w:wordWrap/>
              <w:overflowPunct/>
              <w:topLinePunct w:val="0"/>
              <w:autoSpaceDE/>
              <w:autoSpaceDN/>
              <w:bidi w:val="0"/>
              <w:adjustRightInd/>
              <w:snapToGrid/>
              <w:spacing w:line="0" w:lineRule="atLeast"/>
              <w:jc w:val="center"/>
              <w:textAlignment w:val="auto"/>
              <w:outlineLvl w:val="9"/>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1</w:t>
            </w:r>
          </w:p>
        </w:tc>
        <w:tc>
          <w:tcPr>
            <w:tcW w:w="3071" w:type="pct"/>
            <w:noWrap w:val="0"/>
            <w:vAlign w:val="center"/>
          </w:tcPr>
          <w:p w14:paraId="0650765B">
            <w:pPr>
              <w:keepNext w:val="0"/>
              <w:keepLines w:val="0"/>
              <w:pageBreakBefore w:val="0"/>
              <w:widowControl w:val="0"/>
              <w:kinsoku/>
              <w:wordWrap/>
              <w:overflowPunct/>
              <w:topLinePunct w:val="0"/>
              <w:autoSpaceDE/>
              <w:autoSpaceDN/>
              <w:bidi w:val="0"/>
              <w:adjustRightInd/>
              <w:snapToGrid/>
              <w:spacing w:line="0" w:lineRule="atLeast"/>
              <w:textAlignment w:val="auto"/>
              <w:outlineLvl w:val="9"/>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1、</w:t>
            </w:r>
            <w:r>
              <w:rPr>
                <w:rFonts w:hint="eastAsia" w:ascii="黑体" w:hAnsi="黑体" w:eastAsia="黑体" w:cs="黑体"/>
                <w:color w:val="000000"/>
                <w:sz w:val="21"/>
                <w:szCs w:val="21"/>
                <w:highlight w:val="none"/>
                <w:lang w:val="en-US" w:eastAsia="zh-CN"/>
              </w:rPr>
              <w:t>公路工程</w:t>
            </w:r>
            <w:r>
              <w:rPr>
                <w:rFonts w:hint="eastAsia" w:ascii="黑体" w:hAnsi="黑体" w:eastAsia="黑体" w:cs="黑体"/>
                <w:color w:val="000000"/>
                <w:sz w:val="21"/>
                <w:szCs w:val="21"/>
                <w:highlight w:val="none"/>
              </w:rPr>
              <w:t>相关专业工程师及以上职称（以职称证书为准）；</w:t>
            </w:r>
          </w:p>
          <w:p w14:paraId="13D229A7">
            <w:pPr>
              <w:keepNext w:val="0"/>
              <w:keepLines w:val="0"/>
              <w:pageBreakBefore w:val="0"/>
              <w:widowControl w:val="0"/>
              <w:kinsoku/>
              <w:wordWrap/>
              <w:overflowPunct/>
              <w:topLinePunct w:val="0"/>
              <w:autoSpaceDE/>
              <w:autoSpaceDN/>
              <w:bidi w:val="0"/>
              <w:adjustRightInd/>
              <w:snapToGrid/>
              <w:spacing w:line="0" w:lineRule="atLeast"/>
              <w:textAlignment w:val="auto"/>
              <w:outlineLvl w:val="9"/>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2、至少担任过一条</w:t>
            </w:r>
            <w:r>
              <w:rPr>
                <w:rFonts w:hint="eastAsia" w:ascii="黑体" w:hAnsi="黑体" w:eastAsia="黑体" w:cs="黑体"/>
                <w:color w:val="000000"/>
                <w:sz w:val="21"/>
                <w:szCs w:val="21"/>
                <w:highlight w:val="none"/>
                <w:lang w:val="en-US" w:eastAsia="zh-CN"/>
              </w:rPr>
              <w:t>三级</w:t>
            </w:r>
            <w:r>
              <w:rPr>
                <w:rFonts w:hint="eastAsia" w:ascii="黑体" w:hAnsi="黑体" w:eastAsia="黑体" w:cs="黑体"/>
                <w:color w:val="000000"/>
                <w:sz w:val="21"/>
                <w:szCs w:val="21"/>
                <w:highlight w:val="none"/>
              </w:rPr>
              <w:t>及以上公路</w:t>
            </w:r>
            <w:r>
              <w:rPr>
                <w:rFonts w:hint="eastAsia" w:ascii="黑体" w:hAnsi="黑体" w:eastAsia="黑体" w:cs="黑体"/>
                <w:color w:val="000000"/>
                <w:sz w:val="21"/>
                <w:szCs w:val="21"/>
                <w:highlight w:val="none"/>
                <w:lang w:val="en-US" w:eastAsia="zh-CN"/>
              </w:rPr>
              <w:t>工程</w:t>
            </w:r>
            <w:r>
              <w:rPr>
                <w:rFonts w:hint="eastAsia" w:ascii="黑体" w:hAnsi="黑体" w:eastAsia="黑体" w:cs="黑体"/>
                <w:color w:val="000000"/>
                <w:sz w:val="21"/>
                <w:szCs w:val="21"/>
                <w:highlight w:val="none"/>
              </w:rPr>
              <w:t>项目的项目经理职务。（以交通运输部“</w:t>
            </w:r>
            <w:r>
              <w:rPr>
                <w:rFonts w:hint="eastAsia" w:ascii="黑体" w:hAnsi="黑体" w:eastAsia="黑体" w:cs="黑体"/>
                <w:color w:val="000000"/>
                <w:sz w:val="21"/>
                <w:szCs w:val="21"/>
                <w:highlight w:val="none"/>
                <w:lang w:eastAsia="zh-CN"/>
              </w:rPr>
              <w:t>全国公路建设市场监督管理系统</w:t>
            </w:r>
            <w:r>
              <w:rPr>
                <w:rFonts w:hint="eastAsia" w:ascii="黑体" w:hAnsi="黑体" w:eastAsia="黑体" w:cs="黑体"/>
                <w:color w:val="000000"/>
                <w:sz w:val="21"/>
                <w:szCs w:val="21"/>
                <w:highlight w:val="none"/>
              </w:rPr>
              <w:t>”中载明的、能够证明项目经理具有相关业绩的网页截图为准，如交通运输部“</w:t>
            </w:r>
            <w:r>
              <w:rPr>
                <w:rFonts w:hint="eastAsia" w:ascii="黑体" w:hAnsi="黑体" w:eastAsia="黑体" w:cs="黑体"/>
                <w:color w:val="000000"/>
                <w:sz w:val="21"/>
                <w:szCs w:val="21"/>
                <w:highlight w:val="none"/>
                <w:lang w:eastAsia="zh-CN"/>
              </w:rPr>
              <w:t>全国公路建设市场监督管理系统</w:t>
            </w:r>
            <w:r>
              <w:rPr>
                <w:rFonts w:hint="eastAsia" w:ascii="黑体" w:hAnsi="黑体" w:eastAsia="黑体" w:cs="黑体"/>
                <w:color w:val="000000"/>
                <w:sz w:val="21"/>
                <w:szCs w:val="21"/>
                <w:highlight w:val="none"/>
              </w:rPr>
              <w:t>”中无法查询，</w:t>
            </w:r>
            <w:r>
              <w:rPr>
                <w:rFonts w:hint="eastAsia" w:ascii="黑体" w:hAnsi="黑体" w:eastAsia="黑体" w:cs="黑体"/>
                <w:color w:val="000000"/>
                <w:sz w:val="21"/>
                <w:szCs w:val="21"/>
                <w:highlight w:val="none"/>
                <w:lang w:val="en-US" w:eastAsia="zh-CN"/>
              </w:rPr>
              <w:t>但可在企业所在地或项目所在地省级交通运输主管部门“公路建设市场监督管理系统”中查询的</w:t>
            </w:r>
            <w:r>
              <w:rPr>
                <w:rFonts w:hint="eastAsia" w:ascii="黑体" w:hAnsi="黑体" w:eastAsia="黑体" w:cs="黑体"/>
                <w:color w:val="000000"/>
                <w:sz w:val="21"/>
                <w:szCs w:val="21"/>
                <w:highlight w:val="none"/>
              </w:rPr>
              <w:t>，以</w:t>
            </w:r>
            <w:r>
              <w:rPr>
                <w:rFonts w:hint="eastAsia" w:ascii="黑体" w:hAnsi="黑体" w:eastAsia="黑体" w:cs="黑体"/>
                <w:color w:val="000000"/>
                <w:sz w:val="21"/>
                <w:szCs w:val="21"/>
                <w:highlight w:val="none"/>
                <w:lang w:val="en-US" w:eastAsia="zh-CN"/>
              </w:rPr>
              <w:t>省级交通运输主管部门“公路建设市场监督管理系统”</w:t>
            </w:r>
            <w:r>
              <w:rPr>
                <w:rFonts w:hint="eastAsia" w:ascii="黑体" w:hAnsi="黑体" w:eastAsia="黑体" w:cs="黑体"/>
                <w:color w:val="000000"/>
                <w:sz w:val="21"/>
                <w:szCs w:val="21"/>
                <w:highlight w:val="none"/>
              </w:rPr>
              <w:t>中查询到的网页截图为准，查询无结果或无法查询或查询不符的不予认定）；</w:t>
            </w:r>
          </w:p>
          <w:p w14:paraId="46A21111">
            <w:pPr>
              <w:keepNext w:val="0"/>
              <w:keepLines w:val="0"/>
              <w:pageBreakBefore w:val="0"/>
              <w:widowControl w:val="0"/>
              <w:kinsoku/>
              <w:wordWrap/>
              <w:overflowPunct/>
              <w:topLinePunct w:val="0"/>
              <w:autoSpaceDE/>
              <w:autoSpaceDN/>
              <w:bidi w:val="0"/>
              <w:adjustRightInd/>
              <w:snapToGrid/>
              <w:spacing w:line="0" w:lineRule="atLeast"/>
              <w:textAlignment w:val="auto"/>
              <w:outlineLvl w:val="9"/>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val="en-US" w:eastAsia="zh-CN"/>
              </w:rPr>
              <w:t>3、</w:t>
            </w:r>
            <w:r>
              <w:rPr>
                <w:rFonts w:hint="eastAsia" w:ascii="黑体" w:hAnsi="黑体" w:eastAsia="黑体" w:cs="黑体"/>
                <w:color w:val="000000"/>
                <w:sz w:val="21"/>
                <w:szCs w:val="21"/>
                <w:highlight w:val="none"/>
              </w:rPr>
              <w:t>必须为本单位自有人员（以投标人出具的20</w:t>
            </w:r>
            <w:r>
              <w:rPr>
                <w:rFonts w:hint="eastAsia" w:ascii="黑体" w:hAnsi="黑体" w:eastAsia="黑体" w:cs="黑体"/>
                <w:color w:val="000000"/>
                <w:sz w:val="21"/>
                <w:szCs w:val="21"/>
                <w:highlight w:val="none"/>
                <w:lang w:val="en-US" w:eastAsia="zh-CN"/>
              </w:rPr>
              <w:t>25</w:t>
            </w:r>
            <w:r>
              <w:rPr>
                <w:rFonts w:hint="eastAsia" w:ascii="黑体" w:hAnsi="黑体" w:eastAsia="黑体" w:cs="黑体"/>
                <w:color w:val="000000"/>
                <w:sz w:val="21"/>
                <w:szCs w:val="21"/>
                <w:highlight w:val="none"/>
              </w:rPr>
              <w:t>年1月至今连续</w:t>
            </w:r>
            <w:r>
              <w:rPr>
                <w:rFonts w:hint="eastAsia" w:ascii="黑体" w:hAnsi="黑体" w:eastAsia="黑体" w:cs="黑体"/>
                <w:color w:val="000000"/>
                <w:sz w:val="21"/>
                <w:szCs w:val="21"/>
                <w:highlight w:val="none"/>
                <w:lang w:val="en-US" w:eastAsia="zh-CN"/>
              </w:rPr>
              <w:t>3</w:t>
            </w:r>
            <w:r>
              <w:rPr>
                <w:rFonts w:hint="eastAsia" w:ascii="黑体" w:hAnsi="黑体" w:eastAsia="黑体" w:cs="黑体"/>
                <w:color w:val="000000"/>
                <w:sz w:val="21"/>
                <w:szCs w:val="21"/>
                <w:highlight w:val="none"/>
              </w:rPr>
              <w:t>个月及以上的在社保系统打印的本单位人员缴费明细或其他能够证明参加社保的有效证明材料为准</w:t>
            </w:r>
            <w:r>
              <w:rPr>
                <w:rFonts w:hint="eastAsia" w:ascii="黑体" w:hAnsi="黑体" w:eastAsia="黑体" w:cs="黑体"/>
                <w:color w:val="000000"/>
                <w:sz w:val="21"/>
                <w:szCs w:val="21"/>
                <w:highlight w:val="none"/>
                <w:lang w:eastAsia="zh-CN"/>
              </w:rPr>
              <w:t>；</w:t>
            </w:r>
            <w:r>
              <w:rPr>
                <w:rFonts w:hint="eastAsia" w:ascii="黑体" w:hAnsi="黑体" w:eastAsia="黑体" w:cs="黑体"/>
                <w:color w:val="000000"/>
                <w:sz w:val="21"/>
                <w:szCs w:val="21"/>
                <w:highlight w:val="none"/>
                <w:lang w:val="en-US" w:eastAsia="zh-CN"/>
              </w:rPr>
              <w:t>如是已退休人员须提供证明文件及与本单位签订的劳动合同</w:t>
            </w:r>
            <w:r>
              <w:rPr>
                <w:rFonts w:hint="eastAsia" w:ascii="黑体" w:hAnsi="黑体" w:eastAsia="黑体" w:cs="黑体"/>
                <w:color w:val="000000"/>
                <w:sz w:val="21"/>
                <w:szCs w:val="21"/>
                <w:highlight w:val="none"/>
                <w:lang w:eastAsia="zh-CN"/>
              </w:rPr>
              <w:t>）；</w:t>
            </w:r>
          </w:p>
          <w:p w14:paraId="7E92BA3E">
            <w:pPr>
              <w:keepNext w:val="0"/>
              <w:keepLines w:val="0"/>
              <w:pageBreakBefore w:val="0"/>
              <w:widowControl w:val="0"/>
              <w:kinsoku/>
              <w:wordWrap/>
              <w:overflowPunct/>
              <w:topLinePunct w:val="0"/>
              <w:autoSpaceDE/>
              <w:autoSpaceDN/>
              <w:bidi w:val="0"/>
              <w:adjustRightInd/>
              <w:snapToGrid/>
              <w:spacing w:line="0" w:lineRule="atLeast"/>
              <w:textAlignment w:val="auto"/>
              <w:outlineLvl w:val="9"/>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lang w:val="en-US" w:eastAsia="zh-CN"/>
              </w:rPr>
              <w:t>4</w:t>
            </w:r>
            <w:r>
              <w:rPr>
                <w:rFonts w:hint="eastAsia" w:ascii="黑体" w:hAnsi="黑体" w:eastAsia="黑体" w:cs="黑体"/>
                <w:color w:val="000000"/>
                <w:sz w:val="21"/>
                <w:szCs w:val="21"/>
                <w:highlight w:val="none"/>
              </w:rPr>
              <w:t>、</w:t>
            </w:r>
            <w:r>
              <w:rPr>
                <w:rFonts w:hint="eastAsia" w:ascii="黑体" w:hAnsi="黑体" w:eastAsia="黑体" w:cs="黑体"/>
                <w:color w:val="auto"/>
                <w:sz w:val="21"/>
                <w:szCs w:val="21"/>
                <w:highlight w:val="none"/>
              </w:rPr>
              <w:t>持有公路工程专业</w:t>
            </w:r>
            <w:r>
              <w:rPr>
                <w:rFonts w:hint="eastAsia" w:ascii="黑体" w:hAnsi="黑体" w:eastAsia="黑体" w:cs="黑体"/>
                <w:color w:val="auto"/>
                <w:sz w:val="21"/>
                <w:szCs w:val="21"/>
                <w:highlight w:val="none"/>
                <w:lang w:val="en-US" w:eastAsia="zh-CN"/>
              </w:rPr>
              <w:t>二级及以上</w:t>
            </w:r>
            <w:r>
              <w:rPr>
                <w:rFonts w:hint="eastAsia" w:ascii="黑体" w:hAnsi="黑体" w:eastAsia="黑体" w:cs="黑体"/>
                <w:color w:val="auto"/>
                <w:sz w:val="21"/>
                <w:szCs w:val="21"/>
                <w:highlight w:val="none"/>
              </w:rPr>
              <w:t>建造师注册证书</w:t>
            </w:r>
            <w:r>
              <w:rPr>
                <w:rFonts w:hint="eastAsia" w:ascii="黑体" w:hAnsi="黑体" w:eastAsia="黑体" w:cs="黑体"/>
                <w:color w:val="auto"/>
                <w:sz w:val="21"/>
                <w:szCs w:val="21"/>
                <w:highlight w:val="none"/>
                <w:lang w:eastAsia="zh-CN"/>
              </w:rPr>
              <w:t>。</w:t>
            </w:r>
            <w:r>
              <w:rPr>
                <w:rFonts w:hint="eastAsia" w:ascii="黑体" w:hAnsi="黑体" w:eastAsia="黑体" w:cs="黑体"/>
                <w:color w:val="auto"/>
                <w:sz w:val="21"/>
                <w:szCs w:val="21"/>
                <w:highlight w:val="none"/>
              </w:rPr>
              <w:t>（要求建造师注册单位名称必须与投标人名称一致）；年龄6</w:t>
            </w:r>
            <w:r>
              <w:rPr>
                <w:rFonts w:hint="eastAsia" w:ascii="黑体" w:hAnsi="黑体" w:eastAsia="黑体" w:cs="黑体"/>
                <w:color w:val="auto"/>
                <w:sz w:val="21"/>
                <w:szCs w:val="21"/>
                <w:highlight w:val="none"/>
                <w:lang w:val="en-US" w:eastAsia="zh-CN"/>
              </w:rPr>
              <w:t>5周</w:t>
            </w:r>
            <w:r>
              <w:rPr>
                <w:rFonts w:hint="eastAsia" w:ascii="黑体" w:hAnsi="黑体" w:eastAsia="黑体" w:cs="黑体"/>
                <w:color w:val="auto"/>
                <w:sz w:val="21"/>
                <w:szCs w:val="21"/>
                <w:highlight w:val="none"/>
              </w:rPr>
              <w:t>岁以下。</w:t>
            </w:r>
          </w:p>
          <w:p w14:paraId="17410A11">
            <w:pPr>
              <w:keepNext w:val="0"/>
              <w:keepLines w:val="0"/>
              <w:pageBreakBefore w:val="0"/>
              <w:widowControl w:val="0"/>
              <w:kinsoku/>
              <w:wordWrap/>
              <w:overflowPunct/>
              <w:topLinePunct w:val="0"/>
              <w:autoSpaceDE/>
              <w:autoSpaceDN/>
              <w:bidi w:val="0"/>
              <w:adjustRightInd/>
              <w:snapToGrid/>
              <w:spacing w:line="0" w:lineRule="atLeast"/>
              <w:textAlignment w:val="auto"/>
              <w:outlineLvl w:val="9"/>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lang w:val="en-US" w:eastAsia="zh-CN"/>
              </w:rPr>
              <w:t>5</w:t>
            </w:r>
            <w:r>
              <w:rPr>
                <w:rFonts w:hint="eastAsia" w:ascii="黑体" w:hAnsi="黑体" w:eastAsia="黑体" w:cs="黑体"/>
                <w:color w:val="000000"/>
                <w:sz w:val="21"/>
                <w:szCs w:val="21"/>
                <w:highlight w:val="none"/>
              </w:rPr>
              <w:t>、取得省级交通运输主管部门核发的行业类别代码为G（公路工程）的B类公路水运工程施工企业主要负责人和安全生产管理人员安全生产考核合格证书，且在有效期内。</w:t>
            </w:r>
          </w:p>
        </w:tc>
        <w:tc>
          <w:tcPr>
            <w:tcW w:w="918" w:type="pct"/>
            <w:vMerge w:val="restart"/>
            <w:noWrap w:val="0"/>
            <w:vAlign w:val="center"/>
          </w:tcPr>
          <w:p w14:paraId="315CDB9D">
            <w:pPr>
              <w:keepNext w:val="0"/>
              <w:keepLines w:val="0"/>
              <w:pageBreakBefore w:val="0"/>
              <w:widowControl w:val="0"/>
              <w:kinsoku/>
              <w:wordWrap/>
              <w:overflowPunct/>
              <w:topLinePunct w:val="0"/>
              <w:autoSpaceDE/>
              <w:autoSpaceDN/>
              <w:bidi w:val="0"/>
              <w:adjustRightInd/>
              <w:snapToGrid/>
              <w:spacing w:line="0" w:lineRule="atLeast"/>
              <w:textAlignment w:val="auto"/>
              <w:outlineLvl w:val="9"/>
              <w:rPr>
                <w:rFonts w:hint="eastAsia" w:ascii="黑体" w:hAnsi="黑体" w:eastAsia="黑体" w:cs="黑体"/>
                <w:b/>
                <w:color w:val="000000"/>
                <w:sz w:val="21"/>
                <w:szCs w:val="21"/>
                <w:highlight w:val="none"/>
                <w:u w:val="single"/>
                <w:lang w:eastAsia="zh-CN"/>
              </w:rPr>
            </w:pPr>
            <w:r>
              <w:rPr>
                <w:rFonts w:hint="eastAsia" w:ascii="黑体" w:hAnsi="黑体" w:eastAsia="黑体" w:cs="黑体"/>
                <w:b w:val="0"/>
                <w:bCs/>
                <w:color w:val="000000"/>
                <w:sz w:val="21"/>
                <w:szCs w:val="21"/>
                <w:highlight w:val="none"/>
                <w:u w:val="single"/>
              </w:rPr>
              <w:t>无在岗项目（指目前未在其他项目上任职，或虽在其他项目上任职但本项目中标后能够从该项目撤离）</w:t>
            </w:r>
            <w:r>
              <w:rPr>
                <w:rFonts w:hint="eastAsia" w:ascii="黑体" w:hAnsi="黑体" w:eastAsia="黑体" w:cs="黑体"/>
                <w:b w:val="0"/>
                <w:bCs/>
                <w:color w:val="000000"/>
                <w:sz w:val="21"/>
                <w:szCs w:val="21"/>
                <w:highlight w:val="none"/>
                <w:u w:val="single"/>
                <w:lang w:eastAsia="zh-CN"/>
              </w:rPr>
              <w:t>。</w:t>
            </w:r>
          </w:p>
        </w:tc>
      </w:tr>
      <w:tr w14:paraId="2D688D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30" w:hRule="atLeast"/>
          <w:jc w:val="center"/>
        </w:trPr>
        <w:tc>
          <w:tcPr>
            <w:tcW w:w="776" w:type="pct"/>
            <w:noWrap w:val="0"/>
            <w:vAlign w:val="center"/>
          </w:tcPr>
          <w:p w14:paraId="2F6C6C2E">
            <w:pPr>
              <w:keepNext w:val="0"/>
              <w:keepLines w:val="0"/>
              <w:pageBreakBefore w:val="0"/>
              <w:widowControl w:val="0"/>
              <w:kinsoku/>
              <w:wordWrap/>
              <w:overflowPunct/>
              <w:topLinePunct w:val="0"/>
              <w:autoSpaceDE/>
              <w:autoSpaceDN/>
              <w:bidi w:val="0"/>
              <w:adjustRightInd/>
              <w:snapToGrid/>
              <w:spacing w:line="0" w:lineRule="atLeast"/>
              <w:jc w:val="center"/>
              <w:textAlignment w:val="auto"/>
              <w:outlineLvl w:val="9"/>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项目总工</w:t>
            </w:r>
            <w:r>
              <w:rPr>
                <w:rFonts w:hint="eastAsia" w:ascii="黑体" w:hAnsi="黑体" w:eastAsia="黑体" w:cs="黑体"/>
                <w:color w:val="000000"/>
                <w:sz w:val="21"/>
                <w:szCs w:val="21"/>
                <w:highlight w:val="none"/>
                <w:lang w:val="en-US" w:eastAsia="zh-CN"/>
              </w:rPr>
              <w:t xml:space="preserve">    </w:t>
            </w:r>
            <w:r>
              <w:rPr>
                <w:rFonts w:hint="eastAsia" w:ascii="黑体" w:hAnsi="黑体" w:eastAsia="黑体" w:cs="黑体"/>
                <w:color w:val="000000"/>
                <w:sz w:val="21"/>
                <w:szCs w:val="21"/>
                <w:highlight w:val="none"/>
              </w:rPr>
              <w:t>（技术负责人）</w:t>
            </w:r>
          </w:p>
        </w:tc>
        <w:tc>
          <w:tcPr>
            <w:tcW w:w="234" w:type="pct"/>
            <w:noWrap w:val="0"/>
            <w:vAlign w:val="center"/>
          </w:tcPr>
          <w:p w14:paraId="2E74F269">
            <w:pPr>
              <w:keepNext w:val="0"/>
              <w:keepLines w:val="0"/>
              <w:pageBreakBefore w:val="0"/>
              <w:widowControl w:val="0"/>
              <w:kinsoku/>
              <w:wordWrap/>
              <w:overflowPunct/>
              <w:topLinePunct w:val="0"/>
              <w:autoSpaceDE/>
              <w:autoSpaceDN/>
              <w:bidi w:val="0"/>
              <w:adjustRightInd/>
              <w:snapToGrid/>
              <w:spacing w:line="0" w:lineRule="atLeast"/>
              <w:jc w:val="center"/>
              <w:textAlignment w:val="auto"/>
              <w:outlineLvl w:val="9"/>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1</w:t>
            </w:r>
          </w:p>
        </w:tc>
        <w:tc>
          <w:tcPr>
            <w:tcW w:w="3071" w:type="pct"/>
            <w:noWrap w:val="0"/>
            <w:vAlign w:val="center"/>
          </w:tcPr>
          <w:p w14:paraId="6410889F">
            <w:pPr>
              <w:keepNext w:val="0"/>
              <w:keepLines w:val="0"/>
              <w:pageBreakBefore w:val="0"/>
              <w:widowControl w:val="0"/>
              <w:kinsoku/>
              <w:wordWrap/>
              <w:overflowPunct/>
              <w:topLinePunct w:val="0"/>
              <w:autoSpaceDE/>
              <w:autoSpaceDN/>
              <w:bidi w:val="0"/>
              <w:adjustRightInd/>
              <w:snapToGrid/>
              <w:spacing w:line="0" w:lineRule="atLeast"/>
              <w:textAlignment w:val="auto"/>
              <w:outlineLvl w:val="9"/>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1、</w:t>
            </w:r>
            <w:r>
              <w:rPr>
                <w:rFonts w:hint="eastAsia" w:ascii="黑体" w:hAnsi="黑体" w:eastAsia="黑体" w:cs="黑体"/>
                <w:color w:val="000000"/>
                <w:sz w:val="21"/>
                <w:szCs w:val="21"/>
                <w:highlight w:val="none"/>
                <w:lang w:val="en-US" w:eastAsia="zh-CN"/>
              </w:rPr>
              <w:t>公路工程</w:t>
            </w:r>
            <w:r>
              <w:rPr>
                <w:rFonts w:hint="eastAsia" w:ascii="黑体" w:hAnsi="黑体" w:eastAsia="黑体" w:cs="黑体"/>
                <w:color w:val="000000"/>
                <w:sz w:val="21"/>
                <w:szCs w:val="21"/>
                <w:highlight w:val="none"/>
              </w:rPr>
              <w:t>相关专业工程师及以上职称（以职称证书为准）；</w:t>
            </w:r>
          </w:p>
          <w:p w14:paraId="41DCF913">
            <w:pPr>
              <w:keepNext w:val="0"/>
              <w:keepLines w:val="0"/>
              <w:pageBreakBefore w:val="0"/>
              <w:widowControl w:val="0"/>
              <w:kinsoku/>
              <w:wordWrap/>
              <w:overflowPunct/>
              <w:topLinePunct w:val="0"/>
              <w:autoSpaceDE/>
              <w:autoSpaceDN/>
              <w:bidi w:val="0"/>
              <w:adjustRightInd/>
              <w:snapToGrid/>
              <w:spacing w:line="0" w:lineRule="atLeast"/>
              <w:textAlignment w:val="auto"/>
              <w:outlineLvl w:val="9"/>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2、至少担任过一条</w:t>
            </w:r>
            <w:r>
              <w:rPr>
                <w:rFonts w:hint="eastAsia" w:ascii="黑体" w:hAnsi="黑体" w:eastAsia="黑体" w:cs="黑体"/>
                <w:color w:val="000000"/>
                <w:sz w:val="21"/>
                <w:szCs w:val="21"/>
                <w:highlight w:val="none"/>
                <w:lang w:val="en-US" w:eastAsia="zh-CN"/>
              </w:rPr>
              <w:t>三级</w:t>
            </w:r>
            <w:r>
              <w:rPr>
                <w:rFonts w:hint="eastAsia" w:ascii="黑体" w:hAnsi="黑体" w:eastAsia="黑体" w:cs="黑体"/>
                <w:color w:val="000000"/>
                <w:sz w:val="21"/>
                <w:szCs w:val="21"/>
                <w:highlight w:val="none"/>
              </w:rPr>
              <w:t>及以上公路</w:t>
            </w:r>
            <w:r>
              <w:rPr>
                <w:rFonts w:hint="eastAsia" w:ascii="黑体" w:hAnsi="黑体" w:eastAsia="黑体" w:cs="黑体"/>
                <w:color w:val="000000"/>
                <w:sz w:val="21"/>
                <w:szCs w:val="21"/>
                <w:highlight w:val="none"/>
                <w:lang w:val="en-US" w:eastAsia="zh-CN"/>
              </w:rPr>
              <w:t>工程</w:t>
            </w:r>
            <w:r>
              <w:rPr>
                <w:rFonts w:hint="eastAsia" w:ascii="黑体" w:hAnsi="黑体" w:eastAsia="黑体" w:cs="黑体"/>
                <w:color w:val="000000"/>
                <w:sz w:val="21"/>
                <w:szCs w:val="21"/>
                <w:highlight w:val="none"/>
              </w:rPr>
              <w:t>项目的项目总工职务</w:t>
            </w:r>
            <w:r>
              <w:rPr>
                <w:rFonts w:hint="eastAsia" w:ascii="黑体" w:hAnsi="黑体" w:eastAsia="黑体" w:cs="黑体"/>
                <w:color w:val="000000"/>
                <w:sz w:val="21"/>
                <w:szCs w:val="21"/>
                <w:highlight w:val="none"/>
                <w:lang w:eastAsia="zh-CN"/>
              </w:rPr>
              <w:t>。</w:t>
            </w:r>
            <w:r>
              <w:rPr>
                <w:rFonts w:hint="eastAsia" w:ascii="黑体" w:hAnsi="黑体" w:eastAsia="黑体" w:cs="黑体"/>
                <w:color w:val="000000"/>
                <w:sz w:val="21"/>
                <w:szCs w:val="21"/>
                <w:highlight w:val="none"/>
              </w:rPr>
              <w:t>（以交通运输部“</w:t>
            </w:r>
            <w:r>
              <w:rPr>
                <w:rFonts w:hint="eastAsia" w:ascii="黑体" w:hAnsi="黑体" w:eastAsia="黑体" w:cs="黑体"/>
                <w:color w:val="000000"/>
                <w:sz w:val="21"/>
                <w:szCs w:val="21"/>
                <w:highlight w:val="none"/>
                <w:lang w:eastAsia="zh-CN"/>
              </w:rPr>
              <w:t>全国公路建设市场监督管理系统</w:t>
            </w:r>
            <w:r>
              <w:rPr>
                <w:rFonts w:hint="eastAsia" w:ascii="黑体" w:hAnsi="黑体" w:eastAsia="黑体" w:cs="黑体"/>
                <w:color w:val="000000"/>
                <w:sz w:val="21"/>
                <w:szCs w:val="21"/>
                <w:highlight w:val="none"/>
              </w:rPr>
              <w:t>”中载明的、能够证明项目总工具有相关业绩的网页截图为准，如交通运输部“</w:t>
            </w:r>
            <w:r>
              <w:rPr>
                <w:rFonts w:hint="eastAsia" w:ascii="黑体" w:hAnsi="黑体" w:eastAsia="黑体" w:cs="黑体"/>
                <w:color w:val="000000"/>
                <w:sz w:val="21"/>
                <w:szCs w:val="21"/>
                <w:highlight w:val="none"/>
                <w:lang w:eastAsia="zh-CN"/>
              </w:rPr>
              <w:t>全国公路建设市场监督管理系统</w:t>
            </w:r>
            <w:r>
              <w:rPr>
                <w:rFonts w:hint="eastAsia" w:ascii="黑体" w:hAnsi="黑体" w:eastAsia="黑体" w:cs="黑体"/>
                <w:color w:val="000000"/>
                <w:sz w:val="21"/>
                <w:szCs w:val="21"/>
                <w:highlight w:val="none"/>
              </w:rPr>
              <w:t>”中无法查询，</w:t>
            </w:r>
            <w:r>
              <w:rPr>
                <w:rFonts w:hint="eastAsia" w:ascii="黑体" w:hAnsi="黑体" w:eastAsia="黑体" w:cs="黑体"/>
                <w:color w:val="000000"/>
                <w:sz w:val="21"/>
                <w:szCs w:val="21"/>
                <w:highlight w:val="none"/>
                <w:lang w:val="en-US" w:eastAsia="zh-CN"/>
              </w:rPr>
              <w:t>但可在企业所在地或项目所在地省级交通运输主管部门“公路建设市场监督管理系统”中查询的</w:t>
            </w:r>
            <w:r>
              <w:rPr>
                <w:rFonts w:hint="eastAsia" w:ascii="黑体" w:hAnsi="黑体" w:eastAsia="黑体" w:cs="黑体"/>
                <w:color w:val="000000"/>
                <w:sz w:val="21"/>
                <w:szCs w:val="21"/>
                <w:highlight w:val="none"/>
              </w:rPr>
              <w:t>，以</w:t>
            </w:r>
            <w:r>
              <w:rPr>
                <w:rFonts w:hint="eastAsia" w:ascii="黑体" w:hAnsi="黑体" w:eastAsia="黑体" w:cs="黑体"/>
                <w:color w:val="000000"/>
                <w:sz w:val="21"/>
                <w:szCs w:val="21"/>
                <w:highlight w:val="none"/>
                <w:lang w:val="en-US" w:eastAsia="zh-CN"/>
              </w:rPr>
              <w:t>省级交通运输主管部门“公路建设市场监督管理系统”</w:t>
            </w:r>
            <w:r>
              <w:rPr>
                <w:rFonts w:hint="eastAsia" w:ascii="黑体" w:hAnsi="黑体" w:eastAsia="黑体" w:cs="黑体"/>
                <w:color w:val="000000"/>
                <w:sz w:val="21"/>
                <w:szCs w:val="21"/>
                <w:highlight w:val="none"/>
              </w:rPr>
              <w:t>中查询到的网页截图为准，查询无结果或无法查询或查询不符的不予认定）；</w:t>
            </w:r>
          </w:p>
          <w:p w14:paraId="28D424C9">
            <w:pPr>
              <w:keepNext w:val="0"/>
              <w:keepLines w:val="0"/>
              <w:pageBreakBefore w:val="0"/>
              <w:widowControl w:val="0"/>
              <w:kinsoku/>
              <w:wordWrap/>
              <w:overflowPunct/>
              <w:topLinePunct w:val="0"/>
              <w:autoSpaceDE/>
              <w:autoSpaceDN/>
              <w:bidi w:val="0"/>
              <w:adjustRightInd/>
              <w:snapToGrid/>
              <w:spacing w:line="0" w:lineRule="atLeast"/>
              <w:textAlignment w:val="auto"/>
              <w:outlineLvl w:val="9"/>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lang w:val="en-US" w:eastAsia="zh-CN"/>
              </w:rPr>
              <w:t>3、</w:t>
            </w:r>
            <w:r>
              <w:rPr>
                <w:rFonts w:hint="eastAsia" w:ascii="黑体" w:hAnsi="黑体" w:eastAsia="黑体" w:cs="黑体"/>
                <w:color w:val="000000"/>
                <w:sz w:val="21"/>
                <w:szCs w:val="21"/>
                <w:highlight w:val="none"/>
              </w:rPr>
              <w:t>必须为本单位自有人员（以投标人出具的202</w:t>
            </w:r>
            <w:r>
              <w:rPr>
                <w:rFonts w:hint="eastAsia" w:ascii="黑体" w:hAnsi="黑体" w:eastAsia="黑体" w:cs="黑体"/>
                <w:color w:val="000000"/>
                <w:sz w:val="21"/>
                <w:szCs w:val="21"/>
                <w:highlight w:val="none"/>
                <w:lang w:val="en-US" w:eastAsia="zh-CN"/>
              </w:rPr>
              <w:t>5</w:t>
            </w:r>
            <w:r>
              <w:rPr>
                <w:rFonts w:hint="eastAsia" w:ascii="黑体" w:hAnsi="黑体" w:eastAsia="黑体" w:cs="黑体"/>
                <w:color w:val="000000"/>
                <w:sz w:val="21"/>
                <w:szCs w:val="21"/>
                <w:highlight w:val="none"/>
              </w:rPr>
              <w:t>年1月至今连续 3个月及以上的在社保系统打印的本单位人员缴费明细或其他能够证明参加社保的有效证明材料为准</w:t>
            </w:r>
            <w:r>
              <w:rPr>
                <w:rFonts w:hint="eastAsia" w:ascii="黑体" w:hAnsi="黑体" w:eastAsia="黑体" w:cs="黑体"/>
                <w:color w:val="000000"/>
                <w:sz w:val="21"/>
                <w:szCs w:val="21"/>
                <w:highlight w:val="none"/>
                <w:lang w:eastAsia="zh-CN"/>
              </w:rPr>
              <w:t>；</w:t>
            </w:r>
            <w:r>
              <w:rPr>
                <w:rFonts w:hint="eastAsia" w:ascii="黑体" w:hAnsi="黑体" w:eastAsia="黑体" w:cs="黑体"/>
                <w:color w:val="000000"/>
                <w:sz w:val="21"/>
                <w:szCs w:val="21"/>
                <w:highlight w:val="none"/>
                <w:lang w:val="en-US" w:eastAsia="zh-CN"/>
              </w:rPr>
              <w:t>如是已退休人员须提供证明文件及与本单位签订的劳动合同</w:t>
            </w:r>
            <w:r>
              <w:rPr>
                <w:rFonts w:hint="eastAsia" w:ascii="黑体" w:hAnsi="黑体" w:eastAsia="黑体" w:cs="黑体"/>
                <w:color w:val="000000"/>
                <w:sz w:val="21"/>
                <w:szCs w:val="21"/>
                <w:highlight w:val="none"/>
              </w:rPr>
              <w:t>）；</w:t>
            </w:r>
          </w:p>
        </w:tc>
        <w:tc>
          <w:tcPr>
            <w:tcW w:w="918" w:type="pct"/>
            <w:vMerge w:val="continue"/>
            <w:noWrap w:val="0"/>
            <w:vAlign w:val="center"/>
          </w:tcPr>
          <w:p w14:paraId="49AF8D37">
            <w:pPr>
              <w:keepNext w:val="0"/>
              <w:keepLines w:val="0"/>
              <w:pageBreakBefore w:val="0"/>
              <w:widowControl w:val="0"/>
              <w:kinsoku/>
              <w:wordWrap/>
              <w:overflowPunct/>
              <w:topLinePunct w:val="0"/>
              <w:autoSpaceDE/>
              <w:autoSpaceDN/>
              <w:bidi w:val="0"/>
              <w:adjustRightInd/>
              <w:snapToGrid/>
              <w:spacing w:line="0" w:lineRule="atLeast"/>
              <w:textAlignment w:val="auto"/>
              <w:outlineLvl w:val="9"/>
              <w:rPr>
                <w:rFonts w:hint="eastAsia" w:ascii="黑体" w:hAnsi="黑体" w:eastAsia="黑体" w:cs="黑体"/>
                <w:b/>
                <w:color w:val="000000"/>
                <w:sz w:val="21"/>
                <w:szCs w:val="21"/>
                <w:highlight w:val="none"/>
                <w:u w:val="single"/>
              </w:rPr>
            </w:pPr>
          </w:p>
        </w:tc>
      </w:tr>
    </w:tbl>
    <w:p w14:paraId="46F9BFB4">
      <w:pPr>
        <w:shd w:val="clear" w:color="auto" w:fill="auto"/>
        <w:adjustRightInd w:val="0"/>
        <w:snapToGrid w:val="0"/>
        <w:spacing w:line="240" w:lineRule="exact"/>
        <w:rPr>
          <w:rFonts w:eastAsia="隶书"/>
          <w:b/>
          <w:bCs/>
          <w:color w:val="auto"/>
          <w:sz w:val="32"/>
          <w:szCs w:val="32"/>
          <w:highlight w:val="none"/>
        </w:rPr>
      </w:pPr>
    </w:p>
    <w:p w14:paraId="55B1E355">
      <w:pPr>
        <w:snapToGrid w:val="0"/>
        <w:spacing w:line="276" w:lineRule="auto"/>
        <w:rPr>
          <w:rFonts w:hint="eastAsia" w:ascii="黑体" w:hAnsi="黑体" w:eastAsia="黑体" w:cs="黑体"/>
          <w:b w:val="0"/>
          <w:bCs/>
          <w:sz w:val="18"/>
          <w:szCs w:val="18"/>
          <w:highlight w:val="none"/>
        </w:rPr>
      </w:pPr>
      <w:r>
        <w:rPr>
          <w:rFonts w:hint="eastAsia" w:ascii="黑体" w:hAnsi="黑体" w:eastAsia="黑体" w:cs="黑体"/>
          <w:b w:val="0"/>
          <w:bCs/>
          <w:sz w:val="18"/>
          <w:szCs w:val="18"/>
          <w:highlight w:val="none"/>
        </w:rPr>
        <w:t>注：1</w:t>
      </w:r>
      <w:r>
        <w:rPr>
          <w:rFonts w:hint="eastAsia" w:ascii="黑体" w:hAnsi="黑体" w:eastAsia="黑体" w:cs="黑体"/>
          <w:b w:val="0"/>
          <w:bCs/>
          <w:sz w:val="18"/>
          <w:szCs w:val="18"/>
          <w:highlight w:val="none"/>
          <w:lang w:eastAsia="zh-CN"/>
        </w:rPr>
        <w:t>、</w:t>
      </w:r>
      <w:r>
        <w:rPr>
          <w:rFonts w:hint="eastAsia" w:ascii="黑体" w:hAnsi="黑体" w:eastAsia="黑体" w:cs="黑体"/>
          <w:b w:val="0"/>
          <w:bCs/>
          <w:sz w:val="18"/>
          <w:szCs w:val="18"/>
          <w:highlight w:val="none"/>
        </w:rPr>
        <w:t>在《投标文件》拟委任的项目经理和项目总工资历表及附件中反映。</w:t>
      </w:r>
    </w:p>
    <w:p w14:paraId="041DEC84">
      <w:pPr>
        <w:snapToGrid w:val="0"/>
        <w:spacing w:line="276" w:lineRule="auto"/>
        <w:ind w:firstLine="360" w:firstLineChars="200"/>
        <w:rPr>
          <w:rFonts w:hint="eastAsia" w:ascii="黑体" w:hAnsi="黑体" w:eastAsia="黑体" w:cs="黑体"/>
          <w:b w:val="0"/>
          <w:bCs/>
          <w:sz w:val="18"/>
          <w:szCs w:val="18"/>
          <w:highlight w:val="none"/>
        </w:rPr>
      </w:pPr>
      <w:r>
        <w:rPr>
          <w:rFonts w:hint="eastAsia" w:ascii="黑体" w:hAnsi="黑体" w:eastAsia="黑体" w:cs="黑体"/>
          <w:b w:val="0"/>
          <w:bCs/>
          <w:sz w:val="18"/>
          <w:szCs w:val="18"/>
          <w:highlight w:val="none"/>
          <w:lang w:val="en-US" w:eastAsia="zh-CN"/>
        </w:rPr>
        <w:t>2</w:t>
      </w:r>
      <w:r>
        <w:rPr>
          <w:rFonts w:hint="eastAsia" w:ascii="黑体" w:hAnsi="黑体" w:eastAsia="黑体" w:cs="黑体"/>
          <w:b w:val="0"/>
          <w:bCs/>
          <w:sz w:val="18"/>
          <w:szCs w:val="18"/>
          <w:highlight w:val="none"/>
        </w:rPr>
        <w:t>、投标人拟投入的人员必须是本单位自有人员，且在本单位进行岗位登记；若投标人中标，按本表要求填报的项目经理、项目总工不得改换；</w:t>
      </w:r>
    </w:p>
    <w:p w14:paraId="6DBC9C60">
      <w:pPr>
        <w:snapToGrid w:val="0"/>
        <w:ind w:firstLine="352" w:firstLineChars="196"/>
        <w:rPr>
          <w:rFonts w:hint="eastAsia" w:ascii="黑体" w:hAnsi="黑体" w:eastAsia="黑体" w:cs="黑体"/>
          <w:b/>
          <w:bCs w:val="0"/>
          <w:sz w:val="18"/>
          <w:szCs w:val="18"/>
          <w:highlight w:val="none"/>
          <w:lang w:val="en-US" w:eastAsia="zh-CN"/>
        </w:rPr>
      </w:pPr>
      <w:r>
        <w:rPr>
          <w:rFonts w:hint="eastAsia" w:ascii="黑体" w:hAnsi="黑体" w:eastAsia="黑体" w:cs="黑体"/>
          <w:b w:val="0"/>
          <w:bCs/>
          <w:sz w:val="18"/>
          <w:szCs w:val="18"/>
          <w:highlight w:val="none"/>
          <w:lang w:val="en-US" w:eastAsia="zh-CN"/>
        </w:rPr>
        <w:t>3</w:t>
      </w:r>
      <w:r>
        <w:rPr>
          <w:rFonts w:hint="eastAsia" w:ascii="黑体" w:hAnsi="黑体" w:eastAsia="黑体" w:cs="黑体"/>
          <w:b/>
          <w:bCs w:val="0"/>
          <w:sz w:val="18"/>
          <w:szCs w:val="18"/>
          <w:highlight w:val="none"/>
        </w:rPr>
        <w:t>、安全生产考核合格证书还应提供</w:t>
      </w:r>
      <w:r>
        <w:rPr>
          <w:rFonts w:hint="eastAsia" w:ascii="黑体" w:hAnsi="黑体" w:eastAsia="黑体" w:cs="黑体"/>
          <w:b/>
          <w:bCs w:val="0"/>
          <w:sz w:val="18"/>
          <w:szCs w:val="18"/>
          <w:highlight w:val="none"/>
          <w:lang w:val="en-US" w:eastAsia="zh-CN"/>
        </w:rPr>
        <w:t>在“交通运输部公路水运工程施工企业安全生产管理人员信息公共查询平台”或“省级《交通运输工程施工单位安管人员安全生产考核管理系统信息公共查询平台》”中查询的网页截图及查询路径；</w:t>
      </w:r>
    </w:p>
    <w:p w14:paraId="27AE26D8">
      <w:pPr>
        <w:snapToGrid w:val="0"/>
        <w:ind w:firstLine="352" w:firstLineChars="196"/>
        <w:rPr>
          <w:rFonts w:hint="eastAsia" w:ascii="黑体" w:hAnsi="黑体" w:eastAsia="黑体" w:cs="黑体"/>
          <w:b w:val="0"/>
          <w:bCs/>
          <w:sz w:val="18"/>
          <w:szCs w:val="18"/>
          <w:highlight w:val="none"/>
        </w:rPr>
      </w:pPr>
      <w:r>
        <w:rPr>
          <w:rFonts w:hint="eastAsia" w:ascii="黑体" w:hAnsi="黑体" w:eastAsia="黑体" w:cs="黑体"/>
          <w:b w:val="0"/>
          <w:bCs/>
          <w:sz w:val="18"/>
          <w:szCs w:val="18"/>
          <w:highlight w:val="none"/>
          <w:lang w:val="en-US" w:eastAsia="zh-CN"/>
        </w:rPr>
        <w:t>4</w:t>
      </w:r>
      <w:r>
        <w:rPr>
          <w:rFonts w:hint="eastAsia" w:ascii="黑体" w:hAnsi="黑体" w:eastAsia="黑体" w:cs="黑体"/>
          <w:b w:val="0"/>
          <w:bCs/>
          <w:sz w:val="18"/>
          <w:szCs w:val="18"/>
          <w:highlight w:val="none"/>
        </w:rPr>
        <w:t>、投标人所提供的社保缴费证明或其他社保有效证明材料所体现参加社保时间应</w:t>
      </w:r>
      <w:r>
        <w:rPr>
          <w:rFonts w:hint="eastAsia" w:ascii="黑体" w:hAnsi="黑体" w:eastAsia="黑体" w:cs="黑体"/>
          <w:b w:val="0"/>
          <w:bCs/>
          <w:sz w:val="18"/>
          <w:szCs w:val="18"/>
          <w:highlight w:val="none"/>
          <w:lang w:val="en-US" w:eastAsia="zh-CN"/>
        </w:rPr>
        <w:t>为2025</w:t>
      </w:r>
      <w:r>
        <w:rPr>
          <w:rFonts w:hint="eastAsia" w:ascii="黑体" w:hAnsi="黑体" w:eastAsia="黑体" w:cs="黑体"/>
          <w:b w:val="0"/>
          <w:bCs/>
          <w:sz w:val="18"/>
          <w:szCs w:val="18"/>
          <w:highlight w:val="none"/>
        </w:rPr>
        <w:t>年1月至今连续3个月及以上；</w:t>
      </w:r>
    </w:p>
    <w:p w14:paraId="04326E33">
      <w:pPr>
        <w:snapToGrid w:val="0"/>
        <w:spacing w:line="276" w:lineRule="auto"/>
        <w:ind w:firstLine="352" w:firstLineChars="196"/>
        <w:rPr>
          <w:rFonts w:hint="eastAsia" w:ascii="黑体" w:hAnsi="黑体" w:eastAsia="黑体" w:cs="黑体"/>
          <w:b w:val="0"/>
          <w:bCs/>
          <w:sz w:val="18"/>
          <w:szCs w:val="18"/>
          <w:highlight w:val="none"/>
        </w:rPr>
      </w:pPr>
      <w:r>
        <w:rPr>
          <w:rFonts w:hint="eastAsia" w:ascii="黑体" w:hAnsi="黑体" w:eastAsia="黑体" w:cs="黑体"/>
          <w:b w:val="0"/>
          <w:bCs/>
          <w:sz w:val="18"/>
          <w:szCs w:val="18"/>
          <w:highlight w:val="none"/>
          <w:lang w:val="en-US" w:eastAsia="zh-CN"/>
        </w:rPr>
        <w:t>5</w:t>
      </w:r>
      <w:r>
        <w:rPr>
          <w:rFonts w:hint="eastAsia" w:ascii="黑体" w:hAnsi="黑体" w:eastAsia="黑体" w:cs="黑体"/>
          <w:b w:val="0"/>
          <w:bCs/>
          <w:sz w:val="18"/>
          <w:szCs w:val="18"/>
          <w:highlight w:val="none"/>
        </w:rPr>
        <w:t>、投标人应提供交通运输部“</w:t>
      </w:r>
      <w:r>
        <w:rPr>
          <w:rFonts w:hint="eastAsia" w:ascii="黑体" w:hAnsi="黑体" w:eastAsia="黑体" w:cs="黑体"/>
          <w:b w:val="0"/>
          <w:bCs/>
          <w:sz w:val="18"/>
          <w:szCs w:val="18"/>
          <w:highlight w:val="none"/>
          <w:lang w:eastAsia="zh-CN"/>
        </w:rPr>
        <w:t>全国公路建设市场监督管理查询系统</w:t>
      </w:r>
      <w:r>
        <w:rPr>
          <w:rFonts w:hint="eastAsia" w:ascii="黑体" w:hAnsi="黑体" w:eastAsia="黑体" w:cs="黑体"/>
          <w:b w:val="0"/>
          <w:bCs/>
          <w:sz w:val="18"/>
          <w:szCs w:val="18"/>
          <w:highlight w:val="none"/>
        </w:rPr>
        <w:t>”中载明的、能够证明项目经理和项目总工具有相关业绩的网页截图复印件。在交通运输部“</w:t>
      </w:r>
      <w:r>
        <w:rPr>
          <w:rFonts w:hint="eastAsia" w:ascii="黑体" w:hAnsi="黑体" w:eastAsia="黑体" w:cs="黑体"/>
          <w:b w:val="0"/>
          <w:bCs/>
          <w:sz w:val="18"/>
          <w:szCs w:val="18"/>
          <w:highlight w:val="none"/>
          <w:lang w:eastAsia="zh-CN"/>
        </w:rPr>
        <w:t>全国公路建设市场监督管理查询系统</w:t>
      </w:r>
      <w:r>
        <w:rPr>
          <w:rFonts w:hint="eastAsia" w:ascii="黑体" w:hAnsi="黑体" w:eastAsia="黑体" w:cs="黑体"/>
          <w:b w:val="0"/>
          <w:bCs/>
          <w:sz w:val="18"/>
          <w:szCs w:val="18"/>
          <w:highlight w:val="none"/>
        </w:rPr>
        <w:t>”中无法查询，</w:t>
      </w:r>
      <w:r>
        <w:rPr>
          <w:rFonts w:hint="eastAsia" w:ascii="黑体" w:hAnsi="黑体" w:eastAsia="黑体" w:cs="黑体"/>
          <w:b w:val="0"/>
          <w:bCs/>
          <w:sz w:val="18"/>
          <w:szCs w:val="18"/>
          <w:highlight w:val="none"/>
          <w:lang w:val="en-US" w:eastAsia="zh-CN"/>
        </w:rPr>
        <w:t>但可在企业所在地或项目所在地省级交通运输主管部门“公路建设市场监督管理系统”中查询的</w:t>
      </w:r>
      <w:r>
        <w:rPr>
          <w:rFonts w:hint="eastAsia" w:ascii="黑体" w:hAnsi="黑体" w:eastAsia="黑体" w:cs="黑体"/>
          <w:b w:val="0"/>
          <w:bCs/>
          <w:sz w:val="18"/>
          <w:szCs w:val="18"/>
          <w:highlight w:val="none"/>
        </w:rPr>
        <w:t>，应附省级交通运输主管部门“</w:t>
      </w:r>
      <w:r>
        <w:rPr>
          <w:rFonts w:hint="eastAsia" w:ascii="黑体" w:hAnsi="黑体" w:eastAsia="黑体" w:cs="黑体"/>
          <w:b w:val="0"/>
          <w:bCs/>
          <w:sz w:val="18"/>
          <w:szCs w:val="18"/>
          <w:highlight w:val="none"/>
          <w:lang w:val="en-US" w:eastAsia="zh-CN"/>
        </w:rPr>
        <w:t>公路建设市场监督管理系统</w:t>
      </w:r>
      <w:r>
        <w:rPr>
          <w:rFonts w:hint="eastAsia" w:ascii="黑体" w:hAnsi="黑体" w:eastAsia="黑体" w:cs="黑体"/>
          <w:b w:val="0"/>
          <w:bCs/>
          <w:sz w:val="18"/>
          <w:szCs w:val="18"/>
          <w:highlight w:val="none"/>
        </w:rPr>
        <w:t>”中查询到的网页截图复印件及具体的查询路径。除网页截图复印件外，投标人无需再提供任何业绩证明材料。如投标人未提供相关业绩网页截图复印件或相关业绩网页截图中的信息无法证实投标人满足招标文件规定的资格审查条件（项目经理和项目总工最低要求），则该业绩不予认定。</w:t>
      </w:r>
    </w:p>
    <w:p w14:paraId="67CD3A67">
      <w:pPr>
        <w:snapToGrid w:val="0"/>
        <w:spacing w:line="276" w:lineRule="auto"/>
        <w:ind w:firstLine="352" w:firstLineChars="196"/>
        <w:rPr>
          <w:rFonts w:hint="eastAsia" w:ascii="黑体" w:hAnsi="黑体" w:eastAsia="黑体" w:cs="黑体"/>
          <w:b w:val="0"/>
          <w:bCs/>
          <w:sz w:val="18"/>
          <w:szCs w:val="18"/>
          <w:highlight w:val="none"/>
          <w:lang w:val="en-US" w:eastAsia="zh-CN"/>
        </w:rPr>
      </w:pPr>
      <w:r>
        <w:rPr>
          <w:rFonts w:hint="eastAsia" w:ascii="黑体" w:hAnsi="黑体" w:eastAsia="黑体" w:cs="黑体"/>
          <w:b w:val="0"/>
          <w:bCs/>
          <w:sz w:val="18"/>
          <w:szCs w:val="18"/>
          <w:highlight w:val="none"/>
          <w:lang w:val="en-US" w:eastAsia="zh-CN"/>
        </w:rPr>
        <w:t>6</w:t>
      </w:r>
      <w:r>
        <w:rPr>
          <w:rFonts w:hint="eastAsia" w:ascii="黑体" w:hAnsi="黑体" w:eastAsia="黑体" w:cs="黑体"/>
          <w:b w:val="0"/>
          <w:bCs/>
          <w:sz w:val="18"/>
          <w:szCs w:val="18"/>
          <w:highlight w:val="none"/>
        </w:rPr>
        <w:t>、</w:t>
      </w:r>
      <w:r>
        <w:rPr>
          <w:rFonts w:hint="eastAsia" w:ascii="黑体" w:hAnsi="黑体" w:eastAsia="黑体" w:cs="黑体"/>
          <w:b w:val="0"/>
          <w:bCs/>
          <w:sz w:val="18"/>
          <w:szCs w:val="18"/>
          <w:highlight w:val="none"/>
          <w:lang w:val="en-US" w:eastAsia="zh-CN"/>
        </w:rPr>
        <w:t>如项目经理、项目总工目前仍在其他项目上任职，则投标人应提供承诺上述人员能够从该项目撤离的书面承诺书。（承诺书的格式自拟，应加盖投标人单位公章。投标人应对证明材料的真实性负责。）</w:t>
      </w:r>
    </w:p>
    <w:p w14:paraId="72F6536B">
      <w:pPr>
        <w:snapToGrid w:val="0"/>
        <w:spacing w:line="276" w:lineRule="auto"/>
        <w:ind w:firstLine="352" w:firstLineChars="196"/>
        <w:rPr>
          <w:rFonts w:hint="eastAsia" w:ascii="黑体" w:hAnsi="黑体" w:eastAsia="黑体" w:cs="黑体"/>
          <w:b w:val="0"/>
          <w:bCs/>
          <w:sz w:val="18"/>
          <w:szCs w:val="18"/>
          <w:highlight w:val="none"/>
        </w:rPr>
      </w:pPr>
      <w:r>
        <w:rPr>
          <w:rFonts w:hint="eastAsia" w:ascii="黑体" w:hAnsi="黑体" w:eastAsia="黑体" w:cs="黑体"/>
          <w:b w:val="0"/>
          <w:bCs/>
          <w:sz w:val="18"/>
          <w:szCs w:val="18"/>
          <w:highlight w:val="none"/>
          <w:lang w:val="en-US" w:eastAsia="zh-CN"/>
        </w:rPr>
        <w:t>7</w:t>
      </w:r>
      <w:r>
        <w:rPr>
          <w:rFonts w:hint="eastAsia" w:ascii="黑体" w:hAnsi="黑体" w:eastAsia="黑体" w:cs="黑体"/>
          <w:b w:val="0"/>
          <w:bCs/>
          <w:sz w:val="18"/>
          <w:szCs w:val="18"/>
          <w:highlight w:val="none"/>
        </w:rPr>
        <w:t>、公路工程相关专业职称包括公路工程、桥梁工程、公路与桥梁工程、交通土建、隧道（地下结构）工程、交通工程</w:t>
      </w:r>
      <w:r>
        <w:rPr>
          <w:rFonts w:hint="eastAsia" w:ascii="黑体" w:hAnsi="黑体" w:eastAsia="黑体" w:cs="黑体"/>
          <w:b w:val="0"/>
          <w:bCs/>
          <w:sz w:val="18"/>
          <w:szCs w:val="18"/>
          <w:highlight w:val="none"/>
          <w:lang w:val="en-US" w:eastAsia="zh-CN"/>
        </w:rPr>
        <w:t>等</w:t>
      </w:r>
      <w:r>
        <w:rPr>
          <w:rFonts w:hint="eastAsia" w:ascii="黑体" w:hAnsi="黑体" w:eastAsia="黑体" w:cs="黑体"/>
          <w:b w:val="0"/>
          <w:bCs/>
          <w:sz w:val="18"/>
          <w:szCs w:val="18"/>
          <w:highlight w:val="none"/>
        </w:rPr>
        <w:t>专业职称。</w:t>
      </w:r>
    </w:p>
    <w:p w14:paraId="3A9C7AC5">
      <w:pPr>
        <w:tabs>
          <w:tab w:val="left" w:pos="3544"/>
        </w:tabs>
        <w:spacing w:line="360" w:lineRule="exact"/>
        <w:ind w:firstLine="360" w:firstLineChars="200"/>
        <w:rPr>
          <w:rFonts w:hint="eastAsia" w:ascii="黑体" w:hAnsi="黑体" w:eastAsia="黑体" w:cs="黑体"/>
          <w:b w:val="0"/>
          <w:bCs/>
          <w:color w:val="000000"/>
          <w:sz w:val="18"/>
          <w:szCs w:val="18"/>
          <w:highlight w:val="none"/>
        </w:rPr>
      </w:pPr>
      <w:r>
        <w:rPr>
          <w:rFonts w:hint="eastAsia" w:ascii="黑体" w:hAnsi="黑体" w:eastAsia="黑体" w:cs="黑体"/>
          <w:b w:val="0"/>
          <w:bCs/>
          <w:sz w:val="18"/>
          <w:szCs w:val="18"/>
          <w:highlight w:val="none"/>
          <w:lang w:val="en-US" w:eastAsia="zh-CN"/>
        </w:rPr>
        <w:t>8</w:t>
      </w:r>
      <w:r>
        <w:rPr>
          <w:rFonts w:hint="eastAsia" w:ascii="黑体" w:hAnsi="黑体" w:eastAsia="黑体" w:cs="黑体"/>
          <w:b w:val="0"/>
          <w:bCs/>
          <w:sz w:val="18"/>
          <w:szCs w:val="18"/>
          <w:highlight w:val="none"/>
        </w:rPr>
        <w:t>、本表中人员不得兼职。</w:t>
      </w:r>
    </w:p>
    <w:p w14:paraId="0A52815A">
      <w:pPr>
        <w:shd w:val="clear" w:color="auto" w:fill="auto"/>
        <w:adjustRightInd w:val="0"/>
        <w:snapToGrid w:val="0"/>
        <w:spacing w:line="300" w:lineRule="auto"/>
        <w:ind w:right="-512" w:rightChars="-244" w:firstLine="422" w:firstLineChars="200"/>
        <w:rPr>
          <w:b/>
          <w:iCs/>
          <w:color w:val="auto"/>
          <w:szCs w:val="21"/>
          <w:highlight w:val="none"/>
        </w:rPr>
      </w:pPr>
    </w:p>
    <w:p w14:paraId="305ED0EC">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28" w:name="_Toc234832868"/>
      <w:r>
        <w:rPr>
          <w:rFonts w:ascii="黑体" w:eastAsia="黑体"/>
          <w:color w:val="auto"/>
          <w:sz w:val="28"/>
          <w:szCs w:val="28"/>
          <w:highlight w:val="none"/>
        </w:rPr>
        <w:br w:type="page"/>
      </w:r>
      <w:bookmarkEnd w:id="28"/>
      <w:bookmarkStart w:id="29" w:name="_Toc234832870"/>
      <w:bookmarkStart w:id="30" w:name="_Toc501257060"/>
      <w:bookmarkStart w:id="31" w:name="_Toc27506"/>
      <w:r>
        <w:rPr>
          <w:rFonts w:hint="eastAsia" w:ascii="黑体" w:hAnsi="黑体" w:eastAsia="黑体" w:cs="黑体"/>
          <w:b/>
          <w:bCs w:val="0"/>
          <w:color w:val="auto"/>
          <w:sz w:val="21"/>
          <w:szCs w:val="21"/>
          <w:highlight w:val="none"/>
        </w:rPr>
        <w:t>1. 总则</w:t>
      </w:r>
      <w:bookmarkEnd w:id="29"/>
      <w:bookmarkEnd w:id="30"/>
      <w:bookmarkEnd w:id="31"/>
    </w:p>
    <w:p w14:paraId="73196105">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32" w:name="_Toc234832871"/>
      <w:bookmarkStart w:id="33" w:name="_Toc15015"/>
      <w:bookmarkStart w:id="34" w:name="_Toc501257061"/>
      <w:r>
        <w:rPr>
          <w:rFonts w:hint="eastAsia" w:ascii="黑体" w:hAnsi="黑体" w:eastAsia="黑体" w:cs="黑体"/>
          <w:b/>
          <w:bCs w:val="0"/>
          <w:color w:val="auto"/>
          <w:sz w:val="21"/>
          <w:szCs w:val="21"/>
          <w:highlight w:val="none"/>
        </w:rPr>
        <w:t>1.1 项目概况</w:t>
      </w:r>
      <w:bookmarkEnd w:id="32"/>
      <w:bookmarkEnd w:id="33"/>
      <w:bookmarkEnd w:id="34"/>
    </w:p>
    <w:p w14:paraId="1126243C">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1.1.1 根据《中华人民共和国招标投标法》《中华人民共和国招标投标法实施条例》《公路工程建设项目招标投标管理办法》等有关法律、法规和规章的规定，本招标项目已具备招标条件，现对本标段施工进行招标。</w:t>
      </w:r>
    </w:p>
    <w:p w14:paraId="138A2908">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1.1.2 本招标项目招标人：见投标人须知前附表。</w:t>
      </w:r>
    </w:p>
    <w:p w14:paraId="5E18B19F">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1.1.3 本标段招标代理机构：见投标人须知前附表。</w:t>
      </w:r>
    </w:p>
    <w:p w14:paraId="35B6128B">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1.1.4 本招标项目名称：见投标人须知前附表。</w:t>
      </w:r>
    </w:p>
    <w:p w14:paraId="7D08C11A">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1.1.5 本标段建设地点：见投标人须知前附表。</w:t>
      </w:r>
    </w:p>
    <w:p w14:paraId="2559A1D1">
      <w:pPr>
        <w:pStyle w:val="2"/>
        <w:shd w:val="clear" w:color="auto" w:fill="auto"/>
        <w:spacing w:before="240" w:after="240" w:line="240" w:lineRule="atLeast"/>
        <w:jc w:val="left"/>
        <w:rPr>
          <w:rFonts w:hint="eastAsia" w:ascii="黑体" w:hAnsi="黑体" w:eastAsia="黑体" w:cs="黑体"/>
          <w:b w:val="0"/>
          <w:color w:val="auto"/>
          <w:sz w:val="21"/>
          <w:szCs w:val="21"/>
          <w:highlight w:val="none"/>
        </w:rPr>
      </w:pPr>
      <w:bookmarkStart w:id="35" w:name="_Toc234832872"/>
      <w:bookmarkStart w:id="36" w:name="_Toc7866"/>
      <w:bookmarkStart w:id="37" w:name="_Toc501257062"/>
      <w:r>
        <w:rPr>
          <w:rFonts w:hint="eastAsia" w:ascii="黑体" w:hAnsi="黑体" w:eastAsia="黑体" w:cs="黑体"/>
          <w:b/>
          <w:bCs w:val="0"/>
          <w:color w:val="auto"/>
          <w:sz w:val="21"/>
          <w:szCs w:val="21"/>
          <w:highlight w:val="none"/>
        </w:rPr>
        <w:t>1.2 招标项目的资金来源和落实情况</w:t>
      </w:r>
      <w:bookmarkEnd w:id="35"/>
      <w:bookmarkEnd w:id="36"/>
      <w:bookmarkEnd w:id="37"/>
      <w:r>
        <w:rPr>
          <w:rFonts w:hint="eastAsia" w:ascii="黑体" w:hAnsi="黑体" w:eastAsia="黑体" w:cs="黑体"/>
          <w:b w:val="0"/>
          <w:color w:val="auto"/>
          <w:sz w:val="21"/>
          <w:szCs w:val="21"/>
          <w:highlight w:val="none"/>
        </w:rPr>
        <w:t xml:space="preserve"> </w:t>
      </w:r>
    </w:p>
    <w:p w14:paraId="7C495535">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1.2.1 资金来源及比例：见投标人须知前附表。</w:t>
      </w:r>
    </w:p>
    <w:p w14:paraId="35585739">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1.2.2 资金落实情况：见投标人须知前附表。</w:t>
      </w:r>
    </w:p>
    <w:p w14:paraId="45AB85B8">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38" w:name="_Toc234832873"/>
      <w:bookmarkStart w:id="39" w:name="_Toc501257063"/>
      <w:bookmarkStart w:id="40" w:name="_Toc19745"/>
      <w:r>
        <w:rPr>
          <w:rFonts w:hint="eastAsia" w:ascii="黑体" w:hAnsi="黑体" w:eastAsia="黑体" w:cs="黑体"/>
          <w:b/>
          <w:bCs w:val="0"/>
          <w:color w:val="auto"/>
          <w:sz w:val="21"/>
          <w:szCs w:val="21"/>
          <w:highlight w:val="none"/>
        </w:rPr>
        <w:t>1.3 招标范围、计划工期、质量要求</w:t>
      </w:r>
      <w:bookmarkEnd w:id="38"/>
      <w:r>
        <w:rPr>
          <w:rFonts w:hint="eastAsia" w:ascii="黑体" w:hAnsi="黑体" w:eastAsia="黑体" w:cs="黑体"/>
          <w:b/>
          <w:bCs w:val="0"/>
          <w:color w:val="auto"/>
          <w:sz w:val="21"/>
          <w:szCs w:val="21"/>
          <w:highlight w:val="none"/>
        </w:rPr>
        <w:t>和安全目标</w:t>
      </w:r>
      <w:bookmarkEnd w:id="39"/>
      <w:bookmarkEnd w:id="40"/>
    </w:p>
    <w:p w14:paraId="1D9DC49F">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1.3.1 招标范围：见投标人须知前附表。</w:t>
      </w:r>
    </w:p>
    <w:p w14:paraId="275D29B0">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1.3.2 本标段的计划工期：见投标人须知前附表。</w:t>
      </w:r>
    </w:p>
    <w:p w14:paraId="41E15973">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1.3.3 本标段的质量要求：见投标人须知前附表。</w:t>
      </w:r>
    </w:p>
    <w:p w14:paraId="2C42EBDC">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1.3.4 本标段的安全目标：见投标人须知前附表。</w:t>
      </w:r>
    </w:p>
    <w:p w14:paraId="2A6D9F26">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41" w:name="_Toc765"/>
      <w:bookmarkStart w:id="42" w:name="_Toc501257064"/>
      <w:bookmarkStart w:id="43" w:name="_Toc234832874"/>
      <w:r>
        <w:rPr>
          <w:rFonts w:hint="eastAsia" w:ascii="黑体" w:hAnsi="黑体" w:eastAsia="黑体" w:cs="黑体"/>
          <w:b/>
          <w:bCs w:val="0"/>
          <w:color w:val="auto"/>
          <w:sz w:val="21"/>
          <w:szCs w:val="21"/>
          <w:highlight w:val="none"/>
        </w:rPr>
        <w:t>1.4 投标人资格要求（适用于已进行资格预审的）</w:t>
      </w:r>
      <w:bookmarkEnd w:id="41"/>
      <w:bookmarkEnd w:id="42"/>
      <w:bookmarkEnd w:id="43"/>
    </w:p>
    <w:p w14:paraId="6D8EBEDD">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投标人应是收到招标人发出投标邀请书的单位。</w:t>
      </w:r>
    </w:p>
    <w:p w14:paraId="1B68A388">
      <w:pPr>
        <w:pStyle w:val="2"/>
        <w:shd w:val="clear" w:color="auto" w:fill="auto"/>
        <w:spacing w:before="240" w:after="240" w:line="240" w:lineRule="atLeast"/>
        <w:jc w:val="left"/>
        <w:rPr>
          <w:rFonts w:hint="eastAsia" w:ascii="黑体" w:hAnsi="黑体" w:eastAsia="黑体" w:cs="黑体"/>
          <w:b w:val="0"/>
          <w:color w:val="auto"/>
          <w:sz w:val="21"/>
          <w:szCs w:val="21"/>
          <w:highlight w:val="none"/>
        </w:rPr>
      </w:pPr>
      <w:bookmarkStart w:id="44" w:name="_Toc501257065"/>
      <w:bookmarkStart w:id="45" w:name="_Toc234832875"/>
      <w:bookmarkStart w:id="46" w:name="_Toc27492"/>
      <w:r>
        <w:rPr>
          <w:rFonts w:hint="eastAsia" w:ascii="黑体" w:hAnsi="黑体" w:eastAsia="黑体" w:cs="黑体"/>
          <w:b/>
          <w:bCs w:val="0"/>
          <w:color w:val="auto"/>
          <w:sz w:val="21"/>
          <w:szCs w:val="21"/>
          <w:highlight w:val="none"/>
        </w:rPr>
        <w:t>1.4 投标人资格要求（适用于未进行资格预审的）</w:t>
      </w:r>
      <w:bookmarkEnd w:id="44"/>
      <w:bookmarkEnd w:id="45"/>
      <w:bookmarkEnd w:id="46"/>
    </w:p>
    <w:p w14:paraId="416F39F3">
      <w:pPr>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1.4.1 投标人应具备承担本标段施工的资质条件、能力和信誉。</w:t>
      </w:r>
    </w:p>
    <w:p w14:paraId="6E3C466C">
      <w:pPr>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（1）资质要求：见投标人须知前附表；</w:t>
      </w:r>
    </w:p>
    <w:p w14:paraId="1068A811">
      <w:pPr>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（2）财务要求：见投标人须知前附表；</w:t>
      </w:r>
    </w:p>
    <w:p w14:paraId="70653D7B">
      <w:pPr>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（3）业绩要求：见投标人须知前附表；</w:t>
      </w:r>
    </w:p>
    <w:p w14:paraId="4A52FBEE">
      <w:pPr>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（4）信誉要求：见投标人须知前附表；</w:t>
      </w:r>
    </w:p>
    <w:p w14:paraId="2E4966C7">
      <w:pPr>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（5）项目经理和项目总工资格：见投标人须知前附表；</w:t>
      </w:r>
    </w:p>
    <w:p w14:paraId="13DAD0E9">
      <w:pPr>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（6）其他要求：见投标人须知前附表。</w:t>
      </w:r>
    </w:p>
    <w:p w14:paraId="4D3B2188">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需要提交的相关证明材料见本章第3.5款的规定。</w:t>
      </w:r>
    </w:p>
    <w:p w14:paraId="6FE6523A">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1.4.2 投标人须知前附表规定接受联合体投标的，联合体除应符合本章第1.4.1项和投标人须知前附表的要求外，还应遵守以下规定：</w:t>
      </w:r>
    </w:p>
    <w:p w14:paraId="3C3EC031">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（1）联合体各方应按招标文件提供的格式签订联合体协议书，明确联合体牵头人和各方权利义务，并承诺就中标项目向招标人承担连带责任；</w:t>
      </w:r>
    </w:p>
    <w:p w14:paraId="22640731">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（2）由同一专业的单位组成的联合体，按照资质等级较低的单位确定资质等级；</w:t>
      </w:r>
    </w:p>
    <w:p w14:paraId="7A35F56D">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（3）联合体各方不得再以自己名义单独或参加其他联合体在同一标段中投标；</w:t>
      </w:r>
    </w:p>
    <w:p w14:paraId="0CAEAD50">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w:t>
      </w:r>
      <w:r>
        <w:rPr>
          <w:rFonts w:hint="eastAsia" w:ascii="黑体" w:hAnsi="黑体" w:eastAsia="黑体" w:cs="黑体"/>
          <w:color w:val="auto"/>
          <w:sz w:val="21"/>
          <w:szCs w:val="21"/>
          <w:highlight w:val="none"/>
          <w:lang w:val="en-US" w:eastAsia="zh-CN"/>
        </w:rPr>
        <w:t>4</w:t>
      </w:r>
      <w:r>
        <w:rPr>
          <w:rFonts w:hint="eastAsia" w:ascii="黑体" w:hAnsi="黑体" w:eastAsia="黑体" w:cs="黑体"/>
          <w:color w:val="auto"/>
          <w:sz w:val="21"/>
          <w:szCs w:val="21"/>
          <w:highlight w:val="none"/>
        </w:rPr>
        <w:t>）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p>
    <w:p w14:paraId="6ED8EC1D">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（5）尽管委任了联合体牵头人，但联合体各成员在投标、签订合同与履行合同过程中，仍负有连带的和各自的法律责任。</w:t>
      </w:r>
    </w:p>
    <w:p w14:paraId="6E981440">
      <w:pPr>
        <w:shd w:val="clear" w:color="auto" w:fill="auto"/>
        <w:tabs>
          <w:tab w:val="left" w:pos="360"/>
          <w:tab w:val="left" w:pos="540"/>
        </w:tabs>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1.4.3 投标人（包括联合体各成员）不得与本标段相关单位存在下列关联关系：</w:t>
      </w:r>
    </w:p>
    <w:p w14:paraId="1E15077A">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（1）为招标人不具有独立法人资格的附属机构（单位）；</w:t>
      </w:r>
    </w:p>
    <w:p w14:paraId="1C4A7B2B">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（2）与招标人存在利害关系且可能影响招标公正性；</w:t>
      </w:r>
    </w:p>
    <w:p w14:paraId="53CFE7D5">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（3）与本标段的其他投标人同为一个单位负责人；</w:t>
      </w:r>
    </w:p>
    <w:p w14:paraId="6E06F242">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（4）与本标段的其他投标人存在控股、管理关系；</w:t>
      </w:r>
    </w:p>
    <w:p w14:paraId="0710472C">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（5）为本标段前期准备提供设计或咨询服务的法人或其任何附属机构（单位）；</w:t>
      </w:r>
    </w:p>
    <w:p w14:paraId="4C300100">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（6）为本标段的监理人；</w:t>
      </w:r>
    </w:p>
    <w:p w14:paraId="067E398D">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（7）为本标段的代建人；</w:t>
      </w:r>
    </w:p>
    <w:p w14:paraId="63B3B8BF">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（8）为本标段的招标代理机构；</w:t>
      </w:r>
    </w:p>
    <w:p w14:paraId="4E263C75">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（9）与本标段的监理人或代建人或招标代理机构同为一个法定代表人；</w:t>
      </w:r>
    </w:p>
    <w:p w14:paraId="602293F1">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（10）与本标段的监理人或代建人或招标代理机构存在控股或参股关系；</w:t>
      </w:r>
    </w:p>
    <w:p w14:paraId="44A8BB76">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（11）法律法规或投标人须知前附表规定的其他情形。</w:t>
      </w:r>
    </w:p>
    <w:p w14:paraId="21EE8C76">
      <w:pPr>
        <w:shd w:val="clear" w:color="auto" w:fill="auto"/>
        <w:tabs>
          <w:tab w:val="left" w:pos="360"/>
          <w:tab w:val="left" w:pos="540"/>
        </w:tabs>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1.4.4 投标人（包括联合体各成员）不得存在下列不良状况或不良信用记录：</w:t>
      </w:r>
    </w:p>
    <w:p w14:paraId="0624C3E4">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（1）被省级及以上交通运输主管部门取消招标项目所在地的投标资格且处于有效期内；</w:t>
      </w:r>
    </w:p>
    <w:p w14:paraId="3761AEA9">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（2）被责令停业，暂扣或吊销执照，或吊销资质证书；</w:t>
      </w:r>
    </w:p>
    <w:p w14:paraId="3248FD68">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（3）进入清算程序，或被宣告破产，或其他丧失履约能力的情形；</w:t>
      </w:r>
    </w:p>
    <w:p w14:paraId="19D29688">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（4）在国家企业信用信息公示系统（http://www.gsxt.gov.cn/）中被列入严重违法失信企业名单；</w:t>
      </w:r>
    </w:p>
    <w:p w14:paraId="779D5174">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（5）在“信用中国”网站（http://www.creditchina.gov.cn/）中被列入失信被执行人名单；</w:t>
      </w:r>
    </w:p>
    <w:p w14:paraId="509B2618">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（6）</w:t>
      </w:r>
      <w:r>
        <w:rPr>
          <w:rFonts w:hint="eastAsia" w:ascii="黑体" w:hAnsi="黑体" w:eastAsia="黑体" w:cs="黑体"/>
          <w:b/>
          <w:bCs/>
          <w:color w:val="auto"/>
          <w:sz w:val="21"/>
          <w:szCs w:val="21"/>
          <w:highlight w:val="none"/>
          <w:u w:val="single"/>
          <w:lang w:val="en-US" w:eastAsia="zh-CN"/>
        </w:rPr>
        <w:t>投标人及其法定代表人、拟委任的项目经理在近三年内存在行贿犯罪行为的</w:t>
      </w:r>
      <w:r>
        <w:rPr>
          <w:rFonts w:hint="eastAsia" w:ascii="黑体" w:hAnsi="黑体" w:eastAsia="黑体" w:cs="黑体"/>
          <w:b/>
          <w:bCs/>
          <w:color w:val="auto"/>
          <w:sz w:val="21"/>
          <w:szCs w:val="21"/>
          <w:highlight w:val="none"/>
          <w:lang w:eastAsia="zh-CN"/>
        </w:rPr>
        <w:t>（</w:t>
      </w:r>
      <w:r>
        <w:rPr>
          <w:rFonts w:hint="eastAsia" w:ascii="黑体" w:hAnsi="黑体" w:eastAsia="黑体" w:cs="黑体"/>
          <w:b/>
          <w:bCs/>
          <w:color w:val="auto"/>
          <w:sz w:val="21"/>
          <w:szCs w:val="21"/>
          <w:highlight w:val="none"/>
          <w:lang w:val="en-US" w:eastAsia="zh-CN"/>
        </w:rPr>
        <w:t>以本单位出具的</w:t>
      </w:r>
      <w:r>
        <w:rPr>
          <w:rFonts w:hint="eastAsia" w:ascii="黑体" w:hAnsi="黑体" w:eastAsia="黑体" w:cs="黑体"/>
          <w:b/>
          <w:bCs/>
          <w:color w:val="auto"/>
          <w:sz w:val="21"/>
          <w:szCs w:val="21"/>
          <w:highlight w:val="none"/>
          <w:lang w:eastAsia="zh-CN"/>
        </w:rPr>
        <w:t>书面承诺书</w:t>
      </w:r>
      <w:r>
        <w:rPr>
          <w:rFonts w:hint="eastAsia" w:ascii="黑体" w:hAnsi="黑体" w:eastAsia="黑体" w:cs="黑体"/>
          <w:b/>
          <w:bCs/>
          <w:color w:val="auto"/>
          <w:sz w:val="21"/>
          <w:szCs w:val="21"/>
          <w:highlight w:val="none"/>
          <w:lang w:val="en-US" w:eastAsia="zh-CN"/>
        </w:rPr>
        <w:t>为准</w:t>
      </w:r>
      <w:r>
        <w:rPr>
          <w:rFonts w:hint="eastAsia" w:ascii="黑体" w:hAnsi="黑体" w:eastAsia="黑体" w:cs="黑体"/>
          <w:b/>
          <w:bCs/>
          <w:color w:val="auto"/>
          <w:sz w:val="21"/>
          <w:szCs w:val="21"/>
          <w:highlight w:val="none"/>
          <w:lang w:eastAsia="zh-CN"/>
        </w:rPr>
        <w:t>）</w:t>
      </w:r>
      <w:r>
        <w:rPr>
          <w:rFonts w:hint="eastAsia" w:ascii="黑体" w:hAnsi="黑体" w:eastAsia="黑体" w:cs="黑体"/>
          <w:color w:val="auto"/>
          <w:sz w:val="21"/>
          <w:szCs w:val="21"/>
          <w:highlight w:val="none"/>
        </w:rPr>
        <w:t>；</w:t>
      </w:r>
    </w:p>
    <w:p w14:paraId="22C08E3D">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（7）法律法规或投标人须知前附表规定的其他情形。</w:t>
      </w:r>
      <w:bookmarkStart w:id="47" w:name="_Toc27821"/>
      <w:bookmarkStart w:id="48" w:name="_Toc234832876"/>
      <w:bookmarkStart w:id="49" w:name="_Toc501257066"/>
    </w:p>
    <w:p w14:paraId="1A6214DF">
      <w:pPr>
        <w:pStyle w:val="7"/>
        <w:shd w:val="clear" w:color="auto" w:fill="auto"/>
        <w:topLinePunct/>
        <w:spacing w:line="400" w:lineRule="atLeast"/>
        <w:jc w:val="left"/>
        <w:rPr>
          <w:rFonts w:hint="eastAsia" w:ascii="黑体" w:hAnsi="黑体" w:eastAsia="黑体" w:cs="黑体"/>
          <w:b/>
          <w:bCs w:val="0"/>
          <w:color w:val="auto"/>
          <w:sz w:val="21"/>
          <w:szCs w:val="21"/>
          <w:highlight w:val="none"/>
        </w:rPr>
      </w:pPr>
      <w:r>
        <w:rPr>
          <w:rFonts w:hint="eastAsia" w:ascii="黑体" w:hAnsi="黑体" w:eastAsia="黑体" w:cs="黑体"/>
          <w:b/>
          <w:bCs w:val="0"/>
          <w:color w:val="auto"/>
          <w:sz w:val="21"/>
          <w:szCs w:val="21"/>
          <w:highlight w:val="none"/>
        </w:rPr>
        <w:t>1.5 费用承担</w:t>
      </w:r>
      <w:bookmarkEnd w:id="47"/>
      <w:bookmarkEnd w:id="48"/>
      <w:bookmarkEnd w:id="49"/>
    </w:p>
    <w:p w14:paraId="6B278F8B">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投标人准备和参加投标活动发生的费用自理。</w:t>
      </w:r>
    </w:p>
    <w:p w14:paraId="411545D7">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50" w:name="_Toc234832877"/>
      <w:bookmarkStart w:id="51" w:name="_Toc28679"/>
      <w:bookmarkStart w:id="52" w:name="_Toc501257067"/>
      <w:r>
        <w:rPr>
          <w:rFonts w:hint="eastAsia" w:ascii="黑体" w:hAnsi="黑体" w:eastAsia="黑体" w:cs="黑体"/>
          <w:b/>
          <w:bCs w:val="0"/>
          <w:color w:val="auto"/>
          <w:sz w:val="21"/>
          <w:szCs w:val="21"/>
          <w:highlight w:val="none"/>
        </w:rPr>
        <w:t>1.6 保密</w:t>
      </w:r>
      <w:bookmarkEnd w:id="50"/>
      <w:bookmarkEnd w:id="51"/>
      <w:bookmarkEnd w:id="52"/>
    </w:p>
    <w:p w14:paraId="3C535931">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参与招标投标活动的各方应对招标文件和投标文件中的商业和技术等秘密保密，</w:t>
      </w:r>
      <w:r>
        <w:rPr>
          <w:rFonts w:hint="eastAsia" w:ascii="黑体" w:hAnsi="黑体" w:eastAsia="黑体" w:cs="黑体"/>
          <w:color w:val="auto"/>
          <w:kern w:val="0"/>
          <w:sz w:val="21"/>
          <w:szCs w:val="21"/>
          <w:highlight w:val="none"/>
        </w:rPr>
        <w:t>否则应承担相应的法律责任。</w:t>
      </w:r>
    </w:p>
    <w:p w14:paraId="1B31F055">
      <w:pPr>
        <w:pStyle w:val="2"/>
        <w:shd w:val="clear" w:color="auto" w:fill="auto"/>
        <w:spacing w:before="240" w:after="240" w:line="240" w:lineRule="atLeast"/>
        <w:jc w:val="left"/>
        <w:rPr>
          <w:rFonts w:hint="eastAsia" w:ascii="黑体" w:hAnsi="黑体" w:eastAsia="黑体" w:cs="黑体"/>
          <w:b w:val="0"/>
          <w:color w:val="auto"/>
          <w:sz w:val="21"/>
          <w:szCs w:val="21"/>
          <w:highlight w:val="none"/>
        </w:rPr>
      </w:pPr>
      <w:bookmarkStart w:id="53" w:name="_Toc27719"/>
      <w:bookmarkStart w:id="54" w:name="_Toc234832878"/>
      <w:bookmarkStart w:id="55" w:name="_Toc501257068"/>
      <w:r>
        <w:rPr>
          <w:rFonts w:hint="eastAsia" w:ascii="黑体" w:hAnsi="黑体" w:eastAsia="黑体" w:cs="黑体"/>
          <w:b/>
          <w:bCs w:val="0"/>
          <w:color w:val="auto"/>
          <w:sz w:val="21"/>
          <w:szCs w:val="21"/>
          <w:highlight w:val="none"/>
        </w:rPr>
        <w:t>1.7 语言文字</w:t>
      </w:r>
      <w:bookmarkEnd w:id="53"/>
      <w:bookmarkEnd w:id="54"/>
      <w:bookmarkEnd w:id="55"/>
    </w:p>
    <w:p w14:paraId="341E07D2">
      <w:pPr>
        <w:shd w:val="clear" w:color="auto" w:fill="auto"/>
        <w:spacing w:line="400" w:lineRule="atLeast"/>
        <w:ind w:firstLine="420" w:firstLineChars="200"/>
        <w:jc w:val="left"/>
        <w:rPr>
          <w:rFonts w:hint="eastAsia" w:ascii="黑体" w:hAnsi="黑体" w:eastAsia="黑体" w:cs="黑体"/>
          <w:color w:val="auto"/>
          <w:kern w:val="0"/>
          <w:sz w:val="21"/>
          <w:szCs w:val="21"/>
          <w:highlight w:val="none"/>
        </w:rPr>
      </w:pPr>
      <w:r>
        <w:rPr>
          <w:rFonts w:hint="eastAsia" w:ascii="黑体" w:hAnsi="黑体" w:eastAsia="黑体" w:cs="黑体"/>
          <w:color w:val="auto"/>
          <w:kern w:val="0"/>
          <w:sz w:val="21"/>
          <w:szCs w:val="21"/>
          <w:highlight w:val="none"/>
        </w:rPr>
        <w:t>招标投标文件使用的语言文字为中文。专用术语使用外文的，应附有中文注释。</w:t>
      </w:r>
    </w:p>
    <w:p w14:paraId="10D97B57">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56" w:name="_Toc234832879"/>
      <w:bookmarkStart w:id="57" w:name="_Toc20687"/>
      <w:bookmarkStart w:id="58" w:name="_Toc501257069"/>
      <w:r>
        <w:rPr>
          <w:rFonts w:hint="eastAsia" w:ascii="黑体" w:hAnsi="黑体" w:eastAsia="黑体" w:cs="黑体"/>
          <w:b/>
          <w:bCs w:val="0"/>
          <w:color w:val="auto"/>
          <w:sz w:val="21"/>
          <w:szCs w:val="21"/>
          <w:highlight w:val="none"/>
        </w:rPr>
        <w:t>1.8 计量单位</w:t>
      </w:r>
      <w:bookmarkEnd w:id="56"/>
      <w:bookmarkEnd w:id="57"/>
      <w:bookmarkEnd w:id="58"/>
    </w:p>
    <w:p w14:paraId="2DE74E31">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所有计量均采用中华人民共和国法定计量单位。</w:t>
      </w:r>
    </w:p>
    <w:p w14:paraId="4F1E3D47">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59" w:name="_Toc4815"/>
      <w:bookmarkStart w:id="60" w:name="_Toc501257070"/>
      <w:bookmarkStart w:id="61" w:name="_Toc234832880"/>
      <w:r>
        <w:rPr>
          <w:rFonts w:hint="eastAsia" w:ascii="黑体" w:hAnsi="黑体" w:eastAsia="黑体" w:cs="黑体"/>
          <w:b/>
          <w:bCs w:val="0"/>
          <w:color w:val="auto"/>
          <w:sz w:val="21"/>
          <w:szCs w:val="21"/>
          <w:highlight w:val="none"/>
        </w:rPr>
        <w:t>1.9 踏勘现场</w:t>
      </w:r>
      <w:bookmarkEnd w:id="59"/>
      <w:bookmarkEnd w:id="60"/>
      <w:bookmarkEnd w:id="61"/>
    </w:p>
    <w:p w14:paraId="46E40CC8">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1.9.1 第一章“招标公告”或“投标邀请书”规定组织踏勘现场的，招标人按规定的时间、地点组织投标人踏勘项目现场。部分投标人未按时参加踏勘现场的，不影响踏勘现场的正常进行。招标人不得组织单个或部分投标人踏勘项目现场。</w:t>
      </w:r>
    </w:p>
    <w:p w14:paraId="7B24BF0C">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1.9.2 投标人踏勘现场发生的费用自理。</w:t>
      </w:r>
    </w:p>
    <w:p w14:paraId="74DC4914">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1.9.3 除招标人的原因外，投标人自行负责在踏勘现场中所发生的人员伤亡和财产损失。</w:t>
      </w:r>
    </w:p>
    <w:p w14:paraId="602F26EE">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1.9.4 招标人在踏勘现场中介绍的工程场地和相关的周边环境情况，供投标人在编制投标文件时参考，招标人不对投标人据此作出的判断和决策负责。</w:t>
      </w:r>
    </w:p>
    <w:p w14:paraId="58C96F2A">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1.9.5 招标人提供的本合同工程的水文、地质、气象和料场分布、取土场、弃土场位置等参考资料，并不构成合同文件的组成部分，投标人应对自己就上述资料的解释、推论和应用负责，招标人不对投标人据此作出的判断和决策承担任何责任。</w:t>
      </w:r>
    </w:p>
    <w:p w14:paraId="33FC7700">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62" w:name="_Toc19383"/>
      <w:bookmarkStart w:id="63" w:name="_Toc234832881"/>
      <w:bookmarkStart w:id="64" w:name="_Toc501257071"/>
      <w:r>
        <w:rPr>
          <w:rFonts w:hint="eastAsia" w:ascii="黑体" w:hAnsi="黑体" w:eastAsia="黑体" w:cs="黑体"/>
          <w:b/>
          <w:bCs w:val="0"/>
          <w:color w:val="auto"/>
          <w:sz w:val="21"/>
          <w:szCs w:val="21"/>
          <w:highlight w:val="none"/>
        </w:rPr>
        <w:t>1.10 投标预备会</w:t>
      </w:r>
      <w:bookmarkEnd w:id="62"/>
      <w:bookmarkEnd w:id="63"/>
      <w:bookmarkEnd w:id="64"/>
    </w:p>
    <w:p w14:paraId="176686FE">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1.10.1 第一章“招标公告”或“投标邀请书”规定召开投标预备会的，招标人按规定的时间和地点召开投标预备会，澄清投标人提出的问题。</w:t>
      </w:r>
    </w:p>
    <w:p w14:paraId="4A49F5CC">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1.10.2 投标人应按投标人须知前附表规定的时间和形式将提出的问题送达招标人，以便招标人在会议期间澄清。</w:t>
      </w:r>
    </w:p>
    <w:p w14:paraId="6B4A0A83">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1.10.3 投标预备会后，招标人将对投标人所提问题的澄清，以本章第2.2款规定的形式通知所有购买招标文件的投标人。该澄清内容为招标文件的组成部分。</w:t>
      </w:r>
    </w:p>
    <w:p w14:paraId="0112C123">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65" w:name="_Toc234832882"/>
      <w:bookmarkStart w:id="66" w:name="_Toc501257072"/>
      <w:bookmarkStart w:id="67" w:name="_Toc31540"/>
      <w:r>
        <w:rPr>
          <w:rFonts w:hint="eastAsia" w:ascii="黑体" w:hAnsi="黑体" w:eastAsia="黑体" w:cs="黑体"/>
          <w:b/>
          <w:bCs w:val="0"/>
          <w:color w:val="auto"/>
          <w:sz w:val="21"/>
          <w:szCs w:val="21"/>
          <w:highlight w:val="none"/>
        </w:rPr>
        <w:t>1.11 分包</w:t>
      </w:r>
      <w:bookmarkEnd w:id="65"/>
      <w:bookmarkEnd w:id="66"/>
      <w:bookmarkEnd w:id="67"/>
    </w:p>
    <w:p w14:paraId="1CF64FF0">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1.11.1 投标人拟在中标后将中标项目的部分非主体、非关键性工作进行分包的，应符合以下规定：</w:t>
      </w:r>
    </w:p>
    <w:p w14:paraId="704DDBFA">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（1）分包内容要求：允许分包的工程范围仅限于非关键性工程或适合专业化队伍施工的专项工程。招标人允许分包或不允许分包的专项工程（如有）应在投标人须知前附表中载明。</w:t>
      </w:r>
    </w:p>
    <w:p w14:paraId="509DD0A3">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（2）接受分包的第三人资格要求：分包人的资格能力应与其分包工程的标准和规模相适应，且具备投标人须知前附表中规定的资格条件。</w:t>
      </w:r>
    </w:p>
    <w:p w14:paraId="54340EBE">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（3）其他要求：投标人如有分包计划，应按第九章“投标文件格式”的要求填写“拟分包项目情况表”，明确拟分包的工程及规模，且投标人中标后的分包应满足合同条款第4.3款的相关要求。</w:t>
      </w:r>
    </w:p>
    <w:p w14:paraId="63872EC7">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1.11.2 中标人不得向他人转让中标项目，接受分包的人不得再次分包。中标人应就分包项目向招标人负责，接受分包的人就分包项目承担连带责任。</w:t>
      </w:r>
    </w:p>
    <w:p w14:paraId="4B54C8B1">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68" w:name="_Toc234832883"/>
      <w:bookmarkStart w:id="69" w:name="_Toc501257073"/>
      <w:bookmarkStart w:id="70" w:name="_Toc6478"/>
      <w:r>
        <w:rPr>
          <w:rFonts w:hint="eastAsia" w:ascii="黑体" w:hAnsi="黑体" w:eastAsia="黑体" w:cs="黑体"/>
          <w:b/>
          <w:bCs w:val="0"/>
          <w:color w:val="auto"/>
          <w:sz w:val="21"/>
          <w:szCs w:val="21"/>
          <w:highlight w:val="none"/>
        </w:rPr>
        <w:t xml:space="preserve">1.12 </w:t>
      </w:r>
      <w:bookmarkEnd w:id="68"/>
      <w:r>
        <w:rPr>
          <w:rFonts w:hint="eastAsia" w:ascii="黑体" w:hAnsi="黑体" w:eastAsia="黑体" w:cs="黑体"/>
          <w:b/>
          <w:bCs w:val="0"/>
          <w:color w:val="auto"/>
          <w:sz w:val="21"/>
          <w:szCs w:val="21"/>
          <w:highlight w:val="none"/>
        </w:rPr>
        <w:t>响应和偏差</w:t>
      </w:r>
      <w:bookmarkEnd w:id="69"/>
      <w:bookmarkEnd w:id="70"/>
    </w:p>
    <w:p w14:paraId="5843EF69">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1.12.1 投标文件偏离招标文件某些要求，视为投标文件存在偏差。偏差包括重大偏差和细微偏差。</w:t>
      </w:r>
    </w:p>
    <w:p w14:paraId="3886C42C">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1.12.2 投标文件应对招标文件的实质性要求和条件作出满足性或更有利于招标人的响应，否则，视为投标文件存在重大偏差，投标人的投标将被否决。</w:t>
      </w:r>
    </w:p>
    <w:p w14:paraId="1F166408">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投标文件存在第三章“评标办法”中所列任一否决投标情形的，均属于存在重大偏差。</w:t>
      </w:r>
    </w:p>
    <w:p w14:paraId="6ED0AF19">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1.12.3 投标文件中的下列偏差为细微偏差：</w:t>
      </w:r>
    </w:p>
    <w:p w14:paraId="75DF50E9">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在按照第三章“评标办法”的规定对投标价进行算术性错误修正及其他错误修正后，最终投标报价未超过最高投标限价（如有）的情况下，出现第三章“评标办法”规定的算术性错误和投标报价的其他错误；</w:t>
      </w:r>
    </w:p>
    <w:p w14:paraId="6655AFE2">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（2）施工组织设计（含关键工程技术方案）和项目管理机构不够完善；</w:t>
      </w:r>
    </w:p>
    <w:p w14:paraId="7DFC3B1C">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（3）投标文件页码不连续、采用活页夹装订、个别文字有遗漏错误等不影响投标文件实质性内容的偏差。</w:t>
      </w:r>
    </w:p>
    <w:p w14:paraId="2344CD36">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1.12.4 评标委员会对投标文件中的细微偏差按如下规定处理：</w:t>
      </w:r>
    </w:p>
    <w:p w14:paraId="31C8703E">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（1）对于本章第1.12.3项（1）目所述的细微偏差，按照第三章“评标办法”的规定予以修正并要求投标人进行澄清；</w:t>
      </w:r>
    </w:p>
    <w:p w14:paraId="105CE930">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对于本章第1.12.3项（2）目所述的细微偏差，如果采用合理低价法或经评审的最低投标价法评标，应要求投标人对细微偏差进行澄清，只有投标人的澄清文件被评标委员会接受，投标人才能参加评标价的最终评比。如果采用技术评分最低标价法或综合评分法评标，可在相关评分因素的评分中酌情扣分；</w:t>
      </w:r>
    </w:p>
    <w:p w14:paraId="138669EF">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（3）对于本章第1.12.3项（3）目所述的细微偏差，可要求投标人对细微偏差进行澄清。</w:t>
      </w:r>
    </w:p>
    <w:p w14:paraId="2218803F">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1.12.5 投标人应根据招标文件的要求提供施工组织设计等内容以对招标文件作出响应。</w:t>
      </w:r>
    </w:p>
    <w:p w14:paraId="28B0AA53">
      <w:pPr>
        <w:pStyle w:val="2"/>
        <w:shd w:val="clear" w:color="auto" w:fill="auto"/>
        <w:spacing w:before="360" w:after="240" w:line="240" w:lineRule="atLeast"/>
        <w:jc w:val="left"/>
        <w:rPr>
          <w:rFonts w:hint="eastAsia" w:ascii="黑体" w:hAnsi="黑体" w:eastAsia="黑体" w:cs="黑体"/>
          <w:b/>
          <w:bCs w:val="0"/>
          <w:color w:val="auto"/>
          <w:sz w:val="21"/>
          <w:szCs w:val="21"/>
          <w:highlight w:val="none"/>
        </w:rPr>
      </w:pPr>
      <w:bookmarkStart w:id="71" w:name="_Toc18365"/>
      <w:bookmarkStart w:id="72" w:name="_Toc501257074"/>
      <w:bookmarkStart w:id="73" w:name="_Toc234832884"/>
      <w:r>
        <w:rPr>
          <w:rFonts w:hint="eastAsia" w:ascii="黑体" w:hAnsi="黑体" w:eastAsia="黑体" w:cs="黑体"/>
          <w:b/>
          <w:bCs w:val="0"/>
          <w:color w:val="auto"/>
          <w:sz w:val="21"/>
          <w:szCs w:val="21"/>
          <w:highlight w:val="none"/>
        </w:rPr>
        <w:t>2. 招标文件</w:t>
      </w:r>
      <w:bookmarkEnd w:id="71"/>
      <w:bookmarkEnd w:id="72"/>
      <w:bookmarkEnd w:id="73"/>
    </w:p>
    <w:p w14:paraId="35050A89">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74" w:name="_Toc234832885"/>
      <w:bookmarkStart w:id="75" w:name="_Toc501257075"/>
      <w:bookmarkStart w:id="76" w:name="_Toc14057"/>
      <w:r>
        <w:rPr>
          <w:rFonts w:hint="eastAsia" w:ascii="黑体" w:hAnsi="黑体" w:eastAsia="黑体" w:cs="黑体"/>
          <w:b/>
          <w:bCs w:val="0"/>
          <w:color w:val="auto"/>
          <w:sz w:val="21"/>
          <w:szCs w:val="21"/>
          <w:highlight w:val="none"/>
        </w:rPr>
        <w:t>2.1 招标文件的组成</w:t>
      </w:r>
      <w:bookmarkEnd w:id="74"/>
      <w:bookmarkEnd w:id="75"/>
      <w:bookmarkEnd w:id="76"/>
    </w:p>
    <w:p w14:paraId="00299E07">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本招标文件包括：</w:t>
      </w:r>
    </w:p>
    <w:p w14:paraId="2C372A2E">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（1）招标公告（或投标邀请书）；</w:t>
      </w:r>
    </w:p>
    <w:p w14:paraId="5534D261">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（2）投标人须知；</w:t>
      </w:r>
    </w:p>
    <w:p w14:paraId="46EDE847">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（3）评标办法；</w:t>
      </w:r>
    </w:p>
    <w:p w14:paraId="5FBCF62A">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（4）合同条款及格式；</w:t>
      </w:r>
    </w:p>
    <w:p w14:paraId="52608FF0">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（5）工程量清单；</w:t>
      </w:r>
    </w:p>
    <w:p w14:paraId="03F8A750">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（6）图纸；</w:t>
      </w:r>
    </w:p>
    <w:p w14:paraId="124D3D31">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（7）技术规范；</w:t>
      </w:r>
    </w:p>
    <w:p w14:paraId="147E425D">
      <w:pPr>
        <w:shd w:val="clear" w:color="auto" w:fill="auto"/>
        <w:tabs>
          <w:tab w:val="center" w:pos="4634"/>
        </w:tabs>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（8）工程量清单计量规则；</w:t>
      </w:r>
    </w:p>
    <w:p w14:paraId="7C8B7421">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（9）投标文件格式；</w:t>
      </w:r>
    </w:p>
    <w:p w14:paraId="69D15075">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（10）投标人须知前附表规定的其他资料。</w:t>
      </w:r>
    </w:p>
    <w:p w14:paraId="71072035">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根据本章第1.10款、第2.2款和第2.3款对招标文件所作的澄清、修改，构成招标文件的组成部分。</w:t>
      </w:r>
    </w:p>
    <w:p w14:paraId="43412E37">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当招标文件、招标文件的澄清或修改等在同一内容的表述上不一致时，以最后发出的书面文件为准。</w:t>
      </w:r>
    </w:p>
    <w:p w14:paraId="5A26A6C5">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77" w:name="_Toc234832886"/>
      <w:bookmarkStart w:id="78" w:name="_Toc501257076"/>
      <w:bookmarkStart w:id="79" w:name="_Toc31724"/>
      <w:r>
        <w:rPr>
          <w:rFonts w:hint="eastAsia" w:ascii="黑体" w:hAnsi="黑体" w:eastAsia="黑体" w:cs="黑体"/>
          <w:b/>
          <w:bCs w:val="0"/>
          <w:color w:val="auto"/>
          <w:sz w:val="21"/>
          <w:szCs w:val="21"/>
          <w:highlight w:val="none"/>
        </w:rPr>
        <w:t>2.2 招标文件的澄清</w:t>
      </w:r>
      <w:bookmarkEnd w:id="77"/>
      <w:bookmarkEnd w:id="78"/>
      <w:bookmarkEnd w:id="79"/>
    </w:p>
    <w:p w14:paraId="1C04C16E">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67F5E104">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2.2.2 招标文件的澄清以投标人须知前附表规定的形式发给所有购买招标文件的投标人，但不指明澄清问题的来源。澄清发出的时间距本章第4.2.1项规定的投标截止时间不足15日，且澄清内容可能影响投标文件编制的，将相应延长投标截止时间。</w:t>
      </w:r>
    </w:p>
    <w:p w14:paraId="4CAA8749">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2.2.3 投标人在收到澄清后，应按投标人须知前附表规定的时间和形式通知招标人，确认已收到该澄清。</w:t>
      </w:r>
    </w:p>
    <w:p w14:paraId="35EF15BB">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2.2.4 除非招标人认为确有必要答复，否则，招标人有权拒绝回复投标人在本章第2.2.1项规定的时间后提出的任何澄清要求。</w:t>
      </w:r>
    </w:p>
    <w:p w14:paraId="3A240ECA">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80" w:name="_Toc12153"/>
      <w:bookmarkStart w:id="81" w:name="_Toc501257077"/>
      <w:bookmarkStart w:id="82" w:name="_Toc234832887"/>
      <w:r>
        <w:rPr>
          <w:rFonts w:hint="eastAsia" w:ascii="黑体" w:hAnsi="黑体" w:eastAsia="黑体" w:cs="黑体"/>
          <w:b/>
          <w:bCs w:val="0"/>
          <w:color w:val="auto"/>
          <w:sz w:val="21"/>
          <w:szCs w:val="21"/>
          <w:highlight w:val="none"/>
        </w:rPr>
        <w:t>2.3 招标文件的修改</w:t>
      </w:r>
      <w:bookmarkEnd w:id="80"/>
      <w:bookmarkEnd w:id="81"/>
      <w:bookmarkEnd w:id="82"/>
    </w:p>
    <w:p w14:paraId="057C8769">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2.3.1 招标人以投标人须知前附表规定的形式修改招标文件，并通知所有已购买招标文件的投标人。修改招标文件的时间距本章第4.2.1项规定的投标截止时间不足15日，且修改内容可能影响投标文件编制的，将相应延长投标截止时间。</w:t>
      </w:r>
    </w:p>
    <w:p w14:paraId="6364857D">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2.3.2 投标人收到修改内容后，应按投标人须知前附表规定的时间和形式通知招标人，确认已收到该修改。</w:t>
      </w:r>
    </w:p>
    <w:p w14:paraId="4F47019F">
      <w:pPr>
        <w:pStyle w:val="2"/>
        <w:shd w:val="clear" w:color="auto" w:fill="auto"/>
        <w:spacing w:before="240" w:after="240" w:line="240" w:lineRule="atLeast"/>
        <w:jc w:val="left"/>
        <w:rPr>
          <w:rFonts w:hint="eastAsia" w:ascii="黑体" w:hAnsi="黑体" w:eastAsia="黑体" w:cs="黑体"/>
          <w:b w:val="0"/>
          <w:color w:val="auto"/>
          <w:sz w:val="21"/>
          <w:szCs w:val="21"/>
          <w:highlight w:val="none"/>
        </w:rPr>
      </w:pPr>
      <w:bookmarkStart w:id="83" w:name="_Toc7811"/>
      <w:bookmarkStart w:id="84" w:name="_Toc501257078"/>
      <w:r>
        <w:rPr>
          <w:rFonts w:hint="eastAsia" w:ascii="黑体" w:hAnsi="黑体" w:eastAsia="黑体" w:cs="黑体"/>
          <w:b/>
          <w:bCs w:val="0"/>
          <w:color w:val="auto"/>
          <w:sz w:val="21"/>
          <w:szCs w:val="21"/>
          <w:highlight w:val="none"/>
        </w:rPr>
        <w:t>2.4</w:t>
      </w:r>
      <w:r>
        <w:rPr>
          <w:rFonts w:hint="eastAsia" w:ascii="黑体" w:hAnsi="黑体" w:eastAsia="黑体" w:cs="黑体"/>
          <w:b/>
          <w:bCs w:val="0"/>
          <w:color w:val="auto"/>
          <w:sz w:val="21"/>
          <w:szCs w:val="21"/>
          <w:highlight w:val="none"/>
          <w:lang w:eastAsia="zh-CN"/>
        </w:rPr>
        <w:t xml:space="preserve"> </w:t>
      </w:r>
      <w:r>
        <w:rPr>
          <w:rFonts w:hint="eastAsia" w:ascii="黑体" w:hAnsi="黑体" w:eastAsia="黑体" w:cs="黑体"/>
          <w:b/>
          <w:bCs w:val="0"/>
          <w:color w:val="auto"/>
          <w:sz w:val="21"/>
          <w:szCs w:val="21"/>
          <w:highlight w:val="none"/>
        </w:rPr>
        <w:t>招标文件的异议</w:t>
      </w:r>
      <w:bookmarkEnd w:id="83"/>
      <w:bookmarkEnd w:id="84"/>
    </w:p>
    <w:p w14:paraId="4EE2DA0C">
      <w:pPr>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投标人或其他利害关系人对招标文件有异议的，应在投标截止时间10日前以书面形式提出。招标人将在收到异议之日起3日内作出答复；作出答复前，将暂停招标投标活动。</w:t>
      </w:r>
      <w:r>
        <w:rPr>
          <w:rFonts w:hint="eastAsia" w:ascii="黑体" w:hAnsi="黑体" w:eastAsia="黑体" w:cs="黑体"/>
          <w:szCs w:val="21"/>
          <w:highlight w:val="none"/>
          <w:lang w:eastAsia="zh-CN"/>
        </w:rPr>
        <w:t>提出异议与作出答复均应通过“</w:t>
      </w:r>
      <w:r>
        <w:rPr>
          <w:rFonts w:hint="eastAsia" w:ascii="黑体" w:hAnsi="黑体" w:eastAsia="黑体" w:cs="黑体"/>
          <w:szCs w:val="21"/>
          <w:highlight w:val="none"/>
          <w:lang w:val="en-US" w:eastAsia="zh-CN"/>
        </w:rPr>
        <w:t>内蒙古自治区</w:t>
      </w:r>
      <w:r>
        <w:rPr>
          <w:rFonts w:hint="eastAsia" w:ascii="黑体" w:hAnsi="黑体" w:eastAsia="黑体" w:cs="黑体"/>
          <w:szCs w:val="21"/>
          <w:highlight w:val="none"/>
          <w:lang w:eastAsia="zh-CN"/>
        </w:rPr>
        <w:t>公共资源电子交易平台”在“异议回复”菜单以书面形式完成。</w:t>
      </w:r>
    </w:p>
    <w:p w14:paraId="47E77439">
      <w:pPr>
        <w:pStyle w:val="2"/>
        <w:shd w:val="clear" w:color="auto" w:fill="auto"/>
        <w:spacing w:before="360" w:after="240" w:line="240" w:lineRule="atLeast"/>
        <w:jc w:val="left"/>
        <w:rPr>
          <w:rFonts w:hint="eastAsia" w:ascii="黑体" w:hAnsi="黑体" w:eastAsia="黑体" w:cs="黑体"/>
          <w:b/>
          <w:bCs w:val="0"/>
          <w:color w:val="auto"/>
          <w:sz w:val="21"/>
          <w:szCs w:val="21"/>
          <w:highlight w:val="none"/>
        </w:rPr>
      </w:pPr>
      <w:bookmarkStart w:id="85" w:name="_Toc501257079"/>
      <w:bookmarkStart w:id="86" w:name="_Toc16391"/>
      <w:bookmarkStart w:id="87" w:name="_Toc234832888"/>
      <w:r>
        <w:rPr>
          <w:rFonts w:hint="eastAsia" w:ascii="黑体" w:hAnsi="黑体" w:eastAsia="黑体" w:cs="黑体"/>
          <w:b/>
          <w:bCs w:val="0"/>
          <w:color w:val="auto"/>
          <w:sz w:val="21"/>
          <w:szCs w:val="21"/>
          <w:highlight w:val="none"/>
        </w:rPr>
        <w:t>3. 投标文件</w:t>
      </w:r>
      <w:bookmarkEnd w:id="85"/>
      <w:bookmarkEnd w:id="86"/>
      <w:bookmarkEnd w:id="87"/>
    </w:p>
    <w:p w14:paraId="2892B0E5">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88" w:name="_Toc11394"/>
      <w:bookmarkStart w:id="89" w:name="_Toc501257080"/>
      <w:bookmarkStart w:id="90" w:name="_Toc234832889"/>
      <w:r>
        <w:rPr>
          <w:rFonts w:hint="eastAsia" w:ascii="黑体" w:hAnsi="黑体" w:eastAsia="黑体" w:cs="黑体"/>
          <w:b/>
          <w:bCs w:val="0"/>
          <w:color w:val="auto"/>
          <w:sz w:val="21"/>
          <w:szCs w:val="21"/>
          <w:highlight w:val="none"/>
        </w:rPr>
        <w:t>3.1</w:t>
      </w:r>
      <w:r>
        <w:rPr>
          <w:rFonts w:hint="eastAsia" w:ascii="黑体" w:hAnsi="黑体" w:eastAsia="黑体" w:cs="黑体"/>
          <w:b/>
          <w:bCs w:val="0"/>
          <w:color w:val="auto"/>
          <w:sz w:val="21"/>
          <w:szCs w:val="21"/>
          <w:highlight w:val="none"/>
        </w:rPr>
        <w:tab/>
      </w:r>
      <w:r>
        <w:rPr>
          <w:rFonts w:hint="eastAsia" w:ascii="黑体" w:hAnsi="黑体" w:eastAsia="黑体" w:cs="黑体"/>
          <w:b/>
          <w:bCs w:val="0"/>
          <w:color w:val="auto"/>
          <w:sz w:val="21"/>
          <w:szCs w:val="21"/>
          <w:highlight w:val="none"/>
        </w:rPr>
        <w:t>投标文件的组成</w:t>
      </w:r>
      <w:bookmarkEnd w:id="88"/>
      <w:bookmarkEnd w:id="89"/>
      <w:bookmarkEnd w:id="90"/>
    </w:p>
    <w:p w14:paraId="2DA635EF">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根据投标人须知前附表规定的不同形式，投标文件的组成应满足相应条款要求。</w:t>
      </w:r>
    </w:p>
    <w:p w14:paraId="44911578">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若采用双信封形式，第3.1.1项采用以下条款：</w:t>
      </w:r>
    </w:p>
    <w:p w14:paraId="471E040C">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3.1.1 投标文件应包括下列内容：</w:t>
      </w:r>
    </w:p>
    <w:p w14:paraId="5469E549">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第一个信封（商务及技术文件）：</w:t>
      </w:r>
    </w:p>
    <w:p w14:paraId="0ACF8C47">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（1）投标函及投标函附录；</w:t>
      </w:r>
    </w:p>
    <w:p w14:paraId="53DCE634">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（2）授权委托书或法定代表人身份证明；</w:t>
      </w:r>
    </w:p>
    <w:p w14:paraId="02307482">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（3）联合体协议书；</w:t>
      </w:r>
    </w:p>
    <w:p w14:paraId="260535BF">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（4）投标保证金；</w:t>
      </w:r>
    </w:p>
    <w:p w14:paraId="03DD2599">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（5）施工组织设计；</w:t>
      </w:r>
    </w:p>
    <w:p w14:paraId="0C511762">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（6）项目管理机构；</w:t>
      </w:r>
    </w:p>
    <w:p w14:paraId="45EEB973">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（7）拟分包项目情况表；</w:t>
      </w:r>
    </w:p>
    <w:p w14:paraId="44010C19">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（8）资格审查资料； </w:t>
      </w:r>
    </w:p>
    <w:p w14:paraId="49F4F14F">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（9）投标人须知前附表规定的其他资料。</w:t>
      </w:r>
    </w:p>
    <w:p w14:paraId="43A9F6D7">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第二个信封（报价文件）：</w:t>
      </w:r>
    </w:p>
    <w:p w14:paraId="29600159">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（1）调价函及调价后的工程量清单（如有）；</w:t>
      </w:r>
    </w:p>
    <w:p w14:paraId="3064B8F7">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（2）投标函；</w:t>
      </w:r>
    </w:p>
    <w:p w14:paraId="550633EA">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（3）已标价工程量清单；</w:t>
      </w:r>
    </w:p>
    <w:p w14:paraId="11662558">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（4）合同用款估算表。</w:t>
      </w:r>
    </w:p>
    <w:p w14:paraId="15E5D251">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投标人在评标过程中作出的符合法律法规和招标文件规定的澄清确认，构成投标文件的组成部分。</w:t>
      </w:r>
    </w:p>
    <w:p w14:paraId="5A516EE5">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若采用单信封形式，第3.1.1项采用以下条款：</w:t>
      </w:r>
    </w:p>
    <w:p w14:paraId="562DC8AA">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3.1.1 投标文件应包括下列内容：</w:t>
      </w:r>
    </w:p>
    <w:p w14:paraId="5BF6000F">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（1）投标函及投标函附录；</w:t>
      </w:r>
    </w:p>
    <w:p w14:paraId="7C838552">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（2）授权委托书或法定代表人身份证明；</w:t>
      </w:r>
    </w:p>
    <w:p w14:paraId="1B0BD0A9">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（3）联合体协议书；</w:t>
      </w:r>
    </w:p>
    <w:p w14:paraId="33B25F3A">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（4）投标保证金；</w:t>
      </w:r>
    </w:p>
    <w:p w14:paraId="36181EC6">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（5）已标价工程量清单；</w:t>
      </w:r>
    </w:p>
    <w:p w14:paraId="03726031">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（6）施工组织设计；</w:t>
      </w:r>
    </w:p>
    <w:p w14:paraId="50A47077">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（7）项目管理机构；</w:t>
      </w:r>
    </w:p>
    <w:p w14:paraId="12565718">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（8）拟分包项目情况表；</w:t>
      </w:r>
    </w:p>
    <w:p w14:paraId="68B47E6A">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（9）资格审查资料；</w:t>
      </w:r>
    </w:p>
    <w:p w14:paraId="5FD50EAC">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（10）调价函及调价后的工程量清单（如有）；</w:t>
      </w:r>
    </w:p>
    <w:p w14:paraId="0C6E0F17">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（11）投标人须知前附表规定的其他资料。</w:t>
      </w:r>
    </w:p>
    <w:p w14:paraId="0E362B3D">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投标人在评标过程中作出的符合法律法规和招标文件规定的澄清确认，构成投标文件的组成部分。</w:t>
      </w:r>
    </w:p>
    <w:p w14:paraId="7315CDF2">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3.1.2 投标人须知前附表规定不接受联合体投标的，或投标人没有组成联合体的，投标文件不包括本章第3.1.1（3）目所指的联合体协议书。</w:t>
      </w:r>
    </w:p>
    <w:p w14:paraId="157B2112">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3.1.3 投标人须知前附表未要求提交投标保证金的，投标文件不包括本章第3.1.1（4）目所指的投标保证金。</w:t>
      </w:r>
    </w:p>
    <w:p w14:paraId="0B8D773C">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91" w:name="_Toc234832890"/>
      <w:bookmarkStart w:id="92" w:name="_Toc501257081"/>
      <w:bookmarkStart w:id="93" w:name="_Toc23849"/>
      <w:r>
        <w:rPr>
          <w:rFonts w:hint="eastAsia" w:ascii="黑体" w:hAnsi="黑体" w:eastAsia="黑体" w:cs="黑体"/>
          <w:b/>
          <w:bCs w:val="0"/>
          <w:color w:val="auto"/>
          <w:sz w:val="21"/>
          <w:szCs w:val="21"/>
          <w:highlight w:val="none"/>
        </w:rPr>
        <w:t>3.2 投标报价</w:t>
      </w:r>
      <w:bookmarkEnd w:id="91"/>
      <w:bookmarkEnd w:id="92"/>
      <w:bookmarkEnd w:id="93"/>
      <w:r>
        <w:rPr>
          <w:rFonts w:hint="eastAsia" w:ascii="黑体" w:hAnsi="黑体" w:eastAsia="黑体" w:cs="黑体"/>
          <w:b/>
          <w:bCs w:val="0"/>
          <w:color w:val="auto"/>
          <w:sz w:val="21"/>
          <w:szCs w:val="21"/>
          <w:highlight w:val="none"/>
        </w:rPr>
        <w:t xml:space="preserve"> </w:t>
      </w:r>
    </w:p>
    <w:p w14:paraId="200BCC7C">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3.2.1 投标报价应包括国家规定的增值税税金，除投标人须知前附表另有规定外，增值税税金按一般计税方法计算。投标人应按第九章“投标文件格式”的要求在投标函中进行报价并填写工程量清单相应表格。</w:t>
      </w:r>
    </w:p>
    <w:p w14:paraId="3B3E91B9">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工程量清单的填写分下列两种方式。投标人应按投标人须知前附表规定的方式填写工程量清单。</w:t>
      </w:r>
    </w:p>
    <w:p w14:paraId="4922E59C">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本项目招标采用工程量固化清单，招标人在出售招标文件的同时向投标人提供工程量固化清单电子文件（光盘或U盘），或将工程量固化清单电子文件上传至投标人须知前附表载明的网站供投标人自行下载。投标人填写工程量清单中各子目的单价及总额价，即可完成投标工程量清单的编制，确定投标报价，并打印出投标工程量清单，编入投标文件。投标人未在工程量清单中填入单价或总额价的工程子目，将被认为其已包含在工程量清单其他子目的单价和总额价中，招标人将不予支付。</w:t>
      </w:r>
    </w:p>
    <w:p w14:paraId="583615A2">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标人必须严格遵循工程量固化清单电子文件中的数据、格式及运算定义，并将已填写完毕的投标工程量清单电子文件单独拷入招标人提供的光盘（或U盘）中密封在投标文件内一并交回。严禁投标人修改工程量固化清单电子文件中的数据、格式及运算定义。</w:t>
      </w:r>
    </w:p>
    <w:p w14:paraId="71F20C99">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投标人根据招标人提供的工程量固化清单电子文件填报完成并打印的投标工程量清单中的投标报价和投标函大写金额报价应一致，如果报价金额出现差异，其投标将被否决。</w:t>
      </w:r>
    </w:p>
    <w:p w14:paraId="1ADFC5A1">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本项目招标由招标人提供书面工程量清单，由投标人按照招标人提供的工程量清单填写本合同各工程子目的单价、合价和总额价。评标委员会将按照第三章“评标办法”的规定对投标价进行算术性错误修正及其他错误修正。</w:t>
      </w:r>
    </w:p>
    <w:p w14:paraId="6A55D9F5">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3.2.2 投标人应充分了解本项目的总体情况以及影响投标报价的其他要素。</w:t>
      </w:r>
    </w:p>
    <w:p w14:paraId="085A7975">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3.2.3 本项目的报价方式见投标人须知前附表。投标人在投标截止时间前修改投标函中的投标总报价，应同时修改投标文件“已标价工程量清单”中的相应报价。此修改须符合本章第4.3款的有关要求。</w:t>
      </w:r>
    </w:p>
    <w:p w14:paraId="1265DB32">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3.2.4 投标人如果发现工程量清单中的数量与图纸中数量不一致时，应立即通知招标人核查，除非招标人以书面方式予以更正，否则，应以工程量清单中列出的数量为准。</w:t>
      </w:r>
    </w:p>
    <w:p w14:paraId="7A5E4804">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3.2.5 投标人应根据《公路水运工程安全生产监督管理办法》，在投标总价中计入安全生产费用，安全生产费用应符合合同条款第9.2.5项的规定。工程量清单第100章内列有上述安全生产费的支付子目，由投标人按招标文件的规定填写总额价。</w:t>
      </w:r>
    </w:p>
    <w:p w14:paraId="2E28CBB1">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3.2.6 除投标人须知前附表另有规定外，招标人不接受调价函。若招标人接受调价函，则应在招标文件中给出调价函的格式。投标人若有调价函则应遵循如下规定：</w:t>
      </w:r>
    </w:p>
    <w:p w14:paraId="758BAFE5">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（1）调价函必须采用招标文件规定的格式；调价函应说明调价后的最终报价，并以最终报价为准，而且投标人只能有一次调价的机会；</w:t>
      </w:r>
    </w:p>
    <w:p w14:paraId="39E41E54">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（2）工程量清单中招标人指定的报价不允许调价； </w:t>
      </w:r>
    </w:p>
    <w:p w14:paraId="7954B30E">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（3）调价函必须附有调价后的工程量清单；调价函必须粘贴或机械装订在投标文件正本首页，与投标文件一起密封提交。</w:t>
      </w:r>
    </w:p>
    <w:p w14:paraId="23368547">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若投标人未提交调价后的工程量清单，或调价函未装在投标文件正本首页，调价函均视为无效，仍以原报价作为最终报价。若投标人提交的调价函多于一个，或对不允许调价的内容进行了调价，或调价函有附加条件，其投标将被否决。</w:t>
      </w:r>
    </w:p>
    <w:p w14:paraId="0BCFD02C">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（4）若招标人接受调价函，投标人调价后的工程量清单和有效调价函的大写金额报价应保持一致，如果报价金额出现差异，则以有效调价函的大写金额报价为准。</w:t>
      </w:r>
    </w:p>
    <w:p w14:paraId="3B3E50DE">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3.2.7 在合同实施期间，投标人填写的单价、合价和总额价是否由于物价波动进行价格调整按照合同条款第16.1款的规定处理。如果按照合同条款第16.1.1项的规定采用价格调整公式进行价格调整，由招标人根据项目实际情况测算确定价格调整公式中的变值权重范围，并在投标函附录价格指数和权重表中约定范围；投标人在此范围内填写各可调因子的权重，合同实施期间将按此权重进行调价。</w:t>
      </w:r>
    </w:p>
    <w:p w14:paraId="2D79F074">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3.2.8 招标人设有最高投标限价的，投标人的投标报价不得超过最高投标限价，最高投标限价在投标</w:t>
      </w:r>
      <w:bookmarkStart w:id="94" w:name="_Toc361508600"/>
      <w:bookmarkStart w:id="95" w:name="_Toc247513968"/>
      <w:bookmarkStart w:id="96" w:name="_Toc10429"/>
      <w:bookmarkStart w:id="97" w:name="_Toc384308225"/>
      <w:bookmarkStart w:id="98" w:name="_Toc369531531"/>
      <w:bookmarkStart w:id="99" w:name="_Toc352691488"/>
      <w:bookmarkStart w:id="100" w:name="_Toc152045544"/>
      <w:bookmarkStart w:id="101" w:name="_Toc300834965"/>
      <w:bookmarkStart w:id="102" w:name="_Toc247527569"/>
      <w:bookmarkStart w:id="103" w:name="_Toc152042320"/>
      <w:bookmarkStart w:id="104" w:name="_Toc144974512"/>
      <w:r>
        <w:rPr>
          <w:rFonts w:hint="eastAsia" w:ascii="黑体" w:hAnsi="黑体" w:eastAsia="黑体" w:cs="黑体"/>
          <w:color w:val="auto"/>
          <w:sz w:val="21"/>
          <w:szCs w:val="21"/>
          <w:highlight w:val="none"/>
        </w:rPr>
        <w:t>人须知前附表中载明。</w:t>
      </w:r>
      <w:bookmarkEnd w:id="94"/>
      <w:bookmarkEnd w:id="95"/>
      <w:bookmarkEnd w:id="96"/>
      <w:bookmarkEnd w:id="97"/>
      <w:bookmarkEnd w:id="98"/>
      <w:bookmarkEnd w:id="99"/>
      <w:bookmarkEnd w:id="100"/>
      <w:bookmarkEnd w:id="101"/>
      <w:bookmarkEnd w:id="102"/>
      <w:bookmarkEnd w:id="103"/>
      <w:bookmarkEnd w:id="104"/>
    </w:p>
    <w:p w14:paraId="052CFEE4">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3.2.9 投标报价的其他要求见投标人须知前附表。</w:t>
      </w:r>
    </w:p>
    <w:p w14:paraId="4D596533">
      <w:pPr>
        <w:pStyle w:val="2"/>
        <w:shd w:val="clear" w:color="auto" w:fill="auto"/>
        <w:spacing w:before="240" w:after="240" w:line="240" w:lineRule="atLeast"/>
        <w:jc w:val="left"/>
        <w:rPr>
          <w:rFonts w:hint="eastAsia" w:ascii="黑体" w:hAnsi="黑体" w:eastAsia="黑体" w:cs="黑体"/>
          <w:b w:val="0"/>
          <w:color w:val="auto"/>
          <w:sz w:val="21"/>
          <w:szCs w:val="21"/>
          <w:highlight w:val="none"/>
        </w:rPr>
      </w:pPr>
      <w:bookmarkStart w:id="105" w:name="_Toc234832891"/>
      <w:bookmarkStart w:id="106" w:name="_Toc501257082"/>
      <w:bookmarkStart w:id="107" w:name="_Toc28001"/>
      <w:r>
        <w:rPr>
          <w:rFonts w:hint="eastAsia" w:ascii="黑体" w:hAnsi="黑体" w:eastAsia="黑体" w:cs="黑体"/>
          <w:b/>
          <w:bCs w:val="0"/>
          <w:color w:val="auto"/>
          <w:sz w:val="21"/>
          <w:szCs w:val="21"/>
          <w:highlight w:val="none"/>
        </w:rPr>
        <w:t>3.3</w:t>
      </w:r>
      <w:r>
        <w:rPr>
          <w:rFonts w:hint="eastAsia" w:ascii="黑体" w:hAnsi="黑体" w:eastAsia="黑体" w:cs="黑体"/>
          <w:b/>
          <w:bCs w:val="0"/>
          <w:color w:val="auto"/>
          <w:sz w:val="21"/>
          <w:szCs w:val="21"/>
          <w:highlight w:val="none"/>
        </w:rPr>
        <w:tab/>
      </w:r>
      <w:r>
        <w:rPr>
          <w:rFonts w:hint="eastAsia" w:ascii="黑体" w:hAnsi="黑体" w:eastAsia="黑体" w:cs="黑体"/>
          <w:b/>
          <w:bCs w:val="0"/>
          <w:color w:val="auto"/>
          <w:sz w:val="21"/>
          <w:szCs w:val="21"/>
          <w:highlight w:val="none"/>
        </w:rPr>
        <w:t>投标有效期</w:t>
      </w:r>
      <w:bookmarkEnd w:id="105"/>
      <w:bookmarkEnd w:id="106"/>
      <w:bookmarkEnd w:id="107"/>
    </w:p>
    <w:p w14:paraId="42E6E4FE">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3.3.1 除投标人须知前附表另有规定外，投标有效期为90日。</w:t>
      </w:r>
    </w:p>
    <w:p w14:paraId="32EBF6FB">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3.3.2 在投标有效期内，投标人撤销投标文件的，应承担招标文件和法律规定的责任。</w:t>
      </w:r>
    </w:p>
    <w:p w14:paraId="49574DA0">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支票形式递交的投标保证金的银行同期活期存款利息。</w:t>
      </w:r>
    </w:p>
    <w:p w14:paraId="095316D0">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108" w:name="_Toc234832892"/>
      <w:bookmarkStart w:id="109" w:name="_Toc2274"/>
      <w:bookmarkStart w:id="110" w:name="_Toc501257083"/>
      <w:r>
        <w:rPr>
          <w:rFonts w:hint="eastAsia" w:ascii="黑体" w:hAnsi="黑体" w:eastAsia="黑体" w:cs="黑体"/>
          <w:b/>
          <w:bCs w:val="0"/>
          <w:color w:val="auto"/>
          <w:sz w:val="21"/>
          <w:szCs w:val="21"/>
          <w:highlight w:val="none"/>
        </w:rPr>
        <w:t>3.4</w:t>
      </w:r>
      <w:r>
        <w:rPr>
          <w:rFonts w:hint="eastAsia" w:ascii="黑体" w:hAnsi="黑体" w:eastAsia="黑体" w:cs="黑体"/>
          <w:b/>
          <w:bCs w:val="0"/>
          <w:color w:val="auto"/>
          <w:sz w:val="21"/>
          <w:szCs w:val="21"/>
          <w:highlight w:val="none"/>
        </w:rPr>
        <w:tab/>
      </w:r>
      <w:r>
        <w:rPr>
          <w:rFonts w:hint="eastAsia" w:ascii="黑体" w:hAnsi="黑体" w:eastAsia="黑体" w:cs="黑体"/>
          <w:b/>
          <w:bCs w:val="0"/>
          <w:color w:val="auto"/>
          <w:sz w:val="21"/>
          <w:szCs w:val="21"/>
          <w:highlight w:val="none"/>
        </w:rPr>
        <w:t xml:space="preserve"> 投标保证金</w:t>
      </w:r>
      <w:bookmarkEnd w:id="108"/>
      <w:bookmarkEnd w:id="109"/>
      <w:bookmarkEnd w:id="110"/>
    </w:p>
    <w:p w14:paraId="78EE709D">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3.4.1 投标人在递交投标文件的同时，应按投标人须知前附表规定的金额和第九章“投标文件格式”规定的投标保证金格式递交投标保证金，并作为其投标文件的组成部分。联合体投标的，其投标保证金由牵头人递交，并应符合投标人须知前附表的规定。</w:t>
      </w:r>
    </w:p>
    <w:p w14:paraId="18EE1669">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投标保证金应采用现金、支票、银行保函或招标人在投标人须知前附表规定的其他形式。</w:t>
      </w:r>
    </w:p>
    <w:p w14:paraId="516E0025">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（1）若采用现金或支票，投标人应在递交投标文件截止时间之前，将投标保证金由投标人的基本账户转入招标人指定账户，否则视为投标保证金无效。招标人指定的开户银行及账号见投标人须知前附表。</w:t>
      </w:r>
    </w:p>
    <w:p w14:paraId="10782CDA">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（2）若选择开具电子保函的投标人必须登录</w:t>
      </w:r>
      <w:r>
        <w:rPr>
          <w:rFonts w:hint="eastAsia" w:ascii="黑体" w:hAnsi="黑体" w:eastAsia="黑体" w:cs="黑体"/>
          <w:color w:val="auto"/>
          <w:sz w:val="21"/>
          <w:szCs w:val="21"/>
          <w:highlight w:val="none"/>
          <w:lang w:val="en-US" w:eastAsia="zh-CN"/>
        </w:rPr>
        <w:t>内蒙古自治区公共资源交易中心</w:t>
      </w:r>
      <w:r>
        <w:rPr>
          <w:rFonts w:hint="eastAsia" w:ascii="黑体" w:hAnsi="黑体" w:eastAsia="黑体" w:cs="黑体"/>
          <w:color w:val="auto"/>
          <w:sz w:val="21"/>
          <w:szCs w:val="21"/>
          <w:highlight w:val="none"/>
        </w:rPr>
        <w:t>（https://219.148.175.179:9443/epoint-financeplatform-web/finance/index）全程在线开具电子保函。未在开标前递交的电子保函或开标系统未显示已出函的将视为放弃投标或无效投标。</w:t>
      </w:r>
    </w:p>
    <w:p w14:paraId="44AA1A27">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无论采取何种形式的投标保证金，投标保证金有效期均应与投标有效期一致。招标人如果按本章第3.3.3项的规定延长了投标有效期，则投标保证金的有效期也相应延长。</w:t>
      </w:r>
    </w:p>
    <w:p w14:paraId="603BF3C9">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3.4.2 投标人不按本章第3.4.1项要求提交投标保证金的，评标委员会将否决其投标。</w:t>
      </w:r>
    </w:p>
    <w:p w14:paraId="057F992A">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3.4.3 招标人最迟将在中标通知书发出后5日内向中标候选人以外的其他投标人退还投标保证金，与中标人签订合同后5日内向中标人和其他中标候选人退还投标保证金。投标保证金以现金或支票形式递交的，招标人应同时退还投标保证金的银行同期活期存款利息，且退还至投标人的基本账户。</w:t>
      </w:r>
    </w:p>
    <w:p w14:paraId="095D9ED9">
      <w:pPr>
        <w:shd w:val="clear" w:color="auto" w:fill="auto"/>
        <w:spacing w:line="400" w:lineRule="atLeast"/>
        <w:ind w:firstLine="420" w:firstLineChars="200"/>
        <w:jc w:val="left"/>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利息计算原则见投标人须知前附表。</w:t>
      </w:r>
    </w:p>
    <w:p w14:paraId="2A3F5D97">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3.4.4 有下列情形之一的，投标保证金将不予退还：</w:t>
      </w:r>
    </w:p>
    <w:p w14:paraId="1EE93F53">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（1）投标人在投标有效期内撤销投标文件；</w:t>
      </w:r>
    </w:p>
    <w:p w14:paraId="3731B875">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（2）中标人在收到中标通知书后，无正当理由不与招标人订立合同，在签订合同时向招标人提出附加条件，或不按照招标文件要求提交履约保证金；</w:t>
      </w:r>
    </w:p>
    <w:p w14:paraId="11AFF6C0">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（3）发生投标人须知前附表规定的其他可以不予退还投标保证金的情形。</w:t>
      </w:r>
    </w:p>
    <w:p w14:paraId="3EBFBB9A">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111" w:name="_Toc9425"/>
      <w:bookmarkStart w:id="112" w:name="_Toc501257085"/>
      <w:bookmarkStart w:id="113" w:name="_Toc234832894"/>
      <w:r>
        <w:rPr>
          <w:rFonts w:hint="eastAsia" w:ascii="黑体" w:hAnsi="黑体" w:eastAsia="黑体" w:cs="黑体"/>
          <w:b/>
          <w:bCs w:val="0"/>
          <w:color w:val="auto"/>
          <w:sz w:val="21"/>
          <w:szCs w:val="21"/>
          <w:highlight w:val="none"/>
        </w:rPr>
        <w:t>3.5</w:t>
      </w:r>
      <w:r>
        <w:rPr>
          <w:rFonts w:hint="eastAsia" w:ascii="黑体" w:hAnsi="黑体" w:eastAsia="黑体" w:cs="黑体"/>
          <w:b/>
          <w:bCs w:val="0"/>
          <w:color w:val="auto"/>
          <w:sz w:val="21"/>
          <w:szCs w:val="21"/>
          <w:highlight w:val="none"/>
        </w:rPr>
        <w:tab/>
      </w:r>
      <w:r>
        <w:rPr>
          <w:rFonts w:hint="eastAsia" w:ascii="黑体" w:hAnsi="黑体" w:eastAsia="黑体" w:cs="黑体"/>
          <w:b/>
          <w:bCs w:val="0"/>
          <w:color w:val="auto"/>
          <w:sz w:val="21"/>
          <w:szCs w:val="21"/>
          <w:highlight w:val="none"/>
        </w:rPr>
        <w:t xml:space="preserve"> 资格审查资料（适用于未进行资格预审的）</w:t>
      </w:r>
      <w:bookmarkEnd w:id="111"/>
      <w:bookmarkEnd w:id="112"/>
      <w:bookmarkEnd w:id="113"/>
    </w:p>
    <w:p w14:paraId="4E5306F6">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除投标人须知前附表另有规定外，投标人应按下列规定提供资格审查资料，以证明其满足本章第1.4款规定的资质、财务、业绩、信誉等要求。</w:t>
      </w:r>
    </w:p>
    <w:p w14:paraId="3E6170A9">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3.5.1“投标人基本情况表”应附企业法人营业执照副本和组织机构代码证副本（按照“三证合一”或“五证合一”登记制度进行登记的，可仅提供营业执照副本，下同）、施工资质证书副本、安全生产许可证副本、基本账户开户许可证的复印件</w:t>
      </w:r>
      <w:r>
        <w:rPr>
          <w:rFonts w:hint="eastAsia" w:ascii="黑体" w:hAnsi="黑体" w:eastAsia="黑体" w:cs="黑体"/>
          <w:color w:val="auto"/>
          <w:szCs w:val="21"/>
          <w:highlight w:val="none"/>
        </w:rPr>
        <w:footnoteReference w:id="2"/>
      </w:r>
      <w:r>
        <w:rPr>
          <w:rFonts w:hint="eastAsia" w:ascii="黑体" w:hAnsi="黑体" w:eastAsia="黑体" w:cs="黑体"/>
          <w:color w:val="auto"/>
          <w:szCs w:val="21"/>
          <w:highlight w:val="none"/>
        </w:rPr>
        <w:t>，投标人在交通运输部“</w:t>
      </w:r>
      <w:r>
        <w:rPr>
          <w:rFonts w:hint="eastAsia" w:ascii="黑体" w:hAnsi="黑体" w:eastAsia="黑体" w:cs="黑体"/>
          <w:color w:val="auto"/>
          <w:szCs w:val="21"/>
          <w:highlight w:val="none"/>
          <w:lang w:eastAsia="zh-CN"/>
        </w:rPr>
        <w:t>全国公路建设市场监督管理系统</w:t>
      </w:r>
      <w:r>
        <w:rPr>
          <w:rFonts w:hint="eastAsia" w:ascii="黑体" w:hAnsi="黑体" w:eastAsia="黑体" w:cs="黑体"/>
          <w:color w:val="auto"/>
          <w:szCs w:val="21"/>
          <w:highlight w:val="none"/>
        </w:rPr>
        <w:t>”公路工程施工资质企业名录中的网页截图复印件，以及投标人在国家企业信用信息公示系统中基础信息（体现股东及出资详细信息）的网页截图或由法定的社会验资机构出具的验资报告或注册地工商部门出具的股东出资情况证明复印件。</w:t>
      </w:r>
    </w:p>
    <w:p w14:paraId="09206E0C">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企业法人营业执照副本和组织机构代码证副本、施工资质证书副本、安全生产许可证副本、基本账户开户许可证的复印件应提供全本（证书封面、封底、空白页除外），应包括投标人名称、投标人其他相关信息、颁发机构名称、投标人信息变更情况等关键页在内，并逐页加盖投标人单位章。</w:t>
      </w:r>
    </w:p>
    <w:p w14:paraId="394E6F95">
      <w:pPr>
        <w:shd w:val="clear" w:color="auto" w:fill="auto"/>
        <w:topLinePunct/>
        <w:spacing w:line="360" w:lineRule="auto"/>
        <w:ind w:firstLine="420" w:firstLineChars="200"/>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3.5.2“财务状况表”应附经会计师事务所或审计机构审计的财务会计报表，包括</w:t>
      </w:r>
      <w:r>
        <w:rPr>
          <w:rFonts w:hint="eastAsia" w:ascii="黑体" w:hAnsi="黑体" w:eastAsia="黑体" w:cs="黑体"/>
          <w:color w:val="auto"/>
          <w:sz w:val="21"/>
          <w:szCs w:val="21"/>
          <w:highlight w:val="none"/>
          <w:lang w:val="en-US" w:eastAsia="zh-CN"/>
        </w:rPr>
        <w:t>审计报告正文、</w:t>
      </w:r>
      <w:r>
        <w:rPr>
          <w:rFonts w:hint="eastAsia" w:ascii="黑体" w:hAnsi="黑体" w:eastAsia="黑体" w:cs="黑体"/>
          <w:color w:val="auto"/>
          <w:szCs w:val="21"/>
          <w:highlight w:val="none"/>
        </w:rPr>
        <w:t>资产负债表、现金流量表、利润表的复印件，具体年份要求见投标人须知前附表。投标人的成立时间少于投标人须知前附表规定年份的，应提供成立以来的财务状况表。</w:t>
      </w:r>
    </w:p>
    <w:p w14:paraId="73F9559B">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3.5.3“近年完成的类似项目”应是已列入交通运输主管部门“</w:t>
      </w:r>
      <w:r>
        <w:rPr>
          <w:rFonts w:hint="eastAsia" w:ascii="黑体" w:hAnsi="黑体" w:eastAsia="黑体" w:cs="黑体"/>
          <w:color w:val="auto"/>
          <w:szCs w:val="21"/>
          <w:highlight w:val="none"/>
          <w:lang w:eastAsia="zh-CN"/>
        </w:rPr>
        <w:t>全国公路建设市场监督管理系统</w:t>
      </w:r>
      <w:r>
        <w:rPr>
          <w:rFonts w:hint="eastAsia" w:ascii="黑体" w:hAnsi="黑体" w:eastAsia="黑体" w:cs="黑体"/>
          <w:color w:val="auto"/>
          <w:szCs w:val="21"/>
          <w:highlight w:val="none"/>
        </w:rPr>
        <w:t>”并公开的主包已建业绩或分包已建业绩，具体时间要求见投标人须知前附表。</w:t>
      </w:r>
    </w:p>
    <w:p w14:paraId="50F4A768">
      <w:pPr>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“近年完成的类似项目情况表”应附在交通运输部“</w:t>
      </w:r>
      <w:r>
        <w:rPr>
          <w:rFonts w:hint="eastAsia" w:ascii="黑体" w:hAnsi="黑体" w:eastAsia="黑体" w:cs="黑体"/>
          <w:color w:val="auto"/>
          <w:sz w:val="21"/>
          <w:szCs w:val="21"/>
          <w:highlight w:val="none"/>
          <w:lang w:eastAsia="zh-CN"/>
        </w:rPr>
        <w:t>全国公路建设市场监督管理系统</w:t>
      </w:r>
      <w:r>
        <w:rPr>
          <w:rFonts w:hint="eastAsia" w:ascii="黑体" w:hAnsi="黑体" w:eastAsia="黑体" w:cs="黑体"/>
          <w:color w:val="auto"/>
          <w:sz w:val="21"/>
          <w:szCs w:val="21"/>
          <w:highlight w:val="none"/>
        </w:rPr>
        <w:t>”（网址：</w:t>
      </w:r>
      <w:r>
        <w:rPr>
          <w:rFonts w:hint="eastAsia" w:ascii="黑体" w:hAnsi="黑体" w:eastAsia="黑体" w:cs="黑体"/>
          <w:color w:val="auto"/>
          <w:sz w:val="21"/>
          <w:szCs w:val="21"/>
          <w:highlight w:val="none"/>
          <w:lang w:eastAsia="zh-CN"/>
        </w:rPr>
        <w:t>https://hwdms.mot.gov.cn</w:t>
      </w:r>
      <w:r>
        <w:rPr>
          <w:rFonts w:hint="eastAsia" w:ascii="黑体" w:hAnsi="黑体" w:eastAsia="黑体" w:cs="黑体"/>
          <w:color w:val="auto"/>
          <w:sz w:val="21"/>
          <w:szCs w:val="21"/>
          <w:highlight w:val="none"/>
        </w:rPr>
        <w:t>）中查询到的企业“业绩信息”相关项目网页截图复印件，即包括“项目名称”“标段类型”“合同价”“主要工程量”“项目主要管理人员”等栏目在内的项目详细信息网页截图复印件。在交通运输部“</w:t>
      </w:r>
      <w:r>
        <w:rPr>
          <w:rFonts w:hint="eastAsia" w:ascii="黑体" w:hAnsi="黑体" w:eastAsia="黑体" w:cs="黑体"/>
          <w:color w:val="auto"/>
          <w:sz w:val="21"/>
          <w:szCs w:val="21"/>
          <w:highlight w:val="none"/>
          <w:lang w:eastAsia="zh-CN"/>
        </w:rPr>
        <w:t>全国公路建设市场监督管理系统</w:t>
      </w:r>
      <w:r>
        <w:rPr>
          <w:rFonts w:hint="eastAsia" w:ascii="黑体" w:hAnsi="黑体" w:eastAsia="黑体" w:cs="黑体"/>
          <w:color w:val="auto"/>
          <w:sz w:val="21"/>
          <w:szCs w:val="21"/>
          <w:highlight w:val="none"/>
        </w:rPr>
        <w:t>”中无法查询，但可在</w:t>
      </w:r>
      <w:r>
        <w:rPr>
          <w:rFonts w:hint="eastAsia" w:ascii="黑体" w:hAnsi="黑体" w:eastAsia="黑体" w:cs="黑体"/>
          <w:color w:val="auto"/>
          <w:sz w:val="21"/>
          <w:szCs w:val="21"/>
          <w:highlight w:val="none"/>
          <w:lang w:val="en-US" w:eastAsia="zh-CN"/>
        </w:rPr>
        <w:t>企业所在地或项目所在地</w:t>
      </w:r>
      <w:r>
        <w:rPr>
          <w:rFonts w:hint="eastAsia" w:ascii="黑体" w:hAnsi="黑体" w:eastAsia="黑体" w:cs="黑体"/>
          <w:color w:val="auto"/>
          <w:sz w:val="21"/>
          <w:szCs w:val="21"/>
          <w:highlight w:val="none"/>
        </w:rPr>
        <w:t>省级交通运输主管部门“</w:t>
      </w:r>
      <w:r>
        <w:rPr>
          <w:rFonts w:hint="eastAsia" w:ascii="黑体" w:hAnsi="黑体" w:eastAsia="黑体" w:cs="黑体"/>
          <w:color w:val="auto"/>
          <w:sz w:val="21"/>
          <w:szCs w:val="21"/>
          <w:highlight w:val="none"/>
          <w:lang w:eastAsia="zh-CN"/>
        </w:rPr>
        <w:t>公路建设市场监督管理系统</w:t>
      </w:r>
      <w:r>
        <w:rPr>
          <w:rFonts w:hint="eastAsia" w:ascii="黑体" w:hAnsi="黑体" w:eastAsia="黑体" w:cs="黑体"/>
          <w:color w:val="auto"/>
          <w:sz w:val="21"/>
          <w:szCs w:val="21"/>
          <w:highlight w:val="none"/>
        </w:rPr>
        <w:t>”中查询的，应附省级交通运输主管部门“</w:t>
      </w:r>
      <w:r>
        <w:rPr>
          <w:rFonts w:hint="eastAsia" w:ascii="黑体" w:hAnsi="黑体" w:eastAsia="黑体" w:cs="黑体"/>
          <w:color w:val="auto"/>
          <w:sz w:val="21"/>
          <w:szCs w:val="21"/>
          <w:highlight w:val="none"/>
          <w:lang w:eastAsia="zh-CN"/>
        </w:rPr>
        <w:t>公路建设市场监督管理系统</w:t>
      </w:r>
      <w:r>
        <w:rPr>
          <w:rFonts w:hint="eastAsia" w:ascii="黑体" w:hAnsi="黑体" w:eastAsia="黑体" w:cs="黑体"/>
          <w:color w:val="auto"/>
          <w:sz w:val="21"/>
          <w:szCs w:val="21"/>
          <w:highlight w:val="none"/>
        </w:rPr>
        <w:t>”中查询到的网页截图复印件。除网页截图复印件外，投标人无须再提供任何业绩证明材料。</w:t>
      </w:r>
    </w:p>
    <w:p w14:paraId="4185A1E8">
      <w:pPr>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如投标人未提供相关项目网页截图复印件或相关项目网页截图中的信息无法证实投标人满足招标文件规定的资格审查条件（业绩最低要求），则该项目业绩不予认定。</w:t>
      </w:r>
    </w:p>
    <w:p w14:paraId="4524FE4A">
      <w:pPr>
        <w:pStyle w:val="8"/>
        <w:spacing w:line="360" w:lineRule="auto"/>
        <w:ind w:firstLine="420" w:firstLineChars="200"/>
        <w:rPr>
          <w:rFonts w:hint="eastAsia"/>
          <w:b/>
          <w:bCs/>
          <w:highlight w:val="none"/>
        </w:rPr>
      </w:pPr>
      <w:r>
        <w:rPr>
          <w:rFonts w:hint="eastAsia" w:ascii="黑体" w:hAnsi="黑体" w:eastAsia="黑体" w:cs="黑体"/>
          <w:color w:val="auto"/>
          <w:szCs w:val="21"/>
          <w:highlight w:val="none"/>
        </w:rPr>
        <w:t>3.5.4“投标人的信誉情况表”应附投标人在国家企业信用信息公示系统中未被列入严重违</w:t>
      </w:r>
      <w:r>
        <w:rPr>
          <w:rFonts w:hint="eastAsia" w:ascii="黑体" w:hAnsi="黑体" w:eastAsia="黑体" w:cs="黑体"/>
          <w:b w:val="0"/>
          <w:bCs w:val="0"/>
          <w:color w:val="auto"/>
          <w:szCs w:val="21"/>
          <w:highlight w:val="none"/>
        </w:rPr>
        <w:t>法失信企业名单、在“信用中国”网站中未被列入失信被执行人名单的网页截图复印件，</w:t>
      </w:r>
      <w:r>
        <w:rPr>
          <w:rFonts w:hint="eastAsia" w:ascii="黑体" w:hAnsi="黑体" w:eastAsia="黑体" w:cs="黑体"/>
          <w:b w:val="0"/>
          <w:bCs w:val="0"/>
          <w:color w:val="auto"/>
          <w:szCs w:val="21"/>
          <w:highlight w:val="none"/>
          <w:lang w:val="en-US" w:eastAsia="zh-CN"/>
        </w:rPr>
        <w:t>投标人提供的承诺投标人及其法定代表人、拟委任的项目经理在近三年内无行贿犯罪行为的书面承诺书的彩色扫描件（承诺书格式自拟，但应加盖单位公章）。</w:t>
      </w:r>
    </w:p>
    <w:p w14:paraId="1A53E7FA">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3.5.5““拟委任的项目经理和项目总工资历表”应附项目经理和项目总工的身份证、职称资格证书以及资格审查条件所要求的其他相关证书（如建造师注册证书、安全生产考核合格证书等）的复印件，建造师注册证书、安全生产考核合格证书在政府相关部门网站上公开信息的网页截图复印件，以及投标人所属社保机构出具的拟委任的项目经理和项目总工的社保缴费证明或其他能够证明拟委任的项目经理和项目总工参加社保的有效证明材料复印件。</w:t>
      </w:r>
    </w:p>
    <w:p w14:paraId="3A1FC641">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“拟委任的项目经理和项目总工资历表”还应附交通运输部“</w:t>
      </w:r>
      <w:r>
        <w:rPr>
          <w:rFonts w:hint="eastAsia" w:ascii="黑体" w:hAnsi="黑体" w:eastAsia="黑体" w:cs="黑体"/>
          <w:color w:val="auto"/>
          <w:szCs w:val="21"/>
          <w:highlight w:val="none"/>
          <w:lang w:eastAsia="zh-CN"/>
        </w:rPr>
        <w:t>全国公路建设市场监督管理系统</w:t>
      </w:r>
      <w:r>
        <w:rPr>
          <w:rFonts w:hint="eastAsia" w:ascii="黑体" w:hAnsi="黑体" w:eastAsia="黑体" w:cs="黑体"/>
          <w:color w:val="auto"/>
          <w:szCs w:val="21"/>
          <w:highlight w:val="none"/>
        </w:rPr>
        <w:t>”中载明的、能够证明项目经理和项目总工具有相关业绩的网页截图复印件。在交通运输部“</w:t>
      </w:r>
      <w:r>
        <w:rPr>
          <w:rFonts w:hint="eastAsia" w:ascii="黑体" w:hAnsi="黑体" w:eastAsia="黑体" w:cs="黑体"/>
          <w:color w:val="auto"/>
          <w:szCs w:val="21"/>
          <w:highlight w:val="none"/>
          <w:lang w:eastAsia="zh-CN"/>
        </w:rPr>
        <w:t>全国公路建设市场监督管理系统</w:t>
      </w:r>
      <w:r>
        <w:rPr>
          <w:rFonts w:hint="eastAsia" w:ascii="黑体" w:hAnsi="黑体" w:eastAsia="黑体" w:cs="黑体"/>
          <w:color w:val="auto"/>
          <w:szCs w:val="21"/>
          <w:highlight w:val="none"/>
        </w:rPr>
        <w:t>”中无法查询，但可在省级交通运输主管部门“</w:t>
      </w:r>
      <w:r>
        <w:rPr>
          <w:rFonts w:hint="eastAsia" w:ascii="黑体" w:hAnsi="黑体" w:eastAsia="黑体" w:cs="黑体"/>
          <w:color w:val="auto"/>
          <w:szCs w:val="21"/>
          <w:highlight w:val="none"/>
          <w:lang w:eastAsia="zh-CN"/>
        </w:rPr>
        <w:t>公路建设市场监督管理系统</w:t>
      </w:r>
      <w:r>
        <w:rPr>
          <w:rFonts w:hint="eastAsia" w:ascii="黑体" w:hAnsi="黑体" w:eastAsia="黑体" w:cs="黑体"/>
          <w:color w:val="auto"/>
          <w:szCs w:val="21"/>
          <w:highlight w:val="none"/>
        </w:rPr>
        <w:t>”中查询的，应附省级交通运输主管部门“</w:t>
      </w:r>
      <w:r>
        <w:rPr>
          <w:rFonts w:hint="eastAsia" w:ascii="黑体" w:hAnsi="黑体" w:eastAsia="黑体" w:cs="黑体"/>
          <w:color w:val="auto"/>
          <w:szCs w:val="21"/>
          <w:highlight w:val="none"/>
          <w:lang w:eastAsia="zh-CN"/>
        </w:rPr>
        <w:t>公路建设市场监督管理系统</w:t>
      </w:r>
      <w:r>
        <w:rPr>
          <w:rFonts w:hint="eastAsia" w:ascii="黑体" w:hAnsi="黑体" w:eastAsia="黑体" w:cs="黑体"/>
          <w:color w:val="auto"/>
          <w:szCs w:val="21"/>
          <w:highlight w:val="none"/>
        </w:rPr>
        <w:t>”中查询到的网页截图复印件。除网页截图复印件外，投标人无须再提供任何业绩证明材料。如投标人未提供相关业绩网页截图复印件或相关业绩网页截图中的信息无法证实投标人满足招标文件规定的资格审查条件（项目经理和项目总工最低要求），则该业绩不予认定。</w:t>
      </w:r>
    </w:p>
    <w:p w14:paraId="2B9E3CD7">
      <w:pPr>
        <w:spacing w:line="360" w:lineRule="auto"/>
        <w:ind w:firstLine="420" w:firstLineChars="200"/>
        <w:rPr>
          <w:rFonts w:hint="eastAsia" w:ascii="黑体" w:hAnsi="黑体" w:eastAsia="黑体" w:cs="黑体"/>
          <w:b/>
          <w:bCs/>
          <w:color w:val="auto"/>
          <w:szCs w:val="21"/>
          <w:highlight w:val="none"/>
        </w:rPr>
      </w:pPr>
      <w:r>
        <w:rPr>
          <w:rFonts w:hint="eastAsia" w:ascii="黑体" w:hAnsi="黑体" w:eastAsia="黑体" w:cs="黑体"/>
          <w:color w:val="auto"/>
          <w:szCs w:val="21"/>
          <w:highlight w:val="none"/>
        </w:rPr>
        <w:t>如项目经理或项目总工目前仍在其他项目上任职，则投标人应提供由该项目发包人出具的、承诺上述人员能够从该项目撤离的书面证明材料原件。</w:t>
      </w:r>
    </w:p>
    <w:p w14:paraId="4C0D90E6">
      <w:pPr>
        <w:pStyle w:val="21"/>
        <w:spacing w:line="360" w:lineRule="auto"/>
        <w:ind w:left="0" w:leftChars="0" w:firstLine="422" w:firstLineChars="200"/>
        <w:rPr>
          <w:rFonts w:hint="eastAsia"/>
          <w:highlight w:val="none"/>
        </w:rPr>
      </w:pPr>
      <w:r>
        <w:rPr>
          <w:rFonts w:hint="eastAsia" w:ascii="黑体" w:hAnsi="黑体" w:eastAsia="黑体" w:cs="黑体"/>
          <w:b/>
          <w:bCs/>
          <w:color w:val="auto"/>
          <w:szCs w:val="21"/>
          <w:highlight w:val="none"/>
        </w:rPr>
        <w:t>注：投标人拟派的项目经理为一级建造师，则应提供一级建造师电子注册证书。且符合《住房和城乡建设部办公厅关于全面实行一级建造师电子注册证书的通知》（建办市〔2021〕40号）相关规定。</w:t>
      </w:r>
    </w:p>
    <w:p w14:paraId="25EE72D7">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3.5.6“拟委任的其他管理和技术人员汇总表”（如有）应填报满足投标人须知前附表附录6规定的其他人员的相关信息。“拟委任的其他管理和技术人员资历表”（如有）中相关人员应附身份证、职称资格证书以及资格审查条件所要求的其他相关证书的复印件，相关业绩证明材料复印件，以及投标人所属社保机构出具的社保缴费证明或其他能够证明其参加社保的有效证明材料复印件。</w:t>
      </w:r>
    </w:p>
    <w:p w14:paraId="137058D5">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3.5.7“拟投入本标段的主要施工机械表”“拟配备本标段的主要材料试验、测量、质检仪器设备表”（如有）应填报满足投标人须知前附表附录7规定的机械设备和试验检测设备。</w:t>
      </w:r>
    </w:p>
    <w:p w14:paraId="24A6426E">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3.5.8投标人须知前附表规定接受联合体投标的，本章第3.5.1项至第3.5.7项规定的表格和资料应包括联合体各方相关情况。</w:t>
      </w:r>
    </w:p>
    <w:p w14:paraId="5E4A93D5">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3.5.9除合同条款约定的特殊情形外，投标人在投标文件中填报的项目经理和项目总工不允许更换。</w:t>
      </w:r>
    </w:p>
    <w:p w14:paraId="73CE0B38">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3.5.10投标人在投标文件中填报的资质、业绩、主要人员资历和目前在岗情况、信用等级等信息，应与其在交通运输主管部门“公路建设市场信用信息管理系统”上填报并发布的相关信息一致。投标人应根据本单位实际情况及时完成相关信息的申报、录入和动态更新，并对相关信息的真实性、完整性和准确性负责。</w:t>
      </w:r>
    </w:p>
    <w:p w14:paraId="72D465FD">
      <w:pPr>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Cs w:val="21"/>
          <w:highlight w:val="none"/>
        </w:rPr>
        <w:t>3.5.11招标人有权核查投标人在资格预审申请文件和投标文件中提供的资料，若在评标期间发现投标人提供了虚假资料，其投标将被否决；若在签订合同前发现作为中标候选人的投标人提供了虚假资料，招标人有权取消其中标资格；若在合同实施期间发现投标人提供了虚假资料，招标人有权从工程支付款或履约保证金中扣除不超过10%签约合同价的金额作为违约金。同时招标人将投标人上述弄虚作假行为上报省级交通运输主管部门，作为不良记录纳入公路建设市场信用信息管理系统。</w:t>
      </w:r>
    </w:p>
    <w:p w14:paraId="6C5FF0B7">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114" w:name="_Toc234832895"/>
      <w:bookmarkStart w:id="115" w:name="_Toc4559"/>
      <w:bookmarkStart w:id="116" w:name="_Toc501257086"/>
      <w:r>
        <w:rPr>
          <w:rFonts w:hint="eastAsia" w:ascii="黑体" w:hAnsi="黑体" w:eastAsia="黑体" w:cs="黑体"/>
          <w:b/>
          <w:bCs w:val="0"/>
          <w:color w:val="auto"/>
          <w:sz w:val="21"/>
          <w:szCs w:val="21"/>
          <w:highlight w:val="none"/>
        </w:rPr>
        <w:t>3.6 备选投标方案</w:t>
      </w:r>
      <w:bookmarkEnd w:id="114"/>
      <w:bookmarkEnd w:id="115"/>
      <w:bookmarkEnd w:id="116"/>
    </w:p>
    <w:p w14:paraId="12757DCF">
      <w:pPr>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3.6.1 除投标人须知前附表规定允许外，投标人不得递交备选投标方案，否则其投标将被否决。</w:t>
      </w:r>
    </w:p>
    <w:p w14:paraId="2FEFE049">
      <w:pPr>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1844B94C">
      <w:pPr>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3.6.3 投标人提供两个或两个以上投标报价，或在投标文件中提供一个报价，但同时提供两个或两个以上</w:t>
      </w:r>
      <w:bookmarkStart w:id="117" w:name="_Toc152045550"/>
      <w:bookmarkStart w:id="118" w:name="_Toc300834971"/>
      <w:bookmarkStart w:id="119" w:name="_Toc352691495"/>
      <w:bookmarkStart w:id="120" w:name="_Toc29902"/>
      <w:bookmarkStart w:id="121" w:name="_Toc369531538"/>
      <w:bookmarkStart w:id="122" w:name="_Toc247527575"/>
      <w:bookmarkStart w:id="123" w:name="_Toc247513974"/>
      <w:bookmarkStart w:id="124" w:name="_Toc384308232"/>
      <w:bookmarkStart w:id="125" w:name="_Toc361508607"/>
      <w:bookmarkStart w:id="126" w:name="_Toc152042326"/>
      <w:bookmarkStart w:id="127" w:name="_Toc144974518"/>
      <w:r>
        <w:rPr>
          <w:rFonts w:hint="eastAsia" w:ascii="黑体" w:hAnsi="黑体" w:eastAsia="黑体" w:cs="黑体"/>
          <w:color w:val="auto"/>
          <w:sz w:val="21"/>
          <w:szCs w:val="21"/>
          <w:highlight w:val="none"/>
        </w:rPr>
        <w:t>施工组织设计的</w:t>
      </w:r>
      <w:bookmarkEnd w:id="117"/>
      <w:bookmarkEnd w:id="118"/>
      <w:bookmarkEnd w:id="119"/>
      <w:bookmarkEnd w:id="120"/>
      <w:bookmarkEnd w:id="121"/>
      <w:bookmarkEnd w:id="122"/>
      <w:bookmarkEnd w:id="123"/>
      <w:bookmarkEnd w:id="124"/>
      <w:bookmarkEnd w:id="125"/>
      <w:bookmarkEnd w:id="126"/>
      <w:bookmarkEnd w:id="127"/>
      <w:r>
        <w:rPr>
          <w:rFonts w:hint="eastAsia" w:ascii="黑体" w:hAnsi="黑体" w:eastAsia="黑体" w:cs="黑体"/>
          <w:color w:val="auto"/>
          <w:sz w:val="21"/>
          <w:szCs w:val="21"/>
          <w:highlight w:val="none"/>
        </w:rPr>
        <w:t>，视为提供备选方案。</w:t>
      </w:r>
    </w:p>
    <w:p w14:paraId="117E5DBD">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128" w:name="_Toc501257087"/>
      <w:bookmarkStart w:id="129" w:name="_Toc2723"/>
      <w:bookmarkStart w:id="130" w:name="_Toc234832896"/>
      <w:r>
        <w:rPr>
          <w:rFonts w:hint="eastAsia" w:ascii="黑体" w:hAnsi="黑体" w:eastAsia="黑体" w:cs="黑体"/>
          <w:b/>
          <w:bCs w:val="0"/>
          <w:color w:val="auto"/>
          <w:sz w:val="21"/>
          <w:szCs w:val="21"/>
          <w:highlight w:val="none"/>
        </w:rPr>
        <w:t>3.7 投标文件的编制</w:t>
      </w:r>
      <w:bookmarkEnd w:id="128"/>
      <w:bookmarkEnd w:id="129"/>
      <w:bookmarkEnd w:id="130"/>
    </w:p>
    <w:p w14:paraId="60DF3A28">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3.7.1 投标文件应按第九章“投标文件格式”进行编写，如有必要，可以增加附页，作为投标文件的组成部分。其中，投标函附录在满足招标文件实质性要求的基础上，可以提出比招标文件要求更有利于招标人的承诺。</w:t>
      </w:r>
    </w:p>
    <w:p w14:paraId="3D51F6BD">
      <w:pPr>
        <w:shd w:val="clear" w:color="auto" w:fill="auto"/>
        <w:spacing w:line="400" w:lineRule="atLeast"/>
        <w:ind w:firstLine="420" w:firstLineChars="200"/>
        <w:jc w:val="left"/>
        <w:rPr>
          <w:rFonts w:hint="eastAsia" w:ascii="黑体" w:hAnsi="黑体" w:eastAsia="黑体" w:cs="黑体"/>
          <w:iCs/>
          <w:color w:val="auto"/>
          <w:sz w:val="21"/>
          <w:szCs w:val="21"/>
          <w:highlight w:val="none"/>
        </w:rPr>
      </w:pPr>
      <w:r>
        <w:rPr>
          <w:rFonts w:hint="eastAsia" w:ascii="黑体" w:hAnsi="黑体" w:eastAsia="黑体" w:cs="黑体"/>
          <w:color w:val="auto"/>
          <w:sz w:val="21"/>
          <w:szCs w:val="21"/>
          <w:highlight w:val="none"/>
        </w:rPr>
        <w:t>3.7.2 投标文件应对招标文件有关</w:t>
      </w:r>
      <w:r>
        <w:rPr>
          <w:rFonts w:hint="eastAsia" w:ascii="黑体" w:hAnsi="黑体" w:eastAsia="黑体" w:cs="黑体"/>
          <w:iCs/>
          <w:color w:val="auto"/>
          <w:sz w:val="21"/>
          <w:szCs w:val="21"/>
          <w:highlight w:val="none"/>
        </w:rPr>
        <w:t>工期、投标有效期、质量要求、</w:t>
      </w:r>
      <w:r>
        <w:rPr>
          <w:rFonts w:hint="eastAsia" w:ascii="黑体" w:hAnsi="黑体" w:eastAsia="黑体" w:cs="黑体"/>
          <w:color w:val="auto"/>
          <w:sz w:val="21"/>
          <w:szCs w:val="21"/>
          <w:highlight w:val="none"/>
        </w:rPr>
        <w:t>安全目标、</w:t>
      </w:r>
      <w:r>
        <w:rPr>
          <w:rFonts w:hint="eastAsia" w:ascii="黑体" w:hAnsi="黑体" w:eastAsia="黑体" w:cs="黑体"/>
          <w:iCs/>
          <w:color w:val="auto"/>
          <w:sz w:val="21"/>
          <w:szCs w:val="21"/>
          <w:highlight w:val="none"/>
        </w:rPr>
        <w:t>技术标准和要求、招标范围等实质性内容作出响应。</w:t>
      </w:r>
    </w:p>
    <w:p w14:paraId="1044B217">
      <w:pPr>
        <w:spacing w:line="360" w:lineRule="auto"/>
        <w:ind w:firstLine="420" w:firstLineChars="200"/>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3.7.3投标文件的制作应满足以下规定：</w:t>
      </w:r>
    </w:p>
    <w:p w14:paraId="7787C6FB">
      <w:pPr>
        <w:numPr>
          <w:ilvl w:val="0"/>
          <w:numId w:val="3"/>
        </w:numPr>
        <w:spacing w:line="360" w:lineRule="auto"/>
        <w:ind w:firstLine="420" w:firstLineChars="200"/>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投标文件由投标人使用“新点投标文件制作软件”制作生成。</w:t>
      </w:r>
    </w:p>
    <w:p w14:paraId="20F6BF79">
      <w:pPr>
        <w:numPr>
          <w:ilvl w:val="0"/>
          <w:numId w:val="3"/>
        </w:numPr>
        <w:spacing w:line="360" w:lineRule="auto"/>
        <w:ind w:firstLine="420" w:firstLineChars="200"/>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投标人在编制投标文件时应按照标签提示导入相关内容。</w:t>
      </w:r>
    </w:p>
    <w:p w14:paraId="2006D585">
      <w:pPr>
        <w:numPr>
          <w:ilvl w:val="0"/>
          <w:numId w:val="3"/>
        </w:numPr>
        <w:spacing w:line="360" w:lineRule="auto"/>
        <w:ind w:firstLine="420" w:firstLineChars="200"/>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投标文件中证明材料的“复印件”均为“原件的扫描件”，投标人使用新点投标文件制作软件制作加密投标文件。</w:t>
      </w:r>
    </w:p>
    <w:p w14:paraId="68C883E5">
      <w:pPr>
        <w:numPr>
          <w:ilvl w:val="0"/>
          <w:numId w:val="3"/>
        </w:numPr>
        <w:spacing w:line="360" w:lineRule="auto"/>
        <w:ind w:firstLine="420" w:firstLineChars="200"/>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投标文件中的已标价工程量清单数据文件应与招标人提供的工程量清单数据文件格式一致。</w:t>
      </w:r>
    </w:p>
    <w:p w14:paraId="02DFE7CB">
      <w:pPr>
        <w:spacing w:line="360" w:lineRule="auto"/>
        <w:ind w:firstLine="420" w:firstLineChars="200"/>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5）第九章“投标文件格式”中要求盖单位章和（或）法人盖章的地方，投标人均应使用CA数字证书加盖投标人的单位电子印章和（或）法定代表人的个人电子印章。联合体投标的，投标文件由联合体牵头人按上述规定加盖联合体牵头人单位电子印章和（或）法定代表人的个人电子印章。</w:t>
      </w:r>
      <w:r>
        <w:rPr>
          <w:rFonts w:hint="eastAsia" w:ascii="黑体" w:hAnsi="黑体" w:eastAsia="黑体" w:cs="黑体"/>
          <w:b/>
          <w:bCs/>
          <w:color w:val="auto"/>
          <w:highlight w:val="none"/>
        </w:rPr>
        <w:t>（</w:t>
      </w:r>
      <w:r>
        <w:rPr>
          <w:rFonts w:hint="eastAsia" w:ascii="黑体" w:hAnsi="黑体" w:eastAsia="黑体" w:cs="黑体"/>
          <w:b/>
          <w:bCs/>
          <w:color w:val="auto"/>
          <w:highlight w:val="none"/>
          <w:lang w:eastAsia="zh-CN"/>
        </w:rPr>
        <w:t>注：</w:t>
      </w:r>
      <w:r>
        <w:rPr>
          <w:rFonts w:hint="eastAsia" w:ascii="黑体" w:hAnsi="黑体" w:eastAsia="黑体" w:cs="黑体"/>
          <w:b/>
          <w:bCs/>
          <w:color w:val="auto"/>
          <w:highlight w:val="none"/>
        </w:rPr>
        <w:t>投标文件必须由投标人的法定代表人或授权委托人按规定在指定签字位置亲笔签署姓名（投标文件中要求签字部分可由本人亲笔签字后扫描并粘贴至签字位置，投标报价文件（投标函除外）可将造价人员执业印章及造价人员亲笔签字扫描并粘贴至所需盖章及签字位置）</w:t>
      </w:r>
      <w:r>
        <w:rPr>
          <w:rFonts w:hint="eastAsia" w:ascii="黑体" w:hAnsi="黑体" w:eastAsia="黑体" w:cs="黑体"/>
          <w:b/>
          <w:bCs/>
          <w:color w:val="auto"/>
          <w:highlight w:val="none"/>
          <w:lang w:eastAsia="zh-CN"/>
        </w:rPr>
        <w:t>。</w:t>
      </w:r>
    </w:p>
    <w:p w14:paraId="45CF3813">
      <w:pPr>
        <w:numPr>
          <w:ilvl w:val="0"/>
          <w:numId w:val="0"/>
        </w:numPr>
        <w:spacing w:line="360" w:lineRule="auto"/>
        <w:ind w:firstLine="420" w:firstLineChars="200"/>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（6）投标人使用“新点投标文件制作软件”生成电子版加密投标文件（扩展名为HLBETF），在内蒙古自治区公共资源电子交易平台投标人系统内上传电子版加密投标文件。</w:t>
      </w:r>
    </w:p>
    <w:p w14:paraId="58DD4B39">
      <w:pPr>
        <w:spacing w:line="360" w:lineRule="auto"/>
        <w:ind w:left="120" w:leftChars="57" w:firstLine="315" w:firstLineChars="150"/>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w:t>
      </w:r>
      <w:r>
        <w:rPr>
          <w:rFonts w:hint="eastAsia" w:ascii="黑体" w:hAnsi="黑体" w:eastAsia="黑体" w:cs="黑体"/>
          <w:color w:val="auto"/>
          <w:szCs w:val="21"/>
          <w:highlight w:val="none"/>
          <w:lang w:val="en-US" w:eastAsia="zh-CN"/>
        </w:rPr>
        <w:t>7</w:t>
      </w:r>
      <w:r>
        <w:rPr>
          <w:rFonts w:hint="eastAsia" w:ascii="黑体" w:hAnsi="黑体" w:eastAsia="黑体" w:cs="黑体"/>
          <w:color w:val="auto"/>
          <w:szCs w:val="21"/>
          <w:highlight w:val="none"/>
          <w:lang w:eastAsia="zh-CN"/>
        </w:rPr>
        <w:t>）投标文件制作的具体方法详见</w:t>
      </w:r>
      <w:r>
        <w:rPr>
          <w:rFonts w:hint="eastAsia" w:ascii="黑体" w:hAnsi="黑体" w:eastAsia="黑体" w:cs="黑体"/>
          <w:color w:val="auto"/>
          <w:szCs w:val="21"/>
          <w:highlight w:val="none"/>
          <w:lang w:val="en-US" w:eastAsia="zh-CN"/>
        </w:rPr>
        <w:t>内蒙古自治区工程项目交易系统</w:t>
      </w:r>
      <w:r>
        <w:rPr>
          <w:rFonts w:hint="eastAsia" w:ascii="黑体" w:hAnsi="黑体" w:eastAsia="黑体" w:cs="黑体"/>
          <w:color w:val="auto"/>
          <w:szCs w:val="21"/>
          <w:highlight w:val="none"/>
          <w:lang w:eastAsia="zh-CN"/>
        </w:rPr>
        <w:t>（https://219.148.175.179:9443/tpbidder）</w:t>
      </w:r>
      <w:r>
        <w:rPr>
          <w:rFonts w:hint="eastAsia" w:ascii="黑体" w:hAnsi="黑体" w:eastAsia="黑体" w:cs="黑体"/>
          <w:color w:val="auto"/>
          <w:szCs w:val="21"/>
          <w:highlight w:val="none"/>
          <w:lang w:val="en-US" w:eastAsia="zh-CN"/>
        </w:rPr>
        <w:t>下载的操作手册</w:t>
      </w:r>
      <w:r>
        <w:rPr>
          <w:rFonts w:hint="eastAsia" w:ascii="黑体" w:hAnsi="黑体" w:eastAsia="黑体" w:cs="黑体"/>
          <w:color w:val="auto"/>
          <w:szCs w:val="21"/>
          <w:highlight w:val="none"/>
          <w:lang w:eastAsia="zh-CN"/>
        </w:rPr>
        <w:t>。</w:t>
      </w:r>
    </w:p>
    <w:p w14:paraId="7489C823">
      <w:pPr>
        <w:spacing w:line="360" w:lineRule="auto"/>
        <w:ind w:left="120" w:leftChars="57" w:firstLine="315" w:firstLineChars="150"/>
        <w:rPr>
          <w:rFonts w:hint="eastAsia" w:ascii="黑体" w:hAnsi="黑体" w:eastAsia="黑体" w:cs="黑体"/>
          <w:color w:val="auto"/>
          <w:sz w:val="21"/>
          <w:szCs w:val="21"/>
          <w:highlight w:val="none"/>
        </w:rPr>
      </w:pPr>
      <w:r>
        <w:rPr>
          <w:rFonts w:hint="eastAsia" w:ascii="黑体" w:hAnsi="黑体" w:eastAsia="黑体" w:cs="黑体"/>
          <w:color w:val="auto"/>
          <w:szCs w:val="21"/>
          <w:highlight w:val="none"/>
        </w:rPr>
        <w:t>3.7.4</w:t>
      </w:r>
      <w:r>
        <w:rPr>
          <w:rFonts w:hint="eastAsia" w:ascii="黑体" w:hAnsi="黑体" w:eastAsia="黑体" w:cs="黑体"/>
          <w:color w:val="auto"/>
          <w:szCs w:val="21"/>
          <w:highlight w:val="none"/>
          <w:lang w:val="en-US" w:eastAsia="zh-CN"/>
        </w:rPr>
        <w:t xml:space="preserve"> 投标文件份数见投标人须知前附表。</w:t>
      </w:r>
    </w:p>
    <w:p w14:paraId="02E5B9C4">
      <w:pPr>
        <w:pStyle w:val="2"/>
        <w:shd w:val="clear" w:color="auto" w:fill="auto"/>
        <w:spacing w:before="360" w:after="240" w:line="240" w:lineRule="atLeast"/>
        <w:jc w:val="left"/>
        <w:rPr>
          <w:rFonts w:hint="eastAsia" w:ascii="黑体" w:hAnsi="黑体" w:eastAsia="黑体" w:cs="黑体"/>
          <w:b/>
          <w:bCs w:val="0"/>
          <w:color w:val="auto"/>
          <w:sz w:val="21"/>
          <w:szCs w:val="21"/>
          <w:highlight w:val="none"/>
        </w:rPr>
      </w:pPr>
      <w:bookmarkStart w:id="131" w:name="_Toc234832897"/>
      <w:bookmarkStart w:id="132" w:name="_Toc946"/>
      <w:bookmarkStart w:id="133" w:name="_Toc501257088"/>
      <w:r>
        <w:rPr>
          <w:rFonts w:hint="eastAsia" w:ascii="黑体" w:hAnsi="黑体" w:eastAsia="黑体" w:cs="黑体"/>
          <w:b/>
          <w:bCs w:val="0"/>
          <w:color w:val="auto"/>
          <w:sz w:val="21"/>
          <w:szCs w:val="21"/>
          <w:highlight w:val="none"/>
        </w:rPr>
        <w:t>4. 投标</w:t>
      </w:r>
      <w:bookmarkEnd w:id="131"/>
      <w:bookmarkEnd w:id="132"/>
      <w:bookmarkEnd w:id="133"/>
      <w:r>
        <w:rPr>
          <w:rFonts w:hint="eastAsia" w:ascii="黑体" w:hAnsi="黑体" w:eastAsia="黑体" w:cs="黑体"/>
          <w:b/>
          <w:bCs w:val="0"/>
          <w:color w:val="auto"/>
          <w:sz w:val="21"/>
          <w:szCs w:val="21"/>
          <w:highlight w:val="none"/>
        </w:rPr>
        <w:tab/>
      </w:r>
    </w:p>
    <w:p w14:paraId="2575BDB6">
      <w:pPr>
        <w:pStyle w:val="2"/>
        <w:shd w:val="clear" w:color="auto" w:fill="auto"/>
        <w:spacing w:before="240" w:after="240" w:line="240" w:lineRule="atLeast"/>
        <w:jc w:val="left"/>
        <w:rPr>
          <w:rFonts w:hint="eastAsia" w:ascii="黑体" w:hAnsi="黑体" w:eastAsia="黑体" w:cs="黑体"/>
          <w:b/>
          <w:bCs w:val="0"/>
          <w:color w:val="auto"/>
          <w:sz w:val="21"/>
          <w:szCs w:val="21"/>
          <w:highlight w:val="none"/>
          <w:lang w:eastAsia="zh-CN"/>
        </w:rPr>
      </w:pPr>
      <w:bookmarkStart w:id="134" w:name="_Toc234832898"/>
      <w:bookmarkStart w:id="135" w:name="_Toc501257089"/>
      <w:bookmarkStart w:id="136" w:name="_Toc17682"/>
      <w:r>
        <w:rPr>
          <w:rFonts w:hint="eastAsia" w:ascii="黑体" w:hAnsi="黑体" w:eastAsia="黑体" w:cs="黑体"/>
          <w:b/>
          <w:bCs w:val="0"/>
          <w:color w:val="auto"/>
          <w:sz w:val="21"/>
          <w:szCs w:val="21"/>
          <w:highlight w:val="none"/>
        </w:rPr>
        <w:t>4.1 投标文件的</w:t>
      </w:r>
      <w:bookmarkEnd w:id="134"/>
      <w:bookmarkEnd w:id="135"/>
      <w:r>
        <w:rPr>
          <w:rFonts w:hint="eastAsia" w:ascii="黑体" w:hAnsi="黑体" w:cs="黑体"/>
          <w:b/>
          <w:bCs w:val="0"/>
          <w:color w:val="auto"/>
          <w:sz w:val="21"/>
          <w:szCs w:val="21"/>
          <w:highlight w:val="none"/>
          <w:lang w:val="en-US" w:eastAsia="zh-CN"/>
        </w:rPr>
        <w:t>加密</w:t>
      </w:r>
      <w:bookmarkEnd w:id="136"/>
    </w:p>
    <w:p w14:paraId="3B21E6FF">
      <w:pPr>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b w:val="0"/>
          <w:bCs w:val="0"/>
          <w:color w:val="auto"/>
          <w:kern w:val="0"/>
          <w:szCs w:val="21"/>
          <w:highlight w:val="none"/>
          <w:lang w:val="en-US" w:eastAsia="zh-CN" w:bidi="th-TH"/>
        </w:rPr>
        <w:t>投标文件应按照本章第3.7.3项要求制作并加密，未按要求加密的投标文件，招标人（“电子交易平台”）将拒绝接收并提示。</w:t>
      </w:r>
    </w:p>
    <w:p w14:paraId="5572E0EB">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137" w:name="_Toc13758"/>
      <w:bookmarkStart w:id="138" w:name="_Toc501257090"/>
      <w:bookmarkStart w:id="139" w:name="_Toc234832899"/>
      <w:r>
        <w:rPr>
          <w:rFonts w:hint="eastAsia" w:ascii="黑体" w:hAnsi="黑体" w:eastAsia="黑体" w:cs="黑体"/>
          <w:b/>
          <w:bCs w:val="0"/>
          <w:color w:val="auto"/>
          <w:sz w:val="21"/>
          <w:szCs w:val="21"/>
          <w:highlight w:val="none"/>
        </w:rPr>
        <w:t>4.2</w:t>
      </w:r>
      <w:r>
        <w:rPr>
          <w:rFonts w:hint="eastAsia" w:ascii="黑体" w:hAnsi="黑体" w:eastAsia="黑体" w:cs="黑体"/>
          <w:b/>
          <w:bCs w:val="0"/>
          <w:color w:val="auto"/>
          <w:sz w:val="21"/>
          <w:szCs w:val="21"/>
          <w:highlight w:val="none"/>
        </w:rPr>
        <w:tab/>
      </w:r>
      <w:r>
        <w:rPr>
          <w:rFonts w:hint="eastAsia" w:ascii="黑体" w:hAnsi="黑体" w:eastAsia="黑体" w:cs="黑体"/>
          <w:b/>
          <w:bCs w:val="0"/>
          <w:color w:val="auto"/>
          <w:sz w:val="21"/>
          <w:szCs w:val="21"/>
          <w:highlight w:val="none"/>
        </w:rPr>
        <w:t xml:space="preserve"> 投标文件的递交</w:t>
      </w:r>
      <w:bookmarkEnd w:id="137"/>
      <w:bookmarkEnd w:id="138"/>
      <w:bookmarkEnd w:id="139"/>
    </w:p>
    <w:p w14:paraId="4D9D93CE">
      <w:pPr>
        <w:pStyle w:val="7"/>
        <w:shd w:val="clear" w:color="auto" w:fill="auto"/>
        <w:topLinePunct/>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4.2.1 投标人应在第一章“招标公告”或“投标邀请书”规定的投标截止时间前</w:t>
      </w:r>
      <w:r>
        <w:rPr>
          <w:rFonts w:hint="eastAsia" w:ascii="黑体" w:hAnsi="黑体" w:eastAsia="黑体" w:cs="黑体"/>
          <w:color w:val="auto"/>
          <w:sz w:val="21"/>
          <w:szCs w:val="21"/>
          <w:highlight w:val="none"/>
          <w:lang w:eastAsia="zh-CN"/>
        </w:rPr>
        <w:t>，将使用“新点投标文件制作软件”生成的电子版加密投标文件（扩展名为HLBETF），在</w:t>
      </w:r>
      <w:r>
        <w:rPr>
          <w:rFonts w:hint="eastAsia" w:ascii="黑体" w:hAnsi="黑体" w:eastAsia="黑体" w:cs="黑体"/>
          <w:color w:val="auto"/>
          <w:sz w:val="21"/>
          <w:szCs w:val="21"/>
          <w:highlight w:val="none"/>
          <w:lang w:val="en-US" w:eastAsia="zh-CN"/>
        </w:rPr>
        <w:t>内蒙古自治区</w:t>
      </w:r>
      <w:r>
        <w:rPr>
          <w:rFonts w:hint="eastAsia" w:ascii="黑体" w:hAnsi="黑体" w:eastAsia="黑体" w:cs="黑体"/>
          <w:color w:val="auto"/>
          <w:sz w:val="21"/>
          <w:szCs w:val="21"/>
          <w:highlight w:val="none"/>
          <w:lang w:eastAsia="zh-CN"/>
        </w:rPr>
        <w:t>公共资源电子交易平台投标人系统内上传电子版加密投标文件</w:t>
      </w:r>
      <w:r>
        <w:rPr>
          <w:rFonts w:hint="eastAsia" w:ascii="黑体" w:hAnsi="黑体" w:eastAsia="黑体" w:cs="黑体"/>
          <w:color w:val="auto"/>
          <w:sz w:val="21"/>
          <w:szCs w:val="21"/>
          <w:highlight w:val="none"/>
        </w:rPr>
        <w:t>。</w:t>
      </w:r>
      <w:r>
        <w:rPr>
          <w:rFonts w:hint="eastAsia" w:ascii="黑体" w:hAnsi="黑体" w:eastAsia="黑体" w:cs="黑体"/>
          <w:color w:val="auto"/>
          <w:sz w:val="21"/>
          <w:szCs w:val="21"/>
          <w:highlight w:val="none"/>
          <w:lang w:eastAsia="zh-CN"/>
        </w:rPr>
        <w:t>投标人应充考虑上传文件时的不可预见因素，</w:t>
      </w:r>
      <w:r>
        <w:rPr>
          <w:rFonts w:hint="eastAsia" w:ascii="黑体" w:hAnsi="黑体" w:eastAsia="黑体" w:cs="黑体"/>
          <w:color w:val="auto"/>
          <w:sz w:val="21"/>
          <w:szCs w:val="21"/>
          <w:highlight w:val="none"/>
        </w:rPr>
        <w:t>逾期未在系统内上传电子版加密投标文件（扩展名为HLBETF），招标（采购）人不予受理。</w:t>
      </w:r>
    </w:p>
    <w:p w14:paraId="697FE300">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4.2.2 </w:t>
      </w:r>
      <w:r>
        <w:rPr>
          <w:rFonts w:hint="eastAsia" w:ascii="黑体" w:hAnsi="黑体" w:eastAsia="黑体" w:cs="黑体"/>
          <w:color w:val="auto"/>
          <w:szCs w:val="21"/>
          <w:highlight w:val="none"/>
          <w:lang w:eastAsia="zh-CN"/>
        </w:rPr>
        <w:t>根据本章第</w:t>
      </w:r>
      <w:r>
        <w:rPr>
          <w:rFonts w:hint="eastAsia" w:ascii="黑体" w:hAnsi="黑体" w:eastAsia="黑体" w:cs="黑体"/>
          <w:color w:val="auto"/>
          <w:szCs w:val="21"/>
          <w:highlight w:val="none"/>
          <w:lang w:val="en-US" w:eastAsia="zh-CN"/>
        </w:rPr>
        <w:t>4.1款的规定，投标人递交的投标文件，只要出现应当拒收的情形，其投标文件予以拒收</w:t>
      </w:r>
      <w:r>
        <w:rPr>
          <w:rFonts w:hint="eastAsia" w:ascii="黑体" w:hAnsi="黑体" w:eastAsia="黑体" w:cs="黑体"/>
          <w:color w:val="auto"/>
          <w:szCs w:val="21"/>
          <w:highlight w:val="none"/>
        </w:rPr>
        <w:t>。</w:t>
      </w:r>
    </w:p>
    <w:p w14:paraId="3F453791">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140" w:name="_Toc22020"/>
      <w:bookmarkStart w:id="141" w:name="_Toc501257091"/>
      <w:bookmarkStart w:id="142" w:name="_Toc234832900"/>
      <w:r>
        <w:rPr>
          <w:rFonts w:hint="eastAsia" w:ascii="黑体" w:hAnsi="黑体" w:eastAsia="黑体" w:cs="黑体"/>
          <w:b/>
          <w:bCs w:val="0"/>
          <w:color w:val="auto"/>
          <w:sz w:val="21"/>
          <w:szCs w:val="21"/>
          <w:highlight w:val="none"/>
        </w:rPr>
        <w:t>4.3 投标文件的修改与撤回</w:t>
      </w:r>
      <w:bookmarkEnd w:id="140"/>
      <w:bookmarkEnd w:id="141"/>
      <w:bookmarkEnd w:id="142"/>
    </w:p>
    <w:p w14:paraId="10719411">
      <w:pPr>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4.3.1 在本章第4.2.1项规定的投标截止时间前，投标人可以修改或撤回已递交的投标文件，</w:t>
      </w:r>
      <w:r>
        <w:rPr>
          <w:rFonts w:hint="eastAsia" w:ascii="黑体" w:hAnsi="黑体" w:eastAsia="黑体" w:cs="黑体"/>
          <w:color w:val="auto"/>
          <w:szCs w:val="21"/>
          <w:highlight w:val="none"/>
          <w:lang w:eastAsia="zh-CN"/>
        </w:rPr>
        <w:t>投标人对加密的投标文件进行撤回的，应在“</w:t>
      </w:r>
      <w:r>
        <w:rPr>
          <w:rFonts w:hint="eastAsia" w:ascii="黑体" w:hAnsi="黑体" w:eastAsia="黑体" w:cs="黑体"/>
          <w:color w:val="auto"/>
          <w:szCs w:val="21"/>
          <w:highlight w:val="none"/>
          <w:lang w:val="en-US" w:eastAsia="zh-CN"/>
        </w:rPr>
        <w:t>内蒙古自治区</w:t>
      </w:r>
      <w:r>
        <w:rPr>
          <w:rFonts w:hint="eastAsia" w:ascii="黑体" w:hAnsi="黑体" w:eastAsia="黑体" w:cs="黑体"/>
          <w:color w:val="auto"/>
          <w:szCs w:val="21"/>
          <w:highlight w:val="none"/>
          <w:lang w:eastAsia="zh-CN"/>
        </w:rPr>
        <w:t>公共资源电子交易平台”直接进行撤回操作；投标人对加密的投标文件进行修改的，应在投标截止时间前完成上传。</w:t>
      </w:r>
    </w:p>
    <w:p w14:paraId="57A0094E">
      <w:pPr>
        <w:shd w:val="clear" w:color="auto" w:fill="auto"/>
        <w:spacing w:line="360" w:lineRule="auto"/>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4.3.2 </w:t>
      </w:r>
      <w:r>
        <w:rPr>
          <w:rFonts w:hint="eastAsia" w:ascii="黑体" w:hAnsi="黑体" w:eastAsia="黑体" w:cs="黑体"/>
          <w:color w:val="auto"/>
          <w:szCs w:val="21"/>
          <w:highlight w:val="none"/>
        </w:rPr>
        <w:t>投标人修改</w:t>
      </w:r>
      <w:r>
        <w:rPr>
          <w:rFonts w:hint="eastAsia" w:ascii="黑体" w:hAnsi="黑体" w:eastAsia="黑体" w:cs="黑体"/>
          <w:color w:val="auto"/>
          <w:szCs w:val="21"/>
          <w:highlight w:val="none"/>
          <w:lang w:eastAsia="zh-CN"/>
        </w:rPr>
        <w:t>投标文件的，应使用“投标文件制作工具”制作成完整的投标文件，并按照本章的第</w:t>
      </w:r>
      <w:r>
        <w:rPr>
          <w:rFonts w:hint="eastAsia" w:ascii="黑体" w:hAnsi="黑体" w:eastAsia="黑体" w:cs="黑体"/>
          <w:color w:val="auto"/>
          <w:szCs w:val="21"/>
          <w:highlight w:val="none"/>
          <w:lang w:val="en-US" w:eastAsia="zh-CN"/>
        </w:rPr>
        <w:t>3条、第4条规定进行编制、加密和递交。对采用网上递交的加密投标文件，以投标截止时间前最后完成上传的文件为准。</w:t>
      </w:r>
    </w:p>
    <w:p w14:paraId="0BFD92E7">
      <w:pPr>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4.3.3 投标人撤回投标文件的，招标人自收到投标人书面撤回通知之日起5日内退还已收取的投标保证金。</w:t>
      </w:r>
      <w:r>
        <w:rPr>
          <w:rFonts w:hint="eastAsia" w:ascii="黑体" w:hAnsi="黑体" w:eastAsia="黑体" w:cs="黑体"/>
          <w:color w:val="auto"/>
          <w:szCs w:val="21"/>
          <w:highlight w:val="none"/>
          <w:lang w:eastAsia="zh-CN"/>
        </w:rPr>
        <w:t>（本条不适用）</w:t>
      </w:r>
    </w:p>
    <w:p w14:paraId="5A0EA3F5">
      <w:pPr>
        <w:pStyle w:val="2"/>
        <w:shd w:val="clear" w:color="auto" w:fill="auto"/>
        <w:spacing w:before="360" w:after="240" w:line="240" w:lineRule="atLeast"/>
        <w:jc w:val="left"/>
        <w:rPr>
          <w:rFonts w:hint="eastAsia" w:ascii="黑体" w:hAnsi="黑体" w:eastAsia="黑体" w:cs="黑体"/>
          <w:b/>
          <w:bCs w:val="0"/>
          <w:color w:val="auto"/>
          <w:sz w:val="21"/>
          <w:szCs w:val="21"/>
          <w:highlight w:val="none"/>
        </w:rPr>
      </w:pPr>
      <w:bookmarkStart w:id="143" w:name="_Toc501257092"/>
      <w:bookmarkStart w:id="144" w:name="_Toc234832901"/>
      <w:bookmarkStart w:id="145" w:name="_Toc11330"/>
      <w:r>
        <w:rPr>
          <w:rFonts w:hint="eastAsia" w:ascii="黑体" w:hAnsi="黑体" w:eastAsia="黑体" w:cs="黑体"/>
          <w:b/>
          <w:bCs w:val="0"/>
          <w:color w:val="auto"/>
          <w:sz w:val="21"/>
          <w:szCs w:val="21"/>
          <w:highlight w:val="none"/>
        </w:rPr>
        <w:t>5. 开标</w:t>
      </w:r>
      <w:bookmarkEnd w:id="143"/>
      <w:bookmarkEnd w:id="144"/>
      <w:bookmarkEnd w:id="145"/>
    </w:p>
    <w:p w14:paraId="05AD7CD5">
      <w:pPr>
        <w:pStyle w:val="2"/>
        <w:shd w:val="clear" w:color="auto" w:fill="auto"/>
        <w:spacing w:before="240" w:after="240" w:line="240" w:lineRule="atLeast"/>
        <w:jc w:val="left"/>
        <w:rPr>
          <w:rFonts w:hint="eastAsia" w:ascii="黑体" w:hAnsi="黑体" w:eastAsia="黑体" w:cs="黑体"/>
          <w:b w:val="0"/>
          <w:color w:val="auto"/>
          <w:sz w:val="21"/>
          <w:szCs w:val="21"/>
          <w:highlight w:val="none"/>
        </w:rPr>
      </w:pPr>
      <w:bookmarkStart w:id="146" w:name="_Toc501257093"/>
      <w:bookmarkStart w:id="147" w:name="_Toc6793"/>
      <w:bookmarkStart w:id="148" w:name="_Toc234832902"/>
      <w:r>
        <w:rPr>
          <w:rFonts w:hint="eastAsia" w:ascii="黑体" w:hAnsi="黑体" w:eastAsia="黑体" w:cs="黑体"/>
          <w:b/>
          <w:bCs w:val="0"/>
          <w:color w:val="auto"/>
          <w:sz w:val="21"/>
          <w:szCs w:val="21"/>
          <w:highlight w:val="none"/>
        </w:rPr>
        <w:t>5.1 开标时间和地点</w:t>
      </w:r>
      <w:bookmarkEnd w:id="146"/>
      <w:bookmarkEnd w:id="147"/>
    </w:p>
    <w:bookmarkEnd w:id="148"/>
    <w:p w14:paraId="0EB6DC6F">
      <w:pPr>
        <w:spacing w:line="360" w:lineRule="auto"/>
        <w:ind w:firstLine="630" w:firstLineChars="300"/>
        <w:rPr>
          <w:rFonts w:hint="eastAsia" w:ascii="黑体" w:hAnsi="黑体" w:eastAsia="黑体" w:cs="黑体"/>
          <w:b w:val="0"/>
          <w:bCs w:val="0"/>
          <w:color w:val="auto"/>
          <w:kern w:val="0"/>
          <w:szCs w:val="21"/>
          <w:highlight w:val="none"/>
          <w:lang w:val="en-US" w:eastAsia="zh-CN" w:bidi="th-TH"/>
        </w:rPr>
      </w:pPr>
      <w:r>
        <w:rPr>
          <w:rFonts w:hint="eastAsia" w:ascii="黑体" w:hAnsi="黑体" w:eastAsia="黑体" w:cs="黑体"/>
          <w:b w:val="0"/>
          <w:bCs w:val="0"/>
          <w:color w:val="auto"/>
          <w:kern w:val="0"/>
          <w:szCs w:val="21"/>
          <w:highlight w:val="none"/>
          <w:lang w:val="en-US" w:eastAsia="zh-CN" w:bidi="th-TH"/>
        </w:rPr>
        <w:t xml:space="preserve">在开标时间前，安装好数字证书驱动程序，提前登录内蒙古自治区不见面开标大厅” </w:t>
      </w:r>
    </w:p>
    <w:p w14:paraId="5396A12E">
      <w:pPr>
        <w:spacing w:line="360" w:lineRule="auto"/>
        <w:rPr>
          <w:rFonts w:hint="eastAsia" w:ascii="黑体" w:hAnsi="黑体" w:eastAsia="黑体" w:cs="黑体"/>
          <w:color w:val="auto"/>
          <w:sz w:val="21"/>
          <w:szCs w:val="21"/>
          <w:highlight w:val="none"/>
        </w:rPr>
      </w:pPr>
      <w:r>
        <w:rPr>
          <w:rFonts w:hint="eastAsia" w:ascii="黑体" w:hAnsi="黑体" w:eastAsia="黑体" w:cs="黑体"/>
          <w:b w:val="0"/>
          <w:bCs w:val="0"/>
          <w:color w:val="auto"/>
          <w:kern w:val="0"/>
          <w:szCs w:val="21"/>
          <w:highlight w:val="none"/>
          <w:lang w:val="en-US" w:eastAsia="zh-CN" w:bidi="th-TH"/>
        </w:rPr>
        <w:t>（https://219.148.175.179:9443/BidOpening），在线上开标页面，按照操作视频完成开标程序。招标（采购）人代表、监标人需携带本人身份证和招标（采购）人数字证书到达开标现场参加开标。招标（采购）代理机构工作人员需携带本人身份证和招标（采购）代理机构数字证书到达开标现场参加开标，投标人代表无需到达开标现场，登录内蒙古自治区公共资源交易一体化电子服务平台全程在线开标（不见面开标）</w:t>
      </w:r>
      <w:r>
        <w:rPr>
          <w:rFonts w:hint="eastAsia" w:ascii="黑体" w:hAnsi="黑体" w:eastAsia="黑体" w:cs="黑体"/>
          <w:b/>
          <w:bCs/>
          <w:color w:val="auto"/>
          <w:kern w:val="0"/>
          <w:szCs w:val="21"/>
          <w:highlight w:val="none"/>
          <w:lang w:val="en-US" w:eastAsia="zh-CN" w:bidi="th-TH"/>
        </w:rPr>
        <w:t>。</w:t>
      </w:r>
    </w:p>
    <w:p w14:paraId="4005A643">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149" w:name="_Toc501257095"/>
      <w:bookmarkStart w:id="150" w:name="_Toc234832905"/>
      <w:bookmarkStart w:id="151" w:name="_Toc31265"/>
      <w:r>
        <w:rPr>
          <w:rFonts w:hint="eastAsia" w:ascii="黑体" w:hAnsi="黑体" w:eastAsia="黑体" w:cs="黑体"/>
          <w:b/>
          <w:bCs w:val="0"/>
          <w:color w:val="auto"/>
          <w:sz w:val="21"/>
          <w:szCs w:val="21"/>
          <w:highlight w:val="none"/>
        </w:rPr>
        <w:t>5.2</w:t>
      </w:r>
      <w:r>
        <w:rPr>
          <w:rFonts w:hint="eastAsia" w:ascii="黑体" w:hAnsi="黑体" w:eastAsia="黑体" w:cs="黑体"/>
          <w:b/>
          <w:bCs w:val="0"/>
          <w:color w:val="auto"/>
          <w:sz w:val="21"/>
          <w:szCs w:val="21"/>
          <w:highlight w:val="none"/>
        </w:rPr>
        <w:tab/>
      </w:r>
      <w:r>
        <w:rPr>
          <w:rFonts w:hint="eastAsia" w:ascii="黑体" w:hAnsi="黑体" w:eastAsia="黑体" w:cs="黑体"/>
          <w:b/>
          <w:bCs w:val="0"/>
          <w:color w:val="auto"/>
          <w:sz w:val="21"/>
          <w:szCs w:val="21"/>
          <w:highlight w:val="none"/>
        </w:rPr>
        <w:t>开标程序</w:t>
      </w:r>
      <w:bookmarkEnd w:id="149"/>
      <w:bookmarkEnd w:id="150"/>
      <w:bookmarkEnd w:id="151"/>
    </w:p>
    <w:p w14:paraId="1BB0544A">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5.2.1主持人按下列程序对投标文件第一个信封（商务及技术文件）进行开标：</w:t>
      </w:r>
    </w:p>
    <w:p w14:paraId="6CD8148A">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1</w:t>
      </w:r>
      <w:r>
        <w:rPr>
          <w:rFonts w:hint="eastAsia" w:ascii="黑体" w:hAnsi="黑体" w:eastAsia="黑体" w:cs="黑体"/>
          <w:color w:val="auto"/>
          <w:szCs w:val="21"/>
          <w:highlight w:val="none"/>
        </w:rPr>
        <w:t>）宣布开标纪律；</w:t>
      </w:r>
    </w:p>
    <w:p w14:paraId="5B86BF1B">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2</w:t>
      </w:r>
      <w:r>
        <w:rPr>
          <w:rFonts w:hint="eastAsia" w:ascii="黑体" w:hAnsi="黑体" w:eastAsia="黑体" w:cs="黑体"/>
          <w:color w:val="auto"/>
          <w:szCs w:val="21"/>
          <w:highlight w:val="none"/>
        </w:rPr>
        <w:t>）公布在投标截止时间前递交投标文件的投标人数量；</w:t>
      </w:r>
    </w:p>
    <w:p w14:paraId="1CA90E2E">
      <w:pPr>
        <w:spacing w:line="360" w:lineRule="auto"/>
        <w:ind w:firstLine="420" w:firstLineChars="200"/>
        <w:rPr>
          <w:rFonts w:hint="eastAsia" w:ascii="黑体" w:hAnsi="黑体" w:eastAsia="黑体" w:cs="黑体"/>
          <w:color w:val="auto"/>
          <w:szCs w:val="21"/>
          <w:highlight w:val="none"/>
          <w:lang w:val="zh-TW"/>
        </w:rPr>
      </w:pP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3</w:t>
      </w:r>
      <w:r>
        <w:rPr>
          <w:rFonts w:hint="eastAsia" w:ascii="黑体" w:hAnsi="黑体" w:eastAsia="黑体" w:cs="黑体"/>
          <w:color w:val="auto"/>
          <w:szCs w:val="21"/>
          <w:highlight w:val="none"/>
        </w:rPr>
        <w:t>）公布标段名称、投标保证金的递交情况；</w:t>
      </w:r>
    </w:p>
    <w:p w14:paraId="22FF61F8">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4</w:t>
      </w:r>
      <w:r>
        <w:rPr>
          <w:rFonts w:hint="eastAsia" w:ascii="黑体" w:hAnsi="黑体" w:eastAsia="黑体" w:cs="黑体"/>
          <w:color w:val="auto"/>
          <w:szCs w:val="21"/>
          <w:highlight w:val="none"/>
        </w:rPr>
        <w:t>）解密</w:t>
      </w:r>
      <w:r>
        <w:rPr>
          <w:rFonts w:hint="eastAsia" w:ascii="黑体" w:hAnsi="黑体" w:eastAsia="黑体" w:cs="黑体"/>
          <w:color w:val="auto"/>
          <w:szCs w:val="21"/>
          <w:highlight w:val="none"/>
          <w:lang w:val="en-US" w:eastAsia="zh-CN"/>
        </w:rPr>
        <w:t>第一信封</w:t>
      </w:r>
      <w:r>
        <w:rPr>
          <w:rFonts w:hint="eastAsia" w:ascii="黑体" w:hAnsi="黑体" w:eastAsia="黑体" w:cs="黑体"/>
          <w:color w:val="auto"/>
          <w:szCs w:val="21"/>
          <w:highlight w:val="none"/>
        </w:rPr>
        <w:t>加密投标文件</w:t>
      </w:r>
      <w:r>
        <w:rPr>
          <w:rFonts w:hint="eastAsia" w:ascii="黑体" w:hAnsi="黑体" w:eastAsia="黑体" w:cs="黑体"/>
          <w:color w:val="auto"/>
          <w:szCs w:val="21"/>
          <w:highlight w:val="none"/>
          <w:lang w:eastAsia="zh-CN"/>
        </w:rPr>
        <w:t>（</w:t>
      </w:r>
      <w:r>
        <w:rPr>
          <w:rFonts w:hint="eastAsia" w:ascii="黑体" w:hAnsi="黑体" w:eastAsia="黑体" w:cs="黑体"/>
          <w:color w:val="auto"/>
          <w:szCs w:val="21"/>
          <w:highlight w:val="none"/>
          <w:lang w:val="en-US" w:eastAsia="zh-CN"/>
        </w:rPr>
        <w:t>投标人解密时间为各标段开标后30分钟内。因投标人自身原因未能按时解密的，责任由投标人自行承担</w:t>
      </w:r>
      <w:r>
        <w:rPr>
          <w:rFonts w:hint="eastAsia" w:ascii="黑体" w:hAnsi="黑体" w:eastAsia="黑体" w:cs="黑体"/>
          <w:color w:val="auto"/>
          <w:szCs w:val="21"/>
          <w:highlight w:val="none"/>
          <w:lang w:eastAsia="zh-CN"/>
        </w:rPr>
        <w:t>）</w:t>
      </w:r>
      <w:r>
        <w:rPr>
          <w:rFonts w:hint="eastAsia" w:ascii="黑体" w:hAnsi="黑体" w:eastAsia="黑体" w:cs="黑体"/>
          <w:color w:val="auto"/>
          <w:szCs w:val="21"/>
          <w:highlight w:val="none"/>
        </w:rPr>
        <w:t>；</w:t>
      </w:r>
    </w:p>
    <w:p w14:paraId="5C1587B1">
      <w:pPr>
        <w:spacing w:line="360" w:lineRule="auto"/>
        <w:ind w:firstLine="420" w:firstLineChars="200"/>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5</w:t>
      </w:r>
      <w:r>
        <w:rPr>
          <w:rFonts w:hint="eastAsia" w:ascii="黑体" w:hAnsi="黑体" w:eastAsia="黑体" w:cs="黑体"/>
          <w:color w:val="auto"/>
          <w:szCs w:val="21"/>
          <w:highlight w:val="none"/>
        </w:rPr>
        <w:t>）导入并读取所有解密成功的投标文件第一信封（商务及技术文件）的内容；</w:t>
      </w:r>
    </w:p>
    <w:p w14:paraId="3ADBBB4F">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6</w:t>
      </w:r>
      <w:r>
        <w:rPr>
          <w:rFonts w:hint="eastAsia" w:ascii="黑体" w:hAnsi="黑体" w:eastAsia="黑体" w:cs="黑体"/>
          <w:color w:val="auto"/>
          <w:szCs w:val="21"/>
          <w:highlight w:val="none"/>
        </w:rPr>
        <w:t>）开标结束。</w:t>
      </w:r>
    </w:p>
    <w:p w14:paraId="5DC8B24F">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5.2.2投标文件第二个信封（报价文件）</w:t>
      </w:r>
      <w:r>
        <w:rPr>
          <w:rFonts w:hint="eastAsia" w:ascii="黑体" w:hAnsi="黑体" w:eastAsia="黑体" w:cs="黑体"/>
          <w:color w:val="auto"/>
          <w:szCs w:val="21"/>
          <w:highlight w:val="none"/>
          <w:lang w:eastAsia="zh-CN"/>
        </w:rPr>
        <w:t>在投标文件第一信封（商务及技术文件）完成评审前，“</w:t>
      </w:r>
      <w:r>
        <w:rPr>
          <w:rFonts w:hint="eastAsia" w:ascii="黑体" w:hAnsi="黑体" w:eastAsia="黑体" w:cs="黑体"/>
          <w:color w:val="auto"/>
          <w:szCs w:val="21"/>
          <w:highlight w:val="none"/>
          <w:lang w:val="en-US" w:eastAsia="zh-CN"/>
        </w:rPr>
        <w:t>内蒙古自治区</w:t>
      </w:r>
      <w:r>
        <w:rPr>
          <w:rFonts w:hint="eastAsia" w:ascii="黑体" w:hAnsi="黑体" w:eastAsia="黑体" w:cs="黑体"/>
          <w:color w:val="auto"/>
          <w:szCs w:val="21"/>
          <w:highlight w:val="none"/>
          <w:lang w:eastAsia="zh-CN"/>
        </w:rPr>
        <w:t>公共资源电子交易平台”的开标评标系统将不进行读取</w:t>
      </w:r>
      <w:r>
        <w:rPr>
          <w:rFonts w:hint="eastAsia" w:ascii="黑体" w:hAnsi="黑体" w:eastAsia="黑体" w:cs="黑体"/>
          <w:color w:val="auto"/>
          <w:szCs w:val="21"/>
          <w:highlight w:val="none"/>
        </w:rPr>
        <w:t>。</w:t>
      </w:r>
    </w:p>
    <w:p w14:paraId="492BC2B4">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5.2.3招标人将按照本章第5.1款规定的时间和地点对投标文件第二个信封（报价文件）进行开标。主持人按下列程序进行开标：</w:t>
      </w:r>
    </w:p>
    <w:p w14:paraId="09BA35ED">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b w:val="0"/>
          <w:bCs w:val="0"/>
          <w:color w:val="auto"/>
          <w:szCs w:val="21"/>
          <w:highlight w:val="none"/>
          <w:u w:val="none"/>
        </w:rPr>
        <w:t>（</w:t>
      </w:r>
      <w:r>
        <w:rPr>
          <w:rFonts w:hint="eastAsia" w:ascii="黑体" w:hAnsi="黑体" w:eastAsia="黑体" w:cs="黑体"/>
          <w:color w:val="auto"/>
          <w:szCs w:val="21"/>
          <w:highlight w:val="none"/>
        </w:rPr>
        <w:t>1）宣布开标纪律；</w:t>
      </w:r>
    </w:p>
    <w:p w14:paraId="09284D01">
      <w:pPr>
        <w:spacing w:line="360" w:lineRule="auto"/>
        <w:ind w:firstLine="420" w:firstLineChars="200"/>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rPr>
        <w:t>（2）宣布通过投标文件第一个信封（商务及技术文件）评审的投标人名单</w:t>
      </w:r>
      <w:r>
        <w:rPr>
          <w:rFonts w:hint="eastAsia" w:ascii="黑体" w:hAnsi="黑体" w:eastAsia="黑体" w:cs="黑体"/>
          <w:color w:val="auto"/>
          <w:szCs w:val="21"/>
          <w:highlight w:val="none"/>
          <w:lang w:val="en-US" w:eastAsia="zh-CN"/>
        </w:rPr>
        <w:t>；</w:t>
      </w:r>
    </w:p>
    <w:p w14:paraId="1793F8BF">
      <w:pPr>
        <w:spacing w:line="360" w:lineRule="auto"/>
        <w:ind w:firstLine="420" w:firstLineChars="200"/>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eastAsia="zh-CN"/>
        </w:rPr>
        <w:t>（</w:t>
      </w:r>
      <w:r>
        <w:rPr>
          <w:rFonts w:hint="eastAsia" w:ascii="黑体" w:hAnsi="黑体" w:eastAsia="黑体" w:cs="黑体"/>
          <w:color w:val="auto"/>
          <w:szCs w:val="21"/>
          <w:highlight w:val="none"/>
          <w:lang w:val="en-US" w:eastAsia="zh-CN"/>
        </w:rPr>
        <w:t>3</w:t>
      </w:r>
      <w:r>
        <w:rPr>
          <w:rFonts w:hint="eastAsia" w:ascii="黑体" w:hAnsi="黑体" w:eastAsia="黑体" w:cs="黑体"/>
          <w:color w:val="auto"/>
          <w:szCs w:val="21"/>
          <w:highlight w:val="none"/>
          <w:lang w:eastAsia="zh-CN"/>
        </w:rPr>
        <w:t>）</w:t>
      </w:r>
      <w:r>
        <w:rPr>
          <w:rFonts w:hint="eastAsia" w:ascii="黑体" w:hAnsi="黑体" w:eastAsia="黑体" w:cs="黑体"/>
          <w:color w:val="auto"/>
          <w:szCs w:val="21"/>
          <w:highlight w:val="none"/>
          <w:lang w:val="en-US" w:eastAsia="zh-CN"/>
        </w:rPr>
        <w:t>第二信封投标文件解密（对通过第一个信封（商务及技术文件）投标人，招标人进行第二个信封的解密（无需投标人解密第二个信封文件））</w:t>
      </w:r>
      <w:r>
        <w:rPr>
          <w:rFonts w:hint="eastAsia" w:ascii="黑体" w:hAnsi="黑体" w:eastAsia="黑体" w:cs="黑体"/>
          <w:color w:val="auto"/>
          <w:szCs w:val="21"/>
          <w:highlight w:val="none"/>
          <w:lang w:eastAsia="zh-CN"/>
        </w:rPr>
        <w:t>；</w:t>
      </w:r>
    </w:p>
    <w:p w14:paraId="7134F768">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4</w:t>
      </w:r>
      <w:r>
        <w:rPr>
          <w:rFonts w:hint="eastAsia" w:ascii="黑体" w:hAnsi="黑体" w:eastAsia="黑体" w:cs="黑体"/>
          <w:color w:val="auto"/>
          <w:szCs w:val="21"/>
          <w:highlight w:val="none"/>
        </w:rPr>
        <w:t>）开标人将所有投标文件第二信封（报价文件）的内容导入“</w:t>
      </w:r>
      <w:r>
        <w:rPr>
          <w:rFonts w:hint="eastAsia" w:ascii="黑体" w:hAnsi="黑体" w:eastAsia="黑体" w:cs="黑体"/>
          <w:color w:val="auto"/>
          <w:szCs w:val="21"/>
          <w:highlight w:val="none"/>
          <w:lang w:val="en-US" w:eastAsia="zh-CN"/>
        </w:rPr>
        <w:t>内蒙古自治区</w:t>
      </w:r>
      <w:r>
        <w:rPr>
          <w:rFonts w:hint="eastAsia" w:ascii="黑体" w:hAnsi="黑体" w:eastAsia="黑体" w:cs="黑体"/>
          <w:color w:val="auto"/>
          <w:szCs w:val="21"/>
          <w:highlight w:val="none"/>
        </w:rPr>
        <w:t>公共资源电子交易平台”的开标评标系统，未通过投标文件第一信封（商务及技术文件）评审的投标人</w:t>
      </w:r>
      <w:r>
        <w:rPr>
          <w:rFonts w:hint="eastAsia" w:ascii="黑体" w:hAnsi="黑体" w:eastAsia="黑体" w:cs="黑体"/>
          <w:color w:val="auto"/>
          <w:szCs w:val="21"/>
          <w:highlight w:val="none"/>
          <w:lang w:val="en-US" w:eastAsia="zh-CN"/>
        </w:rPr>
        <w:t>及</w:t>
      </w:r>
      <w:r>
        <w:rPr>
          <w:rFonts w:hint="eastAsia" w:ascii="黑体" w:hAnsi="黑体" w:eastAsia="黑体" w:cs="黑体"/>
          <w:color w:val="auto"/>
          <w:szCs w:val="21"/>
          <w:highlight w:val="none"/>
          <w:lang w:eastAsia="zh-CN"/>
        </w:rPr>
        <w:t>未进入排名前三名的</w:t>
      </w:r>
      <w:r>
        <w:rPr>
          <w:rFonts w:hint="eastAsia" w:ascii="黑体" w:hAnsi="黑体" w:eastAsia="黑体" w:cs="黑体"/>
          <w:color w:val="auto"/>
          <w:szCs w:val="21"/>
          <w:highlight w:val="none"/>
        </w:rPr>
        <w:t>投标人的第二信封（报价文件）不予读取；</w:t>
      </w:r>
    </w:p>
    <w:p w14:paraId="4FF0BF3D">
      <w:pPr>
        <w:spacing w:line="360" w:lineRule="auto"/>
        <w:ind w:firstLine="420" w:firstLineChars="200"/>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val="en-US" w:eastAsia="zh-CN"/>
        </w:rPr>
        <w:t>（5）</w:t>
      </w:r>
      <w:r>
        <w:rPr>
          <w:rFonts w:hint="eastAsia" w:ascii="黑体" w:hAnsi="黑体" w:eastAsia="黑体" w:cs="黑体"/>
          <w:color w:val="auto"/>
          <w:szCs w:val="21"/>
          <w:highlight w:val="none"/>
          <w:lang w:eastAsia="zh-CN"/>
        </w:rPr>
        <w:t>电子</w:t>
      </w:r>
      <w:r>
        <w:rPr>
          <w:rFonts w:hint="eastAsia" w:ascii="黑体" w:hAnsi="黑体" w:eastAsia="黑体" w:cs="黑体"/>
          <w:color w:val="auto"/>
          <w:szCs w:val="21"/>
          <w:highlight w:val="none"/>
        </w:rPr>
        <w:t>唱标</w:t>
      </w:r>
      <w:r>
        <w:rPr>
          <w:rFonts w:hint="eastAsia" w:ascii="黑体" w:hAnsi="黑体" w:eastAsia="黑体" w:cs="黑体"/>
          <w:color w:val="auto"/>
          <w:szCs w:val="21"/>
          <w:highlight w:val="none"/>
          <w:lang w:eastAsia="zh-CN"/>
        </w:rPr>
        <w:t>；</w:t>
      </w:r>
    </w:p>
    <w:p w14:paraId="2F0022F7">
      <w:pPr>
        <w:spacing w:line="360" w:lineRule="auto"/>
        <w:ind w:firstLine="420" w:firstLineChars="200"/>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val="en-US" w:eastAsia="zh-CN"/>
        </w:rPr>
        <w:t>（6）</w:t>
      </w:r>
      <w:r>
        <w:rPr>
          <w:rFonts w:hint="eastAsia" w:ascii="黑体" w:hAnsi="黑体" w:eastAsia="黑体" w:cs="黑体"/>
          <w:color w:val="auto"/>
          <w:szCs w:val="21"/>
          <w:highlight w:val="none"/>
          <w:lang w:eastAsia="zh-CN"/>
        </w:rPr>
        <w:t>现场计算评标基准价（如需）；</w:t>
      </w:r>
    </w:p>
    <w:p w14:paraId="468BCCD6">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7</w:t>
      </w:r>
      <w:r>
        <w:rPr>
          <w:rFonts w:hint="eastAsia" w:ascii="黑体" w:hAnsi="黑体" w:eastAsia="黑体" w:cs="黑体"/>
          <w:color w:val="auto"/>
          <w:szCs w:val="21"/>
          <w:highlight w:val="none"/>
        </w:rPr>
        <w:t>）开标结束。</w:t>
      </w:r>
    </w:p>
    <w:p w14:paraId="7A0A4AD4">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5.2.4若采用合理低价法或综合评分法，在投标文件第二个信封（报价文件）开标现场</w:t>
      </w:r>
      <w:r>
        <w:rPr>
          <w:rFonts w:hint="eastAsia" w:ascii="黑体" w:hAnsi="黑体" w:eastAsia="黑体" w:cs="黑体"/>
          <w:color w:val="auto"/>
          <w:szCs w:val="21"/>
          <w:highlight w:val="none"/>
          <w:lang w:eastAsia="zh-CN"/>
        </w:rPr>
        <w:t>，招标人将按第三章“评标办法”规定的原则计算并宣布评标基准价。</w:t>
      </w:r>
      <w:r>
        <w:rPr>
          <w:rFonts w:hint="eastAsia" w:ascii="黑体" w:hAnsi="黑体" w:eastAsia="黑体" w:cs="黑体"/>
          <w:color w:val="auto"/>
          <w:szCs w:val="21"/>
          <w:highlight w:val="none"/>
        </w:rPr>
        <w:t>若招标人发现投标文件出现以下任一情况，其投标报价将不再参加评标基准价的计算：</w:t>
      </w:r>
    </w:p>
    <w:p w14:paraId="2F4B5E61">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若招标人发现投标文件出现以下任一情况，其投标报价将不再参加评标基准价的计算：</w:t>
      </w:r>
    </w:p>
    <w:p w14:paraId="51D3EE17">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（1）未在投标函上填写投标总价；</w:t>
      </w:r>
    </w:p>
    <w:p w14:paraId="0AA2D180">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（2）投标报价或调价函中的报价超出招标人公布的最高投标限价（如有）；</w:t>
      </w:r>
    </w:p>
    <w:p w14:paraId="2E357906">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（3）投标报价或调价函中报价的大写金额无法确定具体数值；</w:t>
      </w:r>
    </w:p>
    <w:p w14:paraId="32B33EC2">
      <w:pPr>
        <w:spacing w:line="360" w:lineRule="auto"/>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（4）投标函上填写的标段号与投标文件封套上标记的标段号不一致。</w:t>
      </w:r>
    </w:p>
    <w:p w14:paraId="03AD6D02">
      <w:pPr>
        <w:shd w:val="clear" w:color="auto" w:fill="auto"/>
        <w:spacing w:line="360" w:lineRule="auto"/>
        <w:ind w:firstLine="420" w:firstLineChars="200"/>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如果投标人认为某一标段的评标基准价计算有误，有权在开标现场提出，经招标人当场核实确认之后，可重新宣布评标基准价。开标现场宣布的评标基准价除计算有误经评标委员会修正外，在整个评标期间保持不变，不随任何因素发生变化。</w:t>
      </w:r>
    </w:p>
    <w:p w14:paraId="1FFFEAAE">
      <w:pPr>
        <w:spacing w:line="360" w:lineRule="auto"/>
        <w:ind w:firstLine="420" w:firstLineChars="200"/>
        <w:rPr>
          <w:rFonts w:hint="eastAsia" w:ascii="黑体" w:hAnsi="黑体" w:eastAsia="黑体" w:cs="黑体"/>
          <w:b/>
          <w:bCs/>
          <w:color w:val="auto"/>
          <w:kern w:val="0"/>
          <w:szCs w:val="21"/>
          <w:highlight w:val="none"/>
          <w:lang w:val="en-US" w:eastAsia="zh-CN" w:bidi="th-TH"/>
        </w:rPr>
      </w:pPr>
      <w:r>
        <w:rPr>
          <w:rFonts w:hint="eastAsia" w:ascii="黑体" w:hAnsi="黑体" w:eastAsia="黑体" w:cs="黑体"/>
          <w:color w:val="auto"/>
          <w:szCs w:val="21"/>
          <w:highlight w:val="none"/>
        </w:rPr>
        <w:t>5.2.5在投标文件第一个信封（商务及技术文件）或第二个信封（报价文件）开标过程中，若招标人宣读的内容与投标文件不符，投标人有权在开标现场提出疑问，经招标人当场核查确认之后，可重新宣读其投标文件。若投标人现场未提出疑问，则认为投标人已确认招标人宣读的内容。</w:t>
      </w:r>
    </w:p>
    <w:p w14:paraId="6693A8F8">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152" w:name="_Toc501257097"/>
      <w:bookmarkStart w:id="153" w:name="_Toc9152"/>
      <w:r>
        <w:rPr>
          <w:rFonts w:hint="eastAsia" w:ascii="黑体" w:hAnsi="黑体" w:eastAsia="黑体" w:cs="黑体"/>
          <w:b/>
          <w:bCs w:val="0"/>
          <w:color w:val="auto"/>
          <w:sz w:val="21"/>
          <w:szCs w:val="21"/>
          <w:highlight w:val="none"/>
        </w:rPr>
        <w:t>5.3</w:t>
      </w:r>
      <w:r>
        <w:rPr>
          <w:rFonts w:hint="eastAsia" w:ascii="黑体" w:hAnsi="黑体" w:eastAsia="黑体" w:cs="黑体"/>
          <w:b/>
          <w:bCs w:val="0"/>
          <w:color w:val="auto"/>
          <w:sz w:val="21"/>
          <w:szCs w:val="21"/>
          <w:highlight w:val="none"/>
        </w:rPr>
        <w:tab/>
      </w:r>
      <w:r>
        <w:rPr>
          <w:rFonts w:hint="eastAsia" w:ascii="黑体" w:hAnsi="黑体" w:eastAsia="黑体" w:cs="黑体"/>
          <w:b/>
          <w:bCs w:val="0"/>
          <w:color w:val="auto"/>
          <w:sz w:val="21"/>
          <w:szCs w:val="21"/>
          <w:highlight w:val="none"/>
        </w:rPr>
        <w:t xml:space="preserve"> 开标异议</w:t>
      </w:r>
      <w:bookmarkEnd w:id="152"/>
      <w:bookmarkEnd w:id="153"/>
    </w:p>
    <w:p w14:paraId="7A1FA60D">
      <w:pPr>
        <w:shd w:val="clear" w:color="auto" w:fill="auto"/>
        <w:spacing w:line="400" w:lineRule="atLeast"/>
        <w:ind w:firstLine="420" w:firstLineChars="200"/>
        <w:jc w:val="left"/>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投标人对开标有异议的，应在开标现场提出，招标人当场作出答复，并制作记录，有异议的投标人代表、招标人代表、记录人等有关人员在记录上签字确认。</w:t>
      </w:r>
    </w:p>
    <w:p w14:paraId="06DD4408">
      <w:pPr>
        <w:pStyle w:val="2"/>
        <w:shd w:val="clear" w:color="auto" w:fill="auto"/>
        <w:spacing w:before="360" w:after="240" w:line="240" w:lineRule="atLeast"/>
        <w:jc w:val="left"/>
        <w:rPr>
          <w:rFonts w:hint="eastAsia" w:ascii="黑体" w:hAnsi="黑体" w:eastAsia="黑体" w:cs="黑体"/>
          <w:b/>
          <w:bCs w:val="0"/>
          <w:color w:val="auto"/>
          <w:sz w:val="21"/>
          <w:szCs w:val="21"/>
          <w:highlight w:val="none"/>
        </w:rPr>
      </w:pPr>
      <w:bookmarkStart w:id="154" w:name="_Toc13986"/>
      <w:bookmarkStart w:id="155" w:name="_Toc501257098"/>
      <w:bookmarkStart w:id="156" w:name="_Toc234832906"/>
      <w:r>
        <w:rPr>
          <w:rFonts w:hint="eastAsia" w:ascii="黑体" w:hAnsi="黑体" w:eastAsia="黑体" w:cs="黑体"/>
          <w:b/>
          <w:bCs w:val="0"/>
          <w:color w:val="auto"/>
          <w:sz w:val="21"/>
          <w:szCs w:val="21"/>
          <w:highlight w:val="none"/>
        </w:rPr>
        <w:t>6. 评标</w:t>
      </w:r>
      <w:bookmarkEnd w:id="154"/>
      <w:bookmarkEnd w:id="155"/>
      <w:bookmarkEnd w:id="156"/>
    </w:p>
    <w:p w14:paraId="2A494992">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157" w:name="_Toc21484"/>
      <w:bookmarkStart w:id="158" w:name="_Toc234832907"/>
      <w:bookmarkStart w:id="159" w:name="_Toc501257099"/>
      <w:r>
        <w:rPr>
          <w:rFonts w:hint="eastAsia" w:ascii="黑体" w:hAnsi="黑体" w:eastAsia="黑体" w:cs="黑体"/>
          <w:b/>
          <w:bCs w:val="0"/>
          <w:color w:val="auto"/>
          <w:sz w:val="21"/>
          <w:szCs w:val="21"/>
          <w:highlight w:val="none"/>
        </w:rPr>
        <w:t>6.1</w:t>
      </w:r>
      <w:r>
        <w:rPr>
          <w:rFonts w:hint="eastAsia" w:ascii="黑体" w:hAnsi="黑体" w:eastAsia="黑体" w:cs="黑体"/>
          <w:b/>
          <w:bCs w:val="0"/>
          <w:color w:val="auto"/>
          <w:sz w:val="21"/>
          <w:szCs w:val="21"/>
          <w:highlight w:val="none"/>
        </w:rPr>
        <w:tab/>
      </w:r>
      <w:r>
        <w:rPr>
          <w:rFonts w:hint="eastAsia" w:ascii="黑体" w:hAnsi="黑体" w:eastAsia="黑体" w:cs="黑体"/>
          <w:b/>
          <w:bCs w:val="0"/>
          <w:color w:val="auto"/>
          <w:sz w:val="21"/>
          <w:szCs w:val="21"/>
          <w:highlight w:val="none"/>
        </w:rPr>
        <w:t xml:space="preserve"> 评标委员会</w:t>
      </w:r>
      <w:bookmarkEnd w:id="157"/>
      <w:bookmarkEnd w:id="158"/>
      <w:bookmarkEnd w:id="159"/>
    </w:p>
    <w:p w14:paraId="7FBA01E2">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72C7F249">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6.1.2 评标委员会成员有下列情形之一的，应主动提出回避：</w:t>
      </w:r>
    </w:p>
    <w:p w14:paraId="07B14CC0">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（1）为负责招标项目监督管理的交通运输主管部门的工作人员；</w:t>
      </w:r>
    </w:p>
    <w:p w14:paraId="3042594B">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（2）与投标人法定代表人或其委托代理人有近亲属关系；</w:t>
      </w:r>
    </w:p>
    <w:p w14:paraId="5E1671C7">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（3）为投标人的工作人员或退休人员；</w:t>
      </w:r>
    </w:p>
    <w:p w14:paraId="56811EFA">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（4）与投标人有其他利害关系，可能影响评标活动公正性；</w:t>
      </w:r>
    </w:p>
    <w:p w14:paraId="734B2E08">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（5）在与招标投标有关的活动中有过违法违规行为、曾受过行政处罚或刑事处罚。</w:t>
      </w:r>
    </w:p>
    <w:p w14:paraId="74679145">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6.1.3 评标过程中，评标委员会成员有回避事由、擅离职守或因健康等原因不能继续评标的，招标人有权更换。被更换的评标委员会成员作出的评审结论无效，由更换后的评标委员会成员重新进行评审。</w:t>
      </w:r>
    </w:p>
    <w:p w14:paraId="097C413D">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160" w:name="_Toc10924"/>
      <w:bookmarkStart w:id="161" w:name="_Toc501257100"/>
      <w:bookmarkStart w:id="162" w:name="_Toc234832908"/>
      <w:r>
        <w:rPr>
          <w:rFonts w:hint="eastAsia" w:ascii="黑体" w:hAnsi="黑体" w:eastAsia="黑体" w:cs="黑体"/>
          <w:b/>
          <w:bCs w:val="0"/>
          <w:color w:val="auto"/>
          <w:sz w:val="21"/>
          <w:szCs w:val="21"/>
          <w:highlight w:val="none"/>
        </w:rPr>
        <w:t>6.2 评标原则</w:t>
      </w:r>
      <w:bookmarkEnd w:id="160"/>
      <w:bookmarkEnd w:id="161"/>
      <w:bookmarkEnd w:id="162"/>
    </w:p>
    <w:p w14:paraId="40EBF3DD">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评标活动遵循公平、公正、科学和择优的原则。</w:t>
      </w:r>
    </w:p>
    <w:p w14:paraId="674711E4">
      <w:pPr>
        <w:pStyle w:val="2"/>
        <w:shd w:val="clear" w:color="auto" w:fill="auto"/>
        <w:spacing w:before="240" w:after="240" w:line="240" w:lineRule="atLeast"/>
        <w:jc w:val="left"/>
        <w:rPr>
          <w:rFonts w:hint="eastAsia" w:ascii="黑体" w:hAnsi="黑体" w:eastAsia="黑体" w:cs="黑体"/>
          <w:b w:val="0"/>
          <w:color w:val="auto"/>
          <w:sz w:val="21"/>
          <w:szCs w:val="21"/>
          <w:highlight w:val="none"/>
        </w:rPr>
      </w:pPr>
      <w:bookmarkStart w:id="163" w:name="_Toc18759"/>
      <w:bookmarkStart w:id="164" w:name="_Toc234832909"/>
      <w:bookmarkStart w:id="165" w:name="_Toc501257101"/>
      <w:r>
        <w:rPr>
          <w:rFonts w:hint="eastAsia" w:ascii="黑体" w:hAnsi="黑体" w:eastAsia="黑体" w:cs="黑体"/>
          <w:b/>
          <w:bCs w:val="0"/>
          <w:color w:val="auto"/>
          <w:sz w:val="21"/>
          <w:szCs w:val="21"/>
          <w:highlight w:val="none"/>
        </w:rPr>
        <w:t>6.3 评标</w:t>
      </w:r>
      <w:bookmarkEnd w:id="163"/>
      <w:bookmarkEnd w:id="164"/>
      <w:bookmarkEnd w:id="165"/>
    </w:p>
    <w:p w14:paraId="0A4F9B6E">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6.3.1 评标委员会按照第三章“评标办法”规定的方法、评审因素、标准和程序对投标文件进行评审。第三章“评标办法”没有规定的方法、评审因素和标准，不作为评标依据。</w:t>
      </w:r>
    </w:p>
    <w:p w14:paraId="79DDE21E">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6.3.2 评标完成后，评标委员会应向招标人提交书面评标报告和中标候选人名单。评标委员会推荐中标</w:t>
      </w:r>
      <w:bookmarkStart w:id="166" w:name="_Toc247527583"/>
      <w:bookmarkStart w:id="167" w:name="_Toc352691502"/>
      <w:bookmarkStart w:id="168" w:name="_Toc144974526"/>
      <w:bookmarkStart w:id="169" w:name="_Toc152045558"/>
      <w:bookmarkStart w:id="170" w:name="_Toc361508615"/>
      <w:bookmarkStart w:id="171" w:name="_Toc384308240"/>
      <w:bookmarkStart w:id="172" w:name="_Toc12259"/>
      <w:bookmarkStart w:id="173" w:name="_Toc369531546"/>
      <w:bookmarkStart w:id="174" w:name="_Toc152042334"/>
      <w:bookmarkStart w:id="175" w:name="_Toc247513982"/>
      <w:bookmarkStart w:id="176" w:name="_Toc300834979"/>
      <w:r>
        <w:rPr>
          <w:rFonts w:hint="eastAsia" w:ascii="黑体" w:hAnsi="黑体" w:eastAsia="黑体" w:cs="黑体"/>
          <w:color w:val="auto"/>
          <w:sz w:val="21"/>
          <w:szCs w:val="21"/>
          <w:highlight w:val="none"/>
        </w:rPr>
        <w:t>候选人的人数见投标人须知前附</w:t>
      </w:r>
      <w:bookmarkEnd w:id="166"/>
      <w:bookmarkEnd w:id="167"/>
      <w:bookmarkEnd w:id="168"/>
      <w:bookmarkEnd w:id="169"/>
      <w:bookmarkEnd w:id="170"/>
      <w:bookmarkEnd w:id="171"/>
      <w:bookmarkEnd w:id="172"/>
      <w:bookmarkEnd w:id="173"/>
      <w:bookmarkEnd w:id="174"/>
      <w:bookmarkEnd w:id="175"/>
      <w:bookmarkEnd w:id="176"/>
      <w:r>
        <w:rPr>
          <w:rFonts w:hint="eastAsia" w:ascii="黑体" w:hAnsi="黑体" w:eastAsia="黑体" w:cs="黑体"/>
          <w:color w:val="auto"/>
          <w:sz w:val="21"/>
          <w:szCs w:val="21"/>
          <w:highlight w:val="none"/>
        </w:rPr>
        <w:t>表。</w:t>
      </w:r>
    </w:p>
    <w:p w14:paraId="63E52FD1">
      <w:pPr>
        <w:pStyle w:val="2"/>
        <w:shd w:val="clear" w:color="auto" w:fill="auto"/>
        <w:spacing w:before="360" w:after="240" w:line="240" w:lineRule="atLeast"/>
        <w:jc w:val="left"/>
        <w:rPr>
          <w:rFonts w:hint="eastAsia" w:ascii="黑体" w:hAnsi="黑体" w:eastAsia="黑体" w:cs="黑体"/>
          <w:b/>
          <w:bCs w:val="0"/>
          <w:color w:val="auto"/>
          <w:sz w:val="21"/>
          <w:szCs w:val="21"/>
          <w:highlight w:val="none"/>
        </w:rPr>
      </w:pPr>
      <w:bookmarkStart w:id="177" w:name="_Toc501257102"/>
      <w:bookmarkStart w:id="178" w:name="_Toc14544"/>
      <w:bookmarkStart w:id="179" w:name="_Toc234832910"/>
      <w:r>
        <w:rPr>
          <w:rFonts w:hint="eastAsia" w:ascii="黑体" w:hAnsi="黑体" w:eastAsia="黑体" w:cs="黑体"/>
          <w:b/>
          <w:bCs w:val="0"/>
          <w:color w:val="auto"/>
          <w:sz w:val="21"/>
          <w:szCs w:val="21"/>
          <w:highlight w:val="none"/>
        </w:rPr>
        <w:t>7. 合同授予</w:t>
      </w:r>
      <w:bookmarkEnd w:id="177"/>
      <w:bookmarkEnd w:id="178"/>
      <w:bookmarkEnd w:id="179"/>
    </w:p>
    <w:p w14:paraId="132832D5">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180" w:name="_Toc501257103"/>
      <w:bookmarkStart w:id="181" w:name="_Toc11349"/>
      <w:bookmarkStart w:id="182" w:name="_Toc234832911"/>
      <w:r>
        <w:rPr>
          <w:rFonts w:hint="eastAsia" w:ascii="黑体" w:hAnsi="黑体" w:eastAsia="黑体" w:cs="黑体"/>
          <w:b/>
          <w:bCs w:val="0"/>
          <w:color w:val="auto"/>
          <w:sz w:val="21"/>
          <w:szCs w:val="21"/>
          <w:highlight w:val="none"/>
        </w:rPr>
        <w:t>7.1 中标候选人公示</w:t>
      </w:r>
      <w:bookmarkEnd w:id="180"/>
      <w:bookmarkEnd w:id="181"/>
    </w:p>
    <w:p w14:paraId="184BA844">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招标人在收到评标报告之日起3日内，按照投标人须知前附表规定的公示媒介和期限公示中标候选人，公示期不得少于3日，公示内容包括：</w:t>
      </w:r>
    </w:p>
    <w:p w14:paraId="46031D03">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（1）中标候选人排序、名称、投标报价，对工程质量要求、安全目标和工期的响应情况；</w:t>
      </w:r>
    </w:p>
    <w:p w14:paraId="32FC3CCE">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（2）中标候选人在投标文件中承诺的项目经理和项目总工姓名、个人业绩、相关证书名称和编号；</w:t>
      </w:r>
    </w:p>
    <w:p w14:paraId="3C4B12A6">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（3）中标候选人在投标文件中填报的项目业绩；</w:t>
      </w:r>
    </w:p>
    <w:p w14:paraId="4684D1AC">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（4）被否决投标的投标人名称、否决依据和原因；</w:t>
      </w:r>
    </w:p>
    <w:p w14:paraId="47535AB5">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（5）提出异议的渠道和方式；</w:t>
      </w:r>
    </w:p>
    <w:p w14:paraId="7396E0B6">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（6）投标人须知前附表规定公示的其他内容。</w:t>
      </w:r>
    </w:p>
    <w:p w14:paraId="794D248D">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183" w:name="_Toc24283"/>
      <w:bookmarkStart w:id="184" w:name="_Toc501257104"/>
      <w:r>
        <w:rPr>
          <w:rFonts w:hint="eastAsia" w:ascii="黑体" w:hAnsi="黑体" w:eastAsia="黑体" w:cs="黑体"/>
          <w:b/>
          <w:bCs w:val="0"/>
          <w:color w:val="auto"/>
          <w:sz w:val="21"/>
          <w:szCs w:val="21"/>
          <w:highlight w:val="none"/>
        </w:rPr>
        <w:t>7.2 评标结果异议</w:t>
      </w:r>
      <w:bookmarkEnd w:id="183"/>
      <w:bookmarkEnd w:id="184"/>
    </w:p>
    <w:p w14:paraId="482CD27B">
      <w:pPr>
        <w:shd w:val="clear" w:color="auto" w:fill="auto"/>
        <w:spacing w:line="400" w:lineRule="atLeast"/>
        <w:ind w:firstLine="420" w:firstLineChars="200"/>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 w:val="21"/>
          <w:szCs w:val="21"/>
          <w:highlight w:val="none"/>
        </w:rPr>
        <w:t>投标人或其他利害关系人对依法必须进行招标的项目的评标结果有异议的，应在中标候选人公示期间提出。招标人将在收到异议之日起3日内作出答复；作出答复前，将暂停招标投标活动。</w:t>
      </w:r>
      <w:bookmarkStart w:id="185" w:name="_Toc501257105"/>
      <w:r>
        <w:rPr>
          <w:rFonts w:hint="eastAsia" w:ascii="黑体" w:hAnsi="黑体" w:eastAsia="黑体" w:cs="黑体"/>
          <w:color w:val="auto"/>
          <w:szCs w:val="21"/>
          <w:highlight w:val="none"/>
          <w:lang w:eastAsia="zh-CN"/>
        </w:rPr>
        <w:t>提出异议与作出答复均应通过“</w:t>
      </w:r>
      <w:r>
        <w:rPr>
          <w:rFonts w:hint="eastAsia" w:ascii="黑体" w:hAnsi="黑体" w:eastAsia="黑体" w:cs="黑体"/>
          <w:color w:val="auto"/>
          <w:szCs w:val="21"/>
          <w:highlight w:val="none"/>
          <w:lang w:val="en-US" w:eastAsia="zh-CN"/>
        </w:rPr>
        <w:t>内蒙古自治区</w:t>
      </w:r>
      <w:r>
        <w:rPr>
          <w:rFonts w:hint="eastAsia" w:ascii="黑体" w:hAnsi="黑体" w:eastAsia="黑体" w:cs="黑体"/>
          <w:color w:val="auto"/>
          <w:szCs w:val="21"/>
          <w:highlight w:val="none"/>
          <w:lang w:eastAsia="zh-CN"/>
        </w:rPr>
        <w:t>公共资源电子交易平台”在“异议答复”菜单以书面形式进行。</w:t>
      </w:r>
      <w:r>
        <w:rPr>
          <w:rFonts w:hint="eastAsia" w:ascii="黑体" w:hAnsi="黑体" w:eastAsia="黑体" w:cs="黑体"/>
          <w:color w:val="auto"/>
          <w:szCs w:val="21"/>
          <w:highlight w:val="none"/>
          <w:lang w:val="en-US" w:eastAsia="zh-CN"/>
        </w:rPr>
        <w:t>同时，投标人或其他利害关系人应在中标候选人公示期内，将交易系统内提交的材料原件（全部）送达招标人。</w:t>
      </w:r>
    </w:p>
    <w:p w14:paraId="417854E5">
      <w:pPr>
        <w:shd w:val="clear" w:color="auto" w:fill="auto"/>
        <w:spacing w:line="400" w:lineRule="atLeast"/>
        <w:jc w:val="left"/>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7.3 中标候选人履约能力审查</w:t>
      </w:r>
      <w:bookmarkEnd w:id="185"/>
    </w:p>
    <w:p w14:paraId="5BD23A4A">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5ABC783F">
      <w:pPr>
        <w:pStyle w:val="2"/>
        <w:shd w:val="clear" w:color="auto" w:fill="auto"/>
        <w:spacing w:before="240" w:after="240" w:line="240" w:lineRule="atLeast"/>
        <w:jc w:val="left"/>
        <w:rPr>
          <w:rFonts w:hint="eastAsia" w:ascii="黑体" w:hAnsi="黑体" w:eastAsia="黑体" w:cs="黑体"/>
          <w:b w:val="0"/>
          <w:color w:val="auto"/>
          <w:sz w:val="21"/>
          <w:szCs w:val="21"/>
          <w:highlight w:val="none"/>
        </w:rPr>
      </w:pPr>
      <w:bookmarkStart w:id="186" w:name="_Toc26039"/>
      <w:bookmarkStart w:id="187" w:name="_Toc501257106"/>
      <w:r>
        <w:rPr>
          <w:rFonts w:hint="eastAsia" w:ascii="黑体" w:hAnsi="黑体" w:eastAsia="黑体" w:cs="黑体"/>
          <w:b/>
          <w:bCs w:val="0"/>
          <w:color w:val="auto"/>
          <w:sz w:val="21"/>
          <w:szCs w:val="21"/>
          <w:highlight w:val="none"/>
        </w:rPr>
        <w:t>7.</w:t>
      </w:r>
      <w:r>
        <w:rPr>
          <w:rFonts w:hint="eastAsia" w:ascii="黑体" w:hAnsi="黑体" w:eastAsia="黑体" w:cs="黑体"/>
          <w:b/>
          <w:bCs w:val="0"/>
          <w:color w:val="auto"/>
          <w:sz w:val="21"/>
          <w:szCs w:val="21"/>
          <w:highlight w:val="none"/>
          <w:lang w:eastAsia="zh-CN"/>
        </w:rPr>
        <w:t xml:space="preserve">4 </w:t>
      </w:r>
      <w:r>
        <w:rPr>
          <w:rFonts w:hint="eastAsia" w:ascii="黑体" w:hAnsi="黑体" w:eastAsia="黑体" w:cs="黑体"/>
          <w:b/>
          <w:bCs w:val="0"/>
          <w:color w:val="auto"/>
          <w:sz w:val="21"/>
          <w:szCs w:val="21"/>
          <w:highlight w:val="none"/>
        </w:rPr>
        <w:t>定标</w:t>
      </w:r>
      <w:bookmarkEnd w:id="182"/>
      <w:bookmarkEnd w:id="186"/>
      <w:bookmarkEnd w:id="187"/>
    </w:p>
    <w:p w14:paraId="78579AB8">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按照投标人须知前附表的规定，招标人或招标人授权的评标委员会依法确定中标人。</w:t>
      </w:r>
    </w:p>
    <w:p w14:paraId="3CFE32B4">
      <w:pPr>
        <w:pStyle w:val="2"/>
        <w:shd w:val="clear" w:color="auto" w:fill="auto"/>
        <w:spacing w:before="240" w:after="240" w:line="240" w:lineRule="atLeast"/>
        <w:jc w:val="left"/>
        <w:rPr>
          <w:rFonts w:hint="eastAsia" w:ascii="黑体" w:hAnsi="黑体" w:eastAsia="黑体" w:cs="黑体"/>
          <w:b w:val="0"/>
          <w:color w:val="auto"/>
          <w:sz w:val="21"/>
          <w:szCs w:val="21"/>
          <w:highlight w:val="none"/>
        </w:rPr>
      </w:pPr>
      <w:bookmarkStart w:id="188" w:name="_Toc234832912"/>
      <w:bookmarkStart w:id="189" w:name="_Toc501257107"/>
      <w:bookmarkStart w:id="190" w:name="_Toc25799"/>
      <w:r>
        <w:rPr>
          <w:rFonts w:hint="eastAsia" w:ascii="黑体" w:hAnsi="黑体" w:eastAsia="黑体" w:cs="黑体"/>
          <w:b/>
          <w:bCs w:val="0"/>
          <w:color w:val="auto"/>
          <w:sz w:val="21"/>
          <w:szCs w:val="21"/>
          <w:highlight w:val="none"/>
        </w:rPr>
        <w:t>7.</w:t>
      </w:r>
      <w:r>
        <w:rPr>
          <w:rFonts w:hint="eastAsia" w:ascii="黑体" w:hAnsi="黑体" w:eastAsia="黑体" w:cs="黑体"/>
          <w:b/>
          <w:bCs w:val="0"/>
          <w:color w:val="auto"/>
          <w:sz w:val="21"/>
          <w:szCs w:val="21"/>
          <w:highlight w:val="none"/>
          <w:lang w:eastAsia="zh-CN"/>
        </w:rPr>
        <w:t>5 中标通知</w:t>
      </w:r>
      <w:bookmarkEnd w:id="188"/>
      <w:bookmarkEnd w:id="189"/>
      <w:bookmarkEnd w:id="190"/>
    </w:p>
    <w:p w14:paraId="61839E92">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在本章第3.3款规定的投标有效期内，</w:t>
      </w:r>
      <w:r>
        <w:rPr>
          <w:rFonts w:hint="eastAsia" w:ascii="黑体" w:hAnsi="黑体" w:eastAsia="黑体" w:cs="黑体"/>
          <w:color w:val="auto"/>
          <w:szCs w:val="21"/>
          <w:highlight w:val="none"/>
        </w:rPr>
        <w:t>招标人</w:t>
      </w:r>
      <w:r>
        <w:rPr>
          <w:rFonts w:hint="eastAsia" w:ascii="黑体" w:hAnsi="黑体" w:eastAsia="黑体" w:cs="黑体"/>
          <w:color w:val="auto"/>
          <w:szCs w:val="21"/>
          <w:highlight w:val="none"/>
          <w:lang w:eastAsia="zh-CN"/>
        </w:rPr>
        <w:t>应通过“</w:t>
      </w:r>
      <w:r>
        <w:rPr>
          <w:rFonts w:hint="eastAsia" w:ascii="黑体" w:hAnsi="黑体" w:eastAsia="黑体" w:cs="黑体"/>
          <w:color w:val="auto"/>
          <w:szCs w:val="21"/>
          <w:highlight w:val="none"/>
          <w:lang w:val="en-US" w:eastAsia="zh-CN"/>
        </w:rPr>
        <w:t>内蒙古自治区</w:t>
      </w:r>
      <w:r>
        <w:rPr>
          <w:rFonts w:hint="eastAsia" w:ascii="黑体" w:hAnsi="黑体" w:eastAsia="黑体" w:cs="黑体"/>
          <w:color w:val="auto"/>
          <w:szCs w:val="21"/>
          <w:highlight w:val="none"/>
          <w:lang w:eastAsia="zh-CN"/>
        </w:rPr>
        <w:t>公共资源电子交易平台”</w:t>
      </w:r>
      <w:r>
        <w:rPr>
          <w:rFonts w:hint="eastAsia" w:ascii="黑体" w:hAnsi="黑体" w:eastAsia="黑体" w:cs="黑体"/>
          <w:color w:val="auto"/>
          <w:szCs w:val="21"/>
          <w:highlight w:val="none"/>
        </w:rPr>
        <w:t>以</w:t>
      </w:r>
      <w:r>
        <w:rPr>
          <w:rFonts w:hint="eastAsia" w:ascii="黑体" w:hAnsi="黑体" w:eastAsia="黑体" w:cs="黑体"/>
          <w:color w:val="auto"/>
          <w:szCs w:val="21"/>
          <w:highlight w:val="none"/>
          <w:lang w:eastAsia="zh-CN"/>
        </w:rPr>
        <w:t>数据电文形式向中标人发出中标通知书</w:t>
      </w:r>
      <w:r>
        <w:rPr>
          <w:rFonts w:hint="eastAsia" w:ascii="黑体" w:hAnsi="黑体" w:eastAsia="黑体" w:cs="黑体"/>
          <w:color w:val="auto"/>
          <w:szCs w:val="21"/>
          <w:highlight w:val="none"/>
        </w:rPr>
        <w:t>，同时将中标结果通知未中标的投标人。</w:t>
      </w:r>
    </w:p>
    <w:p w14:paraId="09652C38">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191" w:name="_Toc8157"/>
      <w:bookmarkStart w:id="192" w:name="_Toc501257108"/>
      <w:r>
        <w:rPr>
          <w:rFonts w:hint="eastAsia" w:ascii="黑体" w:hAnsi="黑体" w:eastAsia="黑体" w:cs="黑体"/>
          <w:b/>
          <w:bCs w:val="0"/>
          <w:color w:val="auto"/>
          <w:sz w:val="21"/>
          <w:szCs w:val="21"/>
          <w:highlight w:val="none"/>
        </w:rPr>
        <w:t>7.</w:t>
      </w:r>
      <w:r>
        <w:rPr>
          <w:rFonts w:hint="eastAsia" w:ascii="黑体" w:hAnsi="黑体" w:eastAsia="黑体" w:cs="黑体"/>
          <w:b/>
          <w:bCs w:val="0"/>
          <w:color w:val="auto"/>
          <w:sz w:val="21"/>
          <w:szCs w:val="21"/>
          <w:highlight w:val="none"/>
          <w:lang w:eastAsia="zh-CN"/>
        </w:rPr>
        <w:t xml:space="preserve">6 </w:t>
      </w:r>
      <w:r>
        <w:rPr>
          <w:rFonts w:hint="eastAsia" w:ascii="黑体" w:hAnsi="黑体" w:eastAsia="黑体" w:cs="黑体"/>
          <w:b/>
          <w:bCs w:val="0"/>
          <w:color w:val="auto"/>
          <w:sz w:val="21"/>
          <w:szCs w:val="21"/>
          <w:highlight w:val="none"/>
        </w:rPr>
        <w:t>中标</w:t>
      </w:r>
      <w:r>
        <w:rPr>
          <w:rFonts w:hint="eastAsia" w:ascii="黑体" w:hAnsi="黑体" w:eastAsia="黑体" w:cs="黑体"/>
          <w:b/>
          <w:bCs w:val="0"/>
          <w:color w:val="auto"/>
          <w:sz w:val="21"/>
          <w:szCs w:val="21"/>
          <w:highlight w:val="none"/>
          <w:lang w:eastAsia="zh-CN"/>
        </w:rPr>
        <w:t>结果</w:t>
      </w:r>
      <w:r>
        <w:rPr>
          <w:rFonts w:hint="eastAsia" w:ascii="黑体" w:hAnsi="黑体" w:eastAsia="黑体" w:cs="黑体"/>
          <w:b/>
          <w:bCs w:val="0"/>
          <w:color w:val="auto"/>
          <w:sz w:val="21"/>
          <w:szCs w:val="21"/>
          <w:highlight w:val="none"/>
        </w:rPr>
        <w:t>公告</w:t>
      </w:r>
      <w:bookmarkEnd w:id="191"/>
      <w:bookmarkEnd w:id="192"/>
    </w:p>
    <w:p w14:paraId="632A48CE">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招标人在确定中标人之日起3日内，按照投标人须知前附表规定的公告媒介和期限公告中标结果，公告期不得少于3日。公告内容包括中标人名称、中标价。</w:t>
      </w:r>
    </w:p>
    <w:p w14:paraId="3778E655">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193" w:name="_Toc234832913"/>
      <w:bookmarkStart w:id="194" w:name="_Toc11319"/>
      <w:bookmarkStart w:id="195" w:name="_Toc501257109"/>
      <w:r>
        <w:rPr>
          <w:rFonts w:hint="eastAsia" w:ascii="黑体" w:hAnsi="黑体" w:eastAsia="黑体" w:cs="黑体"/>
          <w:b/>
          <w:bCs w:val="0"/>
          <w:color w:val="auto"/>
          <w:sz w:val="21"/>
          <w:szCs w:val="21"/>
          <w:highlight w:val="none"/>
        </w:rPr>
        <w:t>7.</w:t>
      </w:r>
      <w:r>
        <w:rPr>
          <w:rFonts w:hint="eastAsia" w:ascii="黑体" w:hAnsi="黑体" w:eastAsia="黑体" w:cs="黑体"/>
          <w:b/>
          <w:bCs w:val="0"/>
          <w:color w:val="auto"/>
          <w:sz w:val="21"/>
          <w:szCs w:val="21"/>
          <w:highlight w:val="none"/>
          <w:lang w:eastAsia="zh-CN"/>
        </w:rPr>
        <w:t xml:space="preserve">7 </w:t>
      </w:r>
      <w:r>
        <w:rPr>
          <w:rFonts w:hint="eastAsia" w:ascii="黑体" w:hAnsi="黑体" w:eastAsia="黑体" w:cs="黑体"/>
          <w:b/>
          <w:bCs w:val="0"/>
          <w:color w:val="auto"/>
          <w:sz w:val="21"/>
          <w:szCs w:val="21"/>
          <w:highlight w:val="none"/>
        </w:rPr>
        <w:t>履约</w:t>
      </w:r>
      <w:bookmarkEnd w:id="193"/>
      <w:r>
        <w:rPr>
          <w:rFonts w:hint="eastAsia" w:ascii="黑体" w:hAnsi="黑体" w:eastAsia="黑体" w:cs="黑体"/>
          <w:b/>
          <w:bCs w:val="0"/>
          <w:color w:val="auto"/>
          <w:sz w:val="21"/>
          <w:szCs w:val="21"/>
          <w:highlight w:val="none"/>
          <w:lang w:eastAsia="zh-CN"/>
        </w:rPr>
        <w:t>保证金</w:t>
      </w:r>
      <w:bookmarkEnd w:id="194"/>
      <w:bookmarkEnd w:id="195"/>
    </w:p>
    <w:p w14:paraId="0EE11309">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7.7.1 在签订合同前，中标人应按投标人须知前附表规定的形式、金额和招标文件第四章“合同条款及格式”规定的或事先经过招标人书面认可的履约保证金格式向招标人提交履约保证金。除投标人须知前附表另有规定外，履约保证金为签约合同价的10%。联合体中标的，其履约保证金以联合体各方或联合体中牵头人的名义提交。</w:t>
      </w:r>
    </w:p>
    <w:p w14:paraId="72046A51">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采用银行保函时，应由符合投标人须知前附表规定级别的银行开具，所需的费用由中标人承担，中标人应保证银行保函有效。</w:t>
      </w:r>
    </w:p>
    <w:p w14:paraId="435E29ED">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7.7.2 中标人不能按本章第7.7.1项要求提交履约保证金的，视为放弃中标，其投标保证金不予退还，给招标人造成的损失超过投标保证金数额的，中标人还应对超过部分予以赔偿。</w:t>
      </w:r>
    </w:p>
    <w:p w14:paraId="74923271">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196" w:name="_Toc234832914"/>
      <w:bookmarkStart w:id="197" w:name="_Toc23304"/>
      <w:bookmarkStart w:id="198" w:name="_Toc501257110"/>
      <w:r>
        <w:rPr>
          <w:rFonts w:hint="eastAsia" w:ascii="黑体" w:hAnsi="黑体" w:eastAsia="黑体" w:cs="黑体"/>
          <w:b/>
          <w:bCs w:val="0"/>
          <w:color w:val="auto"/>
          <w:sz w:val="21"/>
          <w:szCs w:val="21"/>
          <w:highlight w:val="none"/>
        </w:rPr>
        <w:t>7.</w:t>
      </w:r>
      <w:r>
        <w:rPr>
          <w:rFonts w:hint="eastAsia" w:ascii="黑体" w:hAnsi="黑体" w:eastAsia="黑体" w:cs="黑体"/>
          <w:b/>
          <w:bCs w:val="0"/>
          <w:color w:val="auto"/>
          <w:sz w:val="21"/>
          <w:szCs w:val="21"/>
          <w:highlight w:val="none"/>
          <w:lang w:eastAsia="zh-CN"/>
        </w:rPr>
        <w:t>8</w:t>
      </w:r>
      <w:r>
        <w:rPr>
          <w:rFonts w:hint="eastAsia" w:ascii="黑体" w:hAnsi="黑体" w:eastAsia="黑体" w:cs="黑体"/>
          <w:b/>
          <w:bCs w:val="0"/>
          <w:color w:val="auto"/>
          <w:sz w:val="21"/>
          <w:szCs w:val="21"/>
          <w:highlight w:val="none"/>
        </w:rPr>
        <w:t xml:space="preserve"> 签订合同</w:t>
      </w:r>
      <w:bookmarkEnd w:id="196"/>
      <w:bookmarkEnd w:id="197"/>
      <w:bookmarkEnd w:id="198"/>
    </w:p>
    <w:p w14:paraId="3F90EBB4">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7.8.1 招标人和中标人应在中标通知书发出之日起30日内，根据招标文件和中标人的投标文件订立书面合同。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 </w:t>
      </w:r>
    </w:p>
    <w:p w14:paraId="6F5F851B">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7.8.2 发出中标通知书后，招标人无正当理由拒签合同，或在签订合同时向中标人提出附加条件的，招标人向中标人退还投标保证金；给中标人造成损失的，还应赔偿损失。</w:t>
      </w:r>
    </w:p>
    <w:p w14:paraId="4E72F38F">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7.8.3 签约合同价的确定原则如下：</w:t>
      </w:r>
      <w:r>
        <w:rPr>
          <w:rStyle w:val="28"/>
          <w:rFonts w:hint="eastAsia" w:ascii="黑体" w:hAnsi="黑体" w:eastAsia="黑体" w:cs="黑体"/>
          <w:color w:val="auto"/>
          <w:sz w:val="21"/>
          <w:szCs w:val="21"/>
          <w:highlight w:val="none"/>
        </w:rPr>
        <w:footnoteReference w:id="3"/>
      </w:r>
    </w:p>
    <w:p w14:paraId="314D5385">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（1）按照评标办法规定对投标报价进行修正后，若修正后的最终投标报价小于开标时的投标函大写金额报价，则签订合同时以修正后的最终投标报价为准；</w:t>
      </w:r>
    </w:p>
    <w:p w14:paraId="34C6D320">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（2）按照评标办法规定对投标报价进行修正后，若修正后的最终投标报价大于开标时的投标函大写金额报价，则签订合同时以开标时的投标函大写金额报价为准，同时按比例修正相应子目的单价或合价。</w:t>
      </w:r>
    </w:p>
    <w:p w14:paraId="3A295A9D">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7.8.4 联合体中标的，联合体各方应共同与招标人签订合同，就中标项目向招标人承担连带责任。</w:t>
      </w:r>
    </w:p>
    <w:p w14:paraId="0C46C70E">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7.8.5 招标人和中标人在签订合同协议书的同时，须按照本招标文件规定的格式和要求签订廉政合同及安全生产合同，明确双方在廉政建设和安全生产方面的权利和义务以及应承担的违约责任。</w:t>
      </w:r>
    </w:p>
    <w:p w14:paraId="51573D97">
      <w:pPr>
        <w:pStyle w:val="2"/>
        <w:shd w:val="clear" w:color="auto" w:fill="auto"/>
        <w:spacing w:before="360" w:after="240" w:line="240" w:lineRule="atLeast"/>
        <w:jc w:val="left"/>
        <w:rPr>
          <w:rFonts w:hint="eastAsia" w:ascii="黑体" w:hAnsi="黑体" w:eastAsia="黑体" w:cs="黑体"/>
          <w:b/>
          <w:bCs w:val="0"/>
          <w:color w:val="auto"/>
          <w:sz w:val="21"/>
          <w:szCs w:val="21"/>
          <w:highlight w:val="none"/>
        </w:rPr>
      </w:pPr>
      <w:bookmarkStart w:id="199" w:name="_Toc234832918"/>
      <w:bookmarkStart w:id="200" w:name="_Toc27883"/>
      <w:bookmarkStart w:id="201" w:name="_Toc501257111"/>
      <w:r>
        <w:rPr>
          <w:rFonts w:hint="eastAsia" w:ascii="黑体" w:hAnsi="黑体" w:eastAsia="黑体" w:cs="黑体"/>
          <w:b/>
          <w:bCs w:val="0"/>
          <w:color w:val="auto"/>
          <w:sz w:val="21"/>
          <w:szCs w:val="21"/>
          <w:highlight w:val="none"/>
          <w:lang w:eastAsia="zh-CN"/>
        </w:rPr>
        <w:t>8</w:t>
      </w:r>
      <w:r>
        <w:rPr>
          <w:rFonts w:hint="eastAsia" w:ascii="黑体" w:hAnsi="黑体" w:eastAsia="黑体" w:cs="黑体"/>
          <w:b/>
          <w:bCs w:val="0"/>
          <w:color w:val="auto"/>
          <w:sz w:val="21"/>
          <w:szCs w:val="21"/>
          <w:highlight w:val="none"/>
        </w:rPr>
        <w:t>. 纪律和监督</w:t>
      </w:r>
      <w:bookmarkEnd w:id="199"/>
      <w:bookmarkEnd w:id="200"/>
      <w:bookmarkEnd w:id="201"/>
    </w:p>
    <w:p w14:paraId="5E2DE406">
      <w:pPr>
        <w:pStyle w:val="2"/>
        <w:shd w:val="clear" w:color="auto" w:fill="auto"/>
        <w:spacing w:before="240" w:after="240" w:line="240" w:lineRule="atLeast"/>
        <w:jc w:val="left"/>
        <w:rPr>
          <w:rFonts w:hint="eastAsia" w:ascii="黑体" w:hAnsi="黑体" w:eastAsia="黑体" w:cs="黑体"/>
          <w:b w:val="0"/>
          <w:color w:val="auto"/>
          <w:sz w:val="21"/>
          <w:szCs w:val="21"/>
          <w:highlight w:val="none"/>
        </w:rPr>
      </w:pPr>
      <w:bookmarkStart w:id="202" w:name="_Toc234832919"/>
      <w:bookmarkStart w:id="203" w:name="_Toc20077"/>
      <w:bookmarkStart w:id="204" w:name="_Toc501257112"/>
      <w:r>
        <w:rPr>
          <w:rFonts w:hint="eastAsia" w:ascii="黑体" w:hAnsi="黑体" w:eastAsia="黑体" w:cs="黑体"/>
          <w:b/>
          <w:bCs w:val="0"/>
          <w:color w:val="auto"/>
          <w:sz w:val="21"/>
          <w:szCs w:val="21"/>
          <w:highlight w:val="none"/>
          <w:lang w:eastAsia="zh-CN"/>
        </w:rPr>
        <w:t>8</w:t>
      </w:r>
      <w:r>
        <w:rPr>
          <w:rFonts w:hint="eastAsia" w:ascii="黑体" w:hAnsi="黑体" w:eastAsia="黑体" w:cs="黑体"/>
          <w:b/>
          <w:bCs w:val="0"/>
          <w:color w:val="auto"/>
          <w:sz w:val="21"/>
          <w:szCs w:val="21"/>
          <w:highlight w:val="none"/>
        </w:rPr>
        <w:t>.1 对招标人的纪律要求</w:t>
      </w:r>
      <w:bookmarkEnd w:id="202"/>
      <w:bookmarkEnd w:id="203"/>
      <w:bookmarkEnd w:id="204"/>
    </w:p>
    <w:p w14:paraId="3D6D4FC0">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招标人不得泄露招标投标活动中应保密的情况和资料，不得与投标人串通损害国家利益、社会公共利益或他人合法权益。</w:t>
      </w:r>
    </w:p>
    <w:p w14:paraId="20A9E380">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205" w:name="_Toc19925"/>
      <w:bookmarkStart w:id="206" w:name="_Toc501257113"/>
      <w:bookmarkStart w:id="207" w:name="_Toc234832920"/>
      <w:r>
        <w:rPr>
          <w:rFonts w:hint="eastAsia" w:ascii="黑体" w:hAnsi="黑体" w:eastAsia="黑体" w:cs="黑体"/>
          <w:b/>
          <w:bCs w:val="0"/>
          <w:color w:val="auto"/>
          <w:sz w:val="21"/>
          <w:szCs w:val="21"/>
          <w:highlight w:val="none"/>
          <w:lang w:eastAsia="zh-CN"/>
        </w:rPr>
        <w:t>8</w:t>
      </w:r>
      <w:r>
        <w:rPr>
          <w:rFonts w:hint="eastAsia" w:ascii="黑体" w:hAnsi="黑体" w:eastAsia="黑体" w:cs="黑体"/>
          <w:b/>
          <w:bCs w:val="0"/>
          <w:color w:val="auto"/>
          <w:sz w:val="21"/>
          <w:szCs w:val="21"/>
          <w:highlight w:val="none"/>
        </w:rPr>
        <w:t>.2 对投标人的纪律要求</w:t>
      </w:r>
      <w:bookmarkEnd w:id="205"/>
      <w:bookmarkEnd w:id="206"/>
      <w:bookmarkEnd w:id="207"/>
    </w:p>
    <w:p w14:paraId="46F36CD5">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投标人不得相互串通投标或与招标人串通投标，不得向招标人或评标委员会成员行贿谋取中标，不得以他人名义投标或以其他方式弄虚作假骗取中标；投标人不得以任何方式干扰、影响评标工作。</w:t>
      </w:r>
    </w:p>
    <w:p w14:paraId="635E8DCA">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208" w:name="_Toc234832921"/>
      <w:bookmarkStart w:id="209" w:name="_Toc26502"/>
      <w:bookmarkStart w:id="210" w:name="_Toc501257114"/>
      <w:r>
        <w:rPr>
          <w:rFonts w:hint="eastAsia" w:ascii="黑体" w:hAnsi="黑体" w:eastAsia="黑体" w:cs="黑体"/>
          <w:b/>
          <w:bCs w:val="0"/>
          <w:color w:val="auto"/>
          <w:sz w:val="21"/>
          <w:szCs w:val="21"/>
          <w:highlight w:val="none"/>
          <w:lang w:eastAsia="zh-CN"/>
        </w:rPr>
        <w:t>8</w:t>
      </w:r>
      <w:r>
        <w:rPr>
          <w:rFonts w:hint="eastAsia" w:ascii="黑体" w:hAnsi="黑体" w:eastAsia="黑体" w:cs="黑体"/>
          <w:b/>
          <w:bCs w:val="0"/>
          <w:color w:val="auto"/>
          <w:sz w:val="21"/>
          <w:szCs w:val="21"/>
          <w:highlight w:val="none"/>
        </w:rPr>
        <w:t>.3 对评标委员会成员的纪律要求</w:t>
      </w:r>
      <w:bookmarkEnd w:id="208"/>
      <w:bookmarkEnd w:id="209"/>
      <w:bookmarkEnd w:id="210"/>
    </w:p>
    <w:p w14:paraId="13D827A3">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评标委员会成员不得收受他人的财物或其他好处，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p>
    <w:p w14:paraId="7D7B83CB">
      <w:pPr>
        <w:pStyle w:val="2"/>
        <w:shd w:val="clear" w:color="auto" w:fill="auto"/>
        <w:spacing w:before="240" w:after="240" w:line="240" w:lineRule="atLeast"/>
        <w:jc w:val="left"/>
        <w:rPr>
          <w:rFonts w:hint="eastAsia" w:ascii="黑体" w:hAnsi="黑体" w:eastAsia="黑体" w:cs="黑体"/>
          <w:b/>
          <w:bCs w:val="0"/>
          <w:color w:val="auto"/>
          <w:sz w:val="21"/>
          <w:szCs w:val="21"/>
          <w:highlight w:val="none"/>
        </w:rPr>
      </w:pPr>
      <w:bookmarkStart w:id="211" w:name="_Toc234832922"/>
      <w:bookmarkStart w:id="212" w:name="_Toc1959"/>
      <w:bookmarkStart w:id="213" w:name="_Toc501257115"/>
      <w:r>
        <w:rPr>
          <w:rFonts w:hint="eastAsia" w:ascii="黑体" w:hAnsi="黑体" w:eastAsia="黑体" w:cs="黑体"/>
          <w:b/>
          <w:bCs w:val="0"/>
          <w:color w:val="auto"/>
          <w:sz w:val="21"/>
          <w:szCs w:val="21"/>
          <w:highlight w:val="none"/>
          <w:lang w:eastAsia="zh-CN"/>
        </w:rPr>
        <w:t>8</w:t>
      </w:r>
      <w:r>
        <w:rPr>
          <w:rFonts w:hint="eastAsia" w:ascii="黑体" w:hAnsi="黑体" w:eastAsia="黑体" w:cs="黑体"/>
          <w:b/>
          <w:bCs w:val="0"/>
          <w:color w:val="auto"/>
          <w:sz w:val="21"/>
          <w:szCs w:val="21"/>
          <w:highlight w:val="none"/>
        </w:rPr>
        <w:t>.4 对与评标活动有关的工作人员的纪律要求</w:t>
      </w:r>
      <w:bookmarkEnd w:id="211"/>
      <w:bookmarkEnd w:id="212"/>
      <w:bookmarkEnd w:id="213"/>
    </w:p>
    <w:p w14:paraId="7E13CB08">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与评标活动有关的工作人员不得收受他人的财物或其他好处，不得向他人透露对投标文件的评审和比较、中标候选人的推荐情况以及评标有关的其他情况。在评标活动中，与评标活动有关的工作人员不得擅离职守，影响评标程序正常进行。</w:t>
      </w:r>
    </w:p>
    <w:p w14:paraId="412436DC">
      <w:pPr>
        <w:pStyle w:val="2"/>
        <w:shd w:val="clear" w:color="auto" w:fill="auto"/>
        <w:spacing w:before="240" w:after="240" w:line="240" w:lineRule="atLeast"/>
        <w:jc w:val="left"/>
        <w:rPr>
          <w:rFonts w:hint="eastAsia" w:ascii="黑体" w:hAnsi="黑体" w:eastAsia="黑体" w:cs="黑体"/>
          <w:b w:val="0"/>
          <w:color w:val="auto"/>
          <w:sz w:val="21"/>
          <w:szCs w:val="21"/>
          <w:highlight w:val="none"/>
        </w:rPr>
      </w:pPr>
      <w:bookmarkStart w:id="214" w:name="_Toc501257116"/>
      <w:bookmarkStart w:id="215" w:name="_Toc209"/>
      <w:bookmarkStart w:id="216" w:name="_Toc234832923"/>
      <w:r>
        <w:rPr>
          <w:rFonts w:hint="eastAsia" w:ascii="黑体" w:hAnsi="黑体" w:eastAsia="黑体" w:cs="黑体"/>
          <w:b/>
          <w:bCs w:val="0"/>
          <w:color w:val="auto"/>
          <w:sz w:val="21"/>
          <w:szCs w:val="21"/>
          <w:highlight w:val="none"/>
          <w:lang w:eastAsia="zh-CN"/>
        </w:rPr>
        <w:t>8</w:t>
      </w:r>
      <w:r>
        <w:rPr>
          <w:rFonts w:hint="eastAsia" w:ascii="黑体" w:hAnsi="黑体" w:eastAsia="黑体" w:cs="黑体"/>
          <w:b/>
          <w:bCs w:val="0"/>
          <w:color w:val="auto"/>
          <w:sz w:val="21"/>
          <w:szCs w:val="21"/>
          <w:highlight w:val="none"/>
        </w:rPr>
        <w:t>.5 投诉</w:t>
      </w:r>
      <w:bookmarkEnd w:id="214"/>
      <w:bookmarkEnd w:id="215"/>
      <w:bookmarkEnd w:id="216"/>
    </w:p>
    <w:p w14:paraId="2E70C7BB">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8.5.1 投标人或其他利害关系人认为招标投标活动不符合法律、行政法规规定的，可以自知道或应当知道之日起10日内向有关行政监督部门投诉。投诉应有明确的请求和必要的证明材料。</w:t>
      </w:r>
    </w:p>
    <w:p w14:paraId="1DBA54E2">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监督部门的联系方式见投标人须知前附表。</w:t>
      </w:r>
    </w:p>
    <w:p w14:paraId="1CA61072">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8.5.2 投标人或其他利害关系人对招标文件、开标和评标结果提出投诉的，应按照本章第2.4款、第5.3款和第7.2款的规定先向招标人提出异议。异议答复期间</w:t>
      </w:r>
      <w:bookmarkStart w:id="217" w:name="_Toc300834993"/>
      <w:bookmarkStart w:id="218" w:name="_Toc352691517"/>
      <w:bookmarkStart w:id="219" w:name="_Toc247527595"/>
      <w:bookmarkStart w:id="220" w:name="_Toc369531561"/>
      <w:bookmarkStart w:id="221" w:name="_Toc12776"/>
      <w:bookmarkStart w:id="222" w:name="_Toc384308255"/>
      <w:bookmarkStart w:id="223" w:name="_Toc152045570"/>
      <w:bookmarkStart w:id="224" w:name="_Toc144974538"/>
      <w:bookmarkStart w:id="225" w:name="_Toc361508630"/>
      <w:bookmarkStart w:id="226" w:name="_Toc152042346"/>
      <w:bookmarkStart w:id="227" w:name="_Toc247513994"/>
      <w:r>
        <w:rPr>
          <w:rFonts w:hint="eastAsia" w:ascii="黑体" w:hAnsi="黑体" w:eastAsia="黑体" w:cs="黑体"/>
          <w:color w:val="auto"/>
          <w:sz w:val="21"/>
          <w:szCs w:val="21"/>
          <w:highlight w:val="none"/>
        </w:rPr>
        <w:t>不计算在第8.5.</w:t>
      </w:r>
      <w:bookmarkEnd w:id="217"/>
      <w:bookmarkEnd w:id="218"/>
      <w:bookmarkEnd w:id="219"/>
      <w:bookmarkEnd w:id="220"/>
      <w:bookmarkEnd w:id="221"/>
      <w:bookmarkEnd w:id="222"/>
      <w:bookmarkEnd w:id="223"/>
      <w:bookmarkEnd w:id="224"/>
      <w:bookmarkEnd w:id="225"/>
      <w:bookmarkEnd w:id="226"/>
      <w:bookmarkEnd w:id="227"/>
      <w:r>
        <w:rPr>
          <w:rFonts w:hint="eastAsia" w:ascii="黑体" w:hAnsi="黑体" w:eastAsia="黑体" w:cs="黑体"/>
          <w:color w:val="auto"/>
          <w:sz w:val="21"/>
          <w:szCs w:val="21"/>
          <w:highlight w:val="none"/>
        </w:rPr>
        <w:t>1项规定的期限内。</w:t>
      </w:r>
    </w:p>
    <w:p w14:paraId="5CF496FA">
      <w:pPr>
        <w:pStyle w:val="2"/>
        <w:shd w:val="clear" w:color="auto" w:fill="auto"/>
        <w:spacing w:before="360" w:after="240" w:line="240" w:lineRule="atLeast"/>
        <w:jc w:val="left"/>
        <w:rPr>
          <w:rFonts w:hint="eastAsia" w:ascii="黑体" w:hAnsi="黑体" w:eastAsia="黑体" w:cs="黑体"/>
          <w:b/>
          <w:bCs w:val="0"/>
          <w:color w:val="auto"/>
          <w:sz w:val="21"/>
          <w:szCs w:val="21"/>
          <w:highlight w:val="none"/>
          <w:lang w:eastAsia="zh-CN"/>
        </w:rPr>
      </w:pPr>
      <w:bookmarkStart w:id="228" w:name="_Toc25887"/>
      <w:bookmarkStart w:id="229" w:name="_Toc501257117"/>
      <w:r>
        <w:rPr>
          <w:rFonts w:hint="eastAsia" w:ascii="黑体" w:hAnsi="黑体" w:eastAsia="黑体" w:cs="黑体"/>
          <w:b/>
          <w:bCs w:val="0"/>
          <w:color w:val="auto"/>
          <w:sz w:val="21"/>
          <w:szCs w:val="21"/>
          <w:highlight w:val="none"/>
          <w:lang w:eastAsia="zh-CN"/>
        </w:rPr>
        <w:t>9. 是否采用电子招标投标</w:t>
      </w:r>
      <w:bookmarkEnd w:id="228"/>
      <w:bookmarkEnd w:id="229"/>
    </w:p>
    <w:p w14:paraId="20FA1F7A">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本招标项目是否采用电子招标投标方式，见投标人须知前附表。</w:t>
      </w:r>
    </w:p>
    <w:p w14:paraId="5EBE1022">
      <w:pPr>
        <w:pStyle w:val="2"/>
        <w:shd w:val="clear" w:color="auto" w:fill="auto"/>
        <w:spacing w:before="360" w:after="240" w:line="240" w:lineRule="atLeast"/>
        <w:jc w:val="left"/>
        <w:rPr>
          <w:rFonts w:hint="eastAsia" w:ascii="黑体" w:hAnsi="黑体" w:eastAsia="黑体" w:cs="黑体"/>
          <w:b/>
          <w:bCs w:val="0"/>
          <w:color w:val="auto"/>
          <w:sz w:val="21"/>
          <w:szCs w:val="21"/>
          <w:highlight w:val="none"/>
        </w:rPr>
      </w:pPr>
      <w:bookmarkStart w:id="230" w:name="_Toc234832924"/>
      <w:bookmarkStart w:id="231" w:name="_Toc29573"/>
      <w:bookmarkStart w:id="232" w:name="_Toc501257118"/>
      <w:r>
        <w:rPr>
          <w:rFonts w:hint="eastAsia" w:ascii="黑体" w:hAnsi="黑体" w:eastAsia="黑体" w:cs="黑体"/>
          <w:b/>
          <w:bCs w:val="0"/>
          <w:color w:val="auto"/>
          <w:sz w:val="21"/>
          <w:szCs w:val="21"/>
          <w:highlight w:val="none"/>
          <w:lang w:eastAsia="zh-CN"/>
        </w:rPr>
        <w:t>10</w:t>
      </w:r>
      <w:r>
        <w:rPr>
          <w:rFonts w:hint="eastAsia" w:ascii="黑体" w:hAnsi="黑体" w:eastAsia="黑体" w:cs="黑体"/>
          <w:b/>
          <w:bCs w:val="0"/>
          <w:color w:val="auto"/>
          <w:sz w:val="21"/>
          <w:szCs w:val="21"/>
          <w:highlight w:val="none"/>
        </w:rPr>
        <w:t>.</w:t>
      </w:r>
      <w:r>
        <w:rPr>
          <w:rFonts w:hint="eastAsia" w:ascii="黑体" w:hAnsi="黑体" w:eastAsia="黑体" w:cs="黑体"/>
          <w:b/>
          <w:bCs w:val="0"/>
          <w:color w:val="auto"/>
          <w:sz w:val="21"/>
          <w:szCs w:val="21"/>
          <w:highlight w:val="none"/>
          <w:lang w:eastAsia="zh-CN"/>
        </w:rPr>
        <w:t xml:space="preserve"> </w:t>
      </w:r>
      <w:r>
        <w:rPr>
          <w:rFonts w:hint="eastAsia" w:ascii="黑体" w:hAnsi="黑体" w:eastAsia="黑体" w:cs="黑体"/>
          <w:b/>
          <w:bCs w:val="0"/>
          <w:color w:val="auto"/>
          <w:sz w:val="21"/>
          <w:szCs w:val="21"/>
          <w:highlight w:val="none"/>
        </w:rPr>
        <w:t>需要补充的其他内容</w:t>
      </w:r>
      <w:bookmarkEnd w:id="230"/>
      <w:bookmarkEnd w:id="231"/>
      <w:bookmarkEnd w:id="232"/>
    </w:p>
    <w:p w14:paraId="7BCCE0A3">
      <w:pPr>
        <w:shd w:val="clear" w:color="auto" w:fill="auto"/>
        <w:spacing w:line="400" w:lineRule="atLeast"/>
        <w:ind w:firstLine="420" w:firstLineChars="20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10.1 自购买招标文件之日起，投标人应保证其提供的联系方式（电话、传真、电子邮件）一直有效，以便及时收到招标人发出的函件(招标文件的澄清、修改等)，并应及时向招标人反馈信息，否则招标人不承担由此引起的一切后果。</w:t>
      </w:r>
    </w:p>
    <w:p w14:paraId="7EF1C883">
      <w:pPr>
        <w:shd w:val="clear" w:color="auto" w:fill="auto"/>
        <w:spacing w:line="400" w:lineRule="atLeast"/>
        <w:ind w:firstLine="420" w:firstLineChars="200"/>
        <w:jc w:val="left"/>
        <w:rPr>
          <w:rFonts w:hint="eastAsia" w:ascii="黑体" w:hAnsi="黑体" w:eastAsia="黑体" w:cs="黑体"/>
          <w:color w:val="auto"/>
          <w:sz w:val="21"/>
          <w:szCs w:val="21"/>
          <w:highlight w:val="none"/>
        </w:rPr>
      </w:pPr>
    </w:p>
    <w:p w14:paraId="011726D6">
      <w:pPr>
        <w:shd w:val="clear" w:color="auto" w:fill="auto"/>
        <w:spacing w:line="400" w:lineRule="atLeast"/>
        <w:ind w:firstLine="420" w:firstLineChars="200"/>
        <w:jc w:val="left"/>
        <w:rPr>
          <w:color w:val="auto"/>
          <w:sz w:val="24"/>
          <w:highlight w:val="none"/>
        </w:rPr>
      </w:pPr>
      <w:r>
        <w:rPr>
          <w:rFonts w:hint="eastAsia" w:ascii="黑体" w:hAnsi="黑体" w:eastAsia="黑体" w:cs="黑体"/>
          <w:color w:val="auto"/>
          <w:sz w:val="21"/>
          <w:szCs w:val="21"/>
          <w:highlight w:val="none"/>
        </w:rPr>
        <w:t>需要补充的其他内容：见投标人须知前附表。</w:t>
      </w:r>
    </w:p>
    <w:p w14:paraId="50F0D4F1">
      <w:pPr>
        <w:pStyle w:val="2"/>
        <w:shd w:val="clear" w:color="auto" w:fill="auto"/>
        <w:spacing w:before="0" w:after="100" w:afterAutospacing="1" w:line="240" w:lineRule="atLeast"/>
        <w:jc w:val="both"/>
        <w:rPr>
          <w:rFonts w:hint="eastAsia" w:ascii="黑体" w:hAnsi="黑体" w:eastAsia="黑体" w:cs="黑体"/>
          <w:b w:val="0"/>
          <w:color w:val="auto"/>
          <w:sz w:val="24"/>
          <w:szCs w:val="24"/>
          <w:highlight w:val="none"/>
        </w:rPr>
      </w:pPr>
      <w:r>
        <w:rPr>
          <w:rFonts w:eastAsia="隶书"/>
          <w:color w:val="auto"/>
          <w:sz w:val="24"/>
          <w:highlight w:val="none"/>
        </w:rPr>
        <w:br w:type="page"/>
      </w:r>
      <w:bookmarkStart w:id="233" w:name="_Toc22101"/>
      <w:bookmarkStart w:id="234" w:name="_Toc501257119"/>
      <w:bookmarkStart w:id="235" w:name="_Toc234832925"/>
      <w:r>
        <w:rPr>
          <w:rFonts w:hint="eastAsia" w:ascii="黑体" w:hAnsi="黑体" w:eastAsia="黑体" w:cs="黑体"/>
          <w:b/>
          <w:bCs w:val="0"/>
          <w:color w:val="auto"/>
          <w:sz w:val="28"/>
          <w:szCs w:val="28"/>
          <w:highlight w:val="none"/>
        </w:rPr>
        <w:t>附</w:t>
      </w:r>
      <w:r>
        <w:rPr>
          <w:rFonts w:hint="eastAsia" w:ascii="黑体" w:hAnsi="黑体" w:eastAsia="黑体" w:cs="黑体"/>
          <w:b/>
          <w:bCs w:val="0"/>
          <w:color w:val="auto"/>
          <w:sz w:val="28"/>
          <w:szCs w:val="28"/>
          <w:highlight w:val="none"/>
          <w:lang w:eastAsia="zh-CN"/>
        </w:rPr>
        <w:t>件</w:t>
      </w:r>
      <w:r>
        <w:rPr>
          <w:rFonts w:hint="eastAsia" w:ascii="黑体" w:hAnsi="黑体" w:eastAsia="黑体" w:cs="黑体"/>
          <w:b/>
          <w:bCs w:val="0"/>
          <w:color w:val="auto"/>
          <w:sz w:val="28"/>
          <w:szCs w:val="28"/>
          <w:highlight w:val="none"/>
        </w:rPr>
        <w:t>一</w:t>
      </w:r>
      <w:r>
        <w:rPr>
          <w:rFonts w:hint="eastAsia" w:ascii="黑体" w:hAnsi="黑体" w:eastAsia="黑体" w:cs="黑体"/>
          <w:b/>
          <w:bCs w:val="0"/>
          <w:color w:val="auto"/>
          <w:sz w:val="28"/>
          <w:szCs w:val="28"/>
          <w:highlight w:val="none"/>
          <w:lang w:eastAsia="zh-CN"/>
        </w:rPr>
        <w:t xml:space="preserve"> </w:t>
      </w:r>
      <w:r>
        <w:rPr>
          <w:rFonts w:hint="eastAsia" w:ascii="黑体" w:hAnsi="黑体" w:eastAsia="黑体" w:cs="黑体"/>
          <w:b/>
          <w:bCs w:val="0"/>
          <w:color w:val="auto"/>
          <w:sz w:val="28"/>
          <w:szCs w:val="28"/>
          <w:highlight w:val="none"/>
        </w:rPr>
        <w:t>开标记录表</w:t>
      </w:r>
      <w:bookmarkEnd w:id="233"/>
      <w:r>
        <w:rPr>
          <w:rFonts w:hint="eastAsia" w:ascii="黑体" w:hAnsi="黑体" w:eastAsia="黑体" w:cs="黑体"/>
          <w:b w:val="0"/>
          <w:color w:val="auto"/>
          <w:sz w:val="24"/>
          <w:szCs w:val="24"/>
          <w:highlight w:val="none"/>
        </w:rPr>
        <w:t xml:space="preserve"> </w:t>
      </w:r>
      <w:bookmarkEnd w:id="234"/>
      <w:bookmarkEnd w:id="235"/>
    </w:p>
    <w:p w14:paraId="5C16D25F">
      <w:pPr>
        <w:shd w:val="clear" w:color="auto" w:fill="auto"/>
        <w:spacing w:line="440" w:lineRule="exact"/>
        <w:jc w:val="cente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rPr>
        <w:t>（项目名称）</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rPr>
        <w:t>标段施工第一个信封（商务及技术文件）</w:t>
      </w:r>
    </w:p>
    <w:p w14:paraId="791DA756">
      <w:pPr>
        <w:shd w:val="clear" w:color="auto" w:fill="auto"/>
        <w:spacing w:line="440" w:lineRule="exact"/>
        <w:jc w:val="cente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开标记录表</w:t>
      </w:r>
    </w:p>
    <w:p w14:paraId="2F19BFCE">
      <w:pPr>
        <w:shd w:val="clear" w:color="auto" w:fill="auto"/>
        <w:spacing w:line="440" w:lineRule="exact"/>
        <w:jc w:val="right"/>
        <w:rPr>
          <w:rFonts w:hint="eastAsia" w:ascii="黑体" w:hAnsi="黑体" w:eastAsia="黑体" w:cs="黑体"/>
          <w:color w:val="auto"/>
          <w:sz w:val="24"/>
          <w:highlight w:val="none"/>
        </w:rPr>
      </w:pPr>
      <w:r>
        <w:rPr>
          <w:rFonts w:hint="eastAsia" w:ascii="黑体" w:hAnsi="黑体" w:eastAsia="黑体" w:cs="黑体"/>
          <w:color w:val="auto"/>
          <w:sz w:val="24"/>
          <w:highlight w:val="none"/>
        </w:rPr>
        <w:t>开标时间：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时</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分</w:t>
      </w:r>
    </w:p>
    <w:tbl>
      <w:tblPr>
        <w:tblStyle w:val="22"/>
        <w:tblW w:w="89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596"/>
        <w:gridCol w:w="1275"/>
        <w:gridCol w:w="1560"/>
        <w:gridCol w:w="1134"/>
        <w:gridCol w:w="850"/>
        <w:gridCol w:w="1843"/>
      </w:tblGrid>
      <w:tr w14:paraId="33DC7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696" w:type="dxa"/>
            <w:noWrap w:val="0"/>
            <w:vAlign w:val="center"/>
          </w:tcPr>
          <w:p w14:paraId="12E15758">
            <w:pPr>
              <w:shd w:val="clear" w:color="auto" w:fill="auto"/>
              <w:spacing w:line="500" w:lineRule="exact"/>
              <w:ind w:left="-105" w:leftChars="-50" w:right="-105" w:rightChars="-5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序号</w:t>
            </w:r>
          </w:p>
        </w:tc>
        <w:tc>
          <w:tcPr>
            <w:tcW w:w="1596" w:type="dxa"/>
            <w:noWrap w:val="0"/>
            <w:vAlign w:val="center"/>
          </w:tcPr>
          <w:p w14:paraId="0EBEEFA5">
            <w:pPr>
              <w:shd w:val="clear" w:color="auto" w:fill="auto"/>
              <w:spacing w:line="500" w:lineRule="exact"/>
              <w:ind w:left="-105" w:leftChars="-50" w:right="-105" w:rightChars="-5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投标人</w:t>
            </w:r>
          </w:p>
        </w:tc>
        <w:tc>
          <w:tcPr>
            <w:tcW w:w="1275" w:type="dxa"/>
            <w:noWrap w:val="0"/>
            <w:vAlign w:val="center"/>
          </w:tcPr>
          <w:p w14:paraId="24F17F35">
            <w:pPr>
              <w:shd w:val="clear" w:color="auto" w:fill="auto"/>
              <w:spacing w:line="500" w:lineRule="exact"/>
              <w:ind w:left="-105" w:leftChars="-50" w:right="-105" w:rightChars="-5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密封情况</w:t>
            </w:r>
          </w:p>
        </w:tc>
        <w:tc>
          <w:tcPr>
            <w:tcW w:w="1560" w:type="dxa"/>
            <w:noWrap w:val="0"/>
            <w:vAlign w:val="top"/>
          </w:tcPr>
          <w:p w14:paraId="23D99018">
            <w:pPr>
              <w:shd w:val="clear" w:color="auto" w:fill="auto"/>
              <w:spacing w:line="500" w:lineRule="exact"/>
              <w:ind w:left="-105" w:leftChars="-50" w:right="-105" w:rightChars="-5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投标保证金递交情况</w:t>
            </w:r>
          </w:p>
        </w:tc>
        <w:tc>
          <w:tcPr>
            <w:tcW w:w="1134" w:type="dxa"/>
            <w:noWrap w:val="0"/>
            <w:vAlign w:val="center"/>
          </w:tcPr>
          <w:p w14:paraId="57AD6712">
            <w:pPr>
              <w:shd w:val="clear" w:color="auto" w:fill="auto"/>
              <w:spacing w:line="500" w:lineRule="exact"/>
              <w:ind w:left="-105" w:leftChars="-50" w:right="-105" w:rightChars="-5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工期</w:t>
            </w:r>
          </w:p>
        </w:tc>
        <w:tc>
          <w:tcPr>
            <w:tcW w:w="850" w:type="dxa"/>
            <w:noWrap w:val="0"/>
            <w:vAlign w:val="center"/>
          </w:tcPr>
          <w:p w14:paraId="761CA344">
            <w:pPr>
              <w:shd w:val="clear" w:color="auto" w:fill="auto"/>
              <w:spacing w:line="500" w:lineRule="exact"/>
              <w:ind w:left="-105" w:leftChars="-50" w:right="-105" w:rightChars="-5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备注</w:t>
            </w:r>
          </w:p>
        </w:tc>
        <w:tc>
          <w:tcPr>
            <w:tcW w:w="1843" w:type="dxa"/>
            <w:noWrap w:val="0"/>
            <w:vAlign w:val="center"/>
          </w:tcPr>
          <w:p w14:paraId="3991F9F2">
            <w:pPr>
              <w:shd w:val="clear" w:color="auto" w:fill="auto"/>
              <w:spacing w:line="500" w:lineRule="exact"/>
              <w:ind w:left="-105" w:leftChars="-50" w:right="-105" w:rightChars="-5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投标人代表签名</w:t>
            </w:r>
          </w:p>
        </w:tc>
      </w:tr>
      <w:tr w14:paraId="79D35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03A86766">
            <w:pPr>
              <w:shd w:val="clear" w:color="auto" w:fill="auto"/>
              <w:spacing w:before="120" w:beforeLines="50" w:line="440" w:lineRule="exact"/>
              <w:jc w:val="right"/>
              <w:rPr>
                <w:rFonts w:hint="eastAsia" w:ascii="黑体" w:hAnsi="黑体" w:eastAsia="黑体" w:cs="黑体"/>
                <w:color w:val="auto"/>
                <w:sz w:val="24"/>
                <w:highlight w:val="none"/>
              </w:rPr>
            </w:pPr>
          </w:p>
        </w:tc>
        <w:tc>
          <w:tcPr>
            <w:tcW w:w="1596" w:type="dxa"/>
            <w:noWrap w:val="0"/>
            <w:vAlign w:val="top"/>
          </w:tcPr>
          <w:p w14:paraId="5BADE820">
            <w:pPr>
              <w:shd w:val="clear" w:color="auto" w:fill="auto"/>
              <w:spacing w:before="120" w:beforeLines="50" w:line="440" w:lineRule="exact"/>
              <w:jc w:val="right"/>
              <w:rPr>
                <w:rFonts w:hint="eastAsia" w:ascii="黑体" w:hAnsi="黑体" w:eastAsia="黑体" w:cs="黑体"/>
                <w:color w:val="auto"/>
                <w:sz w:val="24"/>
                <w:highlight w:val="none"/>
              </w:rPr>
            </w:pPr>
          </w:p>
        </w:tc>
        <w:tc>
          <w:tcPr>
            <w:tcW w:w="1275" w:type="dxa"/>
            <w:noWrap w:val="0"/>
            <w:vAlign w:val="top"/>
          </w:tcPr>
          <w:p w14:paraId="2F57DD9B">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795A39C4">
            <w:pPr>
              <w:shd w:val="clear" w:color="auto" w:fill="auto"/>
              <w:spacing w:before="120" w:beforeLines="50" w:line="440" w:lineRule="exact"/>
              <w:jc w:val="right"/>
              <w:rPr>
                <w:rFonts w:hint="eastAsia" w:ascii="黑体" w:hAnsi="黑体" w:eastAsia="黑体" w:cs="黑体"/>
                <w:color w:val="auto"/>
                <w:sz w:val="24"/>
                <w:highlight w:val="none"/>
              </w:rPr>
            </w:pPr>
          </w:p>
        </w:tc>
        <w:tc>
          <w:tcPr>
            <w:tcW w:w="1134" w:type="dxa"/>
            <w:noWrap w:val="0"/>
            <w:vAlign w:val="top"/>
          </w:tcPr>
          <w:p w14:paraId="42157D76">
            <w:pPr>
              <w:shd w:val="clear" w:color="auto" w:fill="auto"/>
              <w:spacing w:before="120" w:beforeLines="50" w:line="440" w:lineRule="exact"/>
              <w:jc w:val="right"/>
              <w:rPr>
                <w:rFonts w:hint="eastAsia" w:ascii="黑体" w:hAnsi="黑体" w:eastAsia="黑体" w:cs="黑体"/>
                <w:color w:val="auto"/>
                <w:sz w:val="24"/>
                <w:highlight w:val="none"/>
              </w:rPr>
            </w:pPr>
          </w:p>
        </w:tc>
        <w:tc>
          <w:tcPr>
            <w:tcW w:w="850" w:type="dxa"/>
            <w:noWrap w:val="0"/>
            <w:vAlign w:val="top"/>
          </w:tcPr>
          <w:p w14:paraId="5ACA1DD9">
            <w:pPr>
              <w:shd w:val="clear" w:color="auto" w:fill="auto"/>
              <w:spacing w:before="120" w:beforeLines="50" w:line="440" w:lineRule="exact"/>
              <w:jc w:val="right"/>
              <w:rPr>
                <w:rFonts w:hint="eastAsia" w:ascii="黑体" w:hAnsi="黑体" w:eastAsia="黑体" w:cs="黑体"/>
                <w:color w:val="auto"/>
                <w:sz w:val="24"/>
                <w:highlight w:val="none"/>
              </w:rPr>
            </w:pPr>
          </w:p>
        </w:tc>
        <w:tc>
          <w:tcPr>
            <w:tcW w:w="1843" w:type="dxa"/>
            <w:noWrap w:val="0"/>
            <w:vAlign w:val="top"/>
          </w:tcPr>
          <w:p w14:paraId="5955B2B9">
            <w:pPr>
              <w:shd w:val="clear" w:color="auto" w:fill="auto"/>
              <w:spacing w:before="120" w:beforeLines="50" w:line="440" w:lineRule="exact"/>
              <w:jc w:val="right"/>
              <w:rPr>
                <w:rFonts w:hint="eastAsia" w:ascii="黑体" w:hAnsi="黑体" w:eastAsia="黑体" w:cs="黑体"/>
                <w:color w:val="auto"/>
                <w:sz w:val="24"/>
                <w:highlight w:val="none"/>
              </w:rPr>
            </w:pPr>
          </w:p>
        </w:tc>
      </w:tr>
      <w:tr w14:paraId="32D3A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79DDEC34">
            <w:pPr>
              <w:shd w:val="clear" w:color="auto" w:fill="auto"/>
              <w:spacing w:before="120" w:beforeLines="50" w:line="440" w:lineRule="exact"/>
              <w:jc w:val="right"/>
              <w:rPr>
                <w:rFonts w:hint="eastAsia" w:ascii="黑体" w:hAnsi="黑体" w:eastAsia="黑体" w:cs="黑体"/>
                <w:color w:val="auto"/>
                <w:sz w:val="24"/>
                <w:highlight w:val="none"/>
              </w:rPr>
            </w:pPr>
          </w:p>
        </w:tc>
        <w:tc>
          <w:tcPr>
            <w:tcW w:w="1596" w:type="dxa"/>
            <w:noWrap w:val="0"/>
            <w:vAlign w:val="top"/>
          </w:tcPr>
          <w:p w14:paraId="1F08B78B">
            <w:pPr>
              <w:shd w:val="clear" w:color="auto" w:fill="auto"/>
              <w:spacing w:before="120" w:beforeLines="50" w:line="440" w:lineRule="exact"/>
              <w:jc w:val="right"/>
              <w:rPr>
                <w:rFonts w:hint="eastAsia" w:ascii="黑体" w:hAnsi="黑体" w:eastAsia="黑体" w:cs="黑体"/>
                <w:color w:val="auto"/>
                <w:sz w:val="24"/>
                <w:highlight w:val="none"/>
              </w:rPr>
            </w:pPr>
          </w:p>
        </w:tc>
        <w:tc>
          <w:tcPr>
            <w:tcW w:w="1275" w:type="dxa"/>
            <w:noWrap w:val="0"/>
            <w:vAlign w:val="top"/>
          </w:tcPr>
          <w:p w14:paraId="053BACFA">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1EE53F9D">
            <w:pPr>
              <w:shd w:val="clear" w:color="auto" w:fill="auto"/>
              <w:spacing w:before="120" w:beforeLines="50" w:line="440" w:lineRule="exact"/>
              <w:jc w:val="right"/>
              <w:rPr>
                <w:rFonts w:hint="eastAsia" w:ascii="黑体" w:hAnsi="黑体" w:eastAsia="黑体" w:cs="黑体"/>
                <w:color w:val="auto"/>
                <w:sz w:val="24"/>
                <w:highlight w:val="none"/>
              </w:rPr>
            </w:pPr>
          </w:p>
        </w:tc>
        <w:tc>
          <w:tcPr>
            <w:tcW w:w="1134" w:type="dxa"/>
            <w:noWrap w:val="0"/>
            <w:vAlign w:val="top"/>
          </w:tcPr>
          <w:p w14:paraId="67418ABA">
            <w:pPr>
              <w:shd w:val="clear" w:color="auto" w:fill="auto"/>
              <w:spacing w:before="120" w:beforeLines="50" w:line="440" w:lineRule="exact"/>
              <w:jc w:val="right"/>
              <w:rPr>
                <w:rFonts w:hint="eastAsia" w:ascii="黑体" w:hAnsi="黑体" w:eastAsia="黑体" w:cs="黑体"/>
                <w:color w:val="auto"/>
                <w:sz w:val="24"/>
                <w:highlight w:val="none"/>
              </w:rPr>
            </w:pPr>
          </w:p>
        </w:tc>
        <w:tc>
          <w:tcPr>
            <w:tcW w:w="850" w:type="dxa"/>
            <w:noWrap w:val="0"/>
            <w:vAlign w:val="top"/>
          </w:tcPr>
          <w:p w14:paraId="4F794C05">
            <w:pPr>
              <w:shd w:val="clear" w:color="auto" w:fill="auto"/>
              <w:spacing w:before="120" w:beforeLines="50" w:line="440" w:lineRule="exact"/>
              <w:jc w:val="right"/>
              <w:rPr>
                <w:rFonts w:hint="eastAsia" w:ascii="黑体" w:hAnsi="黑体" w:eastAsia="黑体" w:cs="黑体"/>
                <w:color w:val="auto"/>
                <w:sz w:val="24"/>
                <w:highlight w:val="none"/>
              </w:rPr>
            </w:pPr>
          </w:p>
        </w:tc>
        <w:tc>
          <w:tcPr>
            <w:tcW w:w="1843" w:type="dxa"/>
            <w:noWrap w:val="0"/>
            <w:vAlign w:val="top"/>
          </w:tcPr>
          <w:p w14:paraId="4D62CBEB">
            <w:pPr>
              <w:shd w:val="clear" w:color="auto" w:fill="auto"/>
              <w:spacing w:before="120" w:beforeLines="50" w:line="440" w:lineRule="exact"/>
              <w:jc w:val="right"/>
              <w:rPr>
                <w:rFonts w:hint="eastAsia" w:ascii="黑体" w:hAnsi="黑体" w:eastAsia="黑体" w:cs="黑体"/>
                <w:color w:val="auto"/>
                <w:sz w:val="24"/>
                <w:highlight w:val="none"/>
              </w:rPr>
            </w:pPr>
          </w:p>
        </w:tc>
      </w:tr>
      <w:tr w14:paraId="3EC36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3F3A6413">
            <w:pPr>
              <w:shd w:val="clear" w:color="auto" w:fill="auto"/>
              <w:spacing w:before="120" w:beforeLines="50" w:line="440" w:lineRule="exact"/>
              <w:jc w:val="right"/>
              <w:rPr>
                <w:rFonts w:hint="eastAsia" w:ascii="黑体" w:hAnsi="黑体" w:eastAsia="黑体" w:cs="黑体"/>
                <w:color w:val="auto"/>
                <w:sz w:val="24"/>
                <w:highlight w:val="none"/>
              </w:rPr>
            </w:pPr>
          </w:p>
        </w:tc>
        <w:tc>
          <w:tcPr>
            <w:tcW w:w="1596" w:type="dxa"/>
            <w:noWrap w:val="0"/>
            <w:vAlign w:val="top"/>
          </w:tcPr>
          <w:p w14:paraId="3E2BEC5D">
            <w:pPr>
              <w:shd w:val="clear" w:color="auto" w:fill="auto"/>
              <w:spacing w:before="120" w:beforeLines="50" w:line="440" w:lineRule="exact"/>
              <w:jc w:val="right"/>
              <w:rPr>
                <w:rFonts w:hint="eastAsia" w:ascii="黑体" w:hAnsi="黑体" w:eastAsia="黑体" w:cs="黑体"/>
                <w:color w:val="auto"/>
                <w:sz w:val="24"/>
                <w:highlight w:val="none"/>
              </w:rPr>
            </w:pPr>
          </w:p>
        </w:tc>
        <w:tc>
          <w:tcPr>
            <w:tcW w:w="1275" w:type="dxa"/>
            <w:noWrap w:val="0"/>
            <w:vAlign w:val="top"/>
          </w:tcPr>
          <w:p w14:paraId="4D56098C">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1F5C2251">
            <w:pPr>
              <w:shd w:val="clear" w:color="auto" w:fill="auto"/>
              <w:spacing w:before="120" w:beforeLines="50" w:line="440" w:lineRule="exact"/>
              <w:jc w:val="right"/>
              <w:rPr>
                <w:rFonts w:hint="eastAsia" w:ascii="黑体" w:hAnsi="黑体" w:eastAsia="黑体" w:cs="黑体"/>
                <w:color w:val="auto"/>
                <w:sz w:val="24"/>
                <w:highlight w:val="none"/>
              </w:rPr>
            </w:pPr>
          </w:p>
        </w:tc>
        <w:tc>
          <w:tcPr>
            <w:tcW w:w="1134" w:type="dxa"/>
            <w:noWrap w:val="0"/>
            <w:vAlign w:val="top"/>
          </w:tcPr>
          <w:p w14:paraId="3FAB2A32">
            <w:pPr>
              <w:shd w:val="clear" w:color="auto" w:fill="auto"/>
              <w:spacing w:before="120" w:beforeLines="50" w:line="440" w:lineRule="exact"/>
              <w:jc w:val="right"/>
              <w:rPr>
                <w:rFonts w:hint="eastAsia" w:ascii="黑体" w:hAnsi="黑体" w:eastAsia="黑体" w:cs="黑体"/>
                <w:color w:val="auto"/>
                <w:sz w:val="24"/>
                <w:highlight w:val="none"/>
              </w:rPr>
            </w:pPr>
          </w:p>
        </w:tc>
        <w:tc>
          <w:tcPr>
            <w:tcW w:w="850" w:type="dxa"/>
            <w:noWrap w:val="0"/>
            <w:vAlign w:val="top"/>
          </w:tcPr>
          <w:p w14:paraId="6F283FC2">
            <w:pPr>
              <w:shd w:val="clear" w:color="auto" w:fill="auto"/>
              <w:spacing w:before="120" w:beforeLines="50" w:line="440" w:lineRule="exact"/>
              <w:jc w:val="right"/>
              <w:rPr>
                <w:rFonts w:hint="eastAsia" w:ascii="黑体" w:hAnsi="黑体" w:eastAsia="黑体" w:cs="黑体"/>
                <w:color w:val="auto"/>
                <w:sz w:val="24"/>
                <w:highlight w:val="none"/>
              </w:rPr>
            </w:pPr>
          </w:p>
        </w:tc>
        <w:tc>
          <w:tcPr>
            <w:tcW w:w="1843" w:type="dxa"/>
            <w:noWrap w:val="0"/>
            <w:vAlign w:val="top"/>
          </w:tcPr>
          <w:p w14:paraId="5C5FC5D0">
            <w:pPr>
              <w:shd w:val="clear" w:color="auto" w:fill="auto"/>
              <w:spacing w:before="120" w:beforeLines="50" w:line="440" w:lineRule="exact"/>
              <w:jc w:val="right"/>
              <w:rPr>
                <w:rFonts w:hint="eastAsia" w:ascii="黑体" w:hAnsi="黑体" w:eastAsia="黑体" w:cs="黑体"/>
                <w:color w:val="auto"/>
                <w:sz w:val="24"/>
                <w:highlight w:val="none"/>
              </w:rPr>
            </w:pPr>
          </w:p>
        </w:tc>
      </w:tr>
      <w:tr w14:paraId="04A95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74C640BA">
            <w:pPr>
              <w:shd w:val="clear" w:color="auto" w:fill="auto"/>
              <w:spacing w:before="120" w:beforeLines="50" w:line="440" w:lineRule="exact"/>
              <w:jc w:val="right"/>
              <w:rPr>
                <w:rFonts w:hint="eastAsia" w:ascii="黑体" w:hAnsi="黑体" w:eastAsia="黑体" w:cs="黑体"/>
                <w:color w:val="auto"/>
                <w:sz w:val="24"/>
                <w:highlight w:val="none"/>
              </w:rPr>
            </w:pPr>
          </w:p>
        </w:tc>
        <w:tc>
          <w:tcPr>
            <w:tcW w:w="1596" w:type="dxa"/>
            <w:noWrap w:val="0"/>
            <w:vAlign w:val="top"/>
          </w:tcPr>
          <w:p w14:paraId="43381407">
            <w:pPr>
              <w:shd w:val="clear" w:color="auto" w:fill="auto"/>
              <w:spacing w:before="120" w:beforeLines="50" w:line="440" w:lineRule="exact"/>
              <w:jc w:val="right"/>
              <w:rPr>
                <w:rFonts w:hint="eastAsia" w:ascii="黑体" w:hAnsi="黑体" w:eastAsia="黑体" w:cs="黑体"/>
                <w:color w:val="auto"/>
                <w:sz w:val="24"/>
                <w:highlight w:val="none"/>
              </w:rPr>
            </w:pPr>
          </w:p>
        </w:tc>
        <w:tc>
          <w:tcPr>
            <w:tcW w:w="1275" w:type="dxa"/>
            <w:noWrap w:val="0"/>
            <w:vAlign w:val="top"/>
          </w:tcPr>
          <w:p w14:paraId="3402AE33">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2B6D2B76">
            <w:pPr>
              <w:shd w:val="clear" w:color="auto" w:fill="auto"/>
              <w:spacing w:before="120" w:beforeLines="50" w:line="440" w:lineRule="exact"/>
              <w:jc w:val="right"/>
              <w:rPr>
                <w:rFonts w:hint="eastAsia" w:ascii="黑体" w:hAnsi="黑体" w:eastAsia="黑体" w:cs="黑体"/>
                <w:color w:val="auto"/>
                <w:sz w:val="24"/>
                <w:highlight w:val="none"/>
              </w:rPr>
            </w:pPr>
          </w:p>
        </w:tc>
        <w:tc>
          <w:tcPr>
            <w:tcW w:w="1134" w:type="dxa"/>
            <w:noWrap w:val="0"/>
            <w:vAlign w:val="top"/>
          </w:tcPr>
          <w:p w14:paraId="1E7ADF84">
            <w:pPr>
              <w:shd w:val="clear" w:color="auto" w:fill="auto"/>
              <w:spacing w:before="120" w:beforeLines="50" w:line="440" w:lineRule="exact"/>
              <w:jc w:val="right"/>
              <w:rPr>
                <w:rFonts w:hint="eastAsia" w:ascii="黑体" w:hAnsi="黑体" w:eastAsia="黑体" w:cs="黑体"/>
                <w:color w:val="auto"/>
                <w:sz w:val="24"/>
                <w:highlight w:val="none"/>
              </w:rPr>
            </w:pPr>
          </w:p>
        </w:tc>
        <w:tc>
          <w:tcPr>
            <w:tcW w:w="850" w:type="dxa"/>
            <w:noWrap w:val="0"/>
            <w:vAlign w:val="top"/>
          </w:tcPr>
          <w:p w14:paraId="38E32837">
            <w:pPr>
              <w:shd w:val="clear" w:color="auto" w:fill="auto"/>
              <w:spacing w:before="120" w:beforeLines="50" w:line="440" w:lineRule="exact"/>
              <w:jc w:val="right"/>
              <w:rPr>
                <w:rFonts w:hint="eastAsia" w:ascii="黑体" w:hAnsi="黑体" w:eastAsia="黑体" w:cs="黑体"/>
                <w:color w:val="auto"/>
                <w:sz w:val="24"/>
                <w:highlight w:val="none"/>
              </w:rPr>
            </w:pPr>
          </w:p>
        </w:tc>
        <w:tc>
          <w:tcPr>
            <w:tcW w:w="1843" w:type="dxa"/>
            <w:noWrap w:val="0"/>
            <w:vAlign w:val="top"/>
          </w:tcPr>
          <w:p w14:paraId="1FBEA196">
            <w:pPr>
              <w:shd w:val="clear" w:color="auto" w:fill="auto"/>
              <w:spacing w:before="120" w:beforeLines="50" w:line="440" w:lineRule="exact"/>
              <w:jc w:val="right"/>
              <w:rPr>
                <w:rFonts w:hint="eastAsia" w:ascii="黑体" w:hAnsi="黑体" w:eastAsia="黑体" w:cs="黑体"/>
                <w:color w:val="auto"/>
                <w:sz w:val="24"/>
                <w:highlight w:val="none"/>
              </w:rPr>
            </w:pPr>
          </w:p>
        </w:tc>
      </w:tr>
      <w:tr w14:paraId="2FB2B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7D99FF6B">
            <w:pPr>
              <w:shd w:val="clear" w:color="auto" w:fill="auto"/>
              <w:spacing w:before="120" w:beforeLines="50" w:line="440" w:lineRule="exact"/>
              <w:jc w:val="right"/>
              <w:rPr>
                <w:rFonts w:hint="eastAsia" w:ascii="黑体" w:hAnsi="黑体" w:eastAsia="黑体" w:cs="黑体"/>
                <w:color w:val="auto"/>
                <w:sz w:val="24"/>
                <w:highlight w:val="none"/>
              </w:rPr>
            </w:pPr>
          </w:p>
        </w:tc>
        <w:tc>
          <w:tcPr>
            <w:tcW w:w="1596" w:type="dxa"/>
            <w:noWrap w:val="0"/>
            <w:vAlign w:val="top"/>
          </w:tcPr>
          <w:p w14:paraId="3C3DB397">
            <w:pPr>
              <w:shd w:val="clear" w:color="auto" w:fill="auto"/>
              <w:spacing w:before="120" w:beforeLines="50" w:line="440" w:lineRule="exact"/>
              <w:jc w:val="right"/>
              <w:rPr>
                <w:rFonts w:hint="eastAsia" w:ascii="黑体" w:hAnsi="黑体" w:eastAsia="黑体" w:cs="黑体"/>
                <w:color w:val="auto"/>
                <w:sz w:val="24"/>
                <w:highlight w:val="none"/>
              </w:rPr>
            </w:pPr>
          </w:p>
        </w:tc>
        <w:tc>
          <w:tcPr>
            <w:tcW w:w="1275" w:type="dxa"/>
            <w:noWrap w:val="0"/>
            <w:vAlign w:val="top"/>
          </w:tcPr>
          <w:p w14:paraId="5572F343">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05B01CF7">
            <w:pPr>
              <w:shd w:val="clear" w:color="auto" w:fill="auto"/>
              <w:spacing w:before="120" w:beforeLines="50" w:line="440" w:lineRule="exact"/>
              <w:jc w:val="right"/>
              <w:rPr>
                <w:rFonts w:hint="eastAsia" w:ascii="黑体" w:hAnsi="黑体" w:eastAsia="黑体" w:cs="黑体"/>
                <w:color w:val="auto"/>
                <w:sz w:val="24"/>
                <w:highlight w:val="none"/>
              </w:rPr>
            </w:pPr>
          </w:p>
        </w:tc>
        <w:tc>
          <w:tcPr>
            <w:tcW w:w="1134" w:type="dxa"/>
            <w:noWrap w:val="0"/>
            <w:vAlign w:val="top"/>
          </w:tcPr>
          <w:p w14:paraId="6FFA438F">
            <w:pPr>
              <w:shd w:val="clear" w:color="auto" w:fill="auto"/>
              <w:spacing w:before="120" w:beforeLines="50" w:line="440" w:lineRule="exact"/>
              <w:jc w:val="right"/>
              <w:rPr>
                <w:rFonts w:hint="eastAsia" w:ascii="黑体" w:hAnsi="黑体" w:eastAsia="黑体" w:cs="黑体"/>
                <w:color w:val="auto"/>
                <w:sz w:val="24"/>
                <w:highlight w:val="none"/>
              </w:rPr>
            </w:pPr>
          </w:p>
        </w:tc>
        <w:tc>
          <w:tcPr>
            <w:tcW w:w="850" w:type="dxa"/>
            <w:noWrap w:val="0"/>
            <w:vAlign w:val="top"/>
          </w:tcPr>
          <w:p w14:paraId="2BB057E8">
            <w:pPr>
              <w:shd w:val="clear" w:color="auto" w:fill="auto"/>
              <w:spacing w:before="120" w:beforeLines="50" w:line="440" w:lineRule="exact"/>
              <w:jc w:val="right"/>
              <w:rPr>
                <w:rFonts w:hint="eastAsia" w:ascii="黑体" w:hAnsi="黑体" w:eastAsia="黑体" w:cs="黑体"/>
                <w:color w:val="auto"/>
                <w:sz w:val="24"/>
                <w:highlight w:val="none"/>
              </w:rPr>
            </w:pPr>
          </w:p>
        </w:tc>
        <w:tc>
          <w:tcPr>
            <w:tcW w:w="1843" w:type="dxa"/>
            <w:noWrap w:val="0"/>
            <w:vAlign w:val="top"/>
          </w:tcPr>
          <w:p w14:paraId="494F50B4">
            <w:pPr>
              <w:shd w:val="clear" w:color="auto" w:fill="auto"/>
              <w:spacing w:before="120" w:beforeLines="50" w:line="440" w:lineRule="exact"/>
              <w:jc w:val="right"/>
              <w:rPr>
                <w:rFonts w:hint="eastAsia" w:ascii="黑体" w:hAnsi="黑体" w:eastAsia="黑体" w:cs="黑体"/>
                <w:color w:val="auto"/>
                <w:sz w:val="24"/>
                <w:highlight w:val="none"/>
              </w:rPr>
            </w:pPr>
          </w:p>
        </w:tc>
      </w:tr>
      <w:tr w14:paraId="479F9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6A41ECA9">
            <w:pPr>
              <w:shd w:val="clear" w:color="auto" w:fill="auto"/>
              <w:spacing w:before="120" w:beforeLines="50" w:line="440" w:lineRule="exact"/>
              <w:jc w:val="right"/>
              <w:rPr>
                <w:rFonts w:hint="eastAsia" w:ascii="黑体" w:hAnsi="黑体" w:eastAsia="黑体" w:cs="黑体"/>
                <w:color w:val="auto"/>
                <w:sz w:val="24"/>
                <w:highlight w:val="none"/>
              </w:rPr>
            </w:pPr>
          </w:p>
        </w:tc>
        <w:tc>
          <w:tcPr>
            <w:tcW w:w="1596" w:type="dxa"/>
            <w:noWrap w:val="0"/>
            <w:vAlign w:val="top"/>
          </w:tcPr>
          <w:p w14:paraId="78628615">
            <w:pPr>
              <w:shd w:val="clear" w:color="auto" w:fill="auto"/>
              <w:spacing w:before="120" w:beforeLines="50" w:line="440" w:lineRule="exact"/>
              <w:jc w:val="right"/>
              <w:rPr>
                <w:rFonts w:hint="eastAsia" w:ascii="黑体" w:hAnsi="黑体" w:eastAsia="黑体" w:cs="黑体"/>
                <w:color w:val="auto"/>
                <w:sz w:val="24"/>
                <w:highlight w:val="none"/>
              </w:rPr>
            </w:pPr>
          </w:p>
        </w:tc>
        <w:tc>
          <w:tcPr>
            <w:tcW w:w="1275" w:type="dxa"/>
            <w:noWrap w:val="0"/>
            <w:vAlign w:val="top"/>
          </w:tcPr>
          <w:p w14:paraId="3ED875F1">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258FFFFC">
            <w:pPr>
              <w:shd w:val="clear" w:color="auto" w:fill="auto"/>
              <w:spacing w:before="120" w:beforeLines="50" w:line="440" w:lineRule="exact"/>
              <w:jc w:val="right"/>
              <w:rPr>
                <w:rFonts w:hint="eastAsia" w:ascii="黑体" w:hAnsi="黑体" w:eastAsia="黑体" w:cs="黑体"/>
                <w:color w:val="auto"/>
                <w:sz w:val="24"/>
                <w:highlight w:val="none"/>
              </w:rPr>
            </w:pPr>
          </w:p>
        </w:tc>
        <w:tc>
          <w:tcPr>
            <w:tcW w:w="1134" w:type="dxa"/>
            <w:noWrap w:val="0"/>
            <w:vAlign w:val="top"/>
          </w:tcPr>
          <w:p w14:paraId="4E3D18A7">
            <w:pPr>
              <w:shd w:val="clear" w:color="auto" w:fill="auto"/>
              <w:spacing w:before="120" w:beforeLines="50" w:line="440" w:lineRule="exact"/>
              <w:jc w:val="right"/>
              <w:rPr>
                <w:rFonts w:hint="eastAsia" w:ascii="黑体" w:hAnsi="黑体" w:eastAsia="黑体" w:cs="黑体"/>
                <w:color w:val="auto"/>
                <w:sz w:val="24"/>
                <w:highlight w:val="none"/>
              </w:rPr>
            </w:pPr>
          </w:p>
        </w:tc>
        <w:tc>
          <w:tcPr>
            <w:tcW w:w="850" w:type="dxa"/>
            <w:noWrap w:val="0"/>
            <w:vAlign w:val="top"/>
          </w:tcPr>
          <w:p w14:paraId="3DE970B0">
            <w:pPr>
              <w:shd w:val="clear" w:color="auto" w:fill="auto"/>
              <w:spacing w:before="120" w:beforeLines="50" w:line="440" w:lineRule="exact"/>
              <w:jc w:val="right"/>
              <w:rPr>
                <w:rFonts w:hint="eastAsia" w:ascii="黑体" w:hAnsi="黑体" w:eastAsia="黑体" w:cs="黑体"/>
                <w:color w:val="auto"/>
                <w:sz w:val="24"/>
                <w:highlight w:val="none"/>
              </w:rPr>
            </w:pPr>
          </w:p>
        </w:tc>
        <w:tc>
          <w:tcPr>
            <w:tcW w:w="1843" w:type="dxa"/>
            <w:noWrap w:val="0"/>
            <w:vAlign w:val="top"/>
          </w:tcPr>
          <w:p w14:paraId="437E9BCA">
            <w:pPr>
              <w:shd w:val="clear" w:color="auto" w:fill="auto"/>
              <w:spacing w:before="120" w:beforeLines="50" w:line="440" w:lineRule="exact"/>
              <w:jc w:val="right"/>
              <w:rPr>
                <w:rFonts w:hint="eastAsia" w:ascii="黑体" w:hAnsi="黑体" w:eastAsia="黑体" w:cs="黑体"/>
                <w:color w:val="auto"/>
                <w:sz w:val="24"/>
                <w:highlight w:val="none"/>
              </w:rPr>
            </w:pPr>
          </w:p>
        </w:tc>
      </w:tr>
      <w:tr w14:paraId="179F4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03A093AB">
            <w:pPr>
              <w:shd w:val="clear" w:color="auto" w:fill="auto"/>
              <w:spacing w:before="120" w:beforeLines="50" w:line="440" w:lineRule="exact"/>
              <w:jc w:val="right"/>
              <w:rPr>
                <w:rFonts w:hint="eastAsia" w:ascii="黑体" w:hAnsi="黑体" w:eastAsia="黑体" w:cs="黑体"/>
                <w:color w:val="auto"/>
                <w:sz w:val="24"/>
                <w:highlight w:val="none"/>
              </w:rPr>
            </w:pPr>
          </w:p>
        </w:tc>
        <w:tc>
          <w:tcPr>
            <w:tcW w:w="1596" w:type="dxa"/>
            <w:noWrap w:val="0"/>
            <w:vAlign w:val="top"/>
          </w:tcPr>
          <w:p w14:paraId="784528EE">
            <w:pPr>
              <w:shd w:val="clear" w:color="auto" w:fill="auto"/>
              <w:spacing w:before="120" w:beforeLines="50" w:line="440" w:lineRule="exact"/>
              <w:jc w:val="right"/>
              <w:rPr>
                <w:rFonts w:hint="eastAsia" w:ascii="黑体" w:hAnsi="黑体" w:eastAsia="黑体" w:cs="黑体"/>
                <w:color w:val="auto"/>
                <w:sz w:val="24"/>
                <w:highlight w:val="none"/>
              </w:rPr>
            </w:pPr>
          </w:p>
        </w:tc>
        <w:tc>
          <w:tcPr>
            <w:tcW w:w="1275" w:type="dxa"/>
            <w:noWrap w:val="0"/>
            <w:vAlign w:val="top"/>
          </w:tcPr>
          <w:p w14:paraId="7583C64A">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500BD497">
            <w:pPr>
              <w:shd w:val="clear" w:color="auto" w:fill="auto"/>
              <w:spacing w:before="120" w:beforeLines="50" w:line="440" w:lineRule="exact"/>
              <w:jc w:val="right"/>
              <w:rPr>
                <w:rFonts w:hint="eastAsia" w:ascii="黑体" w:hAnsi="黑体" w:eastAsia="黑体" w:cs="黑体"/>
                <w:color w:val="auto"/>
                <w:sz w:val="24"/>
                <w:highlight w:val="none"/>
              </w:rPr>
            </w:pPr>
          </w:p>
        </w:tc>
        <w:tc>
          <w:tcPr>
            <w:tcW w:w="1134" w:type="dxa"/>
            <w:noWrap w:val="0"/>
            <w:vAlign w:val="top"/>
          </w:tcPr>
          <w:p w14:paraId="4118D9C1">
            <w:pPr>
              <w:shd w:val="clear" w:color="auto" w:fill="auto"/>
              <w:spacing w:before="120" w:beforeLines="50" w:line="440" w:lineRule="exact"/>
              <w:jc w:val="right"/>
              <w:rPr>
                <w:rFonts w:hint="eastAsia" w:ascii="黑体" w:hAnsi="黑体" w:eastAsia="黑体" w:cs="黑体"/>
                <w:color w:val="auto"/>
                <w:sz w:val="24"/>
                <w:highlight w:val="none"/>
              </w:rPr>
            </w:pPr>
          </w:p>
        </w:tc>
        <w:tc>
          <w:tcPr>
            <w:tcW w:w="850" w:type="dxa"/>
            <w:noWrap w:val="0"/>
            <w:vAlign w:val="top"/>
          </w:tcPr>
          <w:p w14:paraId="6526D797">
            <w:pPr>
              <w:shd w:val="clear" w:color="auto" w:fill="auto"/>
              <w:spacing w:before="120" w:beforeLines="50" w:line="440" w:lineRule="exact"/>
              <w:jc w:val="right"/>
              <w:rPr>
                <w:rFonts w:hint="eastAsia" w:ascii="黑体" w:hAnsi="黑体" w:eastAsia="黑体" w:cs="黑体"/>
                <w:color w:val="auto"/>
                <w:sz w:val="24"/>
                <w:highlight w:val="none"/>
              </w:rPr>
            </w:pPr>
          </w:p>
        </w:tc>
        <w:tc>
          <w:tcPr>
            <w:tcW w:w="1843" w:type="dxa"/>
            <w:noWrap w:val="0"/>
            <w:vAlign w:val="top"/>
          </w:tcPr>
          <w:p w14:paraId="3E7DAB89">
            <w:pPr>
              <w:shd w:val="clear" w:color="auto" w:fill="auto"/>
              <w:spacing w:before="120" w:beforeLines="50" w:line="440" w:lineRule="exact"/>
              <w:jc w:val="right"/>
              <w:rPr>
                <w:rFonts w:hint="eastAsia" w:ascii="黑体" w:hAnsi="黑体" w:eastAsia="黑体" w:cs="黑体"/>
                <w:color w:val="auto"/>
                <w:sz w:val="24"/>
                <w:highlight w:val="none"/>
              </w:rPr>
            </w:pPr>
          </w:p>
        </w:tc>
      </w:tr>
      <w:tr w14:paraId="7DCFA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160FA6DC">
            <w:pPr>
              <w:shd w:val="clear" w:color="auto" w:fill="auto"/>
              <w:spacing w:before="120" w:beforeLines="50" w:line="440" w:lineRule="exact"/>
              <w:jc w:val="right"/>
              <w:rPr>
                <w:rFonts w:hint="eastAsia" w:ascii="黑体" w:hAnsi="黑体" w:eastAsia="黑体" w:cs="黑体"/>
                <w:color w:val="auto"/>
                <w:sz w:val="24"/>
                <w:highlight w:val="none"/>
              </w:rPr>
            </w:pPr>
          </w:p>
        </w:tc>
        <w:tc>
          <w:tcPr>
            <w:tcW w:w="1596" w:type="dxa"/>
            <w:noWrap w:val="0"/>
            <w:vAlign w:val="top"/>
          </w:tcPr>
          <w:p w14:paraId="3C22F955">
            <w:pPr>
              <w:shd w:val="clear" w:color="auto" w:fill="auto"/>
              <w:spacing w:before="120" w:beforeLines="50" w:line="440" w:lineRule="exact"/>
              <w:jc w:val="right"/>
              <w:rPr>
                <w:rFonts w:hint="eastAsia" w:ascii="黑体" w:hAnsi="黑体" w:eastAsia="黑体" w:cs="黑体"/>
                <w:color w:val="auto"/>
                <w:sz w:val="24"/>
                <w:highlight w:val="none"/>
              </w:rPr>
            </w:pPr>
          </w:p>
        </w:tc>
        <w:tc>
          <w:tcPr>
            <w:tcW w:w="1275" w:type="dxa"/>
            <w:noWrap w:val="0"/>
            <w:vAlign w:val="top"/>
          </w:tcPr>
          <w:p w14:paraId="4BE2AFFC">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36AF0595">
            <w:pPr>
              <w:shd w:val="clear" w:color="auto" w:fill="auto"/>
              <w:spacing w:before="120" w:beforeLines="50" w:line="440" w:lineRule="exact"/>
              <w:jc w:val="right"/>
              <w:rPr>
                <w:rFonts w:hint="eastAsia" w:ascii="黑体" w:hAnsi="黑体" w:eastAsia="黑体" w:cs="黑体"/>
                <w:color w:val="auto"/>
                <w:sz w:val="24"/>
                <w:highlight w:val="none"/>
              </w:rPr>
            </w:pPr>
          </w:p>
        </w:tc>
        <w:tc>
          <w:tcPr>
            <w:tcW w:w="1134" w:type="dxa"/>
            <w:noWrap w:val="0"/>
            <w:vAlign w:val="top"/>
          </w:tcPr>
          <w:p w14:paraId="5DA77EDC">
            <w:pPr>
              <w:shd w:val="clear" w:color="auto" w:fill="auto"/>
              <w:spacing w:before="120" w:beforeLines="50" w:line="440" w:lineRule="exact"/>
              <w:jc w:val="right"/>
              <w:rPr>
                <w:rFonts w:hint="eastAsia" w:ascii="黑体" w:hAnsi="黑体" w:eastAsia="黑体" w:cs="黑体"/>
                <w:color w:val="auto"/>
                <w:sz w:val="24"/>
                <w:highlight w:val="none"/>
              </w:rPr>
            </w:pPr>
          </w:p>
        </w:tc>
        <w:tc>
          <w:tcPr>
            <w:tcW w:w="850" w:type="dxa"/>
            <w:noWrap w:val="0"/>
            <w:vAlign w:val="top"/>
          </w:tcPr>
          <w:p w14:paraId="329DB114">
            <w:pPr>
              <w:shd w:val="clear" w:color="auto" w:fill="auto"/>
              <w:spacing w:before="120" w:beforeLines="50" w:line="440" w:lineRule="exact"/>
              <w:jc w:val="right"/>
              <w:rPr>
                <w:rFonts w:hint="eastAsia" w:ascii="黑体" w:hAnsi="黑体" w:eastAsia="黑体" w:cs="黑体"/>
                <w:color w:val="auto"/>
                <w:sz w:val="24"/>
                <w:highlight w:val="none"/>
              </w:rPr>
            </w:pPr>
          </w:p>
        </w:tc>
        <w:tc>
          <w:tcPr>
            <w:tcW w:w="1843" w:type="dxa"/>
            <w:noWrap w:val="0"/>
            <w:vAlign w:val="top"/>
          </w:tcPr>
          <w:p w14:paraId="20E67535">
            <w:pPr>
              <w:shd w:val="clear" w:color="auto" w:fill="auto"/>
              <w:spacing w:before="120" w:beforeLines="50" w:line="440" w:lineRule="exact"/>
              <w:jc w:val="right"/>
              <w:rPr>
                <w:rFonts w:hint="eastAsia" w:ascii="黑体" w:hAnsi="黑体" w:eastAsia="黑体" w:cs="黑体"/>
                <w:color w:val="auto"/>
                <w:sz w:val="24"/>
                <w:highlight w:val="none"/>
              </w:rPr>
            </w:pPr>
          </w:p>
        </w:tc>
      </w:tr>
      <w:tr w14:paraId="7E3C2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21232D9A">
            <w:pPr>
              <w:shd w:val="clear" w:color="auto" w:fill="auto"/>
              <w:spacing w:before="120" w:beforeLines="50" w:line="440" w:lineRule="exact"/>
              <w:jc w:val="right"/>
              <w:rPr>
                <w:rFonts w:hint="eastAsia" w:ascii="黑体" w:hAnsi="黑体" w:eastAsia="黑体" w:cs="黑体"/>
                <w:color w:val="auto"/>
                <w:sz w:val="24"/>
                <w:highlight w:val="none"/>
              </w:rPr>
            </w:pPr>
          </w:p>
        </w:tc>
        <w:tc>
          <w:tcPr>
            <w:tcW w:w="1596" w:type="dxa"/>
            <w:noWrap w:val="0"/>
            <w:vAlign w:val="top"/>
          </w:tcPr>
          <w:p w14:paraId="232D391D">
            <w:pPr>
              <w:shd w:val="clear" w:color="auto" w:fill="auto"/>
              <w:spacing w:before="120" w:beforeLines="50" w:line="440" w:lineRule="exact"/>
              <w:jc w:val="right"/>
              <w:rPr>
                <w:rFonts w:hint="eastAsia" w:ascii="黑体" w:hAnsi="黑体" w:eastAsia="黑体" w:cs="黑体"/>
                <w:color w:val="auto"/>
                <w:sz w:val="24"/>
                <w:highlight w:val="none"/>
              </w:rPr>
            </w:pPr>
          </w:p>
        </w:tc>
        <w:tc>
          <w:tcPr>
            <w:tcW w:w="1275" w:type="dxa"/>
            <w:noWrap w:val="0"/>
            <w:vAlign w:val="top"/>
          </w:tcPr>
          <w:p w14:paraId="2CE6416D">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79ECCDF1">
            <w:pPr>
              <w:shd w:val="clear" w:color="auto" w:fill="auto"/>
              <w:spacing w:before="120" w:beforeLines="50" w:line="440" w:lineRule="exact"/>
              <w:jc w:val="right"/>
              <w:rPr>
                <w:rFonts w:hint="eastAsia" w:ascii="黑体" w:hAnsi="黑体" w:eastAsia="黑体" w:cs="黑体"/>
                <w:color w:val="auto"/>
                <w:sz w:val="24"/>
                <w:highlight w:val="none"/>
              </w:rPr>
            </w:pPr>
          </w:p>
        </w:tc>
        <w:tc>
          <w:tcPr>
            <w:tcW w:w="1134" w:type="dxa"/>
            <w:noWrap w:val="0"/>
            <w:vAlign w:val="top"/>
          </w:tcPr>
          <w:p w14:paraId="1B2EF72E">
            <w:pPr>
              <w:shd w:val="clear" w:color="auto" w:fill="auto"/>
              <w:spacing w:before="120" w:beforeLines="50" w:line="440" w:lineRule="exact"/>
              <w:jc w:val="right"/>
              <w:rPr>
                <w:rFonts w:hint="eastAsia" w:ascii="黑体" w:hAnsi="黑体" w:eastAsia="黑体" w:cs="黑体"/>
                <w:color w:val="auto"/>
                <w:sz w:val="24"/>
                <w:highlight w:val="none"/>
              </w:rPr>
            </w:pPr>
          </w:p>
        </w:tc>
        <w:tc>
          <w:tcPr>
            <w:tcW w:w="850" w:type="dxa"/>
            <w:noWrap w:val="0"/>
            <w:vAlign w:val="top"/>
          </w:tcPr>
          <w:p w14:paraId="742EC905">
            <w:pPr>
              <w:shd w:val="clear" w:color="auto" w:fill="auto"/>
              <w:spacing w:before="120" w:beforeLines="50" w:line="440" w:lineRule="exact"/>
              <w:jc w:val="right"/>
              <w:rPr>
                <w:rFonts w:hint="eastAsia" w:ascii="黑体" w:hAnsi="黑体" w:eastAsia="黑体" w:cs="黑体"/>
                <w:color w:val="auto"/>
                <w:sz w:val="24"/>
                <w:highlight w:val="none"/>
              </w:rPr>
            </w:pPr>
          </w:p>
        </w:tc>
        <w:tc>
          <w:tcPr>
            <w:tcW w:w="1843" w:type="dxa"/>
            <w:noWrap w:val="0"/>
            <w:vAlign w:val="top"/>
          </w:tcPr>
          <w:p w14:paraId="1A408AFC">
            <w:pPr>
              <w:shd w:val="clear" w:color="auto" w:fill="auto"/>
              <w:spacing w:before="120" w:beforeLines="50" w:line="440" w:lineRule="exact"/>
              <w:jc w:val="right"/>
              <w:rPr>
                <w:rFonts w:hint="eastAsia" w:ascii="黑体" w:hAnsi="黑体" w:eastAsia="黑体" w:cs="黑体"/>
                <w:color w:val="auto"/>
                <w:sz w:val="24"/>
                <w:highlight w:val="none"/>
              </w:rPr>
            </w:pPr>
          </w:p>
        </w:tc>
      </w:tr>
      <w:tr w14:paraId="17C72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06AFF727">
            <w:pPr>
              <w:shd w:val="clear" w:color="auto" w:fill="auto"/>
              <w:spacing w:before="120" w:beforeLines="50" w:line="440" w:lineRule="exact"/>
              <w:jc w:val="right"/>
              <w:rPr>
                <w:rFonts w:hint="eastAsia" w:ascii="黑体" w:hAnsi="黑体" w:eastAsia="黑体" w:cs="黑体"/>
                <w:color w:val="auto"/>
                <w:sz w:val="24"/>
                <w:highlight w:val="none"/>
              </w:rPr>
            </w:pPr>
          </w:p>
        </w:tc>
        <w:tc>
          <w:tcPr>
            <w:tcW w:w="1596" w:type="dxa"/>
            <w:noWrap w:val="0"/>
            <w:vAlign w:val="top"/>
          </w:tcPr>
          <w:p w14:paraId="5741DCF9">
            <w:pPr>
              <w:shd w:val="clear" w:color="auto" w:fill="auto"/>
              <w:spacing w:before="120" w:beforeLines="50" w:line="440" w:lineRule="exact"/>
              <w:jc w:val="right"/>
              <w:rPr>
                <w:rFonts w:hint="eastAsia" w:ascii="黑体" w:hAnsi="黑体" w:eastAsia="黑体" w:cs="黑体"/>
                <w:color w:val="auto"/>
                <w:sz w:val="24"/>
                <w:highlight w:val="none"/>
              </w:rPr>
            </w:pPr>
          </w:p>
        </w:tc>
        <w:tc>
          <w:tcPr>
            <w:tcW w:w="1275" w:type="dxa"/>
            <w:noWrap w:val="0"/>
            <w:vAlign w:val="top"/>
          </w:tcPr>
          <w:p w14:paraId="6E595F96">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0E656F71">
            <w:pPr>
              <w:shd w:val="clear" w:color="auto" w:fill="auto"/>
              <w:spacing w:before="120" w:beforeLines="50" w:line="440" w:lineRule="exact"/>
              <w:jc w:val="right"/>
              <w:rPr>
                <w:rFonts w:hint="eastAsia" w:ascii="黑体" w:hAnsi="黑体" w:eastAsia="黑体" w:cs="黑体"/>
                <w:color w:val="auto"/>
                <w:sz w:val="24"/>
                <w:highlight w:val="none"/>
              </w:rPr>
            </w:pPr>
          </w:p>
        </w:tc>
        <w:tc>
          <w:tcPr>
            <w:tcW w:w="1134" w:type="dxa"/>
            <w:noWrap w:val="0"/>
            <w:vAlign w:val="top"/>
          </w:tcPr>
          <w:p w14:paraId="3C513788">
            <w:pPr>
              <w:shd w:val="clear" w:color="auto" w:fill="auto"/>
              <w:spacing w:before="120" w:beforeLines="50" w:line="440" w:lineRule="exact"/>
              <w:jc w:val="right"/>
              <w:rPr>
                <w:rFonts w:hint="eastAsia" w:ascii="黑体" w:hAnsi="黑体" w:eastAsia="黑体" w:cs="黑体"/>
                <w:color w:val="auto"/>
                <w:sz w:val="24"/>
                <w:highlight w:val="none"/>
              </w:rPr>
            </w:pPr>
          </w:p>
        </w:tc>
        <w:tc>
          <w:tcPr>
            <w:tcW w:w="850" w:type="dxa"/>
            <w:noWrap w:val="0"/>
            <w:vAlign w:val="top"/>
          </w:tcPr>
          <w:p w14:paraId="016B3C81">
            <w:pPr>
              <w:shd w:val="clear" w:color="auto" w:fill="auto"/>
              <w:spacing w:before="120" w:beforeLines="50" w:line="440" w:lineRule="exact"/>
              <w:jc w:val="right"/>
              <w:rPr>
                <w:rFonts w:hint="eastAsia" w:ascii="黑体" w:hAnsi="黑体" w:eastAsia="黑体" w:cs="黑体"/>
                <w:color w:val="auto"/>
                <w:sz w:val="24"/>
                <w:highlight w:val="none"/>
              </w:rPr>
            </w:pPr>
          </w:p>
        </w:tc>
        <w:tc>
          <w:tcPr>
            <w:tcW w:w="1843" w:type="dxa"/>
            <w:noWrap w:val="0"/>
            <w:vAlign w:val="top"/>
          </w:tcPr>
          <w:p w14:paraId="22E53997">
            <w:pPr>
              <w:shd w:val="clear" w:color="auto" w:fill="auto"/>
              <w:spacing w:before="120" w:beforeLines="50" w:line="440" w:lineRule="exact"/>
              <w:jc w:val="right"/>
              <w:rPr>
                <w:rFonts w:hint="eastAsia" w:ascii="黑体" w:hAnsi="黑体" w:eastAsia="黑体" w:cs="黑体"/>
                <w:color w:val="auto"/>
                <w:sz w:val="24"/>
                <w:highlight w:val="none"/>
              </w:rPr>
            </w:pPr>
          </w:p>
        </w:tc>
      </w:tr>
      <w:tr w14:paraId="32E69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3E3160E5">
            <w:pPr>
              <w:shd w:val="clear" w:color="auto" w:fill="auto"/>
              <w:spacing w:before="120" w:beforeLines="50" w:line="440" w:lineRule="exact"/>
              <w:jc w:val="right"/>
              <w:rPr>
                <w:rFonts w:hint="eastAsia" w:ascii="黑体" w:hAnsi="黑体" w:eastAsia="黑体" w:cs="黑体"/>
                <w:color w:val="auto"/>
                <w:sz w:val="24"/>
                <w:highlight w:val="none"/>
              </w:rPr>
            </w:pPr>
          </w:p>
        </w:tc>
        <w:tc>
          <w:tcPr>
            <w:tcW w:w="1596" w:type="dxa"/>
            <w:noWrap w:val="0"/>
            <w:vAlign w:val="top"/>
          </w:tcPr>
          <w:p w14:paraId="09442A8C">
            <w:pPr>
              <w:shd w:val="clear" w:color="auto" w:fill="auto"/>
              <w:spacing w:before="120" w:beforeLines="50" w:line="440" w:lineRule="exact"/>
              <w:jc w:val="right"/>
              <w:rPr>
                <w:rFonts w:hint="eastAsia" w:ascii="黑体" w:hAnsi="黑体" w:eastAsia="黑体" w:cs="黑体"/>
                <w:color w:val="auto"/>
                <w:sz w:val="24"/>
                <w:highlight w:val="none"/>
              </w:rPr>
            </w:pPr>
          </w:p>
        </w:tc>
        <w:tc>
          <w:tcPr>
            <w:tcW w:w="1275" w:type="dxa"/>
            <w:noWrap w:val="0"/>
            <w:vAlign w:val="top"/>
          </w:tcPr>
          <w:p w14:paraId="0A122F09">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59E5EDA6">
            <w:pPr>
              <w:shd w:val="clear" w:color="auto" w:fill="auto"/>
              <w:spacing w:before="120" w:beforeLines="50" w:line="440" w:lineRule="exact"/>
              <w:jc w:val="right"/>
              <w:rPr>
                <w:rFonts w:hint="eastAsia" w:ascii="黑体" w:hAnsi="黑体" w:eastAsia="黑体" w:cs="黑体"/>
                <w:color w:val="auto"/>
                <w:sz w:val="24"/>
                <w:highlight w:val="none"/>
              </w:rPr>
            </w:pPr>
          </w:p>
        </w:tc>
        <w:tc>
          <w:tcPr>
            <w:tcW w:w="1134" w:type="dxa"/>
            <w:noWrap w:val="0"/>
            <w:vAlign w:val="top"/>
          </w:tcPr>
          <w:p w14:paraId="3F500315">
            <w:pPr>
              <w:shd w:val="clear" w:color="auto" w:fill="auto"/>
              <w:spacing w:before="120" w:beforeLines="50" w:line="440" w:lineRule="exact"/>
              <w:jc w:val="right"/>
              <w:rPr>
                <w:rFonts w:hint="eastAsia" w:ascii="黑体" w:hAnsi="黑体" w:eastAsia="黑体" w:cs="黑体"/>
                <w:color w:val="auto"/>
                <w:sz w:val="24"/>
                <w:highlight w:val="none"/>
              </w:rPr>
            </w:pPr>
          </w:p>
        </w:tc>
        <w:tc>
          <w:tcPr>
            <w:tcW w:w="850" w:type="dxa"/>
            <w:noWrap w:val="0"/>
            <w:vAlign w:val="top"/>
          </w:tcPr>
          <w:p w14:paraId="3360E204">
            <w:pPr>
              <w:shd w:val="clear" w:color="auto" w:fill="auto"/>
              <w:spacing w:before="120" w:beforeLines="50" w:line="440" w:lineRule="exact"/>
              <w:jc w:val="right"/>
              <w:rPr>
                <w:rFonts w:hint="eastAsia" w:ascii="黑体" w:hAnsi="黑体" w:eastAsia="黑体" w:cs="黑体"/>
                <w:color w:val="auto"/>
                <w:sz w:val="24"/>
                <w:highlight w:val="none"/>
              </w:rPr>
            </w:pPr>
          </w:p>
        </w:tc>
        <w:tc>
          <w:tcPr>
            <w:tcW w:w="1843" w:type="dxa"/>
            <w:noWrap w:val="0"/>
            <w:vAlign w:val="top"/>
          </w:tcPr>
          <w:p w14:paraId="1137210E">
            <w:pPr>
              <w:shd w:val="clear" w:color="auto" w:fill="auto"/>
              <w:spacing w:before="120" w:beforeLines="50" w:line="440" w:lineRule="exact"/>
              <w:jc w:val="right"/>
              <w:rPr>
                <w:rFonts w:hint="eastAsia" w:ascii="黑体" w:hAnsi="黑体" w:eastAsia="黑体" w:cs="黑体"/>
                <w:color w:val="auto"/>
                <w:sz w:val="24"/>
                <w:highlight w:val="none"/>
              </w:rPr>
            </w:pPr>
          </w:p>
        </w:tc>
      </w:tr>
      <w:tr w14:paraId="22449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106DBD6A">
            <w:pPr>
              <w:shd w:val="clear" w:color="auto" w:fill="auto"/>
              <w:spacing w:before="120" w:beforeLines="50" w:line="440" w:lineRule="exact"/>
              <w:jc w:val="right"/>
              <w:rPr>
                <w:rFonts w:hint="eastAsia" w:ascii="黑体" w:hAnsi="黑体" w:eastAsia="黑体" w:cs="黑体"/>
                <w:color w:val="auto"/>
                <w:sz w:val="24"/>
                <w:highlight w:val="none"/>
              </w:rPr>
            </w:pPr>
          </w:p>
        </w:tc>
        <w:tc>
          <w:tcPr>
            <w:tcW w:w="1596" w:type="dxa"/>
            <w:noWrap w:val="0"/>
            <w:vAlign w:val="top"/>
          </w:tcPr>
          <w:p w14:paraId="38A10025">
            <w:pPr>
              <w:shd w:val="clear" w:color="auto" w:fill="auto"/>
              <w:spacing w:before="120" w:beforeLines="50" w:line="440" w:lineRule="exact"/>
              <w:jc w:val="right"/>
              <w:rPr>
                <w:rFonts w:hint="eastAsia" w:ascii="黑体" w:hAnsi="黑体" w:eastAsia="黑体" w:cs="黑体"/>
                <w:color w:val="auto"/>
                <w:sz w:val="24"/>
                <w:highlight w:val="none"/>
              </w:rPr>
            </w:pPr>
          </w:p>
        </w:tc>
        <w:tc>
          <w:tcPr>
            <w:tcW w:w="1275" w:type="dxa"/>
            <w:noWrap w:val="0"/>
            <w:vAlign w:val="top"/>
          </w:tcPr>
          <w:p w14:paraId="2D5F772A">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7A80DB18">
            <w:pPr>
              <w:shd w:val="clear" w:color="auto" w:fill="auto"/>
              <w:spacing w:before="120" w:beforeLines="50" w:line="440" w:lineRule="exact"/>
              <w:jc w:val="right"/>
              <w:rPr>
                <w:rFonts w:hint="eastAsia" w:ascii="黑体" w:hAnsi="黑体" w:eastAsia="黑体" w:cs="黑体"/>
                <w:color w:val="auto"/>
                <w:sz w:val="24"/>
                <w:highlight w:val="none"/>
              </w:rPr>
            </w:pPr>
          </w:p>
        </w:tc>
        <w:tc>
          <w:tcPr>
            <w:tcW w:w="1134" w:type="dxa"/>
            <w:noWrap w:val="0"/>
            <w:vAlign w:val="top"/>
          </w:tcPr>
          <w:p w14:paraId="1B443FFA">
            <w:pPr>
              <w:shd w:val="clear" w:color="auto" w:fill="auto"/>
              <w:spacing w:before="120" w:beforeLines="50" w:line="440" w:lineRule="exact"/>
              <w:jc w:val="right"/>
              <w:rPr>
                <w:rFonts w:hint="eastAsia" w:ascii="黑体" w:hAnsi="黑体" w:eastAsia="黑体" w:cs="黑体"/>
                <w:color w:val="auto"/>
                <w:sz w:val="24"/>
                <w:highlight w:val="none"/>
              </w:rPr>
            </w:pPr>
          </w:p>
        </w:tc>
        <w:tc>
          <w:tcPr>
            <w:tcW w:w="850" w:type="dxa"/>
            <w:noWrap w:val="0"/>
            <w:vAlign w:val="top"/>
          </w:tcPr>
          <w:p w14:paraId="38420D94">
            <w:pPr>
              <w:shd w:val="clear" w:color="auto" w:fill="auto"/>
              <w:spacing w:before="120" w:beforeLines="50" w:line="440" w:lineRule="exact"/>
              <w:jc w:val="right"/>
              <w:rPr>
                <w:rFonts w:hint="eastAsia" w:ascii="黑体" w:hAnsi="黑体" w:eastAsia="黑体" w:cs="黑体"/>
                <w:color w:val="auto"/>
                <w:sz w:val="24"/>
                <w:highlight w:val="none"/>
              </w:rPr>
            </w:pPr>
          </w:p>
        </w:tc>
        <w:tc>
          <w:tcPr>
            <w:tcW w:w="1843" w:type="dxa"/>
            <w:noWrap w:val="0"/>
            <w:vAlign w:val="top"/>
          </w:tcPr>
          <w:p w14:paraId="6760DB33">
            <w:pPr>
              <w:shd w:val="clear" w:color="auto" w:fill="auto"/>
              <w:spacing w:before="120" w:beforeLines="50" w:line="440" w:lineRule="exact"/>
              <w:jc w:val="right"/>
              <w:rPr>
                <w:rFonts w:hint="eastAsia" w:ascii="黑体" w:hAnsi="黑体" w:eastAsia="黑体" w:cs="黑体"/>
                <w:color w:val="auto"/>
                <w:sz w:val="24"/>
                <w:highlight w:val="none"/>
              </w:rPr>
            </w:pPr>
          </w:p>
        </w:tc>
      </w:tr>
      <w:tr w14:paraId="516B1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58955B02">
            <w:pPr>
              <w:shd w:val="clear" w:color="auto" w:fill="auto"/>
              <w:spacing w:before="120" w:beforeLines="50" w:line="440" w:lineRule="exact"/>
              <w:jc w:val="right"/>
              <w:rPr>
                <w:rFonts w:hint="eastAsia" w:ascii="黑体" w:hAnsi="黑体" w:eastAsia="黑体" w:cs="黑体"/>
                <w:color w:val="auto"/>
                <w:sz w:val="24"/>
                <w:highlight w:val="none"/>
              </w:rPr>
            </w:pPr>
          </w:p>
        </w:tc>
        <w:tc>
          <w:tcPr>
            <w:tcW w:w="1596" w:type="dxa"/>
            <w:noWrap w:val="0"/>
            <w:vAlign w:val="top"/>
          </w:tcPr>
          <w:p w14:paraId="141A775A">
            <w:pPr>
              <w:shd w:val="clear" w:color="auto" w:fill="auto"/>
              <w:spacing w:before="120" w:beforeLines="50" w:line="440" w:lineRule="exact"/>
              <w:jc w:val="right"/>
              <w:rPr>
                <w:rFonts w:hint="eastAsia" w:ascii="黑体" w:hAnsi="黑体" w:eastAsia="黑体" w:cs="黑体"/>
                <w:color w:val="auto"/>
                <w:sz w:val="24"/>
                <w:highlight w:val="none"/>
              </w:rPr>
            </w:pPr>
          </w:p>
        </w:tc>
        <w:tc>
          <w:tcPr>
            <w:tcW w:w="1275" w:type="dxa"/>
            <w:noWrap w:val="0"/>
            <w:vAlign w:val="top"/>
          </w:tcPr>
          <w:p w14:paraId="2917A590">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0D56F0F0">
            <w:pPr>
              <w:shd w:val="clear" w:color="auto" w:fill="auto"/>
              <w:spacing w:before="120" w:beforeLines="50" w:line="440" w:lineRule="exact"/>
              <w:jc w:val="right"/>
              <w:rPr>
                <w:rFonts w:hint="eastAsia" w:ascii="黑体" w:hAnsi="黑体" w:eastAsia="黑体" w:cs="黑体"/>
                <w:color w:val="auto"/>
                <w:sz w:val="24"/>
                <w:highlight w:val="none"/>
              </w:rPr>
            </w:pPr>
          </w:p>
        </w:tc>
        <w:tc>
          <w:tcPr>
            <w:tcW w:w="1134" w:type="dxa"/>
            <w:noWrap w:val="0"/>
            <w:vAlign w:val="top"/>
          </w:tcPr>
          <w:p w14:paraId="15CF38A6">
            <w:pPr>
              <w:shd w:val="clear" w:color="auto" w:fill="auto"/>
              <w:spacing w:before="120" w:beforeLines="50" w:line="440" w:lineRule="exact"/>
              <w:jc w:val="right"/>
              <w:rPr>
                <w:rFonts w:hint="eastAsia" w:ascii="黑体" w:hAnsi="黑体" w:eastAsia="黑体" w:cs="黑体"/>
                <w:color w:val="auto"/>
                <w:sz w:val="24"/>
                <w:highlight w:val="none"/>
              </w:rPr>
            </w:pPr>
          </w:p>
        </w:tc>
        <w:tc>
          <w:tcPr>
            <w:tcW w:w="850" w:type="dxa"/>
            <w:noWrap w:val="0"/>
            <w:vAlign w:val="top"/>
          </w:tcPr>
          <w:p w14:paraId="0460569B">
            <w:pPr>
              <w:shd w:val="clear" w:color="auto" w:fill="auto"/>
              <w:spacing w:before="120" w:beforeLines="50" w:line="440" w:lineRule="exact"/>
              <w:jc w:val="right"/>
              <w:rPr>
                <w:rFonts w:hint="eastAsia" w:ascii="黑体" w:hAnsi="黑体" w:eastAsia="黑体" w:cs="黑体"/>
                <w:color w:val="auto"/>
                <w:sz w:val="24"/>
                <w:highlight w:val="none"/>
              </w:rPr>
            </w:pPr>
          </w:p>
        </w:tc>
        <w:tc>
          <w:tcPr>
            <w:tcW w:w="1843" w:type="dxa"/>
            <w:noWrap w:val="0"/>
            <w:vAlign w:val="top"/>
          </w:tcPr>
          <w:p w14:paraId="70007555">
            <w:pPr>
              <w:shd w:val="clear" w:color="auto" w:fill="auto"/>
              <w:spacing w:before="120" w:beforeLines="50" w:line="440" w:lineRule="exact"/>
              <w:jc w:val="right"/>
              <w:rPr>
                <w:rFonts w:hint="eastAsia" w:ascii="黑体" w:hAnsi="黑体" w:eastAsia="黑体" w:cs="黑体"/>
                <w:color w:val="auto"/>
                <w:sz w:val="24"/>
                <w:highlight w:val="none"/>
              </w:rPr>
            </w:pPr>
          </w:p>
        </w:tc>
      </w:tr>
      <w:tr w14:paraId="62856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54001749">
            <w:pPr>
              <w:shd w:val="clear" w:color="auto" w:fill="auto"/>
              <w:spacing w:before="120" w:beforeLines="50" w:line="440" w:lineRule="exact"/>
              <w:jc w:val="right"/>
              <w:rPr>
                <w:rFonts w:hint="eastAsia" w:ascii="黑体" w:hAnsi="黑体" w:eastAsia="黑体" w:cs="黑体"/>
                <w:color w:val="auto"/>
                <w:sz w:val="24"/>
                <w:highlight w:val="none"/>
              </w:rPr>
            </w:pPr>
          </w:p>
        </w:tc>
        <w:tc>
          <w:tcPr>
            <w:tcW w:w="1596" w:type="dxa"/>
            <w:noWrap w:val="0"/>
            <w:vAlign w:val="top"/>
          </w:tcPr>
          <w:p w14:paraId="0653B171">
            <w:pPr>
              <w:shd w:val="clear" w:color="auto" w:fill="auto"/>
              <w:spacing w:before="120" w:beforeLines="50" w:line="440" w:lineRule="exact"/>
              <w:jc w:val="right"/>
              <w:rPr>
                <w:rFonts w:hint="eastAsia" w:ascii="黑体" w:hAnsi="黑体" w:eastAsia="黑体" w:cs="黑体"/>
                <w:color w:val="auto"/>
                <w:sz w:val="24"/>
                <w:highlight w:val="none"/>
              </w:rPr>
            </w:pPr>
          </w:p>
        </w:tc>
        <w:tc>
          <w:tcPr>
            <w:tcW w:w="1275" w:type="dxa"/>
            <w:noWrap w:val="0"/>
            <w:vAlign w:val="top"/>
          </w:tcPr>
          <w:p w14:paraId="17FE54FC">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6D81A9A2">
            <w:pPr>
              <w:shd w:val="clear" w:color="auto" w:fill="auto"/>
              <w:spacing w:before="120" w:beforeLines="50" w:line="440" w:lineRule="exact"/>
              <w:jc w:val="right"/>
              <w:rPr>
                <w:rFonts w:hint="eastAsia" w:ascii="黑体" w:hAnsi="黑体" w:eastAsia="黑体" w:cs="黑体"/>
                <w:color w:val="auto"/>
                <w:sz w:val="24"/>
                <w:highlight w:val="none"/>
              </w:rPr>
            </w:pPr>
          </w:p>
        </w:tc>
        <w:tc>
          <w:tcPr>
            <w:tcW w:w="1134" w:type="dxa"/>
            <w:noWrap w:val="0"/>
            <w:vAlign w:val="top"/>
          </w:tcPr>
          <w:p w14:paraId="7E2D258A">
            <w:pPr>
              <w:shd w:val="clear" w:color="auto" w:fill="auto"/>
              <w:spacing w:before="120" w:beforeLines="50" w:line="440" w:lineRule="exact"/>
              <w:jc w:val="right"/>
              <w:rPr>
                <w:rFonts w:hint="eastAsia" w:ascii="黑体" w:hAnsi="黑体" w:eastAsia="黑体" w:cs="黑体"/>
                <w:color w:val="auto"/>
                <w:sz w:val="24"/>
                <w:highlight w:val="none"/>
              </w:rPr>
            </w:pPr>
          </w:p>
        </w:tc>
        <w:tc>
          <w:tcPr>
            <w:tcW w:w="850" w:type="dxa"/>
            <w:noWrap w:val="0"/>
            <w:vAlign w:val="top"/>
          </w:tcPr>
          <w:p w14:paraId="41F85C95">
            <w:pPr>
              <w:shd w:val="clear" w:color="auto" w:fill="auto"/>
              <w:spacing w:before="120" w:beforeLines="50" w:line="440" w:lineRule="exact"/>
              <w:jc w:val="right"/>
              <w:rPr>
                <w:rFonts w:hint="eastAsia" w:ascii="黑体" w:hAnsi="黑体" w:eastAsia="黑体" w:cs="黑体"/>
                <w:color w:val="auto"/>
                <w:sz w:val="24"/>
                <w:highlight w:val="none"/>
              </w:rPr>
            </w:pPr>
          </w:p>
        </w:tc>
        <w:tc>
          <w:tcPr>
            <w:tcW w:w="1843" w:type="dxa"/>
            <w:noWrap w:val="0"/>
            <w:vAlign w:val="top"/>
          </w:tcPr>
          <w:p w14:paraId="502BE855">
            <w:pPr>
              <w:shd w:val="clear" w:color="auto" w:fill="auto"/>
              <w:spacing w:before="120" w:beforeLines="50" w:line="440" w:lineRule="exact"/>
              <w:jc w:val="right"/>
              <w:rPr>
                <w:rFonts w:hint="eastAsia" w:ascii="黑体" w:hAnsi="黑体" w:eastAsia="黑体" w:cs="黑体"/>
                <w:color w:val="auto"/>
                <w:sz w:val="24"/>
                <w:highlight w:val="none"/>
              </w:rPr>
            </w:pPr>
          </w:p>
        </w:tc>
      </w:tr>
    </w:tbl>
    <w:p w14:paraId="74E18ED2">
      <w:pPr>
        <w:shd w:val="clear" w:color="auto" w:fill="auto"/>
        <w:spacing w:line="440" w:lineRule="exact"/>
        <w:jc w:val="right"/>
        <w:rPr>
          <w:rFonts w:hint="eastAsia" w:ascii="黑体" w:hAnsi="黑体" w:eastAsia="黑体" w:cs="黑体"/>
          <w:color w:val="auto"/>
          <w:sz w:val="24"/>
          <w:highlight w:val="none"/>
        </w:rPr>
      </w:pPr>
    </w:p>
    <w:p w14:paraId="45810743">
      <w:pPr>
        <w:shd w:val="clear" w:color="auto" w:fill="auto"/>
        <w:spacing w:line="62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招标人代表：</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                                      记录人：</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       </w:t>
      </w:r>
    </w:p>
    <w:p w14:paraId="3EBD04E9">
      <w:pPr>
        <w:shd w:val="clear" w:color="auto" w:fill="auto"/>
        <w:spacing w:line="620" w:lineRule="exact"/>
        <w:jc w:val="right"/>
        <w:rPr>
          <w:rFonts w:hint="eastAsia" w:ascii="黑体" w:hAnsi="黑体" w:eastAsia="黑体" w:cs="黑体"/>
          <w:color w:val="auto"/>
          <w:szCs w:val="21"/>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p>
    <w:p w14:paraId="3EA2909E">
      <w:pPr>
        <w:shd w:val="clear" w:color="auto" w:fill="auto"/>
        <w:spacing w:line="440" w:lineRule="exact"/>
        <w:jc w:val="center"/>
        <w:rPr>
          <w:rFonts w:hint="eastAsia" w:ascii="黑体" w:hAnsi="黑体" w:eastAsia="黑体" w:cs="黑体"/>
          <w:b/>
          <w:bCs/>
          <w:color w:val="auto"/>
          <w:sz w:val="28"/>
          <w:szCs w:val="28"/>
          <w:highlight w:val="none"/>
        </w:rPr>
      </w:pPr>
      <w:r>
        <w:rPr>
          <w:rFonts w:hint="eastAsia" w:ascii="黑体" w:hAnsi="黑体" w:eastAsia="黑体" w:cs="黑体"/>
          <w:color w:val="auto"/>
          <w:szCs w:val="21"/>
          <w:highlight w:val="none"/>
        </w:rPr>
        <w:br w:type="page"/>
      </w:r>
      <w:r>
        <w:rPr>
          <w:rFonts w:hint="eastAsia" w:ascii="黑体" w:hAnsi="黑体" w:eastAsia="黑体" w:cs="黑体"/>
          <w:b/>
          <w:bCs/>
          <w:color w:val="auto"/>
          <w:sz w:val="28"/>
          <w:szCs w:val="28"/>
          <w:highlight w:val="none"/>
          <w:u w:val="single"/>
        </w:rPr>
        <w:t xml:space="preserve">       </w:t>
      </w:r>
      <w:r>
        <w:rPr>
          <w:rFonts w:hint="eastAsia" w:ascii="黑体" w:hAnsi="黑体" w:eastAsia="黑体" w:cs="黑体"/>
          <w:b/>
          <w:bCs/>
          <w:color w:val="auto"/>
          <w:sz w:val="28"/>
          <w:szCs w:val="28"/>
          <w:highlight w:val="none"/>
        </w:rPr>
        <w:t>（项目名称）</w:t>
      </w:r>
      <w:r>
        <w:rPr>
          <w:rFonts w:hint="eastAsia" w:ascii="黑体" w:hAnsi="黑体" w:eastAsia="黑体" w:cs="黑体"/>
          <w:b/>
          <w:bCs/>
          <w:color w:val="auto"/>
          <w:sz w:val="28"/>
          <w:szCs w:val="28"/>
          <w:highlight w:val="none"/>
          <w:u w:val="single"/>
        </w:rPr>
        <w:t xml:space="preserve">    </w:t>
      </w:r>
      <w:r>
        <w:rPr>
          <w:rFonts w:hint="eastAsia" w:ascii="黑体" w:hAnsi="黑体" w:eastAsia="黑体" w:cs="黑体"/>
          <w:b/>
          <w:bCs/>
          <w:color w:val="auto"/>
          <w:sz w:val="28"/>
          <w:szCs w:val="28"/>
          <w:highlight w:val="none"/>
        </w:rPr>
        <w:t>标段施工第二个信封（报价文件）</w:t>
      </w:r>
    </w:p>
    <w:p w14:paraId="14D25AC3">
      <w:pPr>
        <w:shd w:val="clear" w:color="auto" w:fill="auto"/>
        <w:spacing w:line="440" w:lineRule="exact"/>
        <w:jc w:val="center"/>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开标记录表</w:t>
      </w:r>
    </w:p>
    <w:p w14:paraId="01673C9B">
      <w:pPr>
        <w:shd w:val="clear" w:color="auto" w:fill="auto"/>
        <w:spacing w:line="440" w:lineRule="exact"/>
        <w:jc w:val="right"/>
        <w:rPr>
          <w:rFonts w:hint="eastAsia" w:ascii="黑体" w:hAnsi="黑体" w:eastAsia="黑体" w:cs="黑体"/>
          <w:color w:val="auto"/>
          <w:sz w:val="24"/>
          <w:highlight w:val="none"/>
        </w:rPr>
      </w:pPr>
      <w:r>
        <w:rPr>
          <w:rFonts w:hint="eastAsia" w:ascii="黑体" w:hAnsi="黑体" w:eastAsia="黑体" w:cs="黑体"/>
          <w:color w:val="auto"/>
          <w:sz w:val="24"/>
          <w:highlight w:val="none"/>
        </w:rPr>
        <w:t>开标时间：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时</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分</w:t>
      </w:r>
    </w:p>
    <w:tbl>
      <w:tblPr>
        <w:tblStyle w:val="22"/>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39"/>
        <w:gridCol w:w="1362"/>
        <w:gridCol w:w="1560"/>
        <w:gridCol w:w="1181"/>
        <w:gridCol w:w="1010"/>
        <w:gridCol w:w="1736"/>
      </w:tblGrid>
      <w:tr w14:paraId="425F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709" w:type="dxa"/>
            <w:noWrap w:val="0"/>
            <w:vAlign w:val="center"/>
          </w:tcPr>
          <w:p w14:paraId="0A02F6A4">
            <w:pPr>
              <w:shd w:val="clear" w:color="auto" w:fill="auto"/>
              <w:spacing w:line="500" w:lineRule="exact"/>
              <w:ind w:left="-105" w:leftChars="-50" w:right="-105" w:rightChars="-5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序号</w:t>
            </w:r>
          </w:p>
        </w:tc>
        <w:tc>
          <w:tcPr>
            <w:tcW w:w="1439" w:type="dxa"/>
            <w:noWrap w:val="0"/>
            <w:vAlign w:val="center"/>
          </w:tcPr>
          <w:p w14:paraId="3D8F480D">
            <w:pPr>
              <w:shd w:val="clear" w:color="auto" w:fill="auto"/>
              <w:spacing w:line="500" w:lineRule="exact"/>
              <w:ind w:left="-105" w:leftChars="-50" w:right="-105" w:rightChars="-5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投标人</w:t>
            </w:r>
          </w:p>
        </w:tc>
        <w:tc>
          <w:tcPr>
            <w:tcW w:w="1362" w:type="dxa"/>
            <w:noWrap w:val="0"/>
            <w:vAlign w:val="center"/>
          </w:tcPr>
          <w:p w14:paraId="6F3106A6">
            <w:pPr>
              <w:shd w:val="clear" w:color="auto" w:fill="auto"/>
              <w:spacing w:line="500" w:lineRule="exact"/>
              <w:ind w:left="-105" w:leftChars="-50" w:right="-105" w:rightChars="-5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密封情况</w:t>
            </w:r>
          </w:p>
        </w:tc>
        <w:tc>
          <w:tcPr>
            <w:tcW w:w="1560" w:type="dxa"/>
            <w:noWrap w:val="0"/>
            <w:vAlign w:val="center"/>
          </w:tcPr>
          <w:p w14:paraId="626AAD8E">
            <w:pPr>
              <w:shd w:val="clear" w:color="auto" w:fill="auto"/>
              <w:spacing w:line="500" w:lineRule="exact"/>
              <w:ind w:left="-105" w:leftChars="-50" w:right="-105" w:rightChars="-5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投标报价（元）</w:t>
            </w:r>
          </w:p>
        </w:tc>
        <w:tc>
          <w:tcPr>
            <w:tcW w:w="1181" w:type="dxa"/>
            <w:noWrap w:val="0"/>
            <w:vAlign w:val="center"/>
          </w:tcPr>
          <w:p w14:paraId="295F5F2F">
            <w:pPr>
              <w:shd w:val="clear" w:color="auto" w:fill="auto"/>
              <w:spacing w:line="500" w:lineRule="exact"/>
              <w:ind w:left="-105" w:leftChars="-50" w:right="-105" w:rightChars="-5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是否超过最高投标限价</w:t>
            </w:r>
          </w:p>
        </w:tc>
        <w:tc>
          <w:tcPr>
            <w:tcW w:w="1010" w:type="dxa"/>
            <w:noWrap w:val="0"/>
            <w:vAlign w:val="center"/>
          </w:tcPr>
          <w:p w14:paraId="25AED677">
            <w:pPr>
              <w:shd w:val="clear" w:color="auto" w:fill="auto"/>
              <w:spacing w:line="500" w:lineRule="exact"/>
              <w:ind w:left="-105" w:leftChars="-50" w:right="-105" w:rightChars="-5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备注</w:t>
            </w:r>
          </w:p>
        </w:tc>
        <w:tc>
          <w:tcPr>
            <w:tcW w:w="1736" w:type="dxa"/>
            <w:noWrap w:val="0"/>
            <w:vAlign w:val="center"/>
          </w:tcPr>
          <w:p w14:paraId="4761EB41">
            <w:pPr>
              <w:shd w:val="clear" w:color="auto" w:fill="auto"/>
              <w:spacing w:line="500" w:lineRule="exact"/>
              <w:ind w:left="-105" w:leftChars="-50" w:right="-105" w:rightChars="-5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投标人代表签名</w:t>
            </w:r>
          </w:p>
        </w:tc>
      </w:tr>
      <w:tr w14:paraId="4C744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top"/>
          </w:tcPr>
          <w:p w14:paraId="71C4F3D3">
            <w:pPr>
              <w:shd w:val="clear" w:color="auto" w:fill="auto"/>
              <w:spacing w:before="120" w:beforeLines="50" w:line="440" w:lineRule="exact"/>
              <w:jc w:val="right"/>
              <w:rPr>
                <w:rFonts w:hint="eastAsia" w:ascii="黑体" w:hAnsi="黑体" w:eastAsia="黑体" w:cs="黑体"/>
                <w:color w:val="auto"/>
                <w:sz w:val="24"/>
                <w:highlight w:val="none"/>
              </w:rPr>
            </w:pPr>
          </w:p>
        </w:tc>
        <w:tc>
          <w:tcPr>
            <w:tcW w:w="1439" w:type="dxa"/>
            <w:noWrap w:val="0"/>
            <w:vAlign w:val="top"/>
          </w:tcPr>
          <w:p w14:paraId="528EA587">
            <w:pPr>
              <w:shd w:val="clear" w:color="auto" w:fill="auto"/>
              <w:spacing w:before="120" w:beforeLines="50" w:line="440" w:lineRule="exact"/>
              <w:jc w:val="right"/>
              <w:rPr>
                <w:rFonts w:hint="eastAsia" w:ascii="黑体" w:hAnsi="黑体" w:eastAsia="黑体" w:cs="黑体"/>
                <w:color w:val="auto"/>
                <w:sz w:val="24"/>
                <w:highlight w:val="none"/>
              </w:rPr>
            </w:pPr>
          </w:p>
        </w:tc>
        <w:tc>
          <w:tcPr>
            <w:tcW w:w="1362" w:type="dxa"/>
            <w:noWrap w:val="0"/>
            <w:vAlign w:val="top"/>
          </w:tcPr>
          <w:p w14:paraId="68418E9E">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0C2DA55F">
            <w:pPr>
              <w:shd w:val="clear" w:color="auto" w:fill="auto"/>
              <w:spacing w:before="120" w:beforeLines="50" w:line="440" w:lineRule="exact"/>
              <w:jc w:val="right"/>
              <w:rPr>
                <w:rFonts w:hint="eastAsia" w:ascii="黑体" w:hAnsi="黑体" w:eastAsia="黑体" w:cs="黑体"/>
                <w:color w:val="auto"/>
                <w:sz w:val="24"/>
                <w:highlight w:val="none"/>
              </w:rPr>
            </w:pPr>
          </w:p>
        </w:tc>
        <w:tc>
          <w:tcPr>
            <w:tcW w:w="1181" w:type="dxa"/>
            <w:noWrap w:val="0"/>
            <w:vAlign w:val="top"/>
          </w:tcPr>
          <w:p w14:paraId="40C9CC94">
            <w:pPr>
              <w:shd w:val="clear" w:color="auto" w:fill="auto"/>
              <w:spacing w:before="120" w:beforeLines="50" w:line="440" w:lineRule="exact"/>
              <w:jc w:val="right"/>
              <w:rPr>
                <w:rFonts w:hint="eastAsia" w:ascii="黑体" w:hAnsi="黑体" w:eastAsia="黑体" w:cs="黑体"/>
                <w:color w:val="auto"/>
                <w:sz w:val="24"/>
                <w:highlight w:val="none"/>
              </w:rPr>
            </w:pPr>
          </w:p>
        </w:tc>
        <w:tc>
          <w:tcPr>
            <w:tcW w:w="1010" w:type="dxa"/>
            <w:noWrap w:val="0"/>
            <w:vAlign w:val="top"/>
          </w:tcPr>
          <w:p w14:paraId="3777A56B">
            <w:pPr>
              <w:shd w:val="clear" w:color="auto" w:fill="auto"/>
              <w:spacing w:before="120" w:beforeLines="50" w:line="440" w:lineRule="exact"/>
              <w:jc w:val="right"/>
              <w:rPr>
                <w:rFonts w:hint="eastAsia" w:ascii="黑体" w:hAnsi="黑体" w:eastAsia="黑体" w:cs="黑体"/>
                <w:color w:val="auto"/>
                <w:sz w:val="24"/>
                <w:highlight w:val="none"/>
              </w:rPr>
            </w:pPr>
          </w:p>
        </w:tc>
        <w:tc>
          <w:tcPr>
            <w:tcW w:w="1736" w:type="dxa"/>
            <w:noWrap w:val="0"/>
            <w:vAlign w:val="top"/>
          </w:tcPr>
          <w:p w14:paraId="360FFB32">
            <w:pPr>
              <w:shd w:val="clear" w:color="auto" w:fill="auto"/>
              <w:spacing w:before="120" w:beforeLines="50" w:line="440" w:lineRule="exact"/>
              <w:jc w:val="right"/>
              <w:rPr>
                <w:rFonts w:hint="eastAsia" w:ascii="黑体" w:hAnsi="黑体" w:eastAsia="黑体" w:cs="黑体"/>
                <w:color w:val="auto"/>
                <w:sz w:val="24"/>
                <w:highlight w:val="none"/>
              </w:rPr>
            </w:pPr>
          </w:p>
        </w:tc>
      </w:tr>
      <w:tr w14:paraId="06B76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top"/>
          </w:tcPr>
          <w:p w14:paraId="5C67E32F">
            <w:pPr>
              <w:shd w:val="clear" w:color="auto" w:fill="auto"/>
              <w:spacing w:before="120" w:beforeLines="50" w:line="440" w:lineRule="exact"/>
              <w:jc w:val="right"/>
              <w:rPr>
                <w:rFonts w:hint="eastAsia" w:ascii="黑体" w:hAnsi="黑体" w:eastAsia="黑体" w:cs="黑体"/>
                <w:color w:val="auto"/>
                <w:sz w:val="24"/>
                <w:highlight w:val="none"/>
              </w:rPr>
            </w:pPr>
          </w:p>
        </w:tc>
        <w:tc>
          <w:tcPr>
            <w:tcW w:w="1439" w:type="dxa"/>
            <w:noWrap w:val="0"/>
            <w:vAlign w:val="top"/>
          </w:tcPr>
          <w:p w14:paraId="5E85E081">
            <w:pPr>
              <w:shd w:val="clear" w:color="auto" w:fill="auto"/>
              <w:spacing w:before="120" w:beforeLines="50" w:line="440" w:lineRule="exact"/>
              <w:jc w:val="right"/>
              <w:rPr>
                <w:rFonts w:hint="eastAsia" w:ascii="黑体" w:hAnsi="黑体" w:eastAsia="黑体" w:cs="黑体"/>
                <w:color w:val="auto"/>
                <w:sz w:val="24"/>
                <w:highlight w:val="none"/>
              </w:rPr>
            </w:pPr>
          </w:p>
        </w:tc>
        <w:tc>
          <w:tcPr>
            <w:tcW w:w="1362" w:type="dxa"/>
            <w:noWrap w:val="0"/>
            <w:vAlign w:val="top"/>
          </w:tcPr>
          <w:p w14:paraId="38EF8454">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1FCDEA43">
            <w:pPr>
              <w:shd w:val="clear" w:color="auto" w:fill="auto"/>
              <w:spacing w:before="120" w:beforeLines="50" w:line="440" w:lineRule="exact"/>
              <w:jc w:val="right"/>
              <w:rPr>
                <w:rFonts w:hint="eastAsia" w:ascii="黑体" w:hAnsi="黑体" w:eastAsia="黑体" w:cs="黑体"/>
                <w:color w:val="auto"/>
                <w:sz w:val="24"/>
                <w:highlight w:val="none"/>
              </w:rPr>
            </w:pPr>
          </w:p>
        </w:tc>
        <w:tc>
          <w:tcPr>
            <w:tcW w:w="1181" w:type="dxa"/>
            <w:noWrap w:val="0"/>
            <w:vAlign w:val="top"/>
          </w:tcPr>
          <w:p w14:paraId="1BE1F827">
            <w:pPr>
              <w:shd w:val="clear" w:color="auto" w:fill="auto"/>
              <w:spacing w:before="120" w:beforeLines="50" w:line="440" w:lineRule="exact"/>
              <w:jc w:val="right"/>
              <w:rPr>
                <w:rFonts w:hint="eastAsia" w:ascii="黑体" w:hAnsi="黑体" w:eastAsia="黑体" w:cs="黑体"/>
                <w:color w:val="auto"/>
                <w:sz w:val="24"/>
                <w:highlight w:val="none"/>
              </w:rPr>
            </w:pPr>
          </w:p>
        </w:tc>
        <w:tc>
          <w:tcPr>
            <w:tcW w:w="1010" w:type="dxa"/>
            <w:noWrap w:val="0"/>
            <w:vAlign w:val="top"/>
          </w:tcPr>
          <w:p w14:paraId="53CD9323">
            <w:pPr>
              <w:shd w:val="clear" w:color="auto" w:fill="auto"/>
              <w:spacing w:before="120" w:beforeLines="50" w:line="440" w:lineRule="exact"/>
              <w:jc w:val="right"/>
              <w:rPr>
                <w:rFonts w:hint="eastAsia" w:ascii="黑体" w:hAnsi="黑体" w:eastAsia="黑体" w:cs="黑体"/>
                <w:color w:val="auto"/>
                <w:sz w:val="24"/>
                <w:highlight w:val="none"/>
              </w:rPr>
            </w:pPr>
          </w:p>
        </w:tc>
        <w:tc>
          <w:tcPr>
            <w:tcW w:w="1736" w:type="dxa"/>
            <w:noWrap w:val="0"/>
            <w:vAlign w:val="top"/>
          </w:tcPr>
          <w:p w14:paraId="3482C71B">
            <w:pPr>
              <w:shd w:val="clear" w:color="auto" w:fill="auto"/>
              <w:spacing w:before="120" w:beforeLines="50" w:line="440" w:lineRule="exact"/>
              <w:jc w:val="right"/>
              <w:rPr>
                <w:rFonts w:hint="eastAsia" w:ascii="黑体" w:hAnsi="黑体" w:eastAsia="黑体" w:cs="黑体"/>
                <w:color w:val="auto"/>
                <w:sz w:val="24"/>
                <w:highlight w:val="none"/>
              </w:rPr>
            </w:pPr>
          </w:p>
        </w:tc>
      </w:tr>
      <w:tr w14:paraId="2A288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top"/>
          </w:tcPr>
          <w:p w14:paraId="0C71C262">
            <w:pPr>
              <w:shd w:val="clear" w:color="auto" w:fill="auto"/>
              <w:spacing w:before="120" w:beforeLines="50" w:line="440" w:lineRule="exact"/>
              <w:jc w:val="right"/>
              <w:rPr>
                <w:rFonts w:hint="eastAsia" w:ascii="黑体" w:hAnsi="黑体" w:eastAsia="黑体" w:cs="黑体"/>
                <w:color w:val="auto"/>
                <w:sz w:val="24"/>
                <w:highlight w:val="none"/>
              </w:rPr>
            </w:pPr>
          </w:p>
        </w:tc>
        <w:tc>
          <w:tcPr>
            <w:tcW w:w="1439" w:type="dxa"/>
            <w:noWrap w:val="0"/>
            <w:vAlign w:val="top"/>
          </w:tcPr>
          <w:p w14:paraId="2D364BCC">
            <w:pPr>
              <w:shd w:val="clear" w:color="auto" w:fill="auto"/>
              <w:spacing w:before="120" w:beforeLines="50" w:line="440" w:lineRule="exact"/>
              <w:jc w:val="right"/>
              <w:rPr>
                <w:rFonts w:hint="eastAsia" w:ascii="黑体" w:hAnsi="黑体" w:eastAsia="黑体" w:cs="黑体"/>
                <w:color w:val="auto"/>
                <w:sz w:val="24"/>
                <w:highlight w:val="none"/>
              </w:rPr>
            </w:pPr>
          </w:p>
        </w:tc>
        <w:tc>
          <w:tcPr>
            <w:tcW w:w="1362" w:type="dxa"/>
            <w:noWrap w:val="0"/>
            <w:vAlign w:val="top"/>
          </w:tcPr>
          <w:p w14:paraId="63379091">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1B6C8747">
            <w:pPr>
              <w:shd w:val="clear" w:color="auto" w:fill="auto"/>
              <w:spacing w:before="120" w:beforeLines="50" w:line="440" w:lineRule="exact"/>
              <w:jc w:val="right"/>
              <w:rPr>
                <w:rFonts w:hint="eastAsia" w:ascii="黑体" w:hAnsi="黑体" w:eastAsia="黑体" w:cs="黑体"/>
                <w:color w:val="auto"/>
                <w:sz w:val="24"/>
                <w:highlight w:val="none"/>
              </w:rPr>
            </w:pPr>
          </w:p>
        </w:tc>
        <w:tc>
          <w:tcPr>
            <w:tcW w:w="1181" w:type="dxa"/>
            <w:noWrap w:val="0"/>
            <w:vAlign w:val="top"/>
          </w:tcPr>
          <w:p w14:paraId="64832094">
            <w:pPr>
              <w:shd w:val="clear" w:color="auto" w:fill="auto"/>
              <w:spacing w:before="120" w:beforeLines="50" w:line="440" w:lineRule="exact"/>
              <w:jc w:val="right"/>
              <w:rPr>
                <w:rFonts w:hint="eastAsia" w:ascii="黑体" w:hAnsi="黑体" w:eastAsia="黑体" w:cs="黑体"/>
                <w:color w:val="auto"/>
                <w:sz w:val="24"/>
                <w:highlight w:val="none"/>
              </w:rPr>
            </w:pPr>
          </w:p>
        </w:tc>
        <w:tc>
          <w:tcPr>
            <w:tcW w:w="1010" w:type="dxa"/>
            <w:noWrap w:val="0"/>
            <w:vAlign w:val="top"/>
          </w:tcPr>
          <w:p w14:paraId="0960BB89">
            <w:pPr>
              <w:shd w:val="clear" w:color="auto" w:fill="auto"/>
              <w:spacing w:before="120" w:beforeLines="50" w:line="440" w:lineRule="exact"/>
              <w:jc w:val="right"/>
              <w:rPr>
                <w:rFonts w:hint="eastAsia" w:ascii="黑体" w:hAnsi="黑体" w:eastAsia="黑体" w:cs="黑体"/>
                <w:color w:val="auto"/>
                <w:sz w:val="24"/>
                <w:highlight w:val="none"/>
              </w:rPr>
            </w:pPr>
          </w:p>
        </w:tc>
        <w:tc>
          <w:tcPr>
            <w:tcW w:w="1736" w:type="dxa"/>
            <w:noWrap w:val="0"/>
            <w:vAlign w:val="top"/>
          </w:tcPr>
          <w:p w14:paraId="6B78188A">
            <w:pPr>
              <w:shd w:val="clear" w:color="auto" w:fill="auto"/>
              <w:spacing w:before="120" w:beforeLines="50" w:line="440" w:lineRule="exact"/>
              <w:jc w:val="right"/>
              <w:rPr>
                <w:rFonts w:hint="eastAsia" w:ascii="黑体" w:hAnsi="黑体" w:eastAsia="黑体" w:cs="黑体"/>
                <w:color w:val="auto"/>
                <w:sz w:val="24"/>
                <w:highlight w:val="none"/>
              </w:rPr>
            </w:pPr>
          </w:p>
        </w:tc>
      </w:tr>
      <w:tr w14:paraId="6AAE1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top"/>
          </w:tcPr>
          <w:p w14:paraId="6081FF1F">
            <w:pPr>
              <w:shd w:val="clear" w:color="auto" w:fill="auto"/>
              <w:spacing w:before="120" w:beforeLines="50" w:line="440" w:lineRule="exact"/>
              <w:jc w:val="right"/>
              <w:rPr>
                <w:rFonts w:hint="eastAsia" w:ascii="黑体" w:hAnsi="黑体" w:eastAsia="黑体" w:cs="黑体"/>
                <w:color w:val="auto"/>
                <w:sz w:val="24"/>
                <w:highlight w:val="none"/>
              </w:rPr>
            </w:pPr>
          </w:p>
        </w:tc>
        <w:tc>
          <w:tcPr>
            <w:tcW w:w="1439" w:type="dxa"/>
            <w:noWrap w:val="0"/>
            <w:vAlign w:val="top"/>
          </w:tcPr>
          <w:p w14:paraId="08557DF3">
            <w:pPr>
              <w:shd w:val="clear" w:color="auto" w:fill="auto"/>
              <w:spacing w:before="120" w:beforeLines="50" w:line="440" w:lineRule="exact"/>
              <w:jc w:val="right"/>
              <w:rPr>
                <w:rFonts w:hint="eastAsia" w:ascii="黑体" w:hAnsi="黑体" w:eastAsia="黑体" w:cs="黑体"/>
                <w:color w:val="auto"/>
                <w:sz w:val="24"/>
                <w:highlight w:val="none"/>
              </w:rPr>
            </w:pPr>
          </w:p>
        </w:tc>
        <w:tc>
          <w:tcPr>
            <w:tcW w:w="1362" w:type="dxa"/>
            <w:noWrap w:val="0"/>
            <w:vAlign w:val="top"/>
          </w:tcPr>
          <w:p w14:paraId="37565DB2">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6DAB1B60">
            <w:pPr>
              <w:shd w:val="clear" w:color="auto" w:fill="auto"/>
              <w:spacing w:before="120" w:beforeLines="50" w:line="440" w:lineRule="exact"/>
              <w:jc w:val="right"/>
              <w:rPr>
                <w:rFonts w:hint="eastAsia" w:ascii="黑体" w:hAnsi="黑体" w:eastAsia="黑体" w:cs="黑体"/>
                <w:color w:val="auto"/>
                <w:sz w:val="24"/>
                <w:highlight w:val="none"/>
              </w:rPr>
            </w:pPr>
          </w:p>
        </w:tc>
        <w:tc>
          <w:tcPr>
            <w:tcW w:w="1181" w:type="dxa"/>
            <w:noWrap w:val="0"/>
            <w:vAlign w:val="top"/>
          </w:tcPr>
          <w:p w14:paraId="7DD231FC">
            <w:pPr>
              <w:shd w:val="clear" w:color="auto" w:fill="auto"/>
              <w:spacing w:before="120" w:beforeLines="50" w:line="440" w:lineRule="exact"/>
              <w:jc w:val="right"/>
              <w:rPr>
                <w:rFonts w:hint="eastAsia" w:ascii="黑体" w:hAnsi="黑体" w:eastAsia="黑体" w:cs="黑体"/>
                <w:color w:val="auto"/>
                <w:sz w:val="24"/>
                <w:highlight w:val="none"/>
              </w:rPr>
            </w:pPr>
          </w:p>
        </w:tc>
        <w:tc>
          <w:tcPr>
            <w:tcW w:w="1010" w:type="dxa"/>
            <w:noWrap w:val="0"/>
            <w:vAlign w:val="top"/>
          </w:tcPr>
          <w:p w14:paraId="1076D4C8">
            <w:pPr>
              <w:shd w:val="clear" w:color="auto" w:fill="auto"/>
              <w:spacing w:before="120" w:beforeLines="50" w:line="440" w:lineRule="exact"/>
              <w:jc w:val="right"/>
              <w:rPr>
                <w:rFonts w:hint="eastAsia" w:ascii="黑体" w:hAnsi="黑体" w:eastAsia="黑体" w:cs="黑体"/>
                <w:color w:val="auto"/>
                <w:sz w:val="24"/>
                <w:highlight w:val="none"/>
              </w:rPr>
            </w:pPr>
          </w:p>
        </w:tc>
        <w:tc>
          <w:tcPr>
            <w:tcW w:w="1736" w:type="dxa"/>
            <w:noWrap w:val="0"/>
            <w:vAlign w:val="top"/>
          </w:tcPr>
          <w:p w14:paraId="59927239">
            <w:pPr>
              <w:shd w:val="clear" w:color="auto" w:fill="auto"/>
              <w:spacing w:before="120" w:beforeLines="50" w:line="440" w:lineRule="exact"/>
              <w:jc w:val="right"/>
              <w:rPr>
                <w:rFonts w:hint="eastAsia" w:ascii="黑体" w:hAnsi="黑体" w:eastAsia="黑体" w:cs="黑体"/>
                <w:color w:val="auto"/>
                <w:sz w:val="24"/>
                <w:highlight w:val="none"/>
              </w:rPr>
            </w:pPr>
          </w:p>
        </w:tc>
      </w:tr>
      <w:tr w14:paraId="12D5D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top"/>
          </w:tcPr>
          <w:p w14:paraId="26CBEDE0">
            <w:pPr>
              <w:shd w:val="clear" w:color="auto" w:fill="auto"/>
              <w:spacing w:before="120" w:beforeLines="50" w:line="440" w:lineRule="exact"/>
              <w:jc w:val="right"/>
              <w:rPr>
                <w:rFonts w:hint="eastAsia" w:ascii="黑体" w:hAnsi="黑体" w:eastAsia="黑体" w:cs="黑体"/>
                <w:color w:val="auto"/>
                <w:sz w:val="24"/>
                <w:highlight w:val="none"/>
              </w:rPr>
            </w:pPr>
          </w:p>
        </w:tc>
        <w:tc>
          <w:tcPr>
            <w:tcW w:w="1439" w:type="dxa"/>
            <w:noWrap w:val="0"/>
            <w:vAlign w:val="top"/>
          </w:tcPr>
          <w:p w14:paraId="7846C041">
            <w:pPr>
              <w:shd w:val="clear" w:color="auto" w:fill="auto"/>
              <w:spacing w:before="120" w:beforeLines="50" w:line="440" w:lineRule="exact"/>
              <w:jc w:val="right"/>
              <w:rPr>
                <w:rFonts w:hint="eastAsia" w:ascii="黑体" w:hAnsi="黑体" w:eastAsia="黑体" w:cs="黑体"/>
                <w:color w:val="auto"/>
                <w:sz w:val="24"/>
                <w:highlight w:val="none"/>
              </w:rPr>
            </w:pPr>
          </w:p>
        </w:tc>
        <w:tc>
          <w:tcPr>
            <w:tcW w:w="1362" w:type="dxa"/>
            <w:noWrap w:val="0"/>
            <w:vAlign w:val="top"/>
          </w:tcPr>
          <w:p w14:paraId="6A6CC895">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15C246AC">
            <w:pPr>
              <w:shd w:val="clear" w:color="auto" w:fill="auto"/>
              <w:spacing w:before="120" w:beforeLines="50" w:line="440" w:lineRule="exact"/>
              <w:jc w:val="right"/>
              <w:rPr>
                <w:rFonts w:hint="eastAsia" w:ascii="黑体" w:hAnsi="黑体" w:eastAsia="黑体" w:cs="黑体"/>
                <w:color w:val="auto"/>
                <w:sz w:val="24"/>
                <w:highlight w:val="none"/>
              </w:rPr>
            </w:pPr>
          </w:p>
        </w:tc>
        <w:tc>
          <w:tcPr>
            <w:tcW w:w="1181" w:type="dxa"/>
            <w:noWrap w:val="0"/>
            <w:vAlign w:val="top"/>
          </w:tcPr>
          <w:p w14:paraId="68482AC2">
            <w:pPr>
              <w:shd w:val="clear" w:color="auto" w:fill="auto"/>
              <w:spacing w:before="120" w:beforeLines="50" w:line="440" w:lineRule="exact"/>
              <w:jc w:val="right"/>
              <w:rPr>
                <w:rFonts w:hint="eastAsia" w:ascii="黑体" w:hAnsi="黑体" w:eastAsia="黑体" w:cs="黑体"/>
                <w:color w:val="auto"/>
                <w:sz w:val="24"/>
                <w:highlight w:val="none"/>
              </w:rPr>
            </w:pPr>
          </w:p>
        </w:tc>
        <w:tc>
          <w:tcPr>
            <w:tcW w:w="1010" w:type="dxa"/>
            <w:noWrap w:val="0"/>
            <w:vAlign w:val="top"/>
          </w:tcPr>
          <w:p w14:paraId="7A4B53DE">
            <w:pPr>
              <w:shd w:val="clear" w:color="auto" w:fill="auto"/>
              <w:spacing w:before="120" w:beforeLines="50" w:line="440" w:lineRule="exact"/>
              <w:jc w:val="right"/>
              <w:rPr>
                <w:rFonts w:hint="eastAsia" w:ascii="黑体" w:hAnsi="黑体" w:eastAsia="黑体" w:cs="黑体"/>
                <w:color w:val="auto"/>
                <w:sz w:val="24"/>
                <w:highlight w:val="none"/>
              </w:rPr>
            </w:pPr>
          </w:p>
        </w:tc>
        <w:tc>
          <w:tcPr>
            <w:tcW w:w="1736" w:type="dxa"/>
            <w:noWrap w:val="0"/>
            <w:vAlign w:val="top"/>
          </w:tcPr>
          <w:p w14:paraId="51A44DBE">
            <w:pPr>
              <w:shd w:val="clear" w:color="auto" w:fill="auto"/>
              <w:spacing w:before="120" w:beforeLines="50" w:line="440" w:lineRule="exact"/>
              <w:jc w:val="right"/>
              <w:rPr>
                <w:rFonts w:hint="eastAsia" w:ascii="黑体" w:hAnsi="黑体" w:eastAsia="黑体" w:cs="黑体"/>
                <w:color w:val="auto"/>
                <w:sz w:val="24"/>
                <w:highlight w:val="none"/>
              </w:rPr>
            </w:pPr>
          </w:p>
        </w:tc>
      </w:tr>
      <w:tr w14:paraId="4AD81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top"/>
          </w:tcPr>
          <w:p w14:paraId="24F34811">
            <w:pPr>
              <w:shd w:val="clear" w:color="auto" w:fill="auto"/>
              <w:spacing w:before="120" w:beforeLines="50" w:line="440" w:lineRule="exact"/>
              <w:jc w:val="right"/>
              <w:rPr>
                <w:rFonts w:hint="eastAsia" w:ascii="黑体" w:hAnsi="黑体" w:eastAsia="黑体" w:cs="黑体"/>
                <w:color w:val="auto"/>
                <w:sz w:val="24"/>
                <w:highlight w:val="none"/>
              </w:rPr>
            </w:pPr>
          </w:p>
        </w:tc>
        <w:tc>
          <w:tcPr>
            <w:tcW w:w="1439" w:type="dxa"/>
            <w:noWrap w:val="0"/>
            <w:vAlign w:val="top"/>
          </w:tcPr>
          <w:p w14:paraId="1250FF89">
            <w:pPr>
              <w:shd w:val="clear" w:color="auto" w:fill="auto"/>
              <w:spacing w:before="120" w:beforeLines="50" w:line="440" w:lineRule="exact"/>
              <w:jc w:val="right"/>
              <w:rPr>
                <w:rFonts w:hint="eastAsia" w:ascii="黑体" w:hAnsi="黑体" w:eastAsia="黑体" w:cs="黑体"/>
                <w:color w:val="auto"/>
                <w:sz w:val="24"/>
                <w:highlight w:val="none"/>
              </w:rPr>
            </w:pPr>
          </w:p>
        </w:tc>
        <w:tc>
          <w:tcPr>
            <w:tcW w:w="1362" w:type="dxa"/>
            <w:noWrap w:val="0"/>
            <w:vAlign w:val="top"/>
          </w:tcPr>
          <w:p w14:paraId="55DBE264">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7BED9197">
            <w:pPr>
              <w:shd w:val="clear" w:color="auto" w:fill="auto"/>
              <w:spacing w:before="120" w:beforeLines="50" w:line="440" w:lineRule="exact"/>
              <w:jc w:val="right"/>
              <w:rPr>
                <w:rFonts w:hint="eastAsia" w:ascii="黑体" w:hAnsi="黑体" w:eastAsia="黑体" w:cs="黑体"/>
                <w:color w:val="auto"/>
                <w:sz w:val="24"/>
                <w:highlight w:val="none"/>
              </w:rPr>
            </w:pPr>
          </w:p>
        </w:tc>
        <w:tc>
          <w:tcPr>
            <w:tcW w:w="1181" w:type="dxa"/>
            <w:noWrap w:val="0"/>
            <w:vAlign w:val="top"/>
          </w:tcPr>
          <w:p w14:paraId="40244FD9">
            <w:pPr>
              <w:shd w:val="clear" w:color="auto" w:fill="auto"/>
              <w:spacing w:before="120" w:beforeLines="50" w:line="440" w:lineRule="exact"/>
              <w:jc w:val="right"/>
              <w:rPr>
                <w:rFonts w:hint="eastAsia" w:ascii="黑体" w:hAnsi="黑体" w:eastAsia="黑体" w:cs="黑体"/>
                <w:color w:val="auto"/>
                <w:sz w:val="24"/>
                <w:highlight w:val="none"/>
              </w:rPr>
            </w:pPr>
          </w:p>
        </w:tc>
        <w:tc>
          <w:tcPr>
            <w:tcW w:w="1010" w:type="dxa"/>
            <w:noWrap w:val="0"/>
            <w:vAlign w:val="top"/>
          </w:tcPr>
          <w:p w14:paraId="03E39050">
            <w:pPr>
              <w:shd w:val="clear" w:color="auto" w:fill="auto"/>
              <w:spacing w:before="120" w:beforeLines="50" w:line="440" w:lineRule="exact"/>
              <w:jc w:val="right"/>
              <w:rPr>
                <w:rFonts w:hint="eastAsia" w:ascii="黑体" w:hAnsi="黑体" w:eastAsia="黑体" w:cs="黑体"/>
                <w:color w:val="auto"/>
                <w:sz w:val="24"/>
                <w:highlight w:val="none"/>
              </w:rPr>
            </w:pPr>
          </w:p>
        </w:tc>
        <w:tc>
          <w:tcPr>
            <w:tcW w:w="1736" w:type="dxa"/>
            <w:noWrap w:val="0"/>
            <w:vAlign w:val="top"/>
          </w:tcPr>
          <w:p w14:paraId="4B10BFF5">
            <w:pPr>
              <w:shd w:val="clear" w:color="auto" w:fill="auto"/>
              <w:spacing w:before="120" w:beforeLines="50" w:line="440" w:lineRule="exact"/>
              <w:jc w:val="right"/>
              <w:rPr>
                <w:rFonts w:hint="eastAsia" w:ascii="黑体" w:hAnsi="黑体" w:eastAsia="黑体" w:cs="黑体"/>
                <w:color w:val="auto"/>
                <w:sz w:val="24"/>
                <w:highlight w:val="none"/>
              </w:rPr>
            </w:pPr>
          </w:p>
        </w:tc>
      </w:tr>
      <w:tr w14:paraId="43239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top"/>
          </w:tcPr>
          <w:p w14:paraId="2DDE3D97">
            <w:pPr>
              <w:shd w:val="clear" w:color="auto" w:fill="auto"/>
              <w:spacing w:before="120" w:beforeLines="50" w:line="440" w:lineRule="exact"/>
              <w:jc w:val="right"/>
              <w:rPr>
                <w:rFonts w:hint="eastAsia" w:ascii="黑体" w:hAnsi="黑体" w:eastAsia="黑体" w:cs="黑体"/>
                <w:color w:val="auto"/>
                <w:sz w:val="24"/>
                <w:highlight w:val="none"/>
              </w:rPr>
            </w:pPr>
          </w:p>
        </w:tc>
        <w:tc>
          <w:tcPr>
            <w:tcW w:w="1439" w:type="dxa"/>
            <w:noWrap w:val="0"/>
            <w:vAlign w:val="top"/>
          </w:tcPr>
          <w:p w14:paraId="3C771D36">
            <w:pPr>
              <w:shd w:val="clear" w:color="auto" w:fill="auto"/>
              <w:spacing w:before="120" w:beforeLines="50" w:line="440" w:lineRule="exact"/>
              <w:jc w:val="right"/>
              <w:rPr>
                <w:rFonts w:hint="eastAsia" w:ascii="黑体" w:hAnsi="黑体" w:eastAsia="黑体" w:cs="黑体"/>
                <w:color w:val="auto"/>
                <w:sz w:val="24"/>
                <w:highlight w:val="none"/>
              </w:rPr>
            </w:pPr>
          </w:p>
        </w:tc>
        <w:tc>
          <w:tcPr>
            <w:tcW w:w="1362" w:type="dxa"/>
            <w:noWrap w:val="0"/>
            <w:vAlign w:val="top"/>
          </w:tcPr>
          <w:p w14:paraId="5E43E89C">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06E2E324">
            <w:pPr>
              <w:shd w:val="clear" w:color="auto" w:fill="auto"/>
              <w:spacing w:before="120" w:beforeLines="50" w:line="440" w:lineRule="exact"/>
              <w:jc w:val="right"/>
              <w:rPr>
                <w:rFonts w:hint="eastAsia" w:ascii="黑体" w:hAnsi="黑体" w:eastAsia="黑体" w:cs="黑体"/>
                <w:color w:val="auto"/>
                <w:sz w:val="24"/>
                <w:highlight w:val="none"/>
              </w:rPr>
            </w:pPr>
          </w:p>
        </w:tc>
        <w:tc>
          <w:tcPr>
            <w:tcW w:w="1181" w:type="dxa"/>
            <w:noWrap w:val="0"/>
            <w:vAlign w:val="top"/>
          </w:tcPr>
          <w:p w14:paraId="50D02290">
            <w:pPr>
              <w:shd w:val="clear" w:color="auto" w:fill="auto"/>
              <w:spacing w:before="120" w:beforeLines="50" w:line="440" w:lineRule="exact"/>
              <w:jc w:val="right"/>
              <w:rPr>
                <w:rFonts w:hint="eastAsia" w:ascii="黑体" w:hAnsi="黑体" w:eastAsia="黑体" w:cs="黑体"/>
                <w:color w:val="auto"/>
                <w:sz w:val="24"/>
                <w:highlight w:val="none"/>
              </w:rPr>
            </w:pPr>
          </w:p>
        </w:tc>
        <w:tc>
          <w:tcPr>
            <w:tcW w:w="1010" w:type="dxa"/>
            <w:noWrap w:val="0"/>
            <w:vAlign w:val="top"/>
          </w:tcPr>
          <w:p w14:paraId="518E0DD6">
            <w:pPr>
              <w:shd w:val="clear" w:color="auto" w:fill="auto"/>
              <w:spacing w:before="120" w:beforeLines="50" w:line="440" w:lineRule="exact"/>
              <w:jc w:val="right"/>
              <w:rPr>
                <w:rFonts w:hint="eastAsia" w:ascii="黑体" w:hAnsi="黑体" w:eastAsia="黑体" w:cs="黑体"/>
                <w:color w:val="auto"/>
                <w:sz w:val="24"/>
                <w:highlight w:val="none"/>
              </w:rPr>
            </w:pPr>
          </w:p>
        </w:tc>
        <w:tc>
          <w:tcPr>
            <w:tcW w:w="1736" w:type="dxa"/>
            <w:noWrap w:val="0"/>
            <w:vAlign w:val="top"/>
          </w:tcPr>
          <w:p w14:paraId="06BB76AB">
            <w:pPr>
              <w:shd w:val="clear" w:color="auto" w:fill="auto"/>
              <w:spacing w:before="120" w:beforeLines="50" w:line="440" w:lineRule="exact"/>
              <w:jc w:val="right"/>
              <w:rPr>
                <w:rFonts w:hint="eastAsia" w:ascii="黑体" w:hAnsi="黑体" w:eastAsia="黑体" w:cs="黑体"/>
                <w:color w:val="auto"/>
                <w:sz w:val="24"/>
                <w:highlight w:val="none"/>
              </w:rPr>
            </w:pPr>
          </w:p>
        </w:tc>
      </w:tr>
      <w:tr w14:paraId="331F0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top"/>
          </w:tcPr>
          <w:p w14:paraId="19167DF3">
            <w:pPr>
              <w:shd w:val="clear" w:color="auto" w:fill="auto"/>
              <w:spacing w:before="120" w:beforeLines="50" w:line="440" w:lineRule="exact"/>
              <w:jc w:val="right"/>
              <w:rPr>
                <w:rFonts w:hint="eastAsia" w:ascii="黑体" w:hAnsi="黑体" w:eastAsia="黑体" w:cs="黑体"/>
                <w:color w:val="auto"/>
                <w:sz w:val="24"/>
                <w:highlight w:val="none"/>
              </w:rPr>
            </w:pPr>
          </w:p>
        </w:tc>
        <w:tc>
          <w:tcPr>
            <w:tcW w:w="1439" w:type="dxa"/>
            <w:noWrap w:val="0"/>
            <w:vAlign w:val="top"/>
          </w:tcPr>
          <w:p w14:paraId="27C020C3">
            <w:pPr>
              <w:shd w:val="clear" w:color="auto" w:fill="auto"/>
              <w:spacing w:before="120" w:beforeLines="50" w:line="440" w:lineRule="exact"/>
              <w:jc w:val="right"/>
              <w:rPr>
                <w:rFonts w:hint="eastAsia" w:ascii="黑体" w:hAnsi="黑体" w:eastAsia="黑体" w:cs="黑体"/>
                <w:color w:val="auto"/>
                <w:sz w:val="24"/>
                <w:highlight w:val="none"/>
              </w:rPr>
            </w:pPr>
          </w:p>
        </w:tc>
        <w:tc>
          <w:tcPr>
            <w:tcW w:w="1362" w:type="dxa"/>
            <w:noWrap w:val="0"/>
            <w:vAlign w:val="top"/>
          </w:tcPr>
          <w:p w14:paraId="7790618C">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4B678BB6">
            <w:pPr>
              <w:shd w:val="clear" w:color="auto" w:fill="auto"/>
              <w:spacing w:before="120" w:beforeLines="50" w:line="440" w:lineRule="exact"/>
              <w:jc w:val="right"/>
              <w:rPr>
                <w:rFonts w:hint="eastAsia" w:ascii="黑体" w:hAnsi="黑体" w:eastAsia="黑体" w:cs="黑体"/>
                <w:color w:val="auto"/>
                <w:sz w:val="24"/>
                <w:highlight w:val="none"/>
              </w:rPr>
            </w:pPr>
          </w:p>
        </w:tc>
        <w:tc>
          <w:tcPr>
            <w:tcW w:w="1181" w:type="dxa"/>
            <w:noWrap w:val="0"/>
            <w:vAlign w:val="top"/>
          </w:tcPr>
          <w:p w14:paraId="7318F8C2">
            <w:pPr>
              <w:shd w:val="clear" w:color="auto" w:fill="auto"/>
              <w:spacing w:before="120" w:beforeLines="50" w:line="440" w:lineRule="exact"/>
              <w:jc w:val="right"/>
              <w:rPr>
                <w:rFonts w:hint="eastAsia" w:ascii="黑体" w:hAnsi="黑体" w:eastAsia="黑体" w:cs="黑体"/>
                <w:color w:val="auto"/>
                <w:sz w:val="24"/>
                <w:highlight w:val="none"/>
              </w:rPr>
            </w:pPr>
          </w:p>
        </w:tc>
        <w:tc>
          <w:tcPr>
            <w:tcW w:w="1010" w:type="dxa"/>
            <w:noWrap w:val="0"/>
            <w:vAlign w:val="top"/>
          </w:tcPr>
          <w:p w14:paraId="3DCC2F46">
            <w:pPr>
              <w:shd w:val="clear" w:color="auto" w:fill="auto"/>
              <w:spacing w:before="120" w:beforeLines="50" w:line="440" w:lineRule="exact"/>
              <w:jc w:val="right"/>
              <w:rPr>
                <w:rFonts w:hint="eastAsia" w:ascii="黑体" w:hAnsi="黑体" w:eastAsia="黑体" w:cs="黑体"/>
                <w:color w:val="auto"/>
                <w:sz w:val="24"/>
                <w:highlight w:val="none"/>
              </w:rPr>
            </w:pPr>
          </w:p>
        </w:tc>
        <w:tc>
          <w:tcPr>
            <w:tcW w:w="1736" w:type="dxa"/>
            <w:noWrap w:val="0"/>
            <w:vAlign w:val="top"/>
          </w:tcPr>
          <w:p w14:paraId="426968CD">
            <w:pPr>
              <w:shd w:val="clear" w:color="auto" w:fill="auto"/>
              <w:spacing w:before="120" w:beforeLines="50" w:line="440" w:lineRule="exact"/>
              <w:jc w:val="right"/>
              <w:rPr>
                <w:rFonts w:hint="eastAsia" w:ascii="黑体" w:hAnsi="黑体" w:eastAsia="黑体" w:cs="黑体"/>
                <w:color w:val="auto"/>
                <w:sz w:val="24"/>
                <w:highlight w:val="none"/>
              </w:rPr>
            </w:pPr>
          </w:p>
        </w:tc>
      </w:tr>
      <w:tr w14:paraId="133CC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top"/>
          </w:tcPr>
          <w:p w14:paraId="39A7CD53">
            <w:pPr>
              <w:shd w:val="clear" w:color="auto" w:fill="auto"/>
              <w:spacing w:before="120" w:beforeLines="50" w:line="440" w:lineRule="exact"/>
              <w:jc w:val="right"/>
              <w:rPr>
                <w:rFonts w:hint="eastAsia" w:ascii="黑体" w:hAnsi="黑体" w:eastAsia="黑体" w:cs="黑体"/>
                <w:color w:val="auto"/>
                <w:sz w:val="24"/>
                <w:highlight w:val="none"/>
              </w:rPr>
            </w:pPr>
          </w:p>
        </w:tc>
        <w:tc>
          <w:tcPr>
            <w:tcW w:w="1439" w:type="dxa"/>
            <w:noWrap w:val="0"/>
            <w:vAlign w:val="top"/>
          </w:tcPr>
          <w:p w14:paraId="68B16DEC">
            <w:pPr>
              <w:shd w:val="clear" w:color="auto" w:fill="auto"/>
              <w:spacing w:before="120" w:beforeLines="50" w:line="440" w:lineRule="exact"/>
              <w:jc w:val="right"/>
              <w:rPr>
                <w:rFonts w:hint="eastAsia" w:ascii="黑体" w:hAnsi="黑体" w:eastAsia="黑体" w:cs="黑体"/>
                <w:color w:val="auto"/>
                <w:sz w:val="24"/>
                <w:highlight w:val="none"/>
              </w:rPr>
            </w:pPr>
          </w:p>
        </w:tc>
        <w:tc>
          <w:tcPr>
            <w:tcW w:w="1362" w:type="dxa"/>
            <w:noWrap w:val="0"/>
            <w:vAlign w:val="top"/>
          </w:tcPr>
          <w:p w14:paraId="42C33EC5">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1347FFCE">
            <w:pPr>
              <w:shd w:val="clear" w:color="auto" w:fill="auto"/>
              <w:spacing w:before="120" w:beforeLines="50" w:line="440" w:lineRule="exact"/>
              <w:jc w:val="right"/>
              <w:rPr>
                <w:rFonts w:hint="eastAsia" w:ascii="黑体" w:hAnsi="黑体" w:eastAsia="黑体" w:cs="黑体"/>
                <w:color w:val="auto"/>
                <w:sz w:val="24"/>
                <w:highlight w:val="none"/>
              </w:rPr>
            </w:pPr>
          </w:p>
        </w:tc>
        <w:tc>
          <w:tcPr>
            <w:tcW w:w="1181" w:type="dxa"/>
            <w:noWrap w:val="0"/>
            <w:vAlign w:val="top"/>
          </w:tcPr>
          <w:p w14:paraId="53DD87C6">
            <w:pPr>
              <w:shd w:val="clear" w:color="auto" w:fill="auto"/>
              <w:spacing w:before="120" w:beforeLines="50" w:line="440" w:lineRule="exact"/>
              <w:jc w:val="right"/>
              <w:rPr>
                <w:rFonts w:hint="eastAsia" w:ascii="黑体" w:hAnsi="黑体" w:eastAsia="黑体" w:cs="黑体"/>
                <w:color w:val="auto"/>
                <w:sz w:val="24"/>
                <w:highlight w:val="none"/>
              </w:rPr>
            </w:pPr>
          </w:p>
        </w:tc>
        <w:tc>
          <w:tcPr>
            <w:tcW w:w="1010" w:type="dxa"/>
            <w:noWrap w:val="0"/>
            <w:vAlign w:val="top"/>
          </w:tcPr>
          <w:p w14:paraId="17C54F9E">
            <w:pPr>
              <w:shd w:val="clear" w:color="auto" w:fill="auto"/>
              <w:spacing w:before="120" w:beforeLines="50" w:line="440" w:lineRule="exact"/>
              <w:jc w:val="right"/>
              <w:rPr>
                <w:rFonts w:hint="eastAsia" w:ascii="黑体" w:hAnsi="黑体" w:eastAsia="黑体" w:cs="黑体"/>
                <w:color w:val="auto"/>
                <w:sz w:val="24"/>
                <w:highlight w:val="none"/>
              </w:rPr>
            </w:pPr>
          </w:p>
        </w:tc>
        <w:tc>
          <w:tcPr>
            <w:tcW w:w="1736" w:type="dxa"/>
            <w:noWrap w:val="0"/>
            <w:vAlign w:val="top"/>
          </w:tcPr>
          <w:p w14:paraId="0C6B0887">
            <w:pPr>
              <w:shd w:val="clear" w:color="auto" w:fill="auto"/>
              <w:spacing w:before="120" w:beforeLines="50" w:line="440" w:lineRule="exact"/>
              <w:jc w:val="right"/>
              <w:rPr>
                <w:rFonts w:hint="eastAsia" w:ascii="黑体" w:hAnsi="黑体" w:eastAsia="黑体" w:cs="黑体"/>
                <w:color w:val="auto"/>
                <w:sz w:val="24"/>
                <w:highlight w:val="none"/>
              </w:rPr>
            </w:pPr>
          </w:p>
        </w:tc>
      </w:tr>
      <w:tr w14:paraId="3EE74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top"/>
          </w:tcPr>
          <w:p w14:paraId="4E92FCCE">
            <w:pPr>
              <w:shd w:val="clear" w:color="auto" w:fill="auto"/>
              <w:spacing w:before="120" w:beforeLines="50" w:line="440" w:lineRule="exact"/>
              <w:jc w:val="right"/>
              <w:rPr>
                <w:rFonts w:hint="eastAsia" w:ascii="黑体" w:hAnsi="黑体" w:eastAsia="黑体" w:cs="黑体"/>
                <w:color w:val="auto"/>
                <w:sz w:val="24"/>
                <w:highlight w:val="none"/>
              </w:rPr>
            </w:pPr>
          </w:p>
        </w:tc>
        <w:tc>
          <w:tcPr>
            <w:tcW w:w="1439" w:type="dxa"/>
            <w:noWrap w:val="0"/>
            <w:vAlign w:val="top"/>
          </w:tcPr>
          <w:p w14:paraId="7E959917">
            <w:pPr>
              <w:shd w:val="clear" w:color="auto" w:fill="auto"/>
              <w:spacing w:before="120" w:beforeLines="50" w:line="440" w:lineRule="exact"/>
              <w:jc w:val="right"/>
              <w:rPr>
                <w:rFonts w:hint="eastAsia" w:ascii="黑体" w:hAnsi="黑体" w:eastAsia="黑体" w:cs="黑体"/>
                <w:color w:val="auto"/>
                <w:sz w:val="24"/>
                <w:highlight w:val="none"/>
              </w:rPr>
            </w:pPr>
          </w:p>
        </w:tc>
        <w:tc>
          <w:tcPr>
            <w:tcW w:w="1362" w:type="dxa"/>
            <w:noWrap w:val="0"/>
            <w:vAlign w:val="top"/>
          </w:tcPr>
          <w:p w14:paraId="22E62848">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53E18A21">
            <w:pPr>
              <w:shd w:val="clear" w:color="auto" w:fill="auto"/>
              <w:spacing w:before="120" w:beforeLines="50" w:line="440" w:lineRule="exact"/>
              <w:jc w:val="right"/>
              <w:rPr>
                <w:rFonts w:hint="eastAsia" w:ascii="黑体" w:hAnsi="黑体" w:eastAsia="黑体" w:cs="黑体"/>
                <w:color w:val="auto"/>
                <w:sz w:val="24"/>
                <w:highlight w:val="none"/>
              </w:rPr>
            </w:pPr>
          </w:p>
        </w:tc>
        <w:tc>
          <w:tcPr>
            <w:tcW w:w="1181" w:type="dxa"/>
            <w:noWrap w:val="0"/>
            <w:vAlign w:val="top"/>
          </w:tcPr>
          <w:p w14:paraId="6BE53284">
            <w:pPr>
              <w:shd w:val="clear" w:color="auto" w:fill="auto"/>
              <w:spacing w:before="120" w:beforeLines="50" w:line="440" w:lineRule="exact"/>
              <w:jc w:val="right"/>
              <w:rPr>
                <w:rFonts w:hint="eastAsia" w:ascii="黑体" w:hAnsi="黑体" w:eastAsia="黑体" w:cs="黑体"/>
                <w:color w:val="auto"/>
                <w:sz w:val="24"/>
                <w:highlight w:val="none"/>
              </w:rPr>
            </w:pPr>
          </w:p>
        </w:tc>
        <w:tc>
          <w:tcPr>
            <w:tcW w:w="1010" w:type="dxa"/>
            <w:noWrap w:val="0"/>
            <w:vAlign w:val="top"/>
          </w:tcPr>
          <w:p w14:paraId="1063328F">
            <w:pPr>
              <w:shd w:val="clear" w:color="auto" w:fill="auto"/>
              <w:spacing w:before="120" w:beforeLines="50" w:line="440" w:lineRule="exact"/>
              <w:jc w:val="right"/>
              <w:rPr>
                <w:rFonts w:hint="eastAsia" w:ascii="黑体" w:hAnsi="黑体" w:eastAsia="黑体" w:cs="黑体"/>
                <w:color w:val="auto"/>
                <w:sz w:val="24"/>
                <w:highlight w:val="none"/>
              </w:rPr>
            </w:pPr>
          </w:p>
        </w:tc>
        <w:tc>
          <w:tcPr>
            <w:tcW w:w="1736" w:type="dxa"/>
            <w:noWrap w:val="0"/>
            <w:vAlign w:val="top"/>
          </w:tcPr>
          <w:p w14:paraId="0C156CA8">
            <w:pPr>
              <w:shd w:val="clear" w:color="auto" w:fill="auto"/>
              <w:spacing w:before="120" w:beforeLines="50" w:line="440" w:lineRule="exact"/>
              <w:jc w:val="right"/>
              <w:rPr>
                <w:rFonts w:hint="eastAsia" w:ascii="黑体" w:hAnsi="黑体" w:eastAsia="黑体" w:cs="黑体"/>
                <w:color w:val="auto"/>
                <w:sz w:val="24"/>
                <w:highlight w:val="none"/>
              </w:rPr>
            </w:pPr>
          </w:p>
        </w:tc>
      </w:tr>
      <w:tr w14:paraId="32671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top"/>
          </w:tcPr>
          <w:p w14:paraId="3F127940">
            <w:pPr>
              <w:shd w:val="clear" w:color="auto" w:fill="auto"/>
              <w:spacing w:before="120" w:beforeLines="50" w:line="440" w:lineRule="exact"/>
              <w:jc w:val="right"/>
              <w:rPr>
                <w:rFonts w:hint="eastAsia" w:ascii="黑体" w:hAnsi="黑体" w:eastAsia="黑体" w:cs="黑体"/>
                <w:color w:val="auto"/>
                <w:sz w:val="24"/>
                <w:highlight w:val="none"/>
              </w:rPr>
            </w:pPr>
          </w:p>
        </w:tc>
        <w:tc>
          <w:tcPr>
            <w:tcW w:w="1439" w:type="dxa"/>
            <w:noWrap w:val="0"/>
            <w:vAlign w:val="top"/>
          </w:tcPr>
          <w:p w14:paraId="3927377C">
            <w:pPr>
              <w:shd w:val="clear" w:color="auto" w:fill="auto"/>
              <w:spacing w:before="120" w:beforeLines="50" w:line="440" w:lineRule="exact"/>
              <w:jc w:val="right"/>
              <w:rPr>
                <w:rFonts w:hint="eastAsia" w:ascii="黑体" w:hAnsi="黑体" w:eastAsia="黑体" w:cs="黑体"/>
                <w:color w:val="auto"/>
                <w:sz w:val="24"/>
                <w:highlight w:val="none"/>
              </w:rPr>
            </w:pPr>
          </w:p>
        </w:tc>
        <w:tc>
          <w:tcPr>
            <w:tcW w:w="1362" w:type="dxa"/>
            <w:noWrap w:val="0"/>
            <w:vAlign w:val="top"/>
          </w:tcPr>
          <w:p w14:paraId="3D03C16C">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51752829">
            <w:pPr>
              <w:shd w:val="clear" w:color="auto" w:fill="auto"/>
              <w:spacing w:before="120" w:beforeLines="50" w:line="440" w:lineRule="exact"/>
              <w:jc w:val="right"/>
              <w:rPr>
                <w:rFonts w:hint="eastAsia" w:ascii="黑体" w:hAnsi="黑体" w:eastAsia="黑体" w:cs="黑体"/>
                <w:color w:val="auto"/>
                <w:sz w:val="24"/>
                <w:highlight w:val="none"/>
              </w:rPr>
            </w:pPr>
          </w:p>
        </w:tc>
        <w:tc>
          <w:tcPr>
            <w:tcW w:w="1181" w:type="dxa"/>
            <w:noWrap w:val="0"/>
            <w:vAlign w:val="top"/>
          </w:tcPr>
          <w:p w14:paraId="7EED294E">
            <w:pPr>
              <w:shd w:val="clear" w:color="auto" w:fill="auto"/>
              <w:spacing w:before="120" w:beforeLines="50" w:line="440" w:lineRule="exact"/>
              <w:jc w:val="right"/>
              <w:rPr>
                <w:rFonts w:hint="eastAsia" w:ascii="黑体" w:hAnsi="黑体" w:eastAsia="黑体" w:cs="黑体"/>
                <w:color w:val="auto"/>
                <w:sz w:val="24"/>
                <w:highlight w:val="none"/>
              </w:rPr>
            </w:pPr>
          </w:p>
        </w:tc>
        <w:tc>
          <w:tcPr>
            <w:tcW w:w="1010" w:type="dxa"/>
            <w:noWrap w:val="0"/>
            <w:vAlign w:val="top"/>
          </w:tcPr>
          <w:p w14:paraId="5B066B10">
            <w:pPr>
              <w:shd w:val="clear" w:color="auto" w:fill="auto"/>
              <w:spacing w:before="120" w:beforeLines="50" w:line="440" w:lineRule="exact"/>
              <w:jc w:val="right"/>
              <w:rPr>
                <w:rFonts w:hint="eastAsia" w:ascii="黑体" w:hAnsi="黑体" w:eastAsia="黑体" w:cs="黑体"/>
                <w:color w:val="auto"/>
                <w:sz w:val="24"/>
                <w:highlight w:val="none"/>
              </w:rPr>
            </w:pPr>
          </w:p>
        </w:tc>
        <w:tc>
          <w:tcPr>
            <w:tcW w:w="1736" w:type="dxa"/>
            <w:noWrap w:val="0"/>
            <w:vAlign w:val="top"/>
          </w:tcPr>
          <w:p w14:paraId="6B79DEDD">
            <w:pPr>
              <w:shd w:val="clear" w:color="auto" w:fill="auto"/>
              <w:spacing w:before="120" w:beforeLines="50" w:line="440" w:lineRule="exact"/>
              <w:jc w:val="right"/>
              <w:rPr>
                <w:rFonts w:hint="eastAsia" w:ascii="黑体" w:hAnsi="黑体" w:eastAsia="黑体" w:cs="黑体"/>
                <w:color w:val="auto"/>
                <w:sz w:val="24"/>
                <w:highlight w:val="none"/>
              </w:rPr>
            </w:pPr>
          </w:p>
        </w:tc>
      </w:tr>
      <w:tr w14:paraId="6D5B5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top"/>
          </w:tcPr>
          <w:p w14:paraId="5CD481C1">
            <w:pPr>
              <w:shd w:val="clear" w:color="auto" w:fill="auto"/>
              <w:spacing w:before="120" w:beforeLines="50" w:line="440" w:lineRule="exact"/>
              <w:jc w:val="right"/>
              <w:rPr>
                <w:rFonts w:hint="eastAsia" w:ascii="黑体" w:hAnsi="黑体" w:eastAsia="黑体" w:cs="黑体"/>
                <w:color w:val="auto"/>
                <w:sz w:val="24"/>
                <w:highlight w:val="none"/>
              </w:rPr>
            </w:pPr>
          </w:p>
        </w:tc>
        <w:tc>
          <w:tcPr>
            <w:tcW w:w="1439" w:type="dxa"/>
            <w:noWrap w:val="0"/>
            <w:vAlign w:val="top"/>
          </w:tcPr>
          <w:p w14:paraId="68977EF4">
            <w:pPr>
              <w:shd w:val="clear" w:color="auto" w:fill="auto"/>
              <w:spacing w:before="120" w:beforeLines="50" w:line="440" w:lineRule="exact"/>
              <w:jc w:val="right"/>
              <w:rPr>
                <w:rFonts w:hint="eastAsia" w:ascii="黑体" w:hAnsi="黑体" w:eastAsia="黑体" w:cs="黑体"/>
                <w:color w:val="auto"/>
                <w:sz w:val="24"/>
                <w:highlight w:val="none"/>
              </w:rPr>
            </w:pPr>
          </w:p>
        </w:tc>
        <w:tc>
          <w:tcPr>
            <w:tcW w:w="1362" w:type="dxa"/>
            <w:noWrap w:val="0"/>
            <w:vAlign w:val="top"/>
          </w:tcPr>
          <w:p w14:paraId="428E3F2F">
            <w:pPr>
              <w:shd w:val="clear" w:color="auto" w:fill="auto"/>
              <w:spacing w:before="120" w:beforeLines="50" w:line="440" w:lineRule="exact"/>
              <w:jc w:val="right"/>
              <w:rPr>
                <w:rFonts w:hint="eastAsia" w:ascii="黑体" w:hAnsi="黑体" w:eastAsia="黑体" w:cs="黑体"/>
                <w:color w:val="auto"/>
                <w:sz w:val="24"/>
                <w:highlight w:val="none"/>
              </w:rPr>
            </w:pPr>
          </w:p>
        </w:tc>
        <w:tc>
          <w:tcPr>
            <w:tcW w:w="1560" w:type="dxa"/>
            <w:noWrap w:val="0"/>
            <w:vAlign w:val="top"/>
          </w:tcPr>
          <w:p w14:paraId="7A863F20">
            <w:pPr>
              <w:shd w:val="clear" w:color="auto" w:fill="auto"/>
              <w:spacing w:before="120" w:beforeLines="50" w:line="440" w:lineRule="exact"/>
              <w:jc w:val="right"/>
              <w:rPr>
                <w:rFonts w:hint="eastAsia" w:ascii="黑体" w:hAnsi="黑体" w:eastAsia="黑体" w:cs="黑体"/>
                <w:color w:val="auto"/>
                <w:sz w:val="24"/>
                <w:highlight w:val="none"/>
              </w:rPr>
            </w:pPr>
          </w:p>
        </w:tc>
        <w:tc>
          <w:tcPr>
            <w:tcW w:w="1181" w:type="dxa"/>
            <w:noWrap w:val="0"/>
            <w:vAlign w:val="top"/>
          </w:tcPr>
          <w:p w14:paraId="7DCFFD79">
            <w:pPr>
              <w:shd w:val="clear" w:color="auto" w:fill="auto"/>
              <w:spacing w:before="120" w:beforeLines="50" w:line="440" w:lineRule="exact"/>
              <w:jc w:val="right"/>
              <w:rPr>
                <w:rFonts w:hint="eastAsia" w:ascii="黑体" w:hAnsi="黑体" w:eastAsia="黑体" w:cs="黑体"/>
                <w:color w:val="auto"/>
                <w:sz w:val="24"/>
                <w:highlight w:val="none"/>
              </w:rPr>
            </w:pPr>
          </w:p>
        </w:tc>
        <w:tc>
          <w:tcPr>
            <w:tcW w:w="1010" w:type="dxa"/>
            <w:noWrap w:val="0"/>
            <w:vAlign w:val="top"/>
          </w:tcPr>
          <w:p w14:paraId="4585C02F">
            <w:pPr>
              <w:shd w:val="clear" w:color="auto" w:fill="auto"/>
              <w:spacing w:before="120" w:beforeLines="50" w:line="440" w:lineRule="exact"/>
              <w:jc w:val="right"/>
              <w:rPr>
                <w:rFonts w:hint="eastAsia" w:ascii="黑体" w:hAnsi="黑体" w:eastAsia="黑体" w:cs="黑体"/>
                <w:color w:val="auto"/>
                <w:sz w:val="24"/>
                <w:highlight w:val="none"/>
              </w:rPr>
            </w:pPr>
          </w:p>
        </w:tc>
        <w:tc>
          <w:tcPr>
            <w:tcW w:w="1736" w:type="dxa"/>
            <w:noWrap w:val="0"/>
            <w:vAlign w:val="top"/>
          </w:tcPr>
          <w:p w14:paraId="4BC9B56F">
            <w:pPr>
              <w:shd w:val="clear" w:color="auto" w:fill="auto"/>
              <w:spacing w:before="120" w:beforeLines="50" w:line="440" w:lineRule="exact"/>
              <w:jc w:val="right"/>
              <w:rPr>
                <w:rFonts w:hint="eastAsia" w:ascii="黑体" w:hAnsi="黑体" w:eastAsia="黑体" w:cs="黑体"/>
                <w:color w:val="auto"/>
                <w:sz w:val="24"/>
                <w:highlight w:val="none"/>
              </w:rPr>
            </w:pPr>
          </w:p>
        </w:tc>
      </w:tr>
      <w:tr w14:paraId="197B6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gridSpan w:val="3"/>
            <w:noWrap w:val="0"/>
            <w:vAlign w:val="top"/>
          </w:tcPr>
          <w:p w14:paraId="2F5E6BD3">
            <w:pPr>
              <w:shd w:val="clear" w:color="auto" w:fill="auto"/>
              <w:spacing w:before="120" w:beforeLines="50" w:line="440" w:lineRule="exact"/>
              <w:jc w:val="right"/>
              <w:rPr>
                <w:rFonts w:hint="eastAsia" w:ascii="黑体" w:hAnsi="黑体" w:eastAsia="黑体" w:cs="黑体"/>
                <w:color w:val="auto"/>
                <w:sz w:val="24"/>
                <w:highlight w:val="none"/>
              </w:rPr>
            </w:pPr>
            <w:r>
              <w:rPr>
                <w:rFonts w:hint="eastAsia" w:ascii="黑体" w:hAnsi="黑体" w:eastAsia="黑体" w:cs="黑体"/>
                <w:color w:val="auto"/>
                <w:szCs w:val="21"/>
                <w:highlight w:val="none"/>
              </w:rPr>
              <w:t>招标人编制的最高投标限价（如有）</w:t>
            </w:r>
          </w:p>
        </w:tc>
        <w:tc>
          <w:tcPr>
            <w:tcW w:w="5487" w:type="dxa"/>
            <w:gridSpan w:val="4"/>
            <w:noWrap w:val="0"/>
            <w:vAlign w:val="top"/>
          </w:tcPr>
          <w:p w14:paraId="0F8F81C4">
            <w:pPr>
              <w:shd w:val="clear" w:color="auto" w:fill="auto"/>
              <w:spacing w:before="120" w:beforeLines="50" w:line="440" w:lineRule="exact"/>
              <w:jc w:val="right"/>
              <w:rPr>
                <w:rFonts w:hint="eastAsia" w:ascii="黑体" w:hAnsi="黑体" w:eastAsia="黑体" w:cs="黑体"/>
                <w:color w:val="auto"/>
                <w:sz w:val="24"/>
                <w:highlight w:val="none"/>
              </w:rPr>
            </w:pPr>
          </w:p>
        </w:tc>
      </w:tr>
    </w:tbl>
    <w:p w14:paraId="54F1F9FE">
      <w:pPr>
        <w:shd w:val="clear" w:color="auto" w:fill="auto"/>
        <w:spacing w:line="440" w:lineRule="exact"/>
        <w:jc w:val="right"/>
        <w:rPr>
          <w:rFonts w:hint="eastAsia" w:ascii="黑体" w:hAnsi="黑体" w:eastAsia="黑体" w:cs="黑体"/>
          <w:color w:val="auto"/>
          <w:sz w:val="24"/>
          <w:highlight w:val="none"/>
        </w:rPr>
      </w:pPr>
    </w:p>
    <w:p w14:paraId="19976EB5">
      <w:pPr>
        <w:shd w:val="clear" w:color="auto" w:fill="auto"/>
        <w:spacing w:line="62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招标人代表：</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                                      记录人：</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       </w:t>
      </w:r>
    </w:p>
    <w:p w14:paraId="0ED495F8">
      <w:pPr>
        <w:shd w:val="clear" w:color="auto" w:fill="auto"/>
        <w:spacing w:line="620" w:lineRule="exact"/>
        <w:jc w:val="right"/>
        <w:rPr>
          <w:rFonts w:hint="eastAsia" w:ascii="黑体" w:hAnsi="黑体" w:eastAsia="黑体" w:cs="黑体"/>
          <w:color w:val="auto"/>
          <w:szCs w:val="21"/>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p>
    <w:p w14:paraId="58DFB5E9">
      <w:pPr>
        <w:shd w:val="clear" w:color="auto" w:fill="auto"/>
        <w:spacing w:line="620" w:lineRule="exact"/>
        <w:jc w:val="right"/>
        <w:rPr>
          <w:rFonts w:hint="eastAsia" w:ascii="黑体" w:hAnsi="黑体" w:eastAsia="黑体" w:cs="黑体"/>
          <w:color w:val="auto"/>
          <w:sz w:val="24"/>
          <w:highlight w:val="none"/>
        </w:rPr>
      </w:pPr>
    </w:p>
    <w:p w14:paraId="63D255F5">
      <w:pPr>
        <w:shd w:val="clear" w:color="auto" w:fill="auto"/>
        <w:spacing w:line="620" w:lineRule="exact"/>
        <w:jc w:val="right"/>
        <w:rPr>
          <w:rFonts w:hint="eastAsia" w:ascii="黑体" w:hAnsi="黑体" w:eastAsia="黑体" w:cs="黑体"/>
          <w:color w:val="auto"/>
          <w:szCs w:val="21"/>
          <w:highlight w:val="none"/>
        </w:rPr>
      </w:pPr>
    </w:p>
    <w:p w14:paraId="3A1DBE38">
      <w:pPr>
        <w:shd w:val="clear" w:color="auto" w:fill="auto"/>
        <w:spacing w:line="620" w:lineRule="exact"/>
        <w:ind w:right="630"/>
        <w:jc w:val="center"/>
        <w:rPr>
          <w:rFonts w:hint="eastAsia" w:ascii="黑体" w:hAnsi="黑体" w:eastAsia="黑体" w:cs="黑体"/>
          <w:color w:val="auto"/>
          <w:szCs w:val="21"/>
          <w:highlight w:val="none"/>
        </w:rPr>
        <w:sectPr>
          <w:headerReference r:id="rId10" w:type="default"/>
          <w:footerReference r:id="rId12" w:type="default"/>
          <w:headerReference r:id="rId11" w:type="even"/>
          <w:footerReference r:id="rId13" w:type="even"/>
          <w:footnotePr>
            <w:numFmt w:val="decimalEnclosedCircleChinese"/>
            <w:numRestart w:val="eachPage"/>
          </w:footnotePr>
          <w:pgSz w:w="11907" w:h="16840"/>
          <w:pgMar w:top="1588" w:right="1531" w:bottom="1644" w:left="1588" w:header="851" w:footer="851" w:gutter="0"/>
          <w:pgBorders>
            <w:top w:val="none" w:sz="0" w:space="0"/>
            <w:left w:val="none" w:sz="0" w:space="0"/>
            <w:bottom w:val="none" w:sz="0" w:space="0"/>
            <w:right w:val="none" w:sz="0" w:space="0"/>
          </w:pgBorders>
          <w:pgNumType w:fmt="numberInDash"/>
          <w:cols w:space="720" w:num="1"/>
          <w:docGrid w:linePitch="312" w:charSpace="0"/>
        </w:sectPr>
      </w:pPr>
    </w:p>
    <w:p w14:paraId="7A25DD35">
      <w:pPr>
        <w:pStyle w:val="2"/>
        <w:shd w:val="clear" w:color="auto" w:fill="auto"/>
        <w:spacing w:before="0" w:after="0" w:line="240" w:lineRule="atLeast"/>
        <w:jc w:val="both"/>
        <w:rPr>
          <w:rFonts w:hint="eastAsia" w:ascii="黑体" w:hAnsi="黑体" w:eastAsia="黑体" w:cs="黑体"/>
          <w:b w:val="0"/>
          <w:color w:val="auto"/>
          <w:sz w:val="28"/>
          <w:szCs w:val="28"/>
          <w:highlight w:val="none"/>
        </w:rPr>
      </w:pPr>
      <w:bookmarkStart w:id="236" w:name="_Toc1038"/>
      <w:bookmarkStart w:id="237" w:name="_Toc501257120"/>
      <w:bookmarkStart w:id="238" w:name="_Toc234832926"/>
      <w:r>
        <w:rPr>
          <w:rFonts w:hint="eastAsia" w:ascii="黑体" w:hAnsi="黑体" w:eastAsia="黑体" w:cs="黑体"/>
          <w:b w:val="0"/>
          <w:color w:val="auto"/>
          <w:sz w:val="28"/>
          <w:szCs w:val="28"/>
          <w:highlight w:val="none"/>
        </w:rPr>
        <w:t>附</w:t>
      </w:r>
      <w:r>
        <w:rPr>
          <w:rFonts w:hint="eastAsia" w:ascii="黑体" w:hAnsi="黑体" w:eastAsia="黑体" w:cs="黑体"/>
          <w:b w:val="0"/>
          <w:color w:val="auto"/>
          <w:sz w:val="28"/>
          <w:szCs w:val="28"/>
          <w:highlight w:val="none"/>
          <w:lang w:eastAsia="zh-CN"/>
        </w:rPr>
        <w:t>件</w:t>
      </w:r>
      <w:r>
        <w:rPr>
          <w:rFonts w:hint="eastAsia" w:ascii="黑体" w:hAnsi="黑体" w:eastAsia="黑体" w:cs="黑体"/>
          <w:b w:val="0"/>
          <w:color w:val="auto"/>
          <w:sz w:val="28"/>
          <w:szCs w:val="28"/>
          <w:highlight w:val="none"/>
        </w:rPr>
        <w:t>二</w:t>
      </w:r>
      <w:r>
        <w:rPr>
          <w:rFonts w:hint="eastAsia" w:ascii="黑体" w:hAnsi="黑体" w:eastAsia="黑体" w:cs="黑体"/>
          <w:b w:val="0"/>
          <w:color w:val="auto"/>
          <w:sz w:val="28"/>
          <w:szCs w:val="28"/>
          <w:highlight w:val="none"/>
          <w:lang w:eastAsia="zh-CN"/>
        </w:rPr>
        <w:t xml:space="preserve"> </w:t>
      </w:r>
      <w:r>
        <w:rPr>
          <w:rFonts w:hint="eastAsia" w:ascii="黑体" w:hAnsi="黑体" w:eastAsia="黑体" w:cs="黑体"/>
          <w:b w:val="0"/>
          <w:color w:val="auto"/>
          <w:sz w:val="28"/>
          <w:szCs w:val="28"/>
          <w:highlight w:val="none"/>
        </w:rPr>
        <w:t>问题澄清通知</w:t>
      </w:r>
      <w:bookmarkEnd w:id="236"/>
      <w:bookmarkEnd w:id="237"/>
      <w:bookmarkEnd w:id="238"/>
    </w:p>
    <w:p w14:paraId="44838292">
      <w:pPr>
        <w:shd w:val="clear" w:color="auto" w:fill="auto"/>
        <w:spacing w:line="440" w:lineRule="exact"/>
        <w:jc w:val="center"/>
        <w:rPr>
          <w:rFonts w:hint="eastAsia" w:ascii="黑体" w:hAnsi="黑体" w:eastAsia="黑体" w:cs="黑体"/>
          <w:color w:val="auto"/>
          <w:sz w:val="28"/>
          <w:szCs w:val="28"/>
          <w:highlight w:val="none"/>
        </w:rPr>
      </w:pPr>
    </w:p>
    <w:p w14:paraId="2ACD3754">
      <w:pPr>
        <w:shd w:val="clear" w:color="auto" w:fill="auto"/>
        <w:spacing w:line="440" w:lineRule="exact"/>
        <w:jc w:val="center"/>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问题澄清通知</w:t>
      </w:r>
    </w:p>
    <w:p w14:paraId="61F43D23">
      <w:pPr>
        <w:shd w:val="clear" w:color="auto" w:fill="auto"/>
        <w:spacing w:line="440" w:lineRule="exact"/>
        <w:jc w:val="center"/>
        <w:rPr>
          <w:rFonts w:hint="eastAsia" w:ascii="黑体" w:hAnsi="黑体" w:eastAsia="黑体" w:cs="黑体"/>
          <w:color w:val="auto"/>
          <w:sz w:val="24"/>
          <w:highlight w:val="none"/>
        </w:rPr>
      </w:pPr>
      <w:r>
        <w:rPr>
          <w:rFonts w:hint="eastAsia" w:ascii="黑体" w:hAnsi="黑体" w:eastAsia="黑体" w:cs="黑体"/>
          <w:color w:val="auto"/>
          <w:highlight w:val="none"/>
        </w:rPr>
        <w:t>（编号：</w:t>
      </w:r>
      <w:r>
        <w:rPr>
          <w:rFonts w:hint="eastAsia" w:ascii="黑体" w:hAnsi="黑体" w:eastAsia="黑体" w:cs="黑体"/>
          <w:color w:val="auto"/>
          <w:sz w:val="28"/>
          <w:highlight w:val="none"/>
          <w:u w:val="single"/>
        </w:rPr>
        <w:t xml:space="preserve">               </w:t>
      </w:r>
      <w:r>
        <w:rPr>
          <w:rFonts w:hint="eastAsia" w:ascii="黑体" w:hAnsi="黑体" w:eastAsia="黑体" w:cs="黑体"/>
          <w:color w:val="auto"/>
          <w:highlight w:val="none"/>
        </w:rPr>
        <w:t>）</w:t>
      </w:r>
    </w:p>
    <w:p w14:paraId="092D110B">
      <w:pPr>
        <w:shd w:val="clear" w:color="auto" w:fill="auto"/>
        <w:spacing w:line="440" w:lineRule="exact"/>
        <w:rPr>
          <w:rFonts w:hint="eastAsia" w:ascii="黑体" w:hAnsi="黑体" w:eastAsia="黑体" w:cs="黑体"/>
          <w:color w:val="auto"/>
          <w:sz w:val="24"/>
          <w:highlight w:val="none"/>
        </w:rPr>
      </w:pPr>
    </w:p>
    <w:p w14:paraId="6F1591E2">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（投标人名称）：</w:t>
      </w:r>
    </w:p>
    <w:p w14:paraId="3D88E38B">
      <w:pPr>
        <w:shd w:val="clear" w:color="auto" w:fill="auto"/>
        <w:spacing w:line="440" w:lineRule="exact"/>
        <w:rPr>
          <w:rFonts w:hint="eastAsia" w:ascii="黑体" w:hAnsi="黑体" w:eastAsia="黑体" w:cs="黑体"/>
          <w:color w:val="auto"/>
          <w:sz w:val="24"/>
          <w:highlight w:val="none"/>
        </w:rPr>
      </w:pPr>
    </w:p>
    <w:p w14:paraId="13769E09">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 （项目名称）</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标段施工招标的评标委员会，对你方的投标文件进行了仔细的审查，现需你方对下列问题以书面形式予以澄清或说明：</w:t>
      </w:r>
    </w:p>
    <w:p w14:paraId="0A4C532D">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w:t>
      </w:r>
    </w:p>
    <w:p w14:paraId="7E93619F">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1.</w:t>
      </w:r>
    </w:p>
    <w:p w14:paraId="71B6EE36">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2.</w:t>
      </w:r>
    </w:p>
    <w:p w14:paraId="7C67ABB5">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   </w:t>
      </w:r>
    </w:p>
    <w:p w14:paraId="5A6B2A68">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w:t>
      </w:r>
    </w:p>
    <w:p w14:paraId="34AC24D2">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请将上述问题的澄清或说明于</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时</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分前递交至</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（详细地址）或传真至</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（传真号码）或通过下载招标文件的电子招标交易平台上传。采用传真方式的，应在</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时</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分前将原件递交至</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（详细地址）。</w:t>
      </w:r>
    </w:p>
    <w:p w14:paraId="10618232">
      <w:pPr>
        <w:shd w:val="clear" w:color="auto" w:fill="auto"/>
        <w:spacing w:line="440" w:lineRule="exact"/>
        <w:rPr>
          <w:rFonts w:hint="eastAsia" w:ascii="黑体" w:hAnsi="黑体" w:eastAsia="黑体" w:cs="黑体"/>
          <w:color w:val="auto"/>
          <w:sz w:val="24"/>
          <w:highlight w:val="none"/>
        </w:rPr>
      </w:pPr>
    </w:p>
    <w:p w14:paraId="042A39AC">
      <w:pPr>
        <w:shd w:val="clear" w:color="auto" w:fill="auto"/>
        <w:spacing w:line="440" w:lineRule="exact"/>
        <w:rPr>
          <w:rFonts w:hint="eastAsia" w:ascii="黑体" w:hAnsi="黑体" w:eastAsia="黑体" w:cs="黑体"/>
          <w:color w:val="auto"/>
          <w:sz w:val="24"/>
          <w:highlight w:val="none"/>
        </w:rPr>
      </w:pPr>
    </w:p>
    <w:p w14:paraId="46BECF0A">
      <w:pPr>
        <w:shd w:val="clear" w:color="auto" w:fill="auto"/>
        <w:wordWrap w:val="0"/>
        <w:spacing w:line="440" w:lineRule="exact"/>
        <w:jc w:val="right"/>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rPr>
        <w:t>评标委员会授权的招标人或招标代理机构：</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（签字或盖单位章）</w:t>
      </w:r>
    </w:p>
    <w:p w14:paraId="4AF2A612">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p>
    <w:p w14:paraId="23223A50">
      <w:pPr>
        <w:shd w:val="clear" w:color="auto" w:fill="auto"/>
        <w:spacing w:line="440" w:lineRule="exact"/>
        <w:ind w:right="480"/>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p>
    <w:p w14:paraId="7636A4BB">
      <w:pPr>
        <w:pStyle w:val="2"/>
        <w:shd w:val="clear" w:color="auto" w:fill="auto"/>
        <w:spacing w:before="0" w:after="0" w:line="240" w:lineRule="atLeast"/>
        <w:jc w:val="both"/>
        <w:rPr>
          <w:rFonts w:hint="eastAsia" w:ascii="黑体" w:hAnsi="黑体" w:eastAsia="黑体" w:cs="黑体"/>
          <w:b w:val="0"/>
          <w:color w:val="auto"/>
          <w:sz w:val="24"/>
          <w:szCs w:val="24"/>
          <w:highlight w:val="none"/>
        </w:rPr>
      </w:pPr>
      <w:r>
        <w:rPr>
          <w:rFonts w:hint="eastAsia" w:ascii="黑体" w:hAnsi="黑体" w:eastAsia="黑体" w:cs="黑体"/>
          <w:color w:val="auto"/>
          <w:sz w:val="24"/>
          <w:highlight w:val="none"/>
        </w:rPr>
        <w:br w:type="page"/>
      </w:r>
      <w:bookmarkStart w:id="239" w:name="_Toc234832927"/>
      <w:bookmarkStart w:id="240" w:name="_Toc501257121"/>
      <w:bookmarkStart w:id="241" w:name="_Toc14294"/>
      <w:r>
        <w:rPr>
          <w:rFonts w:hint="eastAsia" w:ascii="黑体" w:hAnsi="黑体" w:eastAsia="黑体" w:cs="黑体"/>
          <w:b/>
          <w:bCs w:val="0"/>
          <w:color w:val="auto"/>
          <w:sz w:val="28"/>
          <w:szCs w:val="28"/>
          <w:highlight w:val="none"/>
        </w:rPr>
        <w:t>附</w:t>
      </w:r>
      <w:r>
        <w:rPr>
          <w:rFonts w:hint="eastAsia" w:ascii="黑体" w:hAnsi="黑体" w:eastAsia="黑体" w:cs="黑体"/>
          <w:b/>
          <w:bCs w:val="0"/>
          <w:color w:val="auto"/>
          <w:sz w:val="28"/>
          <w:szCs w:val="28"/>
          <w:highlight w:val="none"/>
          <w:lang w:eastAsia="zh-CN"/>
        </w:rPr>
        <w:t>件</w:t>
      </w:r>
      <w:r>
        <w:rPr>
          <w:rFonts w:hint="eastAsia" w:ascii="黑体" w:hAnsi="黑体" w:eastAsia="黑体" w:cs="黑体"/>
          <w:b/>
          <w:bCs w:val="0"/>
          <w:color w:val="auto"/>
          <w:sz w:val="28"/>
          <w:szCs w:val="28"/>
          <w:highlight w:val="none"/>
        </w:rPr>
        <w:t>三</w:t>
      </w:r>
      <w:r>
        <w:rPr>
          <w:rFonts w:hint="eastAsia" w:ascii="黑体" w:hAnsi="黑体" w:eastAsia="黑体" w:cs="黑体"/>
          <w:b/>
          <w:bCs w:val="0"/>
          <w:color w:val="auto"/>
          <w:sz w:val="28"/>
          <w:szCs w:val="28"/>
          <w:highlight w:val="none"/>
          <w:lang w:eastAsia="zh-CN"/>
        </w:rPr>
        <w:t xml:space="preserve"> </w:t>
      </w:r>
      <w:r>
        <w:rPr>
          <w:rFonts w:hint="eastAsia" w:ascii="黑体" w:hAnsi="黑体" w:eastAsia="黑体" w:cs="黑体"/>
          <w:b/>
          <w:bCs w:val="0"/>
          <w:color w:val="auto"/>
          <w:sz w:val="28"/>
          <w:szCs w:val="28"/>
          <w:highlight w:val="none"/>
        </w:rPr>
        <w:t>问题的澄清</w:t>
      </w:r>
      <w:bookmarkEnd w:id="239"/>
      <w:bookmarkEnd w:id="240"/>
      <w:bookmarkEnd w:id="241"/>
    </w:p>
    <w:p w14:paraId="4E40971B">
      <w:pPr>
        <w:shd w:val="clear" w:color="auto" w:fill="auto"/>
        <w:spacing w:line="440" w:lineRule="exact"/>
        <w:jc w:val="center"/>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问题的澄清</w:t>
      </w:r>
    </w:p>
    <w:p w14:paraId="0E3503CA">
      <w:pPr>
        <w:shd w:val="clear" w:color="auto" w:fill="auto"/>
        <w:spacing w:line="440" w:lineRule="exact"/>
        <w:jc w:val="center"/>
        <w:rPr>
          <w:rFonts w:hint="eastAsia" w:ascii="黑体" w:hAnsi="黑体" w:eastAsia="黑体" w:cs="黑体"/>
          <w:color w:val="auto"/>
          <w:sz w:val="24"/>
          <w:highlight w:val="none"/>
        </w:rPr>
      </w:pPr>
      <w:r>
        <w:rPr>
          <w:rFonts w:hint="eastAsia" w:ascii="黑体" w:hAnsi="黑体" w:eastAsia="黑体" w:cs="黑体"/>
          <w:color w:val="auto"/>
          <w:highlight w:val="none"/>
        </w:rPr>
        <w:t>（编号：</w:t>
      </w:r>
      <w:r>
        <w:rPr>
          <w:rFonts w:hint="eastAsia" w:ascii="黑体" w:hAnsi="黑体" w:eastAsia="黑体" w:cs="黑体"/>
          <w:color w:val="auto"/>
          <w:sz w:val="28"/>
          <w:highlight w:val="none"/>
          <w:u w:val="single"/>
        </w:rPr>
        <w:t xml:space="preserve">           </w:t>
      </w:r>
      <w:r>
        <w:rPr>
          <w:rFonts w:hint="eastAsia" w:ascii="黑体" w:hAnsi="黑体" w:eastAsia="黑体" w:cs="黑体"/>
          <w:color w:val="auto"/>
          <w:highlight w:val="none"/>
        </w:rPr>
        <w:t>）</w:t>
      </w:r>
    </w:p>
    <w:p w14:paraId="4991361E">
      <w:pPr>
        <w:shd w:val="clear" w:color="auto" w:fill="auto"/>
        <w:spacing w:line="440" w:lineRule="exact"/>
        <w:rPr>
          <w:rFonts w:hint="eastAsia" w:ascii="黑体" w:hAnsi="黑体" w:eastAsia="黑体" w:cs="黑体"/>
          <w:color w:val="auto"/>
          <w:sz w:val="24"/>
          <w:highlight w:val="none"/>
        </w:rPr>
      </w:pPr>
    </w:p>
    <w:p w14:paraId="229D345E">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标段施工招标评标委员会：</w:t>
      </w:r>
    </w:p>
    <w:p w14:paraId="445426F7">
      <w:pPr>
        <w:shd w:val="clear" w:color="auto" w:fill="auto"/>
        <w:spacing w:line="440" w:lineRule="exact"/>
        <w:rPr>
          <w:rFonts w:hint="eastAsia" w:ascii="黑体" w:hAnsi="黑体" w:eastAsia="黑体" w:cs="黑体"/>
          <w:color w:val="auto"/>
          <w:sz w:val="24"/>
          <w:highlight w:val="none"/>
        </w:rPr>
      </w:pPr>
    </w:p>
    <w:p w14:paraId="1805BBC4">
      <w:pPr>
        <w:shd w:val="clear" w:color="auto" w:fill="auto"/>
        <w:spacing w:line="440" w:lineRule="exact"/>
        <w:rPr>
          <w:rFonts w:hint="eastAsia" w:ascii="黑体" w:hAnsi="黑体" w:eastAsia="黑体" w:cs="黑体"/>
          <w:color w:val="auto"/>
          <w:sz w:val="24"/>
          <w:highlight w:val="none"/>
        </w:rPr>
      </w:pPr>
    </w:p>
    <w:p w14:paraId="5DC479F4">
      <w:pPr>
        <w:shd w:val="clear" w:color="auto" w:fill="auto"/>
        <w:spacing w:line="440" w:lineRule="exac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问题澄清通知（编号：</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）已收悉，现澄清、说明如下：</w:t>
      </w:r>
    </w:p>
    <w:p w14:paraId="0E30294A">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1.</w:t>
      </w:r>
    </w:p>
    <w:p w14:paraId="0A2F4E15">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2.</w:t>
      </w:r>
    </w:p>
    <w:p w14:paraId="74BA943D">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p>
    <w:p w14:paraId="43F5B349">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w:t>
      </w:r>
    </w:p>
    <w:p w14:paraId="293A25C6">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p>
    <w:p w14:paraId="4B29739E">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p>
    <w:p w14:paraId="4F44D1C5">
      <w:pPr>
        <w:shd w:val="clear" w:color="auto" w:fill="auto"/>
        <w:spacing w:line="440" w:lineRule="exact"/>
        <w:rPr>
          <w:rFonts w:hint="eastAsia" w:ascii="黑体" w:hAnsi="黑体" w:eastAsia="黑体" w:cs="黑体"/>
          <w:color w:val="auto"/>
          <w:sz w:val="24"/>
          <w:highlight w:val="none"/>
        </w:rPr>
      </w:pPr>
    </w:p>
    <w:p w14:paraId="1B2C6B54">
      <w:pPr>
        <w:shd w:val="clear" w:color="auto" w:fill="auto"/>
        <w:spacing w:line="440" w:lineRule="exac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上述问题澄清或说明，不改变我方投标文件的实质性内容，构成我方投标文件的组成部分。</w:t>
      </w:r>
    </w:p>
    <w:p w14:paraId="1F0B91E5">
      <w:pPr>
        <w:shd w:val="clear" w:color="auto" w:fill="auto"/>
        <w:spacing w:line="440" w:lineRule="exact"/>
        <w:rPr>
          <w:rFonts w:hint="eastAsia" w:ascii="黑体" w:hAnsi="黑体" w:eastAsia="黑体" w:cs="黑体"/>
          <w:color w:val="auto"/>
          <w:sz w:val="24"/>
          <w:highlight w:val="none"/>
        </w:rPr>
      </w:pPr>
    </w:p>
    <w:p w14:paraId="279E43A2">
      <w:pPr>
        <w:shd w:val="clear" w:color="auto" w:fill="auto"/>
        <w:spacing w:line="440" w:lineRule="exact"/>
        <w:rPr>
          <w:rFonts w:hint="eastAsia" w:ascii="黑体" w:hAnsi="黑体" w:eastAsia="黑体" w:cs="黑体"/>
          <w:color w:val="auto"/>
          <w:sz w:val="24"/>
          <w:highlight w:val="none"/>
        </w:rPr>
      </w:pPr>
    </w:p>
    <w:p w14:paraId="3BDDAC42">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投标人：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（盖单位章）</w:t>
      </w:r>
      <w:r>
        <w:rPr>
          <w:rFonts w:hint="eastAsia" w:ascii="黑体" w:hAnsi="黑体" w:eastAsia="黑体" w:cs="黑体"/>
          <w:color w:val="auto"/>
          <w:sz w:val="24"/>
          <w:highlight w:val="none"/>
          <w:vertAlign w:val="superscript"/>
        </w:rPr>
        <w:footnoteReference w:id="4"/>
      </w:r>
    </w:p>
    <w:p w14:paraId="25A5B3BD">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法定代表人或其委托代理人：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（签字）</w:t>
      </w:r>
    </w:p>
    <w:p w14:paraId="60D85444">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w:t>
      </w:r>
    </w:p>
    <w:p w14:paraId="01E069CD">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p>
    <w:p w14:paraId="45CF76E5">
      <w:pPr>
        <w:pStyle w:val="2"/>
        <w:shd w:val="clear" w:color="auto" w:fill="auto"/>
        <w:spacing w:before="0" w:after="0" w:line="240" w:lineRule="atLeast"/>
        <w:jc w:val="both"/>
        <w:rPr>
          <w:rFonts w:hint="eastAsia" w:ascii="黑体" w:hAnsi="黑体" w:eastAsia="黑体" w:cs="黑体"/>
          <w:b w:val="0"/>
          <w:color w:val="auto"/>
          <w:sz w:val="24"/>
          <w:szCs w:val="24"/>
          <w:highlight w:val="none"/>
        </w:rPr>
      </w:pPr>
      <w:r>
        <w:rPr>
          <w:rFonts w:hint="eastAsia" w:ascii="黑体" w:hAnsi="黑体" w:eastAsia="黑体" w:cs="黑体"/>
          <w:color w:val="auto"/>
          <w:sz w:val="20"/>
          <w:szCs w:val="20"/>
          <w:highlight w:val="none"/>
        </w:rPr>
        <w:br w:type="page"/>
      </w:r>
      <w:bookmarkStart w:id="242" w:name="_Toc234832928"/>
      <w:bookmarkStart w:id="243" w:name="_Toc501257122"/>
      <w:bookmarkStart w:id="244" w:name="_Toc26448"/>
      <w:r>
        <w:rPr>
          <w:rFonts w:hint="eastAsia" w:ascii="黑体" w:hAnsi="黑体" w:eastAsia="黑体" w:cs="黑体"/>
          <w:b/>
          <w:bCs w:val="0"/>
          <w:color w:val="auto"/>
          <w:sz w:val="28"/>
          <w:szCs w:val="28"/>
          <w:highlight w:val="none"/>
        </w:rPr>
        <w:t>附</w:t>
      </w:r>
      <w:r>
        <w:rPr>
          <w:rFonts w:hint="eastAsia" w:ascii="黑体" w:hAnsi="黑体" w:eastAsia="黑体" w:cs="黑体"/>
          <w:b/>
          <w:bCs w:val="0"/>
          <w:color w:val="auto"/>
          <w:sz w:val="28"/>
          <w:szCs w:val="28"/>
          <w:highlight w:val="none"/>
          <w:lang w:eastAsia="zh-CN"/>
        </w:rPr>
        <w:t>件</w:t>
      </w:r>
      <w:r>
        <w:rPr>
          <w:rFonts w:hint="eastAsia" w:ascii="黑体" w:hAnsi="黑体" w:eastAsia="黑体" w:cs="黑体"/>
          <w:b/>
          <w:bCs w:val="0"/>
          <w:color w:val="auto"/>
          <w:sz w:val="28"/>
          <w:szCs w:val="28"/>
          <w:highlight w:val="none"/>
        </w:rPr>
        <w:t>四</w:t>
      </w:r>
      <w:r>
        <w:rPr>
          <w:rFonts w:hint="eastAsia" w:ascii="黑体" w:hAnsi="黑体" w:eastAsia="黑体" w:cs="黑体"/>
          <w:b/>
          <w:bCs w:val="0"/>
          <w:color w:val="auto"/>
          <w:sz w:val="28"/>
          <w:szCs w:val="28"/>
          <w:highlight w:val="none"/>
          <w:lang w:eastAsia="zh-CN"/>
        </w:rPr>
        <w:t xml:space="preserve"> </w:t>
      </w:r>
      <w:r>
        <w:rPr>
          <w:rFonts w:hint="eastAsia" w:ascii="黑体" w:hAnsi="黑体" w:eastAsia="黑体" w:cs="黑体"/>
          <w:b/>
          <w:bCs w:val="0"/>
          <w:color w:val="auto"/>
          <w:sz w:val="28"/>
          <w:szCs w:val="28"/>
          <w:highlight w:val="none"/>
        </w:rPr>
        <w:t>中标通知书</w:t>
      </w:r>
      <w:bookmarkEnd w:id="242"/>
      <w:bookmarkEnd w:id="243"/>
      <w:bookmarkEnd w:id="244"/>
    </w:p>
    <w:p w14:paraId="4E554D50">
      <w:pPr>
        <w:shd w:val="clear" w:color="auto" w:fill="auto"/>
        <w:spacing w:line="440" w:lineRule="exact"/>
        <w:ind w:firstLine="3640" w:firstLineChars="1300"/>
        <w:rPr>
          <w:rFonts w:hint="eastAsia" w:ascii="黑体" w:hAnsi="黑体" w:eastAsia="黑体" w:cs="黑体"/>
          <w:color w:val="auto"/>
          <w:sz w:val="28"/>
          <w:szCs w:val="28"/>
          <w:highlight w:val="none"/>
        </w:rPr>
      </w:pPr>
    </w:p>
    <w:p w14:paraId="0D0829CD">
      <w:pPr>
        <w:shd w:val="clear" w:color="auto" w:fill="auto"/>
        <w:spacing w:line="440" w:lineRule="exact"/>
        <w:ind w:firstLine="3654" w:firstLineChars="1300"/>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中标通知书</w:t>
      </w:r>
      <w:r>
        <w:rPr>
          <w:rFonts w:hint="eastAsia" w:ascii="黑体" w:hAnsi="黑体" w:eastAsia="黑体" w:cs="黑体"/>
          <w:color w:val="auto"/>
          <w:sz w:val="28"/>
          <w:szCs w:val="28"/>
          <w:highlight w:val="none"/>
        </w:rPr>
        <w:t xml:space="preserve"> </w:t>
      </w:r>
    </w:p>
    <w:p w14:paraId="29AD58EB">
      <w:pPr>
        <w:shd w:val="clear" w:color="auto" w:fill="auto"/>
        <w:spacing w:line="440" w:lineRule="exact"/>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t xml:space="preserve">                              </w:t>
      </w:r>
    </w:p>
    <w:p w14:paraId="1BD130D8">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（中标人名称）：</w:t>
      </w:r>
    </w:p>
    <w:p w14:paraId="7C539590">
      <w:pPr>
        <w:shd w:val="clear" w:color="auto" w:fill="auto"/>
        <w:spacing w:line="440" w:lineRule="exact"/>
        <w:rPr>
          <w:rFonts w:hint="eastAsia" w:ascii="黑体" w:hAnsi="黑体" w:eastAsia="黑体" w:cs="黑体"/>
          <w:color w:val="auto"/>
          <w:sz w:val="24"/>
          <w:highlight w:val="none"/>
        </w:rPr>
      </w:pPr>
    </w:p>
    <w:p w14:paraId="26E6BBCA">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你方于</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（投标日期）所递交的</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标段施工投标文件已被我方接受，被确定为中标人。</w:t>
      </w:r>
    </w:p>
    <w:p w14:paraId="3633F665">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中标价：</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元。</w:t>
      </w:r>
    </w:p>
    <w:p w14:paraId="20C528A1">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工期：</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日历天。</w:t>
      </w:r>
    </w:p>
    <w:p w14:paraId="635C81A2">
      <w:pPr>
        <w:shd w:val="clear" w:color="auto" w:fill="auto"/>
        <w:spacing w:line="440" w:lineRule="exact"/>
        <w:ind w:firstLine="480"/>
        <w:rPr>
          <w:rFonts w:hint="eastAsia" w:ascii="黑体" w:hAnsi="黑体" w:eastAsia="黑体" w:cs="黑体"/>
          <w:color w:val="auto"/>
          <w:sz w:val="24"/>
          <w:highlight w:val="none"/>
        </w:rPr>
      </w:pPr>
      <w:r>
        <w:rPr>
          <w:rFonts w:hint="eastAsia" w:ascii="黑体" w:hAnsi="黑体" w:eastAsia="黑体" w:cs="黑体"/>
          <w:color w:val="auto"/>
          <w:sz w:val="24"/>
          <w:highlight w:val="none"/>
        </w:rPr>
        <w:t>工程质量：符合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标准。</w:t>
      </w:r>
    </w:p>
    <w:p w14:paraId="4D53FA2F">
      <w:pPr>
        <w:shd w:val="clear" w:color="auto" w:fill="auto"/>
        <w:spacing w:line="440" w:lineRule="exact"/>
        <w:ind w:firstLine="480"/>
        <w:rPr>
          <w:rFonts w:hint="eastAsia" w:ascii="黑体" w:hAnsi="黑体" w:eastAsia="黑体" w:cs="黑体"/>
          <w:color w:val="auto"/>
          <w:sz w:val="24"/>
          <w:highlight w:val="none"/>
        </w:rPr>
      </w:pPr>
      <w:r>
        <w:rPr>
          <w:rFonts w:hint="eastAsia" w:ascii="黑体" w:hAnsi="黑体" w:eastAsia="黑体" w:cs="黑体"/>
          <w:color w:val="auto"/>
          <w:sz w:val="24"/>
          <w:highlight w:val="none"/>
        </w:rPr>
        <w:t>工程安全目标：</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w:t>
      </w:r>
    </w:p>
    <w:p w14:paraId="2D52DD98">
      <w:pPr>
        <w:shd w:val="clear" w:color="auto" w:fill="auto"/>
        <w:spacing w:line="440" w:lineRule="exact"/>
        <w:ind w:firstLine="508" w:firstLineChars="212"/>
        <w:rPr>
          <w:rFonts w:hint="eastAsia" w:ascii="黑体" w:hAnsi="黑体" w:eastAsia="黑体" w:cs="黑体"/>
          <w:color w:val="auto"/>
          <w:sz w:val="24"/>
          <w:highlight w:val="none"/>
        </w:rPr>
      </w:pPr>
      <w:r>
        <w:rPr>
          <w:rFonts w:hint="eastAsia" w:ascii="黑体" w:hAnsi="黑体" w:eastAsia="黑体" w:cs="黑体"/>
          <w:color w:val="auto"/>
          <w:sz w:val="24"/>
          <w:highlight w:val="none"/>
        </w:rPr>
        <w:t>项目经理：</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（姓名）。</w:t>
      </w:r>
    </w:p>
    <w:p w14:paraId="3D198CF4">
      <w:pPr>
        <w:shd w:val="clear" w:color="auto" w:fill="auto"/>
        <w:spacing w:line="440" w:lineRule="exact"/>
        <w:ind w:firstLine="508" w:firstLineChars="212"/>
        <w:rPr>
          <w:rFonts w:hint="eastAsia" w:ascii="黑体" w:hAnsi="黑体" w:eastAsia="黑体" w:cs="黑体"/>
          <w:color w:val="auto"/>
          <w:sz w:val="24"/>
          <w:highlight w:val="none"/>
        </w:rPr>
      </w:pPr>
      <w:r>
        <w:rPr>
          <w:rFonts w:hint="eastAsia" w:ascii="黑体" w:hAnsi="黑体" w:eastAsia="黑体" w:cs="黑体"/>
          <w:color w:val="auto"/>
          <w:sz w:val="24"/>
          <w:highlight w:val="none"/>
        </w:rPr>
        <w:t>项目总工：</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（姓名）。</w:t>
      </w:r>
    </w:p>
    <w:p w14:paraId="4E132C1D">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请你方在接到本通知书后的</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日内到</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（指定地点）与我方签订施工承包合同，并按招标文件第二章“投标人须知”第7.7款规定向我方提交履约保证金。</w:t>
      </w:r>
    </w:p>
    <w:p w14:paraId="6614AF8B">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特此通知。</w:t>
      </w:r>
    </w:p>
    <w:p w14:paraId="25D6250E">
      <w:pPr>
        <w:shd w:val="clear" w:color="auto" w:fill="auto"/>
        <w:spacing w:line="440" w:lineRule="exact"/>
        <w:rPr>
          <w:rFonts w:hint="eastAsia" w:ascii="黑体" w:hAnsi="黑体" w:eastAsia="黑体" w:cs="黑体"/>
          <w:color w:val="auto"/>
          <w:sz w:val="24"/>
          <w:highlight w:val="none"/>
        </w:rPr>
      </w:pPr>
    </w:p>
    <w:p w14:paraId="58E4885E">
      <w:pPr>
        <w:shd w:val="clear" w:color="auto" w:fill="auto"/>
        <w:spacing w:line="440" w:lineRule="exact"/>
        <w:rPr>
          <w:rFonts w:hint="eastAsia" w:ascii="黑体" w:hAnsi="黑体" w:eastAsia="黑体" w:cs="黑体"/>
          <w:color w:val="auto"/>
          <w:sz w:val="24"/>
          <w:highlight w:val="none"/>
        </w:rPr>
      </w:pPr>
    </w:p>
    <w:p w14:paraId="516DC4CE">
      <w:pPr>
        <w:shd w:val="clear" w:color="auto" w:fill="auto"/>
        <w:spacing w:line="600" w:lineRule="exact"/>
        <w:ind w:firstLine="3700" w:firstLineChars="1542"/>
        <w:rPr>
          <w:rFonts w:hint="eastAsia" w:ascii="黑体" w:hAnsi="黑体" w:eastAsia="黑体" w:cs="黑体"/>
          <w:color w:val="auto"/>
          <w:sz w:val="24"/>
          <w:highlight w:val="none"/>
        </w:rPr>
      </w:pPr>
      <w:r>
        <w:rPr>
          <w:rFonts w:hint="eastAsia" w:ascii="黑体" w:hAnsi="黑体" w:eastAsia="黑体" w:cs="黑体"/>
          <w:color w:val="auto"/>
          <w:sz w:val="24"/>
          <w:highlight w:val="none"/>
        </w:rPr>
        <w:t>招标人：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（盖单位章）            </w:t>
      </w:r>
    </w:p>
    <w:p w14:paraId="40885DE6">
      <w:pPr>
        <w:shd w:val="clear" w:color="auto" w:fill="auto"/>
        <w:spacing w:line="600" w:lineRule="exact"/>
        <w:ind w:firstLine="3700" w:firstLineChars="1542"/>
        <w:rPr>
          <w:rFonts w:hint="eastAsia" w:ascii="黑体" w:hAnsi="黑体" w:eastAsia="黑体" w:cs="黑体"/>
          <w:color w:val="auto"/>
          <w:sz w:val="24"/>
          <w:highlight w:val="none"/>
        </w:rPr>
      </w:pPr>
      <w:r>
        <w:rPr>
          <w:rFonts w:hint="eastAsia" w:ascii="黑体" w:hAnsi="黑体" w:eastAsia="黑体" w:cs="黑体"/>
          <w:color w:val="auto"/>
          <w:sz w:val="24"/>
          <w:highlight w:val="none"/>
        </w:rPr>
        <w:t>招标代理机构：</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（盖单位章）</w:t>
      </w:r>
    </w:p>
    <w:p w14:paraId="77F65136">
      <w:pPr>
        <w:shd w:val="clear" w:color="auto" w:fill="auto"/>
        <w:spacing w:line="600" w:lineRule="exact"/>
        <w:ind w:firstLine="4776" w:firstLineChars="1990"/>
        <w:rPr>
          <w:rFonts w:hint="eastAsia"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p>
    <w:p w14:paraId="795506DF">
      <w:pPr>
        <w:shd w:val="clear" w:color="auto" w:fill="auto"/>
        <w:spacing w:line="440" w:lineRule="exact"/>
        <w:rPr>
          <w:rFonts w:hint="eastAsia" w:ascii="黑体" w:hAnsi="黑体" w:eastAsia="黑体" w:cs="黑体"/>
          <w:color w:val="auto"/>
          <w:sz w:val="24"/>
          <w:highlight w:val="none"/>
        </w:rPr>
      </w:pPr>
    </w:p>
    <w:p w14:paraId="65881824">
      <w:pPr>
        <w:shd w:val="clear" w:color="auto" w:fill="auto"/>
        <w:spacing w:line="440" w:lineRule="exact"/>
        <w:rPr>
          <w:rFonts w:hint="eastAsia" w:ascii="黑体" w:hAnsi="黑体" w:eastAsia="黑体" w:cs="黑体"/>
          <w:color w:val="auto"/>
          <w:sz w:val="20"/>
          <w:szCs w:val="20"/>
          <w:highlight w:val="none"/>
        </w:rPr>
      </w:pPr>
    </w:p>
    <w:p w14:paraId="3923D69E">
      <w:pPr>
        <w:shd w:val="clear" w:color="auto" w:fill="auto"/>
        <w:spacing w:line="440" w:lineRule="exact"/>
        <w:rPr>
          <w:rFonts w:hint="eastAsia" w:ascii="黑体" w:hAnsi="黑体" w:eastAsia="黑体" w:cs="黑体"/>
          <w:color w:val="auto"/>
          <w:sz w:val="20"/>
          <w:szCs w:val="20"/>
          <w:highlight w:val="none"/>
        </w:rPr>
      </w:pPr>
    </w:p>
    <w:p w14:paraId="355C35F0">
      <w:pPr>
        <w:shd w:val="clear" w:color="auto" w:fill="auto"/>
        <w:spacing w:line="440" w:lineRule="exact"/>
        <w:rPr>
          <w:rFonts w:hint="eastAsia" w:ascii="黑体" w:hAnsi="黑体" w:eastAsia="黑体" w:cs="黑体"/>
          <w:color w:val="auto"/>
          <w:sz w:val="20"/>
          <w:szCs w:val="20"/>
          <w:highlight w:val="none"/>
        </w:rPr>
      </w:pPr>
    </w:p>
    <w:p w14:paraId="7A381E93">
      <w:pPr>
        <w:shd w:val="clear" w:color="auto" w:fill="auto"/>
        <w:spacing w:line="440" w:lineRule="exact"/>
        <w:rPr>
          <w:rFonts w:hint="eastAsia" w:ascii="黑体" w:hAnsi="黑体" w:eastAsia="黑体" w:cs="黑体"/>
          <w:color w:val="auto"/>
          <w:sz w:val="20"/>
          <w:szCs w:val="20"/>
          <w:highlight w:val="none"/>
        </w:rPr>
      </w:pPr>
    </w:p>
    <w:p w14:paraId="7CC977AF">
      <w:pPr>
        <w:shd w:val="clear" w:color="auto" w:fill="auto"/>
        <w:spacing w:line="440" w:lineRule="exact"/>
        <w:rPr>
          <w:rFonts w:hint="eastAsia" w:ascii="黑体" w:hAnsi="黑体" w:eastAsia="黑体" w:cs="黑体"/>
          <w:color w:val="auto"/>
          <w:sz w:val="20"/>
          <w:szCs w:val="20"/>
          <w:highlight w:val="none"/>
        </w:rPr>
      </w:pPr>
    </w:p>
    <w:p w14:paraId="3FD573CA">
      <w:pPr>
        <w:shd w:val="clear" w:color="auto" w:fill="auto"/>
        <w:spacing w:line="440" w:lineRule="exact"/>
        <w:rPr>
          <w:rFonts w:hint="eastAsia" w:ascii="黑体" w:hAnsi="黑体" w:eastAsia="黑体" w:cs="黑体"/>
          <w:color w:val="auto"/>
          <w:sz w:val="20"/>
          <w:szCs w:val="20"/>
          <w:highlight w:val="none"/>
        </w:rPr>
      </w:pPr>
    </w:p>
    <w:p w14:paraId="3F9BED0B">
      <w:pPr>
        <w:pStyle w:val="2"/>
        <w:shd w:val="clear" w:color="auto" w:fill="auto"/>
        <w:spacing w:before="0" w:after="0" w:line="240" w:lineRule="atLeast"/>
        <w:jc w:val="both"/>
        <w:rPr>
          <w:rFonts w:hint="eastAsia" w:ascii="黑体" w:hAnsi="黑体" w:eastAsia="黑体" w:cs="黑体"/>
          <w:b/>
          <w:bCs w:val="0"/>
          <w:color w:val="auto"/>
          <w:sz w:val="24"/>
          <w:szCs w:val="24"/>
          <w:highlight w:val="none"/>
        </w:rPr>
      </w:pPr>
      <w:bookmarkStart w:id="245" w:name="_Toc501257123"/>
      <w:bookmarkStart w:id="246" w:name="_Toc13150"/>
      <w:bookmarkStart w:id="247" w:name="_Toc234832929"/>
      <w:r>
        <w:rPr>
          <w:rFonts w:hint="eastAsia" w:ascii="黑体" w:hAnsi="黑体" w:eastAsia="黑体" w:cs="黑体"/>
          <w:b/>
          <w:bCs w:val="0"/>
          <w:color w:val="auto"/>
          <w:sz w:val="28"/>
          <w:szCs w:val="28"/>
          <w:highlight w:val="none"/>
        </w:rPr>
        <w:t>附</w:t>
      </w:r>
      <w:r>
        <w:rPr>
          <w:rFonts w:hint="eastAsia" w:ascii="黑体" w:hAnsi="黑体" w:eastAsia="黑体" w:cs="黑体"/>
          <w:b/>
          <w:bCs w:val="0"/>
          <w:color w:val="auto"/>
          <w:sz w:val="28"/>
          <w:szCs w:val="28"/>
          <w:highlight w:val="none"/>
          <w:lang w:eastAsia="zh-CN"/>
        </w:rPr>
        <w:t>件</w:t>
      </w:r>
      <w:r>
        <w:rPr>
          <w:rFonts w:hint="eastAsia" w:ascii="黑体" w:hAnsi="黑体" w:eastAsia="黑体" w:cs="黑体"/>
          <w:b/>
          <w:bCs w:val="0"/>
          <w:color w:val="auto"/>
          <w:sz w:val="28"/>
          <w:szCs w:val="28"/>
          <w:highlight w:val="none"/>
        </w:rPr>
        <w:t>五</w:t>
      </w:r>
      <w:r>
        <w:rPr>
          <w:rFonts w:hint="eastAsia" w:ascii="黑体" w:hAnsi="黑体" w:eastAsia="黑体" w:cs="黑体"/>
          <w:b/>
          <w:bCs w:val="0"/>
          <w:color w:val="auto"/>
          <w:sz w:val="28"/>
          <w:szCs w:val="28"/>
          <w:highlight w:val="none"/>
          <w:lang w:eastAsia="zh-CN"/>
        </w:rPr>
        <w:t xml:space="preserve"> </w:t>
      </w:r>
      <w:r>
        <w:rPr>
          <w:rFonts w:hint="eastAsia" w:ascii="黑体" w:hAnsi="黑体" w:eastAsia="黑体" w:cs="黑体"/>
          <w:b/>
          <w:bCs w:val="0"/>
          <w:color w:val="auto"/>
          <w:sz w:val="28"/>
          <w:szCs w:val="28"/>
          <w:highlight w:val="none"/>
        </w:rPr>
        <w:t>中标结果通知书</w:t>
      </w:r>
      <w:bookmarkEnd w:id="245"/>
      <w:bookmarkEnd w:id="246"/>
      <w:bookmarkEnd w:id="247"/>
    </w:p>
    <w:p w14:paraId="5224986C">
      <w:pPr>
        <w:shd w:val="clear" w:color="auto" w:fill="auto"/>
        <w:spacing w:line="440" w:lineRule="exact"/>
        <w:jc w:val="center"/>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中标结果通知书</w:t>
      </w:r>
    </w:p>
    <w:p w14:paraId="0790E3B5">
      <w:pPr>
        <w:shd w:val="clear" w:color="auto" w:fill="auto"/>
        <w:spacing w:line="440" w:lineRule="exact"/>
        <w:rPr>
          <w:rFonts w:hint="eastAsia" w:ascii="黑体" w:hAnsi="黑体" w:eastAsia="黑体" w:cs="黑体"/>
          <w:color w:val="auto"/>
          <w:sz w:val="20"/>
          <w:szCs w:val="20"/>
          <w:highlight w:val="none"/>
        </w:rPr>
      </w:pPr>
    </w:p>
    <w:p w14:paraId="6B398824">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（未中标人名称）：</w:t>
      </w:r>
    </w:p>
    <w:p w14:paraId="06C850D6">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p>
    <w:p w14:paraId="2B4C7E85">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我方已接受</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 （中标人名称）于</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（投标日期）所递交的</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标段施工投标文件，确定</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 （中标人名称）为中标人。</w:t>
      </w:r>
    </w:p>
    <w:p w14:paraId="15A96D89">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w:t>
      </w:r>
    </w:p>
    <w:p w14:paraId="25A83AEC">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感谢你单位对招标项目的参与！</w:t>
      </w:r>
    </w:p>
    <w:p w14:paraId="3E3BDEA3">
      <w:pPr>
        <w:shd w:val="clear" w:color="auto" w:fill="auto"/>
        <w:spacing w:line="440" w:lineRule="exact"/>
        <w:rPr>
          <w:rFonts w:hint="eastAsia" w:ascii="黑体" w:hAnsi="黑体" w:eastAsia="黑体" w:cs="黑体"/>
          <w:color w:val="auto"/>
          <w:sz w:val="24"/>
          <w:highlight w:val="none"/>
        </w:rPr>
      </w:pPr>
    </w:p>
    <w:p w14:paraId="4469FFFA">
      <w:pPr>
        <w:shd w:val="clear" w:color="auto" w:fill="auto"/>
        <w:spacing w:line="440" w:lineRule="exact"/>
        <w:rPr>
          <w:rFonts w:hint="eastAsia" w:ascii="黑体" w:hAnsi="黑体" w:eastAsia="黑体" w:cs="黑体"/>
          <w:color w:val="auto"/>
          <w:sz w:val="24"/>
          <w:highlight w:val="none"/>
        </w:rPr>
      </w:pPr>
    </w:p>
    <w:p w14:paraId="45FE2D6C">
      <w:pPr>
        <w:shd w:val="clear" w:color="auto" w:fill="auto"/>
        <w:spacing w:line="440" w:lineRule="exact"/>
        <w:rPr>
          <w:rFonts w:hint="eastAsia" w:ascii="黑体" w:hAnsi="黑体" w:eastAsia="黑体" w:cs="黑体"/>
          <w:color w:val="auto"/>
          <w:sz w:val="24"/>
          <w:highlight w:val="none"/>
        </w:rPr>
      </w:pPr>
    </w:p>
    <w:p w14:paraId="6C15A651">
      <w:pPr>
        <w:shd w:val="clear" w:color="auto" w:fill="auto"/>
        <w:spacing w:line="600" w:lineRule="atLeast"/>
        <w:ind w:firstLine="3700" w:firstLineChars="1542"/>
        <w:rPr>
          <w:rFonts w:hint="eastAsia" w:ascii="黑体" w:hAnsi="黑体" w:eastAsia="黑体" w:cs="黑体"/>
          <w:color w:val="auto"/>
          <w:sz w:val="24"/>
          <w:highlight w:val="none"/>
        </w:rPr>
      </w:pPr>
      <w:r>
        <w:rPr>
          <w:rFonts w:hint="eastAsia" w:ascii="黑体" w:hAnsi="黑体" w:eastAsia="黑体" w:cs="黑体"/>
          <w:color w:val="auto"/>
          <w:sz w:val="24"/>
          <w:highlight w:val="none"/>
        </w:rPr>
        <w:t>招标人：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（盖单位章）            </w:t>
      </w:r>
    </w:p>
    <w:p w14:paraId="59839584">
      <w:pPr>
        <w:shd w:val="clear" w:color="auto" w:fill="auto"/>
        <w:spacing w:line="600" w:lineRule="atLeast"/>
        <w:ind w:firstLine="3700" w:firstLineChars="1542"/>
        <w:rPr>
          <w:rFonts w:hint="eastAsia" w:ascii="黑体" w:hAnsi="黑体" w:eastAsia="黑体" w:cs="黑体"/>
          <w:color w:val="auto"/>
          <w:sz w:val="24"/>
          <w:highlight w:val="none"/>
        </w:rPr>
      </w:pPr>
      <w:r>
        <w:rPr>
          <w:rFonts w:hint="eastAsia" w:ascii="黑体" w:hAnsi="黑体" w:eastAsia="黑体" w:cs="黑体"/>
          <w:color w:val="auto"/>
          <w:sz w:val="24"/>
          <w:highlight w:val="none"/>
        </w:rPr>
        <w:t>招标代理机构：</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（盖单位章）</w:t>
      </w:r>
    </w:p>
    <w:p w14:paraId="2D07B523">
      <w:pPr>
        <w:shd w:val="clear" w:color="auto" w:fill="auto"/>
        <w:spacing w:line="600" w:lineRule="atLeast"/>
        <w:ind w:firstLine="5040" w:firstLineChars="2100"/>
        <w:rPr>
          <w:rFonts w:hint="eastAsia"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p>
    <w:p w14:paraId="07F67E0D">
      <w:pPr>
        <w:shd w:val="clear" w:color="auto" w:fill="auto"/>
        <w:spacing w:line="600" w:lineRule="atLeast"/>
        <w:rPr>
          <w:rFonts w:hint="eastAsia" w:ascii="黑体" w:hAnsi="黑体" w:eastAsia="黑体" w:cs="黑体"/>
          <w:color w:val="auto"/>
          <w:sz w:val="24"/>
          <w:highlight w:val="none"/>
        </w:rPr>
      </w:pPr>
    </w:p>
    <w:p w14:paraId="4290F605">
      <w:pPr>
        <w:shd w:val="clear" w:color="auto" w:fill="auto"/>
        <w:spacing w:line="440" w:lineRule="exact"/>
        <w:rPr>
          <w:rFonts w:hint="eastAsia" w:ascii="黑体" w:hAnsi="黑体" w:eastAsia="黑体" w:cs="黑体"/>
          <w:color w:val="auto"/>
          <w:sz w:val="24"/>
          <w:highlight w:val="none"/>
        </w:rPr>
      </w:pPr>
    </w:p>
    <w:p w14:paraId="479710F1">
      <w:pPr>
        <w:shd w:val="clear" w:color="auto" w:fill="auto"/>
        <w:spacing w:line="440" w:lineRule="exact"/>
        <w:rPr>
          <w:rFonts w:hint="eastAsia" w:ascii="黑体" w:hAnsi="黑体" w:eastAsia="黑体" w:cs="黑体"/>
          <w:color w:val="auto"/>
          <w:sz w:val="24"/>
          <w:highlight w:val="none"/>
        </w:rPr>
      </w:pPr>
    </w:p>
    <w:p w14:paraId="216CD53D">
      <w:pPr>
        <w:shd w:val="clear" w:color="auto" w:fill="auto"/>
        <w:spacing w:line="440" w:lineRule="exact"/>
        <w:rPr>
          <w:rFonts w:hint="eastAsia" w:ascii="黑体" w:hAnsi="黑体" w:eastAsia="黑体" w:cs="黑体"/>
          <w:color w:val="auto"/>
          <w:sz w:val="24"/>
          <w:highlight w:val="none"/>
        </w:rPr>
      </w:pPr>
    </w:p>
    <w:p w14:paraId="3EE978B2">
      <w:pPr>
        <w:shd w:val="clear" w:color="auto" w:fill="auto"/>
        <w:spacing w:line="440" w:lineRule="exact"/>
        <w:rPr>
          <w:rFonts w:hint="eastAsia" w:ascii="黑体" w:hAnsi="黑体" w:eastAsia="黑体" w:cs="黑体"/>
          <w:color w:val="auto"/>
          <w:sz w:val="20"/>
          <w:szCs w:val="20"/>
          <w:highlight w:val="none"/>
        </w:rPr>
      </w:pPr>
    </w:p>
    <w:p w14:paraId="6EAA7200">
      <w:pPr>
        <w:shd w:val="clear" w:color="auto" w:fill="auto"/>
        <w:spacing w:line="440" w:lineRule="exact"/>
        <w:rPr>
          <w:rFonts w:hint="eastAsia" w:ascii="黑体" w:hAnsi="黑体" w:eastAsia="黑体" w:cs="黑体"/>
          <w:color w:val="auto"/>
          <w:sz w:val="20"/>
          <w:szCs w:val="20"/>
          <w:highlight w:val="none"/>
        </w:rPr>
      </w:pPr>
    </w:p>
    <w:p w14:paraId="4819B455">
      <w:pPr>
        <w:shd w:val="clear" w:color="auto" w:fill="auto"/>
        <w:spacing w:line="440" w:lineRule="exact"/>
        <w:rPr>
          <w:rFonts w:hint="eastAsia" w:ascii="黑体" w:hAnsi="黑体" w:eastAsia="黑体" w:cs="黑体"/>
          <w:color w:val="auto"/>
          <w:sz w:val="20"/>
          <w:szCs w:val="20"/>
          <w:highlight w:val="none"/>
        </w:rPr>
      </w:pPr>
    </w:p>
    <w:p w14:paraId="44B87B63">
      <w:pPr>
        <w:shd w:val="clear" w:color="auto" w:fill="auto"/>
        <w:spacing w:line="440" w:lineRule="exact"/>
        <w:rPr>
          <w:rFonts w:hint="eastAsia" w:ascii="黑体" w:hAnsi="黑体" w:eastAsia="黑体" w:cs="黑体"/>
          <w:color w:val="auto"/>
          <w:sz w:val="20"/>
          <w:szCs w:val="20"/>
          <w:highlight w:val="none"/>
        </w:rPr>
      </w:pPr>
    </w:p>
    <w:p w14:paraId="226ED90D">
      <w:pPr>
        <w:shd w:val="clear" w:color="auto" w:fill="auto"/>
        <w:spacing w:line="440" w:lineRule="exact"/>
        <w:rPr>
          <w:rFonts w:hint="eastAsia" w:ascii="黑体" w:hAnsi="黑体" w:eastAsia="黑体" w:cs="黑体"/>
          <w:color w:val="auto"/>
          <w:sz w:val="20"/>
          <w:szCs w:val="20"/>
          <w:highlight w:val="none"/>
        </w:rPr>
      </w:pPr>
    </w:p>
    <w:p w14:paraId="73638E19">
      <w:pPr>
        <w:shd w:val="clear" w:color="auto" w:fill="auto"/>
        <w:spacing w:line="440" w:lineRule="exact"/>
        <w:rPr>
          <w:rFonts w:hint="eastAsia" w:ascii="黑体" w:hAnsi="黑体" w:eastAsia="黑体" w:cs="黑体"/>
          <w:color w:val="auto"/>
          <w:sz w:val="20"/>
          <w:szCs w:val="20"/>
          <w:highlight w:val="none"/>
        </w:rPr>
      </w:pPr>
    </w:p>
    <w:p w14:paraId="02A22A12">
      <w:pPr>
        <w:shd w:val="clear" w:color="auto" w:fill="auto"/>
        <w:spacing w:line="440" w:lineRule="exact"/>
        <w:rPr>
          <w:rFonts w:hint="eastAsia" w:ascii="黑体" w:hAnsi="黑体" w:eastAsia="黑体" w:cs="黑体"/>
          <w:color w:val="auto"/>
          <w:sz w:val="20"/>
          <w:szCs w:val="20"/>
          <w:highlight w:val="none"/>
        </w:rPr>
      </w:pPr>
    </w:p>
    <w:p w14:paraId="2A4CB028">
      <w:pPr>
        <w:shd w:val="clear" w:color="auto" w:fill="auto"/>
        <w:spacing w:line="440" w:lineRule="exact"/>
        <w:rPr>
          <w:rFonts w:hint="eastAsia" w:ascii="黑体" w:hAnsi="黑体" w:eastAsia="黑体" w:cs="黑体"/>
          <w:color w:val="auto"/>
          <w:sz w:val="20"/>
          <w:szCs w:val="20"/>
          <w:highlight w:val="none"/>
        </w:rPr>
      </w:pPr>
    </w:p>
    <w:p w14:paraId="651D5C43">
      <w:pPr>
        <w:pStyle w:val="2"/>
        <w:shd w:val="clear" w:color="auto" w:fill="auto"/>
        <w:spacing w:before="0" w:after="0" w:line="240" w:lineRule="atLeast"/>
        <w:jc w:val="both"/>
        <w:rPr>
          <w:rFonts w:hint="eastAsia" w:ascii="黑体" w:hAnsi="黑体" w:eastAsia="黑体" w:cs="黑体"/>
          <w:b w:val="0"/>
          <w:color w:val="auto"/>
          <w:sz w:val="24"/>
          <w:szCs w:val="24"/>
          <w:highlight w:val="none"/>
        </w:rPr>
      </w:pPr>
      <w:r>
        <w:rPr>
          <w:rFonts w:hint="eastAsia" w:ascii="黑体" w:hAnsi="黑体" w:eastAsia="黑体" w:cs="黑体"/>
          <w:color w:val="auto"/>
          <w:sz w:val="20"/>
          <w:szCs w:val="20"/>
          <w:highlight w:val="none"/>
        </w:rPr>
        <w:br w:type="page"/>
      </w:r>
      <w:bookmarkStart w:id="248" w:name="_Toc20214"/>
      <w:bookmarkStart w:id="249" w:name="_Toc501257124"/>
      <w:bookmarkStart w:id="250" w:name="_Toc234832930"/>
      <w:r>
        <w:rPr>
          <w:rFonts w:hint="eastAsia" w:ascii="黑体" w:hAnsi="黑体" w:eastAsia="黑体" w:cs="黑体"/>
          <w:b/>
          <w:bCs w:val="0"/>
          <w:color w:val="auto"/>
          <w:sz w:val="28"/>
          <w:szCs w:val="28"/>
          <w:highlight w:val="none"/>
        </w:rPr>
        <w:t>附</w:t>
      </w:r>
      <w:r>
        <w:rPr>
          <w:rFonts w:hint="eastAsia" w:ascii="黑体" w:hAnsi="黑体" w:eastAsia="黑体" w:cs="黑体"/>
          <w:b/>
          <w:bCs w:val="0"/>
          <w:color w:val="auto"/>
          <w:sz w:val="28"/>
          <w:szCs w:val="28"/>
          <w:highlight w:val="none"/>
          <w:lang w:eastAsia="zh-CN"/>
        </w:rPr>
        <w:t>件</w:t>
      </w:r>
      <w:r>
        <w:rPr>
          <w:rFonts w:hint="eastAsia" w:ascii="黑体" w:hAnsi="黑体" w:eastAsia="黑体" w:cs="黑体"/>
          <w:b/>
          <w:bCs w:val="0"/>
          <w:color w:val="auto"/>
          <w:sz w:val="28"/>
          <w:szCs w:val="28"/>
          <w:highlight w:val="none"/>
        </w:rPr>
        <w:t>六</w:t>
      </w:r>
      <w:r>
        <w:rPr>
          <w:rFonts w:hint="eastAsia" w:ascii="黑体" w:hAnsi="黑体" w:eastAsia="黑体" w:cs="黑体"/>
          <w:b/>
          <w:bCs w:val="0"/>
          <w:color w:val="auto"/>
          <w:sz w:val="28"/>
          <w:szCs w:val="28"/>
          <w:highlight w:val="none"/>
          <w:lang w:eastAsia="zh-CN"/>
        </w:rPr>
        <w:t xml:space="preserve"> </w:t>
      </w:r>
      <w:r>
        <w:rPr>
          <w:rFonts w:hint="eastAsia" w:ascii="黑体" w:hAnsi="黑体" w:eastAsia="黑体" w:cs="黑体"/>
          <w:b/>
          <w:bCs w:val="0"/>
          <w:color w:val="auto"/>
          <w:sz w:val="28"/>
          <w:szCs w:val="28"/>
          <w:highlight w:val="none"/>
        </w:rPr>
        <w:t>确认通知</w:t>
      </w:r>
      <w:bookmarkEnd w:id="248"/>
      <w:bookmarkEnd w:id="249"/>
      <w:bookmarkEnd w:id="250"/>
    </w:p>
    <w:p w14:paraId="7A9A91F4">
      <w:pPr>
        <w:shd w:val="clear" w:color="auto" w:fill="auto"/>
        <w:spacing w:line="440" w:lineRule="exact"/>
        <w:jc w:val="center"/>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确 认 通 知</w:t>
      </w:r>
    </w:p>
    <w:p w14:paraId="03CA2D0A">
      <w:pPr>
        <w:shd w:val="clear" w:color="auto" w:fill="auto"/>
        <w:spacing w:line="440" w:lineRule="exact"/>
        <w:rPr>
          <w:rFonts w:hint="eastAsia" w:ascii="黑体" w:hAnsi="黑体" w:eastAsia="黑体" w:cs="黑体"/>
          <w:color w:val="auto"/>
          <w:sz w:val="20"/>
          <w:szCs w:val="20"/>
          <w:highlight w:val="none"/>
        </w:rPr>
      </w:pPr>
    </w:p>
    <w:p w14:paraId="376F2BD8">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（招标人名称）：</w:t>
      </w:r>
    </w:p>
    <w:p w14:paraId="5801F32E">
      <w:pPr>
        <w:shd w:val="clear" w:color="auto" w:fill="auto"/>
        <w:spacing w:line="5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w:t>
      </w:r>
    </w:p>
    <w:p w14:paraId="05B6618E">
      <w:pPr>
        <w:shd w:val="clear" w:color="auto" w:fill="auto"/>
        <w:spacing w:line="5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你方于</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日发出的</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标段施工招标关于招标文件澄清/修改的通知（第</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号补遗书，正文共</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页），我方已于</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日收到。</w:t>
      </w:r>
    </w:p>
    <w:p w14:paraId="12C0EBD4">
      <w:pPr>
        <w:shd w:val="clear" w:color="auto" w:fill="auto"/>
        <w:spacing w:line="5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特此确认。</w:t>
      </w:r>
    </w:p>
    <w:p w14:paraId="33E9773B">
      <w:pPr>
        <w:shd w:val="clear" w:color="auto" w:fill="auto"/>
        <w:spacing w:line="440" w:lineRule="exact"/>
        <w:rPr>
          <w:rFonts w:hint="eastAsia" w:ascii="黑体" w:hAnsi="黑体" w:eastAsia="黑体" w:cs="黑体"/>
          <w:color w:val="auto"/>
          <w:sz w:val="24"/>
          <w:highlight w:val="none"/>
        </w:rPr>
      </w:pPr>
    </w:p>
    <w:p w14:paraId="123424C9">
      <w:pPr>
        <w:shd w:val="clear" w:color="auto" w:fill="auto"/>
        <w:spacing w:line="440" w:lineRule="exact"/>
        <w:rPr>
          <w:rFonts w:hint="eastAsia" w:ascii="黑体" w:hAnsi="黑体" w:eastAsia="黑体" w:cs="黑体"/>
          <w:color w:val="auto"/>
          <w:sz w:val="24"/>
          <w:highlight w:val="none"/>
        </w:rPr>
      </w:pPr>
    </w:p>
    <w:p w14:paraId="2115009C">
      <w:pPr>
        <w:shd w:val="clear" w:color="auto" w:fill="auto"/>
        <w:spacing w:line="440" w:lineRule="exact"/>
        <w:rPr>
          <w:rFonts w:hint="eastAsia" w:ascii="黑体" w:hAnsi="黑体" w:eastAsia="黑体" w:cs="黑体"/>
          <w:color w:val="auto"/>
          <w:sz w:val="24"/>
          <w:highlight w:val="none"/>
        </w:rPr>
      </w:pPr>
    </w:p>
    <w:p w14:paraId="33CD23E7">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投标人：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（盖单位章）</w:t>
      </w:r>
    </w:p>
    <w:p w14:paraId="6BC7DDC2">
      <w:pPr>
        <w:shd w:val="clear" w:color="auto" w:fill="auto"/>
        <w:spacing w:line="440" w:lineRule="exact"/>
        <w:rPr>
          <w:rFonts w:hint="eastAsia" w:ascii="黑体" w:hAnsi="黑体" w:eastAsia="黑体" w:cs="黑体"/>
          <w:color w:val="auto"/>
          <w:sz w:val="24"/>
          <w:highlight w:val="none"/>
        </w:rPr>
      </w:pPr>
    </w:p>
    <w:p w14:paraId="1D3BE61B">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p>
    <w:p w14:paraId="70184A20">
      <w:pPr>
        <w:shd w:val="clear" w:color="auto" w:fill="auto"/>
        <w:spacing w:line="440" w:lineRule="exact"/>
        <w:rPr>
          <w:rFonts w:hint="eastAsia" w:ascii="黑体" w:hAnsi="黑体" w:eastAsia="黑体" w:cs="黑体"/>
          <w:color w:val="auto"/>
          <w:sz w:val="20"/>
          <w:szCs w:val="20"/>
          <w:highlight w:val="none"/>
        </w:rPr>
      </w:pPr>
    </w:p>
    <w:p w14:paraId="15A481DD">
      <w:pPr>
        <w:shd w:val="clear" w:color="auto" w:fill="auto"/>
        <w:spacing w:line="440" w:lineRule="exact"/>
        <w:rPr>
          <w:rFonts w:hint="eastAsia" w:ascii="黑体" w:hAnsi="黑体" w:eastAsia="黑体" w:cs="黑体"/>
          <w:color w:val="auto"/>
          <w:sz w:val="20"/>
          <w:szCs w:val="20"/>
          <w:highlight w:val="none"/>
        </w:rPr>
        <w:sectPr>
          <w:footnotePr>
            <w:numFmt w:val="decimalEnclosedCircleChinese"/>
            <w:numRestart w:val="eachPage"/>
          </w:footnotePr>
          <w:pgSz w:w="11907" w:h="16840"/>
          <w:pgMar w:top="1588" w:right="1588" w:bottom="1474" w:left="1644" w:header="851" w:footer="851" w:gutter="0"/>
          <w:pgBorders>
            <w:top w:val="none" w:sz="0" w:space="0"/>
            <w:left w:val="none" w:sz="0" w:space="0"/>
            <w:bottom w:val="none" w:sz="0" w:space="0"/>
            <w:right w:val="none" w:sz="0" w:space="0"/>
          </w:pgBorders>
          <w:pgNumType w:fmt="numberInDash"/>
          <w:cols w:space="720" w:num="1"/>
          <w:docGrid w:linePitch="312" w:charSpace="0"/>
        </w:sectPr>
      </w:pPr>
    </w:p>
    <w:p w14:paraId="2F2A2D35">
      <w:pPr>
        <w:shd w:val="clear" w:color="auto" w:fill="auto"/>
        <w:spacing w:line="440" w:lineRule="exact"/>
        <w:rPr>
          <w:rFonts w:eastAsia="黑体"/>
          <w:color w:val="auto"/>
          <w:sz w:val="20"/>
          <w:szCs w:val="20"/>
          <w:highlight w:val="none"/>
        </w:rPr>
      </w:pPr>
    </w:p>
    <w:p w14:paraId="78C416B5">
      <w:pPr>
        <w:shd w:val="clear" w:color="auto" w:fill="auto"/>
        <w:topLinePunct/>
        <w:spacing w:line="440" w:lineRule="exact"/>
        <w:ind w:right="31" w:rightChars="15"/>
        <w:jc w:val="center"/>
        <w:rPr>
          <w:rFonts w:eastAsia="黑体"/>
          <w:color w:val="auto"/>
          <w:sz w:val="32"/>
          <w:szCs w:val="32"/>
          <w:highlight w:val="none"/>
        </w:rPr>
      </w:pPr>
    </w:p>
    <w:p w14:paraId="0049FFC0">
      <w:pPr>
        <w:shd w:val="clear" w:color="auto" w:fill="auto"/>
        <w:topLinePunct/>
        <w:spacing w:line="440" w:lineRule="exact"/>
        <w:ind w:right="31" w:rightChars="15"/>
        <w:jc w:val="center"/>
        <w:rPr>
          <w:rFonts w:eastAsia="黑体"/>
          <w:color w:val="auto"/>
          <w:sz w:val="32"/>
          <w:szCs w:val="32"/>
          <w:highlight w:val="none"/>
        </w:rPr>
      </w:pPr>
    </w:p>
    <w:p w14:paraId="7D5B5D85">
      <w:pPr>
        <w:shd w:val="clear" w:color="auto" w:fill="auto"/>
        <w:topLinePunct/>
        <w:spacing w:line="440" w:lineRule="exact"/>
        <w:ind w:right="31" w:rightChars="15"/>
        <w:jc w:val="center"/>
        <w:rPr>
          <w:rFonts w:eastAsia="黑体"/>
          <w:color w:val="auto"/>
          <w:sz w:val="32"/>
          <w:szCs w:val="32"/>
          <w:highlight w:val="none"/>
        </w:rPr>
      </w:pPr>
    </w:p>
    <w:p w14:paraId="1910DD01">
      <w:pPr>
        <w:shd w:val="clear" w:color="auto" w:fill="auto"/>
        <w:topLinePunct/>
        <w:spacing w:line="440" w:lineRule="exact"/>
        <w:ind w:right="31" w:rightChars="15"/>
        <w:jc w:val="center"/>
        <w:rPr>
          <w:rFonts w:eastAsia="黑体"/>
          <w:color w:val="auto"/>
          <w:sz w:val="32"/>
          <w:szCs w:val="32"/>
          <w:highlight w:val="none"/>
        </w:rPr>
      </w:pPr>
    </w:p>
    <w:p w14:paraId="7421433B">
      <w:pPr>
        <w:shd w:val="clear" w:color="auto" w:fill="auto"/>
        <w:topLinePunct/>
        <w:spacing w:line="440" w:lineRule="exact"/>
        <w:ind w:right="31" w:rightChars="15"/>
        <w:jc w:val="center"/>
        <w:rPr>
          <w:rFonts w:eastAsia="黑体"/>
          <w:color w:val="auto"/>
          <w:sz w:val="32"/>
          <w:szCs w:val="32"/>
          <w:highlight w:val="none"/>
        </w:rPr>
      </w:pPr>
    </w:p>
    <w:p w14:paraId="1B3A3B35">
      <w:pPr>
        <w:shd w:val="clear" w:color="auto" w:fill="auto"/>
        <w:topLinePunct/>
        <w:spacing w:line="440" w:lineRule="exact"/>
        <w:ind w:right="31" w:rightChars="15"/>
        <w:jc w:val="center"/>
        <w:rPr>
          <w:rFonts w:eastAsia="黑体"/>
          <w:color w:val="auto"/>
          <w:sz w:val="32"/>
          <w:szCs w:val="32"/>
          <w:highlight w:val="none"/>
        </w:rPr>
      </w:pPr>
    </w:p>
    <w:p w14:paraId="0DE8BDED">
      <w:pPr>
        <w:shd w:val="clear" w:color="auto" w:fill="auto"/>
        <w:topLinePunct/>
        <w:spacing w:line="440" w:lineRule="exact"/>
        <w:ind w:right="31" w:rightChars="15"/>
        <w:jc w:val="center"/>
        <w:rPr>
          <w:rFonts w:eastAsia="黑体"/>
          <w:color w:val="auto"/>
          <w:sz w:val="32"/>
          <w:szCs w:val="32"/>
          <w:highlight w:val="none"/>
        </w:rPr>
      </w:pPr>
    </w:p>
    <w:p w14:paraId="5B16AEDD">
      <w:pPr>
        <w:shd w:val="clear" w:color="auto" w:fill="auto"/>
        <w:topLinePunct/>
        <w:spacing w:line="440" w:lineRule="exact"/>
        <w:ind w:right="31" w:rightChars="15"/>
        <w:jc w:val="center"/>
        <w:rPr>
          <w:rFonts w:eastAsia="黑体"/>
          <w:color w:val="auto"/>
          <w:sz w:val="32"/>
          <w:szCs w:val="32"/>
          <w:highlight w:val="none"/>
        </w:rPr>
      </w:pPr>
    </w:p>
    <w:p w14:paraId="16871058">
      <w:pPr>
        <w:shd w:val="clear" w:color="auto" w:fill="auto"/>
        <w:topLinePunct/>
        <w:spacing w:line="440" w:lineRule="exact"/>
        <w:ind w:right="31" w:rightChars="15"/>
        <w:jc w:val="center"/>
        <w:rPr>
          <w:rFonts w:eastAsia="黑体"/>
          <w:color w:val="auto"/>
          <w:sz w:val="32"/>
          <w:szCs w:val="32"/>
          <w:highlight w:val="none"/>
        </w:rPr>
      </w:pPr>
    </w:p>
    <w:p w14:paraId="5C2FC6DE">
      <w:pPr>
        <w:shd w:val="clear" w:color="auto" w:fill="auto"/>
        <w:topLinePunct/>
        <w:spacing w:line="440" w:lineRule="exact"/>
        <w:ind w:right="31" w:rightChars="15"/>
        <w:jc w:val="center"/>
        <w:rPr>
          <w:rFonts w:eastAsia="黑体"/>
          <w:color w:val="auto"/>
          <w:sz w:val="32"/>
          <w:szCs w:val="32"/>
          <w:highlight w:val="none"/>
        </w:rPr>
      </w:pPr>
    </w:p>
    <w:p w14:paraId="2FC78A36">
      <w:pPr>
        <w:pStyle w:val="2"/>
        <w:bidi w:val="0"/>
        <w:rPr>
          <w:rFonts w:eastAsia="黑体"/>
          <w:color w:val="auto"/>
          <w:szCs w:val="36"/>
          <w:highlight w:val="none"/>
        </w:rPr>
        <w:sectPr>
          <w:headerReference r:id="rId14" w:type="default"/>
          <w:footerReference r:id="rId16" w:type="default"/>
          <w:headerReference r:id="rId15" w:type="even"/>
          <w:footerReference r:id="rId17" w:type="even"/>
          <w:footnotePr>
            <w:numFmt w:val="decimalEnclosedCircleChinese"/>
            <w:numRestart w:val="eachPage"/>
          </w:footnotePr>
          <w:pgSz w:w="11907" w:h="16840"/>
          <w:pgMar w:top="1588" w:right="1588" w:bottom="1474" w:left="1644" w:header="851" w:footer="851" w:gutter="0"/>
          <w:pgBorders>
            <w:top w:val="none" w:sz="0" w:space="0"/>
            <w:left w:val="none" w:sz="0" w:space="0"/>
            <w:bottom w:val="none" w:sz="0" w:space="0"/>
            <w:right w:val="none" w:sz="0" w:space="0"/>
          </w:pgBorders>
          <w:pgNumType w:fmt="numberInDash"/>
          <w:cols w:space="720" w:num="1"/>
          <w:docGrid w:linePitch="312" w:charSpace="0"/>
        </w:sectPr>
      </w:pPr>
      <w:bookmarkStart w:id="251" w:name="_Toc3928"/>
      <w:r>
        <w:rPr>
          <w:highlight w:val="none"/>
        </w:rPr>
        <w:t>第三章  评标办法</w:t>
      </w:r>
      <w:bookmarkEnd w:id="251"/>
    </w:p>
    <w:p w14:paraId="29B5D952">
      <w:pPr>
        <w:tabs>
          <w:tab w:val="left" w:pos="8505"/>
        </w:tabs>
        <w:spacing w:line="480" w:lineRule="auto"/>
        <w:jc w:val="center"/>
        <w:rPr>
          <w:rFonts w:hint="eastAsia" w:ascii="黑体" w:hAnsi="黑体" w:eastAsia="黑体" w:cs="黑体"/>
          <w:b/>
          <w:bCs/>
          <w:color w:val="auto"/>
          <w:sz w:val="32"/>
          <w:szCs w:val="32"/>
          <w:highlight w:val="none"/>
        </w:rPr>
      </w:pPr>
      <w:bookmarkStart w:id="252" w:name="_Toc501257142"/>
      <w:bookmarkStart w:id="253" w:name="_Toc234832942"/>
      <w:r>
        <w:rPr>
          <w:rFonts w:hint="eastAsia" w:ascii="黑体" w:hAnsi="黑体" w:eastAsia="黑体" w:cs="黑体"/>
          <w:b/>
          <w:bCs/>
          <w:color w:val="auto"/>
          <w:sz w:val="32"/>
          <w:szCs w:val="32"/>
          <w:highlight w:val="none"/>
        </w:rPr>
        <w:t>第三章  评标办法（技术评分最低标价法）</w:t>
      </w:r>
    </w:p>
    <w:p w14:paraId="26C14D1C">
      <w:pPr>
        <w:pStyle w:val="44"/>
        <w:shd w:val="clear" w:color="auto" w:fill="auto"/>
        <w:spacing w:line="360" w:lineRule="auto"/>
        <w:jc w:val="center"/>
        <w:rPr>
          <w:rFonts w:hint="eastAsia" w:ascii="黑体" w:hAnsi="黑体" w:eastAsia="黑体" w:cs="黑体"/>
          <w:b/>
          <w:color w:val="auto"/>
          <w:sz w:val="24"/>
          <w:szCs w:val="24"/>
          <w:highlight w:val="none"/>
        </w:rPr>
      </w:pPr>
      <w:bookmarkStart w:id="254" w:name="_Toc288047683"/>
      <w:bookmarkStart w:id="255" w:name="_Toc270694979"/>
      <w:r>
        <w:rPr>
          <w:rFonts w:hint="eastAsia" w:ascii="黑体" w:hAnsi="黑体" w:eastAsia="黑体" w:cs="黑体"/>
          <w:color w:val="auto"/>
          <w:kern w:val="2"/>
          <w:sz w:val="24"/>
          <w:szCs w:val="24"/>
          <w:highlight w:val="none"/>
          <w:lang w:val="en-US" w:eastAsia="zh-CN"/>
        </w:rPr>
        <w:t>评标办法前附表</w:t>
      </w:r>
      <w:bookmarkEnd w:id="254"/>
      <w:bookmarkEnd w:id="255"/>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85" w:type="dxa"/>
          <w:bottom w:w="0" w:type="dxa"/>
          <w:right w:w="85" w:type="dxa"/>
        </w:tblCellMar>
      </w:tblPr>
      <w:tblGrid>
        <w:gridCol w:w="638"/>
        <w:gridCol w:w="1170"/>
        <w:gridCol w:w="1756"/>
        <w:gridCol w:w="5669"/>
        <w:gridCol w:w="7"/>
      </w:tblGrid>
      <w:tr w14:paraId="44E887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gridAfter w:val="1"/>
          <w:wAfter w:w="7" w:type="dxa"/>
          <w:trHeight w:val="391" w:hRule="atLeast"/>
          <w:jc w:val="center"/>
        </w:trPr>
        <w:tc>
          <w:tcPr>
            <w:tcW w:w="1808" w:type="dxa"/>
            <w:gridSpan w:val="2"/>
            <w:noWrap w:val="0"/>
            <w:vAlign w:val="center"/>
          </w:tcPr>
          <w:p w14:paraId="3171C254">
            <w:pPr>
              <w:tabs>
                <w:tab w:val="left" w:pos="360"/>
              </w:tabs>
              <w:jc w:val="center"/>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条款号</w:t>
            </w:r>
          </w:p>
        </w:tc>
        <w:tc>
          <w:tcPr>
            <w:tcW w:w="7425" w:type="dxa"/>
            <w:gridSpan w:val="2"/>
            <w:noWrap w:val="0"/>
            <w:vAlign w:val="center"/>
          </w:tcPr>
          <w:p w14:paraId="61597780">
            <w:pPr>
              <w:tabs>
                <w:tab w:val="left" w:pos="360"/>
              </w:tabs>
              <w:jc w:val="center"/>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评审因素与标准</w:t>
            </w:r>
          </w:p>
        </w:tc>
      </w:tr>
      <w:tr w14:paraId="010766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gridAfter w:val="1"/>
          <w:wAfter w:w="7" w:type="dxa"/>
          <w:trHeight w:val="1656" w:hRule="atLeast"/>
          <w:jc w:val="center"/>
        </w:trPr>
        <w:tc>
          <w:tcPr>
            <w:tcW w:w="638" w:type="dxa"/>
            <w:noWrap w:val="0"/>
            <w:vAlign w:val="center"/>
          </w:tcPr>
          <w:p w14:paraId="08D7211B">
            <w:pPr>
              <w:tabs>
                <w:tab w:val="left" w:pos="360"/>
              </w:tabs>
              <w:jc w:val="center"/>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1</w:t>
            </w:r>
          </w:p>
        </w:tc>
        <w:tc>
          <w:tcPr>
            <w:tcW w:w="1170" w:type="dxa"/>
            <w:noWrap w:val="0"/>
            <w:vAlign w:val="center"/>
          </w:tcPr>
          <w:p w14:paraId="5D892C92">
            <w:pPr>
              <w:tabs>
                <w:tab w:val="left" w:pos="360"/>
                <w:tab w:val="center" w:pos="4153"/>
                <w:tab w:val="right" w:pos="8306"/>
              </w:tabs>
              <w:adjustRightInd w:val="0"/>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评标方法</w:t>
            </w:r>
          </w:p>
        </w:tc>
        <w:tc>
          <w:tcPr>
            <w:tcW w:w="7425" w:type="dxa"/>
            <w:gridSpan w:val="2"/>
            <w:noWrap w:val="0"/>
            <w:vAlign w:val="center"/>
          </w:tcPr>
          <w:p w14:paraId="518A4498">
            <w:pPr>
              <w:snapToGrid w:val="0"/>
              <w:spacing w:line="310" w:lineRule="atLeast"/>
              <w:ind w:firstLine="315" w:firstLineChars="150"/>
              <w:rPr>
                <w:rFonts w:hint="eastAsia" w:ascii="黑体" w:hAnsi="黑体" w:eastAsia="黑体" w:cs="黑体"/>
                <w:color w:val="auto"/>
                <w:szCs w:val="21"/>
                <w:highlight w:val="none"/>
              </w:rPr>
            </w:pPr>
            <w:r>
              <w:rPr>
                <w:rFonts w:hint="eastAsia" w:ascii="黑体" w:hAnsi="黑体" w:eastAsia="黑体" w:cs="黑体"/>
                <w:color w:val="auto"/>
                <w:szCs w:val="21"/>
                <w:highlight w:val="none"/>
              </w:rPr>
              <w:t>评标价相等时，评标委员会依次按照以下优先顺序推荐中标候选人或确定中标人：</w:t>
            </w:r>
          </w:p>
          <w:p w14:paraId="520970F8">
            <w:pPr>
              <w:numPr>
                <w:ilvl w:val="0"/>
                <w:numId w:val="4"/>
              </w:numPr>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投标报价低的投标人优先；</w:t>
            </w:r>
          </w:p>
          <w:p w14:paraId="20019BEA">
            <w:pPr>
              <w:numPr>
                <w:ilvl w:val="0"/>
                <w:numId w:val="4"/>
              </w:numPr>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在</w:t>
            </w:r>
            <w:r>
              <w:rPr>
                <w:rFonts w:hint="eastAsia" w:ascii="黑体" w:hAnsi="黑体" w:eastAsia="黑体" w:cs="黑体"/>
                <w:color w:val="auto"/>
                <w:szCs w:val="21"/>
                <w:highlight w:val="none"/>
                <w:lang w:val="en-US" w:eastAsia="zh-CN"/>
              </w:rPr>
              <w:t>2024年度内蒙古自治区公路施工企业信用评价中信用等级较高的投标人优先；</w:t>
            </w:r>
          </w:p>
          <w:p w14:paraId="4E32A4D1">
            <w:pPr>
              <w:numPr>
                <w:ilvl w:val="0"/>
                <w:numId w:val="4"/>
              </w:numPr>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商务和技术得分较高的投标人优先； </w:t>
            </w:r>
          </w:p>
          <w:p w14:paraId="75DB843D">
            <w:pPr>
              <w:numPr>
                <w:ilvl w:val="0"/>
                <w:numId w:val="4"/>
              </w:numPr>
              <w:spacing w:line="36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最终上传文件时间较早的优先。</w:t>
            </w:r>
            <w:r>
              <w:rPr>
                <w:rFonts w:hint="eastAsia" w:ascii="黑体" w:hAnsi="黑体" w:eastAsia="黑体" w:cs="黑体"/>
                <w:color w:val="auto"/>
                <w:szCs w:val="21"/>
                <w:highlight w:val="none"/>
              </w:rPr>
              <w:t xml:space="preserve">                                                                                                                                                                                                                                                                                                                                  </w:t>
            </w:r>
          </w:p>
        </w:tc>
      </w:tr>
      <w:tr w14:paraId="4D1B08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gridAfter w:val="1"/>
          <w:wAfter w:w="7" w:type="dxa"/>
          <w:trHeight w:val="6785" w:hRule="atLeast"/>
          <w:jc w:val="center"/>
        </w:trPr>
        <w:tc>
          <w:tcPr>
            <w:tcW w:w="638" w:type="dxa"/>
            <w:noWrap w:val="0"/>
            <w:vAlign w:val="center"/>
          </w:tcPr>
          <w:p w14:paraId="75095524">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2.1.1</w:t>
            </w:r>
          </w:p>
          <w:p w14:paraId="220817E3">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2.1.3</w:t>
            </w:r>
          </w:p>
        </w:tc>
        <w:tc>
          <w:tcPr>
            <w:tcW w:w="1170" w:type="dxa"/>
            <w:noWrap w:val="0"/>
            <w:vAlign w:val="center"/>
          </w:tcPr>
          <w:p w14:paraId="15566461">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形式评审与响应性评审标准</w:t>
            </w:r>
          </w:p>
        </w:tc>
        <w:tc>
          <w:tcPr>
            <w:tcW w:w="7425" w:type="dxa"/>
            <w:gridSpan w:val="2"/>
            <w:noWrap w:val="0"/>
            <w:vAlign w:val="top"/>
          </w:tcPr>
          <w:p w14:paraId="3000F950">
            <w:pPr>
              <w:tabs>
                <w:tab w:val="left" w:pos="360"/>
              </w:tabs>
              <w:spacing w:line="360" w:lineRule="auto"/>
              <w:ind w:firstLine="211" w:firstLineChars="100"/>
              <w:rPr>
                <w:rFonts w:hint="eastAsia" w:ascii="黑体" w:hAnsi="黑体" w:eastAsia="黑体" w:cs="黑体"/>
                <w:color w:val="auto"/>
                <w:szCs w:val="21"/>
                <w:highlight w:val="none"/>
              </w:rPr>
            </w:pPr>
            <w:r>
              <w:rPr>
                <w:rFonts w:hint="eastAsia" w:ascii="黑体" w:hAnsi="黑体" w:eastAsia="黑体" w:cs="黑体"/>
                <w:b/>
                <w:color w:val="auto"/>
                <w:szCs w:val="21"/>
                <w:highlight w:val="none"/>
              </w:rPr>
              <w:t>第一个信封（商务及技术文件）评审标准：</w:t>
            </w:r>
          </w:p>
          <w:p w14:paraId="13572A15">
            <w:pPr>
              <w:tabs>
                <w:tab w:val="left" w:pos="360"/>
              </w:tabs>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（1）投标文件按照招标文件规定的格式、内容填写，字迹清晰可辨：</w:t>
            </w:r>
          </w:p>
          <w:p w14:paraId="4322C54B">
            <w:pPr>
              <w:tabs>
                <w:tab w:val="left" w:pos="360"/>
              </w:tabs>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a.投标函按招标文件规定填报了项目名称、标段号、</w:t>
            </w:r>
            <w:r>
              <w:rPr>
                <w:rFonts w:hint="eastAsia" w:ascii="黑体" w:hAnsi="黑体" w:eastAsia="黑体" w:cs="黑体"/>
                <w:b/>
                <w:bCs/>
                <w:color w:val="auto"/>
                <w:szCs w:val="21"/>
                <w:highlight w:val="none"/>
                <w:u w:val="single"/>
                <w:lang w:val="en-US" w:eastAsia="zh-CN"/>
              </w:rPr>
              <w:t>变更公告或</w:t>
            </w:r>
            <w:r>
              <w:rPr>
                <w:rFonts w:hint="eastAsia" w:ascii="黑体" w:hAnsi="黑体" w:eastAsia="黑体" w:cs="黑体"/>
                <w:color w:val="auto"/>
                <w:szCs w:val="21"/>
                <w:highlight w:val="none"/>
              </w:rPr>
              <w:t>补遗书编号（如有）、工期、工程质量要求及安全目标；</w:t>
            </w:r>
          </w:p>
          <w:p w14:paraId="6AFC6F7F">
            <w:pPr>
              <w:tabs>
                <w:tab w:val="left" w:pos="360"/>
              </w:tabs>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b. 投标函附录的所有数据均符合招标文件规定；</w:t>
            </w:r>
          </w:p>
          <w:p w14:paraId="4CF26B27">
            <w:pPr>
              <w:tabs>
                <w:tab w:val="left" w:pos="360"/>
              </w:tabs>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c. 投标文件组成齐全完整，内容均按规定填写；</w:t>
            </w:r>
          </w:p>
          <w:p w14:paraId="13745843">
            <w:pPr>
              <w:tabs>
                <w:tab w:val="left" w:pos="360"/>
              </w:tabs>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d. 投标函签署日期在法定代表人身份证明或授权委托书出具日期同日或其之后。</w:t>
            </w:r>
          </w:p>
          <w:p w14:paraId="25B84C9A">
            <w:pPr>
              <w:tabs>
                <w:tab w:val="left" w:pos="360"/>
              </w:tabs>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（2）投标文件上法定代表人或其委托代理人的签字、投标人的单位章盖章齐全，符合招标文件规定。</w:t>
            </w:r>
          </w:p>
          <w:p w14:paraId="791432BA">
            <w:pPr>
              <w:tabs>
                <w:tab w:val="left" w:pos="360"/>
              </w:tabs>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（3）投标人按照招标文件的规定提供了投标保证金：</w:t>
            </w:r>
          </w:p>
          <w:p w14:paraId="1451EDFC">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a.投标保证金金额符合招标文件规定的金额，且投标保证金有效期不少于投标有效期；</w:t>
            </w:r>
          </w:p>
          <w:p w14:paraId="305D462E">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b.若投标保证金采用现金或支票形式提交，投标人应在递交投标文件截止时间前，将投标保证金由投标人的基本账户转入招标人指定账户；</w:t>
            </w:r>
          </w:p>
          <w:p w14:paraId="2DA94B8A">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c</w:t>
            </w:r>
            <w:r>
              <w:rPr>
                <w:rFonts w:hint="eastAsia" w:ascii="黑体" w:hAnsi="黑体" w:eastAsia="黑体" w:cs="黑体"/>
                <w:color w:val="auto"/>
                <w:szCs w:val="21"/>
                <w:highlight w:val="none"/>
              </w:rPr>
              <w:t>.若投标保证金采用</w:t>
            </w:r>
            <w:r>
              <w:rPr>
                <w:rFonts w:hint="eastAsia" w:ascii="黑体" w:hAnsi="黑体" w:eastAsia="黑体" w:cs="黑体"/>
                <w:color w:val="auto"/>
                <w:szCs w:val="21"/>
                <w:highlight w:val="none"/>
                <w:lang w:eastAsia="zh-CN"/>
              </w:rPr>
              <w:t>电子保函</w:t>
            </w:r>
            <w:r>
              <w:rPr>
                <w:rFonts w:hint="eastAsia" w:ascii="黑体" w:hAnsi="黑体" w:eastAsia="黑体" w:cs="黑体"/>
                <w:color w:val="auto"/>
                <w:szCs w:val="21"/>
                <w:highlight w:val="none"/>
              </w:rPr>
              <w:t>形式提交，投标人应在递交投标文件截止时间前，</w:t>
            </w:r>
            <w:r>
              <w:rPr>
                <w:rFonts w:hint="eastAsia" w:ascii="黑体" w:hAnsi="黑体" w:eastAsia="黑体" w:cs="黑体"/>
                <w:color w:val="auto"/>
                <w:szCs w:val="21"/>
                <w:highlight w:val="none"/>
                <w:lang w:eastAsia="zh-CN"/>
              </w:rPr>
              <w:t>按要求在</w:t>
            </w:r>
            <w:r>
              <w:rPr>
                <w:rFonts w:hint="eastAsia" w:ascii="黑体" w:hAnsi="黑体" w:eastAsia="黑体" w:cs="黑体"/>
                <w:color w:val="auto"/>
                <w:szCs w:val="21"/>
                <w:highlight w:val="none"/>
                <w:lang w:val="en-US" w:eastAsia="zh-CN"/>
              </w:rPr>
              <w:t>内蒙古自治区</w:t>
            </w:r>
            <w:r>
              <w:rPr>
                <w:rFonts w:hint="eastAsia" w:ascii="黑体" w:hAnsi="黑体" w:eastAsia="黑体" w:cs="黑体"/>
                <w:color w:val="auto"/>
                <w:szCs w:val="21"/>
                <w:highlight w:val="none"/>
                <w:lang w:eastAsia="zh-CN"/>
              </w:rPr>
              <w:t>公共资源交易中心</w:t>
            </w:r>
            <w:r>
              <w:rPr>
                <w:rFonts w:hint="eastAsia" w:ascii="黑体" w:hAnsi="黑体" w:eastAsia="黑体" w:cs="黑体"/>
                <w:color w:val="auto"/>
                <w:szCs w:val="21"/>
                <w:highlight w:val="none"/>
                <w:lang w:val="en-US" w:eastAsia="zh-CN"/>
              </w:rPr>
              <w:t>网站</w:t>
            </w:r>
            <w:r>
              <w:rPr>
                <w:rFonts w:hint="eastAsia" w:ascii="黑体" w:hAnsi="黑体" w:eastAsia="黑体" w:cs="黑体"/>
                <w:color w:val="auto"/>
                <w:szCs w:val="21"/>
                <w:highlight w:val="none"/>
                <w:lang w:eastAsia="zh-CN"/>
              </w:rPr>
              <w:t>办理、提交电子保函</w:t>
            </w:r>
            <w:r>
              <w:rPr>
                <w:rFonts w:hint="eastAsia" w:ascii="黑体" w:hAnsi="黑体" w:eastAsia="黑体" w:cs="黑体"/>
                <w:color w:val="auto"/>
                <w:szCs w:val="21"/>
                <w:highlight w:val="none"/>
              </w:rPr>
              <w:t>；</w:t>
            </w:r>
          </w:p>
          <w:p w14:paraId="5E011F54">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（4）投标人法定代表人授权委托代理人签署投标文件的，</w:t>
            </w:r>
            <w:r>
              <w:rPr>
                <w:rFonts w:hint="eastAsia" w:ascii="黑体" w:hAnsi="黑体" w:eastAsia="黑体" w:cs="黑体"/>
                <w:color w:val="auto"/>
                <w:szCs w:val="21"/>
                <w:highlight w:val="none"/>
                <w:lang w:eastAsia="zh-CN"/>
              </w:rPr>
              <w:t>须</w:t>
            </w:r>
            <w:r>
              <w:rPr>
                <w:rFonts w:hint="eastAsia" w:ascii="黑体" w:hAnsi="黑体" w:eastAsia="黑体" w:cs="黑体"/>
                <w:color w:val="auto"/>
                <w:szCs w:val="21"/>
                <w:highlight w:val="none"/>
              </w:rPr>
              <w:t>提交授权委托书，且授权人和被授权人均在授权委托书上签名，</w:t>
            </w:r>
            <w:r>
              <w:rPr>
                <w:rFonts w:hint="eastAsia" w:ascii="黑体" w:hAnsi="黑体" w:eastAsia="黑体" w:cs="黑体"/>
                <w:color w:val="auto"/>
                <w:szCs w:val="21"/>
                <w:highlight w:val="none"/>
                <w:lang w:eastAsia="zh-CN"/>
              </w:rPr>
              <w:t>签字</w:t>
            </w:r>
            <w:r>
              <w:rPr>
                <w:rFonts w:hint="eastAsia" w:ascii="黑体" w:hAnsi="黑体" w:eastAsia="黑体" w:cs="黑体"/>
                <w:color w:val="auto"/>
                <w:szCs w:val="21"/>
                <w:highlight w:val="none"/>
                <w:lang w:val="en-US" w:eastAsia="zh-CN"/>
              </w:rPr>
              <w:t>盖章</w:t>
            </w:r>
            <w:r>
              <w:rPr>
                <w:rFonts w:hint="eastAsia" w:ascii="黑体" w:hAnsi="黑体" w:eastAsia="黑体" w:cs="黑体"/>
                <w:color w:val="auto"/>
                <w:szCs w:val="21"/>
                <w:highlight w:val="none"/>
                <w:lang w:eastAsia="zh-CN"/>
              </w:rPr>
              <w:t>部分符合</w:t>
            </w:r>
            <w:r>
              <w:rPr>
                <w:rFonts w:hint="eastAsia" w:ascii="黑体" w:hAnsi="黑体" w:eastAsia="黑体" w:cs="黑体"/>
                <w:color w:val="auto"/>
                <w:szCs w:val="21"/>
                <w:highlight w:val="none"/>
                <w:lang w:val="en-US" w:eastAsia="zh-CN"/>
              </w:rPr>
              <w:t>招标文件要求</w:t>
            </w:r>
            <w:r>
              <w:rPr>
                <w:rFonts w:hint="eastAsia" w:ascii="黑体" w:hAnsi="黑体" w:eastAsia="黑体" w:cs="黑体"/>
                <w:color w:val="auto"/>
                <w:szCs w:val="21"/>
                <w:highlight w:val="none"/>
              </w:rPr>
              <w:t>。</w:t>
            </w:r>
          </w:p>
          <w:p w14:paraId="6EAC4FFB">
            <w:pPr>
              <w:ind w:firstLine="210" w:firstLineChars="100"/>
              <w:rPr>
                <w:rFonts w:hint="eastAsia" w:ascii="黑体" w:hAnsi="黑体" w:eastAsia="黑体" w:cs="黑体"/>
                <w:b/>
                <w:bCs/>
                <w:color w:val="auto"/>
                <w:szCs w:val="21"/>
                <w:highlight w:val="none"/>
              </w:rPr>
            </w:pPr>
            <w:r>
              <w:rPr>
                <w:rFonts w:hint="eastAsia" w:ascii="黑体" w:hAnsi="黑体" w:eastAsia="黑体" w:cs="黑体"/>
                <w:color w:val="auto"/>
                <w:szCs w:val="21"/>
                <w:highlight w:val="none"/>
              </w:rPr>
              <w:t>（5）投标人法定代表人亲自签署投标文件的，提供了法定代表人身份证明，且法定代表人在法定代表人身份证明上签名，</w:t>
            </w:r>
            <w:r>
              <w:rPr>
                <w:rFonts w:hint="eastAsia" w:ascii="黑体" w:hAnsi="黑体" w:eastAsia="黑体" w:cs="黑体"/>
                <w:color w:val="auto"/>
                <w:szCs w:val="21"/>
                <w:highlight w:val="none"/>
                <w:lang w:val="en-US" w:eastAsia="zh-CN"/>
              </w:rPr>
              <w:t>签名符合招标文件要求</w:t>
            </w:r>
            <w:r>
              <w:rPr>
                <w:rFonts w:hint="eastAsia" w:ascii="黑体" w:hAnsi="黑体" w:eastAsia="黑体" w:cs="黑体"/>
                <w:color w:val="auto"/>
                <w:szCs w:val="21"/>
                <w:highlight w:val="none"/>
              </w:rPr>
              <w:t>。</w:t>
            </w:r>
          </w:p>
          <w:p w14:paraId="08541598">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6</w:t>
            </w:r>
            <w:r>
              <w:rPr>
                <w:rFonts w:hint="eastAsia" w:ascii="黑体" w:hAnsi="黑体" w:eastAsia="黑体" w:cs="黑体"/>
                <w:color w:val="auto"/>
                <w:szCs w:val="21"/>
                <w:highlight w:val="none"/>
              </w:rPr>
              <w:t>）投标人如有分包计划，符合招标文件第二章"投标人须知"第1.11 款规定，且按招标文件第九章"投标文件格式"的要求填写了"拟分包项目情况表"。</w:t>
            </w:r>
          </w:p>
          <w:p w14:paraId="3EC6932B">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7</w:t>
            </w:r>
            <w:r>
              <w:rPr>
                <w:rFonts w:hint="eastAsia" w:ascii="黑体" w:hAnsi="黑体" w:eastAsia="黑体" w:cs="黑体"/>
                <w:color w:val="auto"/>
                <w:szCs w:val="21"/>
                <w:highlight w:val="none"/>
              </w:rPr>
              <w:t>）同一投标人未提交两个以上不同的投标文件，但招标文件要求提交备选投标的除外。</w:t>
            </w:r>
          </w:p>
          <w:p w14:paraId="08C2111F">
            <w:pPr>
              <w:tabs>
                <w:tab w:val="left" w:pos="360"/>
              </w:tabs>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8</w:t>
            </w:r>
            <w:r>
              <w:rPr>
                <w:rFonts w:hint="eastAsia" w:ascii="黑体" w:hAnsi="黑体" w:eastAsia="黑体" w:cs="黑体"/>
                <w:color w:val="auto"/>
                <w:szCs w:val="21"/>
                <w:highlight w:val="none"/>
              </w:rPr>
              <w:t>）投标文件中未出现有关投标报价的内容。</w:t>
            </w:r>
          </w:p>
          <w:p w14:paraId="2B30604E">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9</w:t>
            </w:r>
            <w:r>
              <w:rPr>
                <w:rFonts w:hint="eastAsia" w:ascii="黑体" w:hAnsi="黑体" w:eastAsia="黑体" w:cs="黑体"/>
                <w:color w:val="auto"/>
                <w:szCs w:val="21"/>
                <w:highlight w:val="none"/>
              </w:rPr>
              <w:t>）投标文件载明的招标项目完成期限未超过招标文件规定的时限。</w:t>
            </w:r>
          </w:p>
          <w:p w14:paraId="2767ECC1">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（1</w:t>
            </w:r>
            <w:r>
              <w:rPr>
                <w:rFonts w:hint="eastAsia" w:ascii="黑体" w:hAnsi="黑体" w:eastAsia="黑体" w:cs="黑体"/>
                <w:color w:val="auto"/>
                <w:szCs w:val="21"/>
                <w:highlight w:val="none"/>
                <w:lang w:val="en-US" w:eastAsia="zh-CN"/>
              </w:rPr>
              <w:t>0</w:t>
            </w:r>
            <w:r>
              <w:rPr>
                <w:rFonts w:hint="eastAsia" w:ascii="黑体" w:hAnsi="黑体" w:eastAsia="黑体" w:cs="黑体"/>
                <w:color w:val="auto"/>
                <w:szCs w:val="21"/>
                <w:highlight w:val="none"/>
              </w:rPr>
              <w:t>）投标文件对招标文件的实质性要求和条件作出响应。</w:t>
            </w:r>
          </w:p>
          <w:p w14:paraId="633A6C7C">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（1</w:t>
            </w:r>
            <w:r>
              <w:rPr>
                <w:rFonts w:hint="eastAsia" w:ascii="黑体" w:hAnsi="黑体" w:eastAsia="黑体" w:cs="黑体"/>
                <w:color w:val="auto"/>
                <w:szCs w:val="21"/>
                <w:highlight w:val="none"/>
                <w:lang w:val="en-US" w:eastAsia="zh-CN"/>
              </w:rPr>
              <w:t>1</w:t>
            </w:r>
            <w:r>
              <w:rPr>
                <w:rFonts w:hint="eastAsia" w:ascii="黑体" w:hAnsi="黑体" w:eastAsia="黑体" w:cs="黑体"/>
                <w:color w:val="auto"/>
                <w:szCs w:val="21"/>
                <w:highlight w:val="none"/>
              </w:rPr>
              <w:t>）权利义务符合招标文件规定：</w:t>
            </w:r>
          </w:p>
          <w:p w14:paraId="56C32234">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a.投标人应接受招标文件规定的风险划分原则，未提出新的风险划分办法；</w:t>
            </w:r>
          </w:p>
          <w:p w14:paraId="41EC78F9">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b.投标人未增加发包人的责任范围，或减少投标人义务；</w:t>
            </w:r>
          </w:p>
          <w:p w14:paraId="2E125E44">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c.投标人未提出不同的工程验收、计量、支付办法；</w:t>
            </w:r>
          </w:p>
          <w:p w14:paraId="2DA03DB3">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d.投标人对合同纠纷、事故处理办法未提出异议；</w:t>
            </w:r>
          </w:p>
          <w:p w14:paraId="4FD1FF76">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e.投标人在投标活动中无欺诈行为；</w:t>
            </w:r>
          </w:p>
          <w:p w14:paraId="150F36FE">
            <w:pPr>
              <w:tabs>
                <w:tab w:val="left" w:pos="360"/>
              </w:tabs>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f.投标人未对合同条款有重要保留。</w:t>
            </w:r>
          </w:p>
          <w:p w14:paraId="7E6EB895">
            <w:pPr>
              <w:tabs>
                <w:tab w:val="left" w:pos="360"/>
              </w:tabs>
              <w:ind w:firstLine="210" w:firstLineChars="100"/>
              <w:rPr>
                <w:rFonts w:hint="eastAsia" w:ascii="黑体" w:hAnsi="黑体" w:eastAsia="黑体" w:cs="黑体"/>
                <w:b w:val="0"/>
                <w:bCs/>
                <w:color w:val="auto"/>
                <w:szCs w:val="21"/>
                <w:highlight w:val="none"/>
                <w:lang w:eastAsia="zh-CN"/>
              </w:rPr>
            </w:pPr>
            <w:r>
              <w:rPr>
                <w:rFonts w:hint="eastAsia" w:ascii="黑体" w:hAnsi="黑体" w:eastAsia="黑体" w:cs="黑体"/>
                <w:b w:val="0"/>
                <w:bCs/>
                <w:color w:val="auto"/>
                <w:szCs w:val="21"/>
                <w:highlight w:val="none"/>
                <w:lang w:eastAsia="zh-CN"/>
              </w:rPr>
              <w:t>（</w:t>
            </w:r>
            <w:r>
              <w:rPr>
                <w:rFonts w:hint="eastAsia" w:ascii="黑体" w:hAnsi="黑体" w:eastAsia="黑体" w:cs="黑体"/>
                <w:b w:val="0"/>
                <w:bCs/>
                <w:color w:val="auto"/>
                <w:szCs w:val="21"/>
                <w:highlight w:val="none"/>
                <w:lang w:val="en-US" w:eastAsia="zh-CN"/>
              </w:rPr>
              <w:t>12</w:t>
            </w:r>
            <w:r>
              <w:rPr>
                <w:rFonts w:hint="eastAsia" w:ascii="黑体" w:hAnsi="黑体" w:eastAsia="黑体" w:cs="黑体"/>
                <w:b w:val="0"/>
                <w:bCs/>
                <w:color w:val="auto"/>
                <w:szCs w:val="21"/>
                <w:highlight w:val="none"/>
                <w:lang w:eastAsia="zh-CN"/>
              </w:rPr>
              <w:t>）投标文件加密、上传、解密符合招标文件规定。</w:t>
            </w:r>
          </w:p>
          <w:p w14:paraId="44C94AC3">
            <w:pPr>
              <w:tabs>
                <w:tab w:val="left" w:pos="360"/>
              </w:tabs>
              <w:ind w:firstLine="211" w:firstLineChars="100"/>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第二个信封（报价文件）评审标准：</w:t>
            </w:r>
          </w:p>
          <w:p w14:paraId="6FC8CD90">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（1）投标文件按照招标文件规定的格式、内容填写，字迹清晰可辨：</w:t>
            </w:r>
          </w:p>
          <w:p w14:paraId="521F4399">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a.</w:t>
            </w:r>
            <w:r>
              <w:rPr>
                <w:rFonts w:hint="eastAsia" w:ascii="黑体" w:hAnsi="黑体" w:eastAsia="黑体" w:cs="黑体"/>
                <w:color w:val="auto"/>
                <w:szCs w:val="21"/>
                <w:highlight w:val="none"/>
                <w:shd w:val="clear" w:color="auto" w:fill="FFFFFF"/>
              </w:rPr>
              <w:t xml:space="preserve"> 投标函按招标文件规定填报了项目名称、标段号、</w:t>
            </w:r>
            <w:r>
              <w:rPr>
                <w:rFonts w:hint="eastAsia" w:ascii="黑体" w:hAnsi="黑体" w:eastAsia="黑体" w:cs="黑体"/>
                <w:b/>
                <w:bCs/>
                <w:color w:val="auto"/>
                <w:szCs w:val="21"/>
                <w:highlight w:val="none"/>
                <w:u w:val="single"/>
                <w:lang w:val="en-US" w:eastAsia="zh-CN"/>
              </w:rPr>
              <w:t>变更公告或</w:t>
            </w:r>
            <w:r>
              <w:rPr>
                <w:rFonts w:hint="eastAsia" w:ascii="黑体" w:hAnsi="黑体" w:eastAsia="黑体" w:cs="黑体"/>
                <w:color w:val="auto"/>
                <w:szCs w:val="21"/>
                <w:highlight w:val="none"/>
                <w:shd w:val="clear" w:color="auto" w:fill="FFFFFF"/>
              </w:rPr>
              <w:t>补遗书编号（如有）、投标价（包括大写金额和小写金额）；</w:t>
            </w:r>
          </w:p>
          <w:p w14:paraId="287D677D">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b.已标价工程量清单说明文字与招标文件规定一致，未进行实质性修改和删减；</w:t>
            </w:r>
          </w:p>
          <w:p w14:paraId="70B3FE56">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c.投标文件组成齐全完整，内容均按规定填写；</w:t>
            </w:r>
          </w:p>
          <w:p w14:paraId="184767C3">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（2）投标文件上法定代表人或其委托代理人的签字、投标人的单位章盖章齐全，符合招标文件规定。</w:t>
            </w:r>
          </w:p>
          <w:p w14:paraId="7AAD325C">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（3）投标报价或调价函中的报价未超过招标文件设定的最高投标限价（如有）。</w:t>
            </w:r>
          </w:p>
          <w:p w14:paraId="2302DB7D">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（4）投标报价或调价函中报价的大写金额能够确定具体数值。</w:t>
            </w:r>
          </w:p>
          <w:p w14:paraId="38AF1B85">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（5）同一投标人未提交两个以上不同的投标报价，但招标文件要求提交备选投标的除外。</w:t>
            </w:r>
          </w:p>
          <w:p w14:paraId="229D7B71">
            <w:pPr>
              <w:keepNext w:val="0"/>
              <w:keepLines w:val="0"/>
              <w:pageBreakBefore w:val="0"/>
              <w:widowControl w:val="0"/>
              <w:kinsoku/>
              <w:wordWrap/>
              <w:overflowPunct/>
              <w:topLinePunct w:val="0"/>
              <w:autoSpaceDE/>
              <w:autoSpaceDN/>
              <w:bidi w:val="0"/>
              <w:adjustRightInd/>
              <w:snapToGrid/>
              <w:spacing w:line="360" w:lineRule="exact"/>
              <w:ind w:firstLine="210" w:firstLineChars="100"/>
              <w:textAlignment w:val="auto"/>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6</w:t>
            </w:r>
            <w:r>
              <w:rPr>
                <w:rFonts w:hint="eastAsia" w:ascii="黑体" w:hAnsi="黑体" w:eastAsia="黑体" w:cs="黑体"/>
                <w:color w:val="auto"/>
                <w:szCs w:val="21"/>
                <w:highlight w:val="none"/>
              </w:rPr>
              <w:t>）投标人若提交调价函，调价函符合招标文件第二章“投标人须知”第3.2.6项要求。</w:t>
            </w:r>
          </w:p>
          <w:p w14:paraId="732935B0">
            <w:pPr>
              <w:keepNext w:val="0"/>
              <w:keepLines w:val="0"/>
              <w:pageBreakBefore w:val="0"/>
              <w:widowControl w:val="0"/>
              <w:kinsoku/>
              <w:wordWrap/>
              <w:overflowPunct/>
              <w:topLinePunct w:val="0"/>
              <w:autoSpaceDE/>
              <w:autoSpaceDN/>
              <w:bidi w:val="0"/>
              <w:adjustRightInd/>
              <w:snapToGrid/>
              <w:spacing w:line="360" w:lineRule="exact"/>
              <w:ind w:firstLine="210" w:firstLineChars="100"/>
              <w:textAlignment w:val="auto"/>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7</w:t>
            </w: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投标人若填写工程量固化清单，填写完毕的工程量固化清单未对工程量固化清单电子文件中的数据、格式和运算定义进行修改；投标文件中同时提供了工程量清单单价分析表[公路工程标准施工招标文件（2018年版·第一册）工程量清单表5.5表A.0.3-3 材料预算单价计算表]。工程量固化清单中的投标报价和投标函大写金额报价及开标一览表一致。</w:t>
            </w:r>
          </w:p>
          <w:p w14:paraId="3776539A">
            <w:pPr>
              <w:keepNext w:val="0"/>
              <w:keepLines w:val="0"/>
              <w:pageBreakBefore w:val="0"/>
              <w:widowControl w:val="0"/>
              <w:kinsoku/>
              <w:wordWrap/>
              <w:overflowPunct/>
              <w:topLinePunct w:val="0"/>
              <w:autoSpaceDE/>
              <w:autoSpaceDN/>
              <w:bidi w:val="0"/>
              <w:adjustRightInd/>
              <w:snapToGrid/>
              <w:spacing w:line="360" w:lineRule="exact"/>
              <w:ind w:firstLine="210" w:firstLineChars="100"/>
              <w:textAlignment w:val="auto"/>
              <w:rPr>
                <w:rFonts w:hint="eastAsia" w:ascii="黑体" w:hAnsi="黑体" w:eastAsia="黑体" w:cs="黑体"/>
                <w:color w:val="auto"/>
                <w:szCs w:val="21"/>
                <w:highlight w:val="none"/>
                <w:lang w:val="en-US" w:eastAsia="zh-CN"/>
              </w:rPr>
            </w:pPr>
            <w:bookmarkStart w:id="862" w:name="_GoBack"/>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val="en-US" w:eastAsia="zh-CN"/>
              </w:rPr>
              <w:t>8</w:t>
            </w:r>
            <w:r>
              <w:rPr>
                <w:rFonts w:hint="eastAsia" w:ascii="黑体" w:hAnsi="黑体" w:eastAsia="黑体" w:cs="黑体"/>
                <w:color w:val="auto"/>
                <w:szCs w:val="21"/>
                <w:highlight w:val="none"/>
              </w:rPr>
              <w:t>）</w:t>
            </w:r>
            <w:r>
              <w:rPr>
                <w:rFonts w:hint="eastAsia" w:ascii="黑体" w:hAnsi="黑体" w:eastAsia="黑体" w:cs="黑体"/>
                <w:color w:val="auto"/>
                <w:szCs w:val="21"/>
                <w:highlight w:val="none"/>
                <w:lang w:eastAsia="zh-CN"/>
              </w:rPr>
              <w:t>投标文件加密、上传、解密符合招标文件规定。</w:t>
            </w:r>
            <w:bookmarkEnd w:id="862"/>
          </w:p>
        </w:tc>
      </w:tr>
      <w:tr w14:paraId="7C406D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gridAfter w:val="1"/>
          <w:wAfter w:w="7" w:type="dxa"/>
          <w:trHeight w:val="574" w:hRule="atLeast"/>
          <w:jc w:val="center"/>
        </w:trPr>
        <w:tc>
          <w:tcPr>
            <w:tcW w:w="638" w:type="dxa"/>
            <w:noWrap w:val="0"/>
            <w:vAlign w:val="center"/>
          </w:tcPr>
          <w:p w14:paraId="45B00515">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2.1.2</w:t>
            </w:r>
          </w:p>
        </w:tc>
        <w:tc>
          <w:tcPr>
            <w:tcW w:w="1170" w:type="dxa"/>
            <w:noWrap w:val="0"/>
            <w:vAlign w:val="center"/>
          </w:tcPr>
          <w:p w14:paraId="710C0607">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资格评审标准</w:t>
            </w:r>
          </w:p>
        </w:tc>
        <w:tc>
          <w:tcPr>
            <w:tcW w:w="7425" w:type="dxa"/>
            <w:gridSpan w:val="2"/>
            <w:noWrap w:val="0"/>
            <w:vAlign w:val="center"/>
          </w:tcPr>
          <w:p w14:paraId="5E0DFDAB">
            <w:pPr>
              <w:numPr>
                <w:ilvl w:val="0"/>
                <w:numId w:val="5"/>
              </w:numPr>
              <w:ind w:firstLine="210" w:firstLineChars="100"/>
              <w:rPr>
                <w:rFonts w:hint="eastAsia" w:ascii="黑体" w:hAnsi="黑体" w:eastAsia="黑体" w:cs="黑体"/>
                <w:b w:val="0"/>
                <w:bCs w:val="0"/>
                <w:color w:val="auto"/>
                <w:sz w:val="21"/>
                <w:szCs w:val="21"/>
                <w:highlight w:val="none"/>
                <w:lang w:eastAsia="zh-CN"/>
              </w:rPr>
            </w:pPr>
            <w:r>
              <w:rPr>
                <w:rFonts w:hint="eastAsia" w:ascii="黑体" w:hAnsi="黑体" w:eastAsia="黑体" w:cs="黑体"/>
                <w:b w:val="0"/>
                <w:bCs w:val="0"/>
                <w:color w:val="auto"/>
                <w:szCs w:val="21"/>
                <w:highlight w:val="none"/>
              </w:rPr>
              <w:t>投标人具备有效的营业执照、组织机构代码证（如有）、资质证书、安全生产许可证和</w:t>
            </w:r>
            <w:r>
              <w:rPr>
                <w:rFonts w:hint="eastAsia" w:ascii="黑体" w:hAnsi="黑体" w:eastAsia="黑体" w:cs="黑体"/>
                <w:b w:val="0"/>
                <w:bCs w:val="0"/>
                <w:color w:val="auto"/>
                <w:sz w:val="21"/>
                <w:szCs w:val="21"/>
                <w:highlight w:val="none"/>
              </w:rPr>
              <w:t>具备有效的基本账户开户许可证</w:t>
            </w:r>
            <w:r>
              <w:rPr>
                <w:rFonts w:hint="eastAsia" w:ascii="黑体" w:hAnsi="黑体" w:eastAsia="黑体" w:cs="黑体"/>
                <w:b w:val="0"/>
                <w:bCs w:val="0"/>
                <w:color w:val="auto"/>
                <w:sz w:val="21"/>
                <w:szCs w:val="21"/>
                <w:highlight w:val="none"/>
                <w:lang w:eastAsia="zh-CN"/>
              </w:rPr>
              <w:t>或基本存款账户信息。</w:t>
            </w:r>
          </w:p>
          <w:p w14:paraId="1048120D">
            <w:pPr>
              <w:numPr>
                <w:ilvl w:val="0"/>
                <w:numId w:val="5"/>
              </w:num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投标人的资质等级符合招标文件规定。</w:t>
            </w:r>
          </w:p>
          <w:p w14:paraId="5CF757A2">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（3）投标人的财务状况符合招标文件规定。</w:t>
            </w:r>
          </w:p>
          <w:p w14:paraId="496B357F">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（4）投标人的类似项目业绩符合招标文件规定。</w:t>
            </w:r>
          </w:p>
          <w:p w14:paraId="2112333D">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（5）投标人的信誉符合招标文件规定。</w:t>
            </w:r>
          </w:p>
          <w:p w14:paraId="324EF1F2">
            <w:pPr>
              <w:ind w:firstLine="210" w:firstLineChars="100"/>
              <w:rPr>
                <w:rFonts w:hint="eastAsia" w:ascii="黑体" w:hAnsi="黑体" w:eastAsia="黑体" w:cs="黑体"/>
                <w:color w:val="auto"/>
                <w:szCs w:val="21"/>
                <w:highlight w:val="none"/>
              </w:rPr>
            </w:pPr>
            <w:r>
              <w:rPr>
                <w:rFonts w:hint="eastAsia" w:ascii="黑体" w:hAnsi="黑体" w:eastAsia="黑体" w:cs="黑体"/>
                <w:color w:val="auto"/>
                <w:szCs w:val="21"/>
                <w:highlight w:val="none"/>
              </w:rPr>
              <w:t>（6）投标人的项目经理和项目总工资格、在岗情况符合招标文件规定。</w:t>
            </w:r>
          </w:p>
          <w:p w14:paraId="37F5FFAB">
            <w:pPr>
              <w:ind w:firstLine="210" w:firstLineChars="100"/>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rPr>
              <w:t>（7）投标人不存在第二章"投标人须知"第1.4.3项或第1.4.4项规定的任何一种情形。</w:t>
            </w:r>
          </w:p>
        </w:tc>
      </w:tr>
      <w:tr w14:paraId="72816F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1352" w:hRule="atLeast"/>
          <w:jc w:val="center"/>
        </w:trPr>
        <w:tc>
          <w:tcPr>
            <w:tcW w:w="1808" w:type="dxa"/>
            <w:gridSpan w:val="2"/>
            <w:noWrap w:val="0"/>
            <w:vAlign w:val="center"/>
          </w:tcPr>
          <w:p w14:paraId="66EA2F4C">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2.2.1</w:t>
            </w:r>
          </w:p>
        </w:tc>
        <w:tc>
          <w:tcPr>
            <w:tcW w:w="1756" w:type="dxa"/>
            <w:noWrap w:val="0"/>
            <w:vAlign w:val="center"/>
          </w:tcPr>
          <w:p w14:paraId="25227CE1">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第一个信封</w:t>
            </w:r>
          </w:p>
          <w:p w14:paraId="3D073B34">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评分分值构成</w:t>
            </w:r>
          </w:p>
          <w:p w14:paraId="3F585F41">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（总分100分）</w:t>
            </w:r>
          </w:p>
        </w:tc>
        <w:tc>
          <w:tcPr>
            <w:tcW w:w="5676" w:type="dxa"/>
            <w:gridSpan w:val="2"/>
            <w:noWrap w:val="0"/>
            <w:vAlign w:val="center"/>
          </w:tcPr>
          <w:p w14:paraId="687D6E93">
            <w:pPr>
              <w:tabs>
                <w:tab w:val="left" w:pos="360"/>
              </w:tabs>
              <w:ind w:firstLine="211" w:firstLineChars="100"/>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施工组织设计：</w:t>
            </w:r>
            <w:r>
              <w:rPr>
                <w:rFonts w:hint="eastAsia" w:ascii="黑体" w:hAnsi="黑体" w:eastAsia="黑体" w:cs="黑体"/>
                <w:b/>
                <w:color w:val="auto"/>
                <w:szCs w:val="21"/>
                <w:highlight w:val="none"/>
                <w:u w:val="single"/>
                <w:lang w:val="en-US" w:eastAsia="zh-CN"/>
              </w:rPr>
              <w:t>4</w:t>
            </w:r>
            <w:r>
              <w:rPr>
                <w:rFonts w:hint="eastAsia" w:ascii="黑体" w:hAnsi="黑体" w:eastAsia="黑体" w:cs="黑体"/>
                <w:b/>
                <w:color w:val="auto"/>
                <w:szCs w:val="21"/>
                <w:highlight w:val="none"/>
                <w:u w:val="single"/>
              </w:rPr>
              <w:t>0</w:t>
            </w:r>
            <w:r>
              <w:rPr>
                <w:rFonts w:hint="eastAsia" w:ascii="黑体" w:hAnsi="黑体" w:eastAsia="黑体" w:cs="黑体"/>
                <w:b/>
                <w:color w:val="auto"/>
                <w:szCs w:val="21"/>
                <w:highlight w:val="none"/>
              </w:rPr>
              <w:t>分</w:t>
            </w:r>
          </w:p>
          <w:p w14:paraId="6A540297">
            <w:pPr>
              <w:tabs>
                <w:tab w:val="left" w:pos="360"/>
              </w:tabs>
              <w:ind w:firstLine="211" w:firstLineChars="100"/>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主要人员：</w:t>
            </w:r>
            <w:r>
              <w:rPr>
                <w:rFonts w:hint="eastAsia" w:ascii="黑体" w:hAnsi="黑体" w:eastAsia="黑体" w:cs="黑体"/>
                <w:b/>
                <w:color w:val="auto"/>
                <w:szCs w:val="21"/>
                <w:highlight w:val="none"/>
                <w:u w:val="single"/>
              </w:rPr>
              <w:t>30</w:t>
            </w:r>
            <w:r>
              <w:rPr>
                <w:rFonts w:hint="eastAsia" w:ascii="黑体" w:hAnsi="黑体" w:eastAsia="黑体" w:cs="黑体"/>
                <w:b/>
                <w:color w:val="auto"/>
                <w:szCs w:val="21"/>
                <w:highlight w:val="none"/>
              </w:rPr>
              <w:t>分</w:t>
            </w:r>
          </w:p>
          <w:p w14:paraId="7531CFAF">
            <w:pPr>
              <w:tabs>
                <w:tab w:val="left" w:pos="360"/>
                <w:tab w:val="center" w:pos="4153"/>
                <w:tab w:val="right" w:pos="8306"/>
              </w:tabs>
              <w:ind w:firstLine="211" w:firstLineChars="100"/>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履约信誉：</w:t>
            </w:r>
            <w:r>
              <w:rPr>
                <w:rFonts w:hint="eastAsia" w:ascii="黑体" w:hAnsi="黑体" w:eastAsia="黑体" w:cs="黑体"/>
                <w:b/>
                <w:color w:val="auto"/>
                <w:szCs w:val="21"/>
                <w:highlight w:val="none"/>
                <w:u w:val="single"/>
                <w:lang w:val="en-US" w:eastAsia="zh-CN"/>
              </w:rPr>
              <w:t>20</w:t>
            </w:r>
            <w:r>
              <w:rPr>
                <w:rFonts w:hint="eastAsia" w:ascii="黑体" w:hAnsi="黑体" w:eastAsia="黑体" w:cs="黑体"/>
                <w:b/>
                <w:color w:val="auto"/>
                <w:szCs w:val="21"/>
                <w:highlight w:val="none"/>
              </w:rPr>
              <w:t>分</w:t>
            </w:r>
          </w:p>
          <w:p w14:paraId="401FF7B4">
            <w:pPr>
              <w:tabs>
                <w:tab w:val="left" w:pos="360"/>
                <w:tab w:val="center" w:pos="4153"/>
                <w:tab w:val="right" w:pos="8306"/>
              </w:tabs>
              <w:ind w:firstLine="211" w:firstLineChars="100"/>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业绩：</w:t>
            </w:r>
            <w:r>
              <w:rPr>
                <w:rFonts w:hint="eastAsia" w:ascii="黑体" w:hAnsi="黑体" w:eastAsia="黑体" w:cs="黑体"/>
                <w:b/>
                <w:color w:val="auto"/>
                <w:szCs w:val="21"/>
                <w:highlight w:val="none"/>
                <w:u w:val="single"/>
                <w:lang w:val="en-US" w:eastAsia="zh-CN"/>
              </w:rPr>
              <w:t>10</w:t>
            </w:r>
            <w:r>
              <w:rPr>
                <w:rFonts w:hint="eastAsia" w:ascii="黑体" w:hAnsi="黑体" w:eastAsia="黑体" w:cs="黑体"/>
                <w:b/>
                <w:color w:val="auto"/>
                <w:szCs w:val="21"/>
                <w:highlight w:val="none"/>
              </w:rPr>
              <w:t>分</w:t>
            </w:r>
          </w:p>
        </w:tc>
      </w:tr>
      <w:tr w14:paraId="2D5470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416" w:hRule="atLeast"/>
          <w:jc w:val="center"/>
        </w:trPr>
        <w:tc>
          <w:tcPr>
            <w:tcW w:w="1808" w:type="dxa"/>
            <w:gridSpan w:val="2"/>
            <w:noWrap w:val="0"/>
            <w:vAlign w:val="center"/>
          </w:tcPr>
          <w:p w14:paraId="3E4C8386">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2.2.3</w:t>
            </w:r>
          </w:p>
        </w:tc>
        <w:tc>
          <w:tcPr>
            <w:tcW w:w="1756" w:type="dxa"/>
            <w:noWrap w:val="0"/>
            <w:vAlign w:val="center"/>
          </w:tcPr>
          <w:p w14:paraId="163EA6A2">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第二个信封</w:t>
            </w:r>
          </w:p>
          <w:p w14:paraId="4BF9FD4C">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详细评审标准</w:t>
            </w:r>
          </w:p>
        </w:tc>
        <w:tc>
          <w:tcPr>
            <w:tcW w:w="5676" w:type="dxa"/>
            <w:gridSpan w:val="2"/>
            <w:noWrap w:val="0"/>
            <w:vAlign w:val="center"/>
          </w:tcPr>
          <w:p w14:paraId="3B66E22D">
            <w:pPr>
              <w:tabs>
                <w:tab w:val="left" w:pos="360"/>
              </w:tabs>
              <w:rPr>
                <w:rFonts w:hint="eastAsia" w:ascii="黑体" w:hAnsi="黑体" w:eastAsia="黑体" w:cs="黑体"/>
                <w:color w:val="auto"/>
                <w:szCs w:val="21"/>
                <w:highlight w:val="none"/>
              </w:rPr>
            </w:pPr>
            <w:r>
              <w:rPr>
                <w:rFonts w:hint="eastAsia" w:ascii="黑体" w:hAnsi="黑体" w:eastAsia="黑体" w:cs="黑体"/>
                <w:color w:val="auto"/>
                <w:szCs w:val="21"/>
                <w:highlight w:val="none"/>
              </w:rPr>
              <w:t>评标价=投标函大写文字报价</w:t>
            </w:r>
          </w:p>
        </w:tc>
      </w:tr>
      <w:tr w14:paraId="3E3479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416" w:hRule="atLeast"/>
          <w:jc w:val="center"/>
        </w:trPr>
        <w:tc>
          <w:tcPr>
            <w:tcW w:w="1808" w:type="dxa"/>
            <w:gridSpan w:val="2"/>
            <w:noWrap w:val="0"/>
            <w:vAlign w:val="center"/>
          </w:tcPr>
          <w:p w14:paraId="4FC590E6">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3.2.4</w:t>
            </w:r>
          </w:p>
        </w:tc>
        <w:tc>
          <w:tcPr>
            <w:tcW w:w="1756" w:type="dxa"/>
            <w:noWrap w:val="0"/>
            <w:vAlign w:val="center"/>
          </w:tcPr>
          <w:p w14:paraId="768F3E66">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通过第一个</w:t>
            </w:r>
          </w:p>
          <w:p w14:paraId="6012EAEE">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信封详细评审</w:t>
            </w:r>
          </w:p>
          <w:p w14:paraId="3F5098FA">
            <w:pPr>
              <w:tabs>
                <w:tab w:val="left" w:pos="360"/>
              </w:tabs>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的投标人数量</w:t>
            </w:r>
          </w:p>
        </w:tc>
        <w:tc>
          <w:tcPr>
            <w:tcW w:w="5676" w:type="dxa"/>
            <w:gridSpan w:val="2"/>
            <w:noWrap w:val="0"/>
            <w:vAlign w:val="center"/>
          </w:tcPr>
          <w:p w14:paraId="7C6A3DF8">
            <w:pPr>
              <w:tabs>
                <w:tab w:val="left" w:pos="360"/>
              </w:tabs>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通过形式评审与响应性评审及资格评审的投标人，按投标文件第一个信封商务和技术得分由高到低的顺序排序，选择前 </w:t>
            </w:r>
            <w:r>
              <w:rPr>
                <w:rFonts w:hint="eastAsia" w:ascii="黑体" w:hAnsi="黑体" w:eastAsia="黑体" w:cs="黑体"/>
                <w:color w:val="auto"/>
                <w:szCs w:val="21"/>
                <w:highlight w:val="none"/>
                <w:u w:val="single"/>
                <w:lang w:val="en-US" w:eastAsia="zh-CN"/>
              </w:rPr>
              <w:t>3</w:t>
            </w:r>
            <w:r>
              <w:rPr>
                <w:rFonts w:hint="eastAsia" w:ascii="黑体" w:hAnsi="黑体" w:eastAsia="黑体" w:cs="黑体"/>
                <w:color w:val="auto"/>
                <w:szCs w:val="21"/>
                <w:highlight w:val="none"/>
              </w:rPr>
              <w:t>名参与投标文件第二个信封评审。</w:t>
            </w:r>
          </w:p>
        </w:tc>
      </w:tr>
      <w:tr w14:paraId="5E6F10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416" w:hRule="atLeast"/>
          <w:jc w:val="center"/>
        </w:trPr>
        <w:tc>
          <w:tcPr>
            <w:tcW w:w="9240" w:type="dxa"/>
            <w:gridSpan w:val="5"/>
            <w:noWrap w:val="0"/>
            <w:vAlign w:val="center"/>
          </w:tcPr>
          <w:p w14:paraId="4B844DFC">
            <w:pPr>
              <w:pStyle w:val="34"/>
              <w:snapToGrid w:val="0"/>
              <w:spacing w:before="0" w:line="276" w:lineRule="auto"/>
              <w:jc w:val="left"/>
              <w:rPr>
                <w:rStyle w:val="45"/>
                <w:rFonts w:hint="eastAsia" w:ascii="黑体" w:hAnsi="黑体" w:eastAsia="黑体" w:cs="黑体"/>
                <w:b/>
                <w:bCs/>
                <w:color w:val="auto"/>
                <w:sz w:val="21"/>
                <w:szCs w:val="21"/>
                <w:highlight w:val="none"/>
                <w:lang w:eastAsia="zh-CN"/>
              </w:rPr>
            </w:pPr>
            <w:r>
              <w:rPr>
                <w:rStyle w:val="45"/>
                <w:rFonts w:hint="eastAsia" w:ascii="黑体" w:hAnsi="黑体" w:eastAsia="黑体" w:cs="黑体"/>
                <w:b/>
                <w:bCs/>
                <w:color w:val="auto"/>
                <w:sz w:val="21"/>
                <w:szCs w:val="21"/>
                <w:highlight w:val="none"/>
              </w:rPr>
              <w:t>需要补充的其他内容：</w:t>
            </w:r>
          </w:p>
          <w:p w14:paraId="1B3BFED3">
            <w:pPr>
              <w:pStyle w:val="34"/>
              <w:snapToGrid w:val="0"/>
              <w:spacing w:before="0" w:line="276" w:lineRule="auto"/>
              <w:ind w:firstLine="422" w:firstLineChars="200"/>
              <w:jc w:val="left"/>
              <w:rPr>
                <w:rStyle w:val="45"/>
                <w:rFonts w:hint="eastAsia" w:ascii="黑体" w:hAnsi="黑体" w:eastAsia="黑体" w:cs="黑体"/>
                <w:b/>
                <w:bCs/>
                <w:color w:val="auto"/>
                <w:sz w:val="21"/>
                <w:szCs w:val="21"/>
                <w:highlight w:val="none"/>
                <w:lang w:eastAsia="zh-CN"/>
              </w:rPr>
            </w:pPr>
            <w:r>
              <w:rPr>
                <w:rStyle w:val="45"/>
                <w:rFonts w:hint="eastAsia" w:ascii="黑体" w:hAnsi="黑体" w:eastAsia="黑体" w:cs="黑体"/>
                <w:b/>
                <w:bCs/>
                <w:color w:val="auto"/>
                <w:sz w:val="21"/>
                <w:szCs w:val="21"/>
                <w:highlight w:val="none"/>
                <w:lang w:eastAsia="zh-CN"/>
              </w:rPr>
              <w:t>3.2.</w:t>
            </w:r>
            <w:r>
              <w:rPr>
                <w:rStyle w:val="45"/>
                <w:rFonts w:hint="eastAsia" w:ascii="黑体" w:hAnsi="黑体" w:eastAsia="黑体" w:cs="黑体"/>
                <w:b/>
                <w:bCs/>
                <w:color w:val="auto"/>
                <w:sz w:val="21"/>
                <w:szCs w:val="21"/>
                <w:highlight w:val="none"/>
                <w:lang w:val="en-US" w:eastAsia="zh-CN"/>
              </w:rPr>
              <w:t>6</w:t>
            </w:r>
            <w:r>
              <w:rPr>
                <w:rStyle w:val="45"/>
                <w:rFonts w:hint="eastAsia" w:ascii="黑体" w:hAnsi="黑体" w:eastAsia="黑体" w:cs="黑体"/>
                <w:b/>
                <w:bCs/>
                <w:color w:val="auto"/>
                <w:sz w:val="21"/>
                <w:szCs w:val="21"/>
                <w:highlight w:val="none"/>
                <w:lang w:eastAsia="zh-CN"/>
              </w:rPr>
              <w:t>按照投标人的商务和技术得分由高到低排序，选择3个投标人通过详细评审。若出现并列情况，则按照以下优先顺序推荐选择相应数量的投标人通过详细评审：①202</w:t>
            </w:r>
            <w:r>
              <w:rPr>
                <w:rStyle w:val="45"/>
                <w:rFonts w:hint="eastAsia" w:ascii="黑体" w:hAnsi="黑体" w:eastAsia="黑体" w:cs="黑体"/>
                <w:b/>
                <w:bCs/>
                <w:color w:val="auto"/>
                <w:sz w:val="21"/>
                <w:szCs w:val="21"/>
                <w:highlight w:val="none"/>
                <w:lang w:val="en-US" w:eastAsia="zh-CN"/>
              </w:rPr>
              <w:t>4</w:t>
            </w:r>
            <w:r>
              <w:rPr>
                <w:rStyle w:val="45"/>
                <w:rFonts w:hint="eastAsia" w:ascii="黑体" w:hAnsi="黑体" w:eastAsia="黑体" w:cs="黑体"/>
                <w:b/>
                <w:bCs/>
                <w:color w:val="auto"/>
                <w:sz w:val="21"/>
                <w:szCs w:val="21"/>
                <w:highlight w:val="none"/>
                <w:lang w:eastAsia="zh-CN"/>
              </w:rPr>
              <w:t>年度内蒙古自治区公路施工企业信用评价结果中信用等级较高的优先；②202</w:t>
            </w:r>
            <w:r>
              <w:rPr>
                <w:rStyle w:val="45"/>
                <w:rFonts w:hint="eastAsia" w:ascii="黑体" w:hAnsi="黑体" w:eastAsia="黑体" w:cs="黑体"/>
                <w:b/>
                <w:bCs/>
                <w:color w:val="auto"/>
                <w:sz w:val="21"/>
                <w:szCs w:val="21"/>
                <w:highlight w:val="none"/>
                <w:lang w:val="en-US" w:eastAsia="zh-CN"/>
              </w:rPr>
              <w:t>4</w:t>
            </w:r>
            <w:r>
              <w:rPr>
                <w:rStyle w:val="45"/>
                <w:rFonts w:hint="eastAsia" w:ascii="黑体" w:hAnsi="黑体" w:eastAsia="黑体" w:cs="黑体"/>
                <w:b/>
                <w:bCs/>
                <w:color w:val="auto"/>
                <w:sz w:val="21"/>
                <w:szCs w:val="21"/>
                <w:highlight w:val="none"/>
                <w:lang w:eastAsia="zh-CN"/>
              </w:rPr>
              <w:t>年度内蒙古自治区公路施工企业信用评价结果中信用等级相同的，按注册资本较高的投标人优先；</w:t>
            </w:r>
          </w:p>
          <w:p w14:paraId="011A9D2B">
            <w:pPr>
              <w:pStyle w:val="34"/>
              <w:snapToGrid w:val="0"/>
              <w:spacing w:before="0" w:line="276" w:lineRule="auto"/>
              <w:ind w:firstLine="420"/>
              <w:jc w:val="left"/>
              <w:rPr>
                <w:rFonts w:hint="eastAsia" w:ascii="黑体" w:hAnsi="黑体" w:eastAsia="黑体" w:cs="黑体"/>
                <w:bCs/>
                <w:color w:val="auto"/>
                <w:sz w:val="21"/>
                <w:szCs w:val="21"/>
                <w:highlight w:val="none"/>
                <w:lang w:val="en-US" w:eastAsia="zh-CN"/>
              </w:rPr>
            </w:pPr>
            <w:r>
              <w:rPr>
                <w:rFonts w:hint="eastAsia" w:ascii="黑体" w:hAnsi="黑体" w:eastAsia="黑体" w:cs="黑体"/>
                <w:bCs/>
                <w:color w:val="auto"/>
                <w:sz w:val="21"/>
                <w:szCs w:val="21"/>
                <w:highlight w:val="none"/>
                <w:lang w:val="en-US" w:eastAsia="zh-CN"/>
              </w:rPr>
              <w:t>3.6.1在评标过程中，评标委员会应查询以下网站对投标人提供的相关信息进行核实。若投标文件载明的信息与相关网站发布的信息不符，使得投标人的资格条件不符合招标文件规定的，评标委员会应否决其投标。应查询的信息如下：</w:t>
            </w:r>
          </w:p>
          <w:p w14:paraId="31846F86">
            <w:pPr>
              <w:pStyle w:val="34"/>
              <w:snapToGrid w:val="0"/>
              <w:spacing w:before="0" w:line="276" w:lineRule="auto"/>
              <w:ind w:firstLine="420"/>
              <w:jc w:val="left"/>
              <w:rPr>
                <w:rFonts w:hint="eastAsia" w:ascii="黑体" w:hAnsi="黑体" w:eastAsia="黑体" w:cs="黑体"/>
                <w:bCs/>
                <w:color w:val="auto"/>
                <w:sz w:val="21"/>
                <w:szCs w:val="21"/>
                <w:highlight w:val="none"/>
                <w:lang w:val="en-US" w:eastAsia="zh-CN"/>
              </w:rPr>
            </w:pPr>
            <w:r>
              <w:rPr>
                <w:rFonts w:hint="eastAsia" w:ascii="黑体" w:hAnsi="黑体" w:eastAsia="黑体" w:cs="黑体"/>
                <w:bCs/>
                <w:color w:val="auto"/>
                <w:sz w:val="21"/>
                <w:szCs w:val="21"/>
                <w:highlight w:val="none"/>
                <w:lang w:val="en-US" w:eastAsia="zh-CN"/>
              </w:rPr>
              <w:t>（1）“信用中国”、“国家企业信用信息公示系统”对投标人失信信息进行核实；</w:t>
            </w:r>
          </w:p>
          <w:p w14:paraId="0133E5F1">
            <w:pPr>
              <w:pStyle w:val="34"/>
              <w:snapToGrid w:val="0"/>
              <w:spacing w:before="0" w:line="276" w:lineRule="auto"/>
              <w:ind w:firstLine="420"/>
              <w:jc w:val="left"/>
              <w:rPr>
                <w:rFonts w:hint="eastAsia" w:ascii="黑体" w:hAnsi="黑体" w:eastAsia="黑体" w:cs="黑体"/>
                <w:bCs/>
                <w:color w:val="auto"/>
                <w:sz w:val="21"/>
                <w:szCs w:val="21"/>
                <w:highlight w:val="none"/>
                <w:lang w:val="en-US" w:eastAsia="zh-CN"/>
              </w:rPr>
            </w:pPr>
            <w:r>
              <w:rPr>
                <w:rFonts w:hint="eastAsia" w:ascii="黑体" w:hAnsi="黑体" w:eastAsia="黑体" w:cs="黑体"/>
                <w:bCs/>
                <w:color w:val="auto"/>
                <w:sz w:val="21"/>
                <w:szCs w:val="21"/>
                <w:highlight w:val="none"/>
                <w:lang w:val="en-US" w:eastAsia="zh-CN"/>
              </w:rPr>
              <w:t>（2）“国家企业信用信息公示系统”对投标人股东信息进行核实；</w:t>
            </w:r>
          </w:p>
          <w:p w14:paraId="103CC788">
            <w:pPr>
              <w:pStyle w:val="34"/>
              <w:snapToGrid w:val="0"/>
              <w:spacing w:before="0" w:line="276" w:lineRule="auto"/>
              <w:ind w:firstLine="420"/>
              <w:jc w:val="left"/>
              <w:rPr>
                <w:rFonts w:hint="eastAsia" w:ascii="黑体" w:hAnsi="黑体" w:eastAsia="黑体" w:cs="黑体"/>
                <w:bCs/>
                <w:color w:val="auto"/>
                <w:sz w:val="21"/>
                <w:szCs w:val="21"/>
                <w:highlight w:val="none"/>
                <w:lang w:val="en-US" w:eastAsia="zh-CN"/>
              </w:rPr>
            </w:pPr>
            <w:r>
              <w:rPr>
                <w:rFonts w:hint="eastAsia" w:ascii="黑体" w:hAnsi="黑体" w:eastAsia="黑体" w:cs="黑体"/>
                <w:bCs/>
                <w:color w:val="auto"/>
                <w:sz w:val="21"/>
                <w:szCs w:val="21"/>
                <w:highlight w:val="none"/>
                <w:lang w:val="en-US" w:eastAsia="zh-CN"/>
              </w:rPr>
              <w:t>（3）“全国建筑市场监管公共服务平台”对投标人提供的建造师注册证书等信息进行核实；</w:t>
            </w:r>
          </w:p>
          <w:p w14:paraId="3FED2B9F">
            <w:pPr>
              <w:pStyle w:val="34"/>
              <w:snapToGrid w:val="0"/>
              <w:spacing w:before="0" w:line="276" w:lineRule="auto"/>
              <w:ind w:firstLine="420"/>
              <w:jc w:val="left"/>
              <w:rPr>
                <w:rFonts w:hint="eastAsia" w:ascii="黑体" w:hAnsi="黑体" w:eastAsia="黑体" w:cs="黑体"/>
                <w:bCs/>
                <w:color w:val="auto"/>
                <w:sz w:val="21"/>
                <w:szCs w:val="21"/>
                <w:highlight w:val="none"/>
                <w:lang w:val="en-US" w:eastAsia="zh-CN"/>
              </w:rPr>
            </w:pPr>
            <w:r>
              <w:rPr>
                <w:rFonts w:hint="eastAsia" w:ascii="黑体" w:hAnsi="黑体" w:eastAsia="黑体" w:cs="黑体"/>
                <w:bCs/>
                <w:color w:val="auto"/>
                <w:sz w:val="21"/>
                <w:szCs w:val="21"/>
                <w:highlight w:val="none"/>
                <w:lang w:val="en-US" w:eastAsia="zh-CN"/>
              </w:rPr>
              <w:t>若以上信息在评标期间无法查询，评标委员会以投标文件中所附截图为准。投标人应保证其提供截图的真实性，若招标人在评标期间，签订合同前、合同实施期间的任一时期发现投标人提供虚假材料，招标人按投标人须知3.5.11的规定处理，请投标人仔细阅读。</w:t>
            </w:r>
          </w:p>
          <w:p w14:paraId="498F40A7">
            <w:pPr>
              <w:pStyle w:val="34"/>
              <w:snapToGrid w:val="0"/>
              <w:spacing w:before="0" w:line="276" w:lineRule="auto"/>
              <w:ind w:firstLine="420"/>
              <w:jc w:val="left"/>
              <w:rPr>
                <w:rFonts w:hint="eastAsia" w:ascii="黑体" w:hAnsi="黑体" w:eastAsia="黑体" w:cs="黑体"/>
                <w:b/>
                <w:color w:val="auto"/>
                <w:highlight w:val="none"/>
                <w:lang w:val="en-US" w:eastAsia="zh-CN"/>
              </w:rPr>
            </w:pPr>
            <w:r>
              <w:rPr>
                <w:rFonts w:hint="eastAsia" w:ascii="黑体" w:hAnsi="黑体" w:eastAsia="黑体" w:cs="黑体"/>
                <w:b/>
                <w:color w:val="auto"/>
                <w:kern w:val="0"/>
                <w:szCs w:val="21"/>
                <w:highlight w:val="none"/>
                <w:lang w:eastAsia="zh-CN"/>
              </w:rPr>
              <w:t>注：</w:t>
            </w:r>
            <w:r>
              <w:rPr>
                <w:rFonts w:hint="eastAsia" w:ascii="黑体" w:hAnsi="黑体" w:eastAsia="黑体" w:cs="黑体"/>
                <w:b/>
                <w:color w:val="auto"/>
                <w:spacing w:val="-15"/>
                <w:highlight w:val="none"/>
              </w:rPr>
              <w:t>通过</w:t>
            </w:r>
            <w:r>
              <w:rPr>
                <w:rFonts w:hint="eastAsia" w:ascii="黑体" w:hAnsi="黑体" w:eastAsia="黑体" w:cs="黑体"/>
                <w:b/>
                <w:color w:val="auto"/>
                <w:spacing w:val="-15"/>
                <w:highlight w:val="none"/>
                <w:lang w:val="en-US" w:eastAsia="zh-CN"/>
              </w:rPr>
              <w:t>第二个信封</w:t>
            </w:r>
            <w:r>
              <w:rPr>
                <w:rFonts w:hint="eastAsia" w:ascii="黑体" w:hAnsi="黑体" w:eastAsia="黑体" w:cs="黑体"/>
                <w:b/>
                <w:color w:val="auto"/>
                <w:spacing w:val="-9"/>
                <w:highlight w:val="none"/>
              </w:rPr>
              <w:t>评审的投标人</w:t>
            </w:r>
            <w:r>
              <w:rPr>
                <w:rFonts w:hint="eastAsia" w:ascii="黑体" w:hAnsi="黑体" w:eastAsia="黑体" w:cs="黑体"/>
                <w:b/>
                <w:color w:val="auto"/>
                <w:spacing w:val="-9"/>
                <w:highlight w:val="none"/>
                <w:lang w:val="en-US" w:eastAsia="zh-CN"/>
              </w:rPr>
              <w:t>为</w:t>
            </w:r>
            <w:r>
              <w:rPr>
                <w:rFonts w:hint="eastAsia" w:ascii="黑体" w:hAnsi="黑体" w:eastAsia="黑体" w:cs="黑体"/>
                <w:b/>
                <w:color w:val="auto"/>
                <w:highlight w:val="none"/>
                <w:lang w:val="en-US" w:eastAsia="zh-CN"/>
              </w:rPr>
              <w:t>2</w:t>
            </w:r>
            <w:r>
              <w:rPr>
                <w:rFonts w:hint="eastAsia" w:ascii="黑体" w:hAnsi="黑体" w:eastAsia="黑体" w:cs="黑体"/>
                <w:b/>
                <w:color w:val="auto"/>
                <w:spacing w:val="-15"/>
                <w:highlight w:val="none"/>
              </w:rPr>
              <w:t>个</w:t>
            </w:r>
            <w:r>
              <w:rPr>
                <w:rFonts w:hint="eastAsia" w:ascii="黑体" w:hAnsi="黑体" w:eastAsia="黑体" w:cs="黑体"/>
                <w:b/>
                <w:color w:val="auto"/>
                <w:spacing w:val="-15"/>
                <w:highlight w:val="none"/>
                <w:lang w:val="en-US" w:eastAsia="zh-CN"/>
              </w:rPr>
              <w:t>时</w:t>
            </w:r>
            <w:r>
              <w:rPr>
                <w:rFonts w:hint="eastAsia" w:ascii="黑体" w:hAnsi="黑体" w:eastAsia="黑体" w:cs="黑体"/>
                <w:b/>
                <w:color w:val="auto"/>
                <w:spacing w:val="-15"/>
                <w:highlight w:val="none"/>
              </w:rPr>
              <w:t>，</w:t>
            </w:r>
            <w:r>
              <w:rPr>
                <w:rFonts w:hint="eastAsia" w:ascii="黑体" w:hAnsi="黑体" w:eastAsia="黑体" w:cs="黑体"/>
                <w:b/>
                <w:color w:val="auto"/>
                <w:spacing w:val="-15"/>
                <w:highlight w:val="none"/>
                <w:lang w:val="en-US" w:eastAsia="zh-CN"/>
              </w:rPr>
              <w:t>可视为有竞争性，</w:t>
            </w:r>
            <w:r>
              <w:rPr>
                <w:rFonts w:hint="eastAsia" w:ascii="黑体" w:hAnsi="黑体" w:eastAsia="黑体" w:cs="黑体"/>
                <w:b/>
                <w:color w:val="auto"/>
                <w:spacing w:val="-15"/>
                <w:highlight w:val="none"/>
              </w:rPr>
              <w:t>评标委员会应当在评标报告中阐明理由</w:t>
            </w:r>
            <w:r>
              <w:rPr>
                <w:rFonts w:hint="eastAsia" w:ascii="黑体" w:hAnsi="黑体" w:eastAsia="黑体" w:cs="黑体"/>
                <w:b/>
                <w:color w:val="auto"/>
                <w:highlight w:val="none"/>
              </w:rPr>
              <w:t>并推荐中标候选人。</w:t>
            </w:r>
            <w:r>
              <w:rPr>
                <w:rFonts w:hint="eastAsia" w:ascii="黑体" w:hAnsi="黑体" w:eastAsia="黑体" w:cs="黑体"/>
                <w:b/>
                <w:color w:val="auto"/>
                <w:highlight w:val="none"/>
                <w:lang w:val="en-US" w:eastAsia="zh-CN"/>
              </w:rPr>
              <w:t xml:space="preserve">  </w:t>
            </w:r>
          </w:p>
        </w:tc>
      </w:tr>
    </w:tbl>
    <w:p w14:paraId="285F7007">
      <w:pPr>
        <w:jc w:val="right"/>
        <w:rPr>
          <w:rFonts w:hint="eastAsia" w:ascii="黑体" w:hAnsi="黑体" w:eastAsia="黑体" w:cs="黑体"/>
          <w:color w:val="auto"/>
          <w:szCs w:val="21"/>
          <w:highlight w:val="none"/>
        </w:rPr>
      </w:pPr>
      <w:r>
        <w:rPr>
          <w:rFonts w:hint="eastAsia" w:ascii="黑体" w:hAnsi="黑体" w:eastAsia="黑体" w:cs="黑体"/>
          <w:color w:val="auto"/>
          <w:szCs w:val="21"/>
          <w:highlight w:val="none"/>
        </w:rPr>
        <w:br w:type="page"/>
      </w:r>
      <w:r>
        <w:rPr>
          <w:rFonts w:hint="eastAsia" w:ascii="黑体" w:hAnsi="黑体" w:eastAsia="黑体" w:cs="黑体"/>
          <w:color w:val="auto"/>
          <w:szCs w:val="21"/>
          <w:highlight w:val="none"/>
        </w:rPr>
        <w:t>续上表</w:t>
      </w:r>
    </w:p>
    <w:tbl>
      <w:tblPr>
        <w:tblStyle w:val="22"/>
        <w:tblW w:w="912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85" w:type="dxa"/>
          <w:bottom w:w="0" w:type="dxa"/>
          <w:right w:w="85" w:type="dxa"/>
        </w:tblCellMar>
      </w:tblPr>
      <w:tblGrid>
        <w:gridCol w:w="1019"/>
        <w:gridCol w:w="438"/>
        <w:gridCol w:w="697"/>
        <w:gridCol w:w="1004"/>
        <w:gridCol w:w="1999"/>
        <w:gridCol w:w="1133"/>
        <w:gridCol w:w="2834"/>
      </w:tblGrid>
      <w:tr w14:paraId="2B691F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416" w:hRule="atLeast"/>
          <w:jc w:val="center"/>
        </w:trPr>
        <w:tc>
          <w:tcPr>
            <w:tcW w:w="1019" w:type="dxa"/>
            <w:vMerge w:val="restart"/>
            <w:noWrap w:val="0"/>
            <w:vAlign w:val="center"/>
          </w:tcPr>
          <w:p w14:paraId="30B67D81">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条款号</w:t>
            </w:r>
          </w:p>
        </w:tc>
        <w:tc>
          <w:tcPr>
            <w:tcW w:w="5271" w:type="dxa"/>
            <w:gridSpan w:val="5"/>
            <w:noWrap w:val="0"/>
            <w:vAlign w:val="center"/>
          </w:tcPr>
          <w:p w14:paraId="5B1292F4">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评分因素与权重分值</w:t>
            </w:r>
            <w:r>
              <w:rPr>
                <w:rStyle w:val="28"/>
                <w:rFonts w:hint="eastAsia" w:ascii="黑体" w:hAnsi="黑体" w:eastAsia="黑体" w:cs="黑体"/>
                <w:color w:val="auto"/>
                <w:szCs w:val="21"/>
                <w:highlight w:val="none"/>
              </w:rPr>
              <w:footnoteReference w:id="5"/>
            </w:r>
          </w:p>
        </w:tc>
        <w:tc>
          <w:tcPr>
            <w:tcW w:w="2834" w:type="dxa"/>
            <w:vMerge w:val="restart"/>
            <w:noWrap w:val="0"/>
            <w:vAlign w:val="center"/>
          </w:tcPr>
          <w:p w14:paraId="0F017C61">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评分标准</w:t>
            </w:r>
          </w:p>
        </w:tc>
      </w:tr>
      <w:tr w14:paraId="446CA7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jc w:val="center"/>
        </w:trPr>
        <w:tc>
          <w:tcPr>
            <w:tcW w:w="1019" w:type="dxa"/>
            <w:vMerge w:val="continue"/>
            <w:noWrap w:val="0"/>
            <w:vAlign w:val="center"/>
          </w:tcPr>
          <w:p w14:paraId="13283308">
            <w:pPr>
              <w:rPr>
                <w:rFonts w:hint="eastAsia" w:ascii="黑体" w:hAnsi="黑体" w:eastAsia="黑体" w:cs="黑体"/>
                <w:color w:val="auto"/>
                <w:szCs w:val="21"/>
                <w:highlight w:val="none"/>
              </w:rPr>
            </w:pPr>
          </w:p>
        </w:tc>
        <w:tc>
          <w:tcPr>
            <w:tcW w:w="1135" w:type="dxa"/>
            <w:gridSpan w:val="2"/>
            <w:noWrap w:val="0"/>
            <w:vAlign w:val="center"/>
          </w:tcPr>
          <w:p w14:paraId="4AFAD6BF">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评分因素</w:t>
            </w:r>
          </w:p>
        </w:tc>
        <w:tc>
          <w:tcPr>
            <w:tcW w:w="1004" w:type="dxa"/>
            <w:noWrap w:val="0"/>
            <w:vAlign w:val="center"/>
          </w:tcPr>
          <w:p w14:paraId="08A23C08">
            <w:pPr>
              <w:rPr>
                <w:rFonts w:hint="eastAsia" w:ascii="黑体" w:hAnsi="黑体" w:eastAsia="黑体" w:cs="黑体"/>
                <w:color w:val="auto"/>
                <w:spacing w:val="-4"/>
                <w:szCs w:val="21"/>
                <w:highlight w:val="none"/>
              </w:rPr>
            </w:pPr>
            <w:r>
              <w:rPr>
                <w:rFonts w:hint="eastAsia" w:ascii="黑体" w:hAnsi="黑体" w:eastAsia="黑体" w:cs="黑体"/>
                <w:color w:val="auto"/>
                <w:spacing w:val="-4"/>
                <w:szCs w:val="21"/>
                <w:highlight w:val="none"/>
              </w:rPr>
              <w:t>评分因素权重分值</w:t>
            </w:r>
          </w:p>
        </w:tc>
        <w:tc>
          <w:tcPr>
            <w:tcW w:w="1999" w:type="dxa"/>
            <w:noWrap w:val="0"/>
            <w:vAlign w:val="center"/>
          </w:tcPr>
          <w:p w14:paraId="2FA60FE7">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各评分因素细分项</w:t>
            </w:r>
          </w:p>
        </w:tc>
        <w:tc>
          <w:tcPr>
            <w:tcW w:w="1133" w:type="dxa"/>
            <w:noWrap w:val="0"/>
            <w:vAlign w:val="center"/>
          </w:tcPr>
          <w:p w14:paraId="37846B6F">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分值</w:t>
            </w:r>
          </w:p>
        </w:tc>
        <w:tc>
          <w:tcPr>
            <w:tcW w:w="2834" w:type="dxa"/>
            <w:vMerge w:val="continue"/>
            <w:noWrap w:val="0"/>
            <w:vAlign w:val="center"/>
          </w:tcPr>
          <w:p w14:paraId="2A6A528A">
            <w:pPr>
              <w:rPr>
                <w:rFonts w:hint="eastAsia" w:ascii="黑体" w:hAnsi="黑体" w:eastAsia="黑体" w:cs="黑体"/>
                <w:color w:val="auto"/>
                <w:szCs w:val="21"/>
                <w:highlight w:val="none"/>
              </w:rPr>
            </w:pPr>
          </w:p>
        </w:tc>
      </w:tr>
      <w:tr w14:paraId="35D939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324" w:hRule="atLeast"/>
          <w:jc w:val="center"/>
        </w:trPr>
        <w:tc>
          <w:tcPr>
            <w:tcW w:w="1019" w:type="dxa"/>
            <w:vMerge w:val="restart"/>
            <w:noWrap w:val="0"/>
            <w:vAlign w:val="center"/>
          </w:tcPr>
          <w:p w14:paraId="77466222">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2.2.2(1)</w:t>
            </w:r>
          </w:p>
        </w:tc>
        <w:tc>
          <w:tcPr>
            <w:tcW w:w="1135" w:type="dxa"/>
            <w:gridSpan w:val="2"/>
            <w:vMerge w:val="restart"/>
            <w:noWrap w:val="0"/>
            <w:vAlign w:val="center"/>
          </w:tcPr>
          <w:p w14:paraId="50584AC9">
            <w:pPr>
              <w:adjustRightInd w:val="0"/>
              <w:snapToGrid w:val="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施工</w:t>
            </w:r>
          </w:p>
          <w:p w14:paraId="3C7535F4">
            <w:pPr>
              <w:snapToGrid w:val="0"/>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组织</w:t>
            </w:r>
            <w:r>
              <w:rPr>
                <w:rFonts w:hint="eastAsia" w:ascii="黑体" w:hAnsi="黑体" w:eastAsia="黑体" w:cs="黑体"/>
                <w:color w:val="auto"/>
                <w:szCs w:val="21"/>
                <w:highlight w:val="none"/>
                <w:lang w:val="en-US" w:eastAsia="zh-CN"/>
              </w:rPr>
              <w:t>设计</w:t>
            </w:r>
          </w:p>
        </w:tc>
        <w:tc>
          <w:tcPr>
            <w:tcW w:w="1004" w:type="dxa"/>
            <w:vMerge w:val="restart"/>
            <w:noWrap w:val="0"/>
            <w:vAlign w:val="center"/>
          </w:tcPr>
          <w:p w14:paraId="2E73BDE2">
            <w:pPr>
              <w:jc w:val="center"/>
              <w:rPr>
                <w:rFonts w:hint="eastAsia" w:ascii="黑体" w:hAnsi="黑体" w:eastAsia="黑体" w:cs="黑体"/>
                <w:color w:val="auto"/>
                <w:szCs w:val="21"/>
                <w:highlight w:val="none"/>
                <w:lang w:eastAsia="zh-CN"/>
              </w:rPr>
            </w:pPr>
            <w:r>
              <w:rPr>
                <w:rFonts w:hint="eastAsia" w:ascii="黑体" w:hAnsi="黑体" w:eastAsia="黑体" w:cs="黑体"/>
                <w:b/>
                <w:bCs/>
                <w:color w:val="auto"/>
                <w:szCs w:val="21"/>
                <w:highlight w:val="none"/>
                <w:u w:val="single"/>
                <w:lang w:val="en-US" w:eastAsia="zh-CN"/>
              </w:rPr>
              <w:t>4</w:t>
            </w:r>
            <w:r>
              <w:rPr>
                <w:rFonts w:hint="eastAsia" w:ascii="黑体" w:hAnsi="黑体" w:eastAsia="黑体" w:cs="黑体"/>
                <w:b/>
                <w:bCs/>
                <w:color w:val="auto"/>
                <w:szCs w:val="21"/>
                <w:highlight w:val="none"/>
                <w:u w:val="single"/>
              </w:rPr>
              <w:t>0</w:t>
            </w:r>
            <w:r>
              <w:rPr>
                <w:rFonts w:hint="eastAsia" w:ascii="黑体" w:hAnsi="黑体" w:eastAsia="黑体" w:cs="黑体"/>
                <w:color w:val="auto"/>
                <w:szCs w:val="21"/>
                <w:highlight w:val="none"/>
                <w:lang w:eastAsia="zh-CN"/>
              </w:rPr>
              <w:t>分</w:t>
            </w:r>
          </w:p>
        </w:tc>
        <w:tc>
          <w:tcPr>
            <w:tcW w:w="1999" w:type="dxa"/>
            <w:noWrap w:val="0"/>
            <w:vAlign w:val="center"/>
          </w:tcPr>
          <w:p w14:paraId="320EACEF">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总体施工组织布置及规划</w:t>
            </w:r>
          </w:p>
        </w:tc>
        <w:tc>
          <w:tcPr>
            <w:tcW w:w="1133" w:type="dxa"/>
            <w:noWrap w:val="0"/>
            <w:vAlign w:val="center"/>
          </w:tcPr>
          <w:p w14:paraId="0E975ECA">
            <w:pPr>
              <w:snapToGrid w:val="0"/>
              <w:jc w:val="center"/>
              <w:rPr>
                <w:rFonts w:hint="eastAsia" w:ascii="黑体" w:hAnsi="黑体" w:eastAsia="黑体" w:cs="黑体"/>
                <w:color w:val="auto"/>
                <w:szCs w:val="21"/>
                <w:highlight w:val="none"/>
              </w:rPr>
            </w:pPr>
            <w:r>
              <w:rPr>
                <w:rFonts w:hint="eastAsia" w:ascii="黑体" w:hAnsi="黑体" w:eastAsia="黑体" w:cs="黑体"/>
                <w:b/>
                <w:bCs/>
                <w:color w:val="auto"/>
                <w:szCs w:val="21"/>
                <w:highlight w:val="none"/>
                <w:u w:val="single"/>
                <w:lang w:val="en-US" w:eastAsia="zh-CN"/>
              </w:rPr>
              <w:t>5</w:t>
            </w:r>
            <w:r>
              <w:rPr>
                <w:rFonts w:hint="eastAsia" w:ascii="黑体" w:hAnsi="黑体" w:eastAsia="黑体" w:cs="黑体"/>
                <w:color w:val="auto"/>
                <w:szCs w:val="21"/>
                <w:highlight w:val="none"/>
              </w:rPr>
              <w:t>分</w:t>
            </w:r>
          </w:p>
        </w:tc>
        <w:tc>
          <w:tcPr>
            <w:tcW w:w="2834" w:type="dxa"/>
            <w:noWrap w:val="0"/>
            <w:vAlign w:val="center"/>
          </w:tcPr>
          <w:p w14:paraId="377D3371">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对本项目施工组织结构、施工总平面布置图、施工总体进度计划等进行评审</w:t>
            </w:r>
            <w:r>
              <w:rPr>
                <w:rFonts w:hint="eastAsia" w:ascii="黑体" w:hAnsi="黑体" w:eastAsia="黑体" w:cs="黑体"/>
                <w:color w:val="auto"/>
                <w:szCs w:val="21"/>
                <w:highlight w:val="none"/>
                <w:lang w:eastAsia="zh-CN"/>
              </w:rPr>
              <w:t>，按照</w:t>
            </w:r>
            <w:r>
              <w:rPr>
                <w:rFonts w:hint="eastAsia" w:ascii="黑体" w:hAnsi="黑体" w:eastAsia="黑体" w:cs="黑体"/>
                <w:color w:val="auto"/>
                <w:szCs w:val="21"/>
                <w:highlight w:val="none"/>
              </w:rPr>
              <w:t>合理</w:t>
            </w:r>
            <w:r>
              <w:rPr>
                <w:rFonts w:hint="eastAsia" w:ascii="黑体" w:hAnsi="黑体" w:eastAsia="黑体" w:cs="黑体"/>
                <w:color w:val="auto"/>
                <w:szCs w:val="21"/>
                <w:highlight w:val="none"/>
                <w:lang w:eastAsia="zh-CN"/>
              </w:rPr>
              <w:t>、全面</w:t>
            </w:r>
            <w:r>
              <w:rPr>
                <w:rFonts w:hint="eastAsia" w:ascii="黑体" w:hAnsi="黑体" w:eastAsia="黑体" w:cs="黑体"/>
                <w:color w:val="auto"/>
                <w:szCs w:val="21"/>
                <w:highlight w:val="none"/>
              </w:rPr>
              <w:t>、可靠、有效性得</w:t>
            </w:r>
            <w:r>
              <w:rPr>
                <w:rFonts w:hint="eastAsia" w:ascii="黑体" w:hAnsi="黑体" w:eastAsia="黑体" w:cs="黑体"/>
                <w:color w:val="auto"/>
                <w:szCs w:val="21"/>
                <w:highlight w:val="none"/>
                <w:lang w:val="en-US" w:eastAsia="zh-CN"/>
              </w:rPr>
              <w:t>3～5</w:t>
            </w:r>
            <w:r>
              <w:rPr>
                <w:rFonts w:hint="eastAsia" w:ascii="黑体" w:hAnsi="黑体" w:eastAsia="黑体" w:cs="黑体"/>
                <w:color w:val="auto"/>
                <w:szCs w:val="21"/>
                <w:highlight w:val="none"/>
              </w:rPr>
              <w:t>分</w:t>
            </w:r>
            <w:r>
              <w:rPr>
                <w:rFonts w:hint="eastAsia" w:ascii="黑体" w:hAnsi="黑体" w:eastAsia="黑体" w:cs="黑体"/>
                <w:color w:val="auto"/>
                <w:szCs w:val="21"/>
                <w:highlight w:val="none"/>
                <w:lang w:val="en-US" w:eastAsia="zh-CN"/>
              </w:rPr>
              <w:t>。</w:t>
            </w:r>
          </w:p>
        </w:tc>
      </w:tr>
      <w:tr w14:paraId="4C9C23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324" w:hRule="atLeast"/>
          <w:jc w:val="center"/>
        </w:trPr>
        <w:tc>
          <w:tcPr>
            <w:tcW w:w="1019" w:type="dxa"/>
            <w:vMerge w:val="continue"/>
            <w:noWrap w:val="0"/>
            <w:vAlign w:val="center"/>
          </w:tcPr>
          <w:p w14:paraId="67D1E9D9">
            <w:pPr>
              <w:rPr>
                <w:rFonts w:hint="eastAsia" w:ascii="黑体" w:hAnsi="黑体" w:eastAsia="黑体" w:cs="黑体"/>
                <w:color w:val="auto"/>
                <w:szCs w:val="21"/>
                <w:highlight w:val="none"/>
              </w:rPr>
            </w:pPr>
          </w:p>
        </w:tc>
        <w:tc>
          <w:tcPr>
            <w:tcW w:w="1135" w:type="dxa"/>
            <w:gridSpan w:val="2"/>
            <w:vMerge w:val="continue"/>
            <w:noWrap w:val="0"/>
            <w:vAlign w:val="center"/>
          </w:tcPr>
          <w:p w14:paraId="6A29C824">
            <w:pPr>
              <w:adjustRightInd w:val="0"/>
              <w:snapToGrid w:val="0"/>
              <w:jc w:val="center"/>
              <w:rPr>
                <w:rFonts w:hint="eastAsia" w:ascii="黑体" w:hAnsi="黑体" w:eastAsia="黑体" w:cs="黑体"/>
                <w:color w:val="auto"/>
                <w:szCs w:val="21"/>
                <w:highlight w:val="none"/>
              </w:rPr>
            </w:pPr>
          </w:p>
        </w:tc>
        <w:tc>
          <w:tcPr>
            <w:tcW w:w="1004" w:type="dxa"/>
            <w:vMerge w:val="continue"/>
            <w:noWrap w:val="0"/>
            <w:vAlign w:val="center"/>
          </w:tcPr>
          <w:p w14:paraId="6C563806">
            <w:pPr>
              <w:jc w:val="center"/>
              <w:rPr>
                <w:rFonts w:hint="eastAsia" w:ascii="黑体" w:hAnsi="黑体" w:eastAsia="黑体" w:cs="黑体"/>
                <w:color w:val="auto"/>
                <w:szCs w:val="21"/>
                <w:highlight w:val="none"/>
              </w:rPr>
            </w:pPr>
          </w:p>
        </w:tc>
        <w:tc>
          <w:tcPr>
            <w:tcW w:w="1999" w:type="dxa"/>
            <w:noWrap w:val="0"/>
            <w:vAlign w:val="center"/>
          </w:tcPr>
          <w:p w14:paraId="19D172EA">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主要工程项目的施工方案、方法与技术措施</w:t>
            </w:r>
          </w:p>
        </w:tc>
        <w:tc>
          <w:tcPr>
            <w:tcW w:w="1133" w:type="dxa"/>
            <w:noWrap w:val="0"/>
            <w:vAlign w:val="center"/>
          </w:tcPr>
          <w:p w14:paraId="0BE98CB3">
            <w:pPr>
              <w:snapToGrid w:val="0"/>
              <w:jc w:val="center"/>
              <w:rPr>
                <w:rFonts w:hint="eastAsia" w:ascii="黑体" w:hAnsi="黑体" w:eastAsia="黑体" w:cs="黑体"/>
                <w:color w:val="auto"/>
                <w:szCs w:val="21"/>
                <w:highlight w:val="none"/>
              </w:rPr>
            </w:pPr>
            <w:r>
              <w:rPr>
                <w:rFonts w:hint="eastAsia" w:ascii="黑体" w:hAnsi="黑体" w:eastAsia="黑体" w:cs="黑体"/>
                <w:b/>
                <w:bCs/>
                <w:color w:val="auto"/>
                <w:szCs w:val="21"/>
                <w:highlight w:val="none"/>
                <w:u w:val="single"/>
                <w:lang w:val="en-US" w:eastAsia="zh-CN"/>
              </w:rPr>
              <w:t>5</w:t>
            </w:r>
            <w:r>
              <w:rPr>
                <w:rFonts w:hint="eastAsia" w:ascii="黑体" w:hAnsi="黑体" w:eastAsia="黑体" w:cs="黑体"/>
                <w:color w:val="auto"/>
                <w:szCs w:val="21"/>
                <w:highlight w:val="none"/>
              </w:rPr>
              <w:t>分</w:t>
            </w:r>
          </w:p>
        </w:tc>
        <w:tc>
          <w:tcPr>
            <w:tcW w:w="2834" w:type="dxa"/>
            <w:noWrap w:val="0"/>
            <w:vAlign w:val="center"/>
          </w:tcPr>
          <w:p w14:paraId="0D8D59AF">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对本项目主要工程的施工方案、方法与技术措施的科学性、合理性，与项目实际结合的紧密程度等进行评审</w:t>
            </w:r>
            <w:r>
              <w:rPr>
                <w:rFonts w:hint="eastAsia" w:ascii="黑体" w:hAnsi="黑体" w:eastAsia="黑体" w:cs="黑体"/>
                <w:color w:val="auto"/>
                <w:szCs w:val="21"/>
                <w:highlight w:val="none"/>
                <w:lang w:eastAsia="zh-CN"/>
              </w:rPr>
              <w:t>，按照</w:t>
            </w:r>
            <w:r>
              <w:rPr>
                <w:rFonts w:hint="eastAsia" w:ascii="黑体" w:hAnsi="黑体" w:eastAsia="黑体" w:cs="黑体"/>
                <w:color w:val="auto"/>
                <w:szCs w:val="21"/>
                <w:highlight w:val="none"/>
              </w:rPr>
              <w:t>合理</w:t>
            </w:r>
            <w:r>
              <w:rPr>
                <w:rFonts w:hint="eastAsia" w:ascii="黑体" w:hAnsi="黑体" w:eastAsia="黑体" w:cs="黑体"/>
                <w:color w:val="auto"/>
                <w:szCs w:val="21"/>
                <w:highlight w:val="none"/>
                <w:lang w:eastAsia="zh-CN"/>
              </w:rPr>
              <w:t>、全面</w:t>
            </w:r>
            <w:r>
              <w:rPr>
                <w:rFonts w:hint="eastAsia" w:ascii="黑体" w:hAnsi="黑体" w:eastAsia="黑体" w:cs="黑体"/>
                <w:color w:val="auto"/>
                <w:szCs w:val="21"/>
                <w:highlight w:val="none"/>
              </w:rPr>
              <w:t>、可靠、有效性得</w:t>
            </w:r>
            <w:r>
              <w:rPr>
                <w:rFonts w:hint="eastAsia" w:ascii="黑体" w:hAnsi="黑体" w:eastAsia="黑体" w:cs="黑体"/>
                <w:color w:val="auto"/>
                <w:szCs w:val="21"/>
                <w:highlight w:val="none"/>
                <w:lang w:val="en-US" w:eastAsia="zh-CN"/>
              </w:rPr>
              <w:t>3～5</w:t>
            </w:r>
            <w:r>
              <w:rPr>
                <w:rFonts w:hint="eastAsia" w:ascii="黑体" w:hAnsi="黑体" w:eastAsia="黑体" w:cs="黑体"/>
                <w:color w:val="auto"/>
                <w:szCs w:val="21"/>
                <w:highlight w:val="none"/>
              </w:rPr>
              <w:t>分</w:t>
            </w:r>
            <w:r>
              <w:rPr>
                <w:rFonts w:hint="eastAsia" w:ascii="黑体" w:hAnsi="黑体" w:eastAsia="黑体" w:cs="黑体"/>
                <w:color w:val="auto"/>
                <w:szCs w:val="21"/>
                <w:highlight w:val="none"/>
                <w:lang w:val="en-US" w:eastAsia="zh-CN"/>
              </w:rPr>
              <w:t>。</w:t>
            </w:r>
          </w:p>
        </w:tc>
      </w:tr>
      <w:tr w14:paraId="6D041B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324" w:hRule="atLeast"/>
          <w:jc w:val="center"/>
        </w:trPr>
        <w:tc>
          <w:tcPr>
            <w:tcW w:w="1019" w:type="dxa"/>
            <w:vMerge w:val="continue"/>
            <w:noWrap w:val="0"/>
            <w:vAlign w:val="center"/>
          </w:tcPr>
          <w:p w14:paraId="05C0C843">
            <w:pPr>
              <w:rPr>
                <w:rFonts w:hint="eastAsia" w:ascii="黑体" w:hAnsi="黑体" w:eastAsia="黑体" w:cs="黑体"/>
                <w:color w:val="auto"/>
                <w:szCs w:val="21"/>
                <w:highlight w:val="none"/>
              </w:rPr>
            </w:pPr>
          </w:p>
        </w:tc>
        <w:tc>
          <w:tcPr>
            <w:tcW w:w="1135" w:type="dxa"/>
            <w:gridSpan w:val="2"/>
            <w:vMerge w:val="continue"/>
            <w:noWrap w:val="0"/>
            <w:vAlign w:val="center"/>
          </w:tcPr>
          <w:p w14:paraId="282FACF2">
            <w:pPr>
              <w:adjustRightInd w:val="0"/>
              <w:snapToGrid w:val="0"/>
              <w:jc w:val="center"/>
              <w:rPr>
                <w:rFonts w:hint="eastAsia" w:ascii="黑体" w:hAnsi="黑体" w:eastAsia="黑体" w:cs="黑体"/>
                <w:color w:val="auto"/>
                <w:szCs w:val="21"/>
                <w:highlight w:val="none"/>
              </w:rPr>
            </w:pPr>
          </w:p>
        </w:tc>
        <w:tc>
          <w:tcPr>
            <w:tcW w:w="1004" w:type="dxa"/>
            <w:vMerge w:val="continue"/>
            <w:noWrap w:val="0"/>
            <w:vAlign w:val="center"/>
          </w:tcPr>
          <w:p w14:paraId="7288BDD5">
            <w:pPr>
              <w:jc w:val="center"/>
              <w:rPr>
                <w:rFonts w:hint="eastAsia" w:ascii="黑体" w:hAnsi="黑体" w:eastAsia="黑体" w:cs="黑体"/>
                <w:color w:val="auto"/>
                <w:szCs w:val="21"/>
                <w:highlight w:val="none"/>
              </w:rPr>
            </w:pPr>
          </w:p>
        </w:tc>
        <w:tc>
          <w:tcPr>
            <w:tcW w:w="1999" w:type="dxa"/>
            <w:noWrap w:val="0"/>
            <w:vAlign w:val="center"/>
          </w:tcPr>
          <w:p w14:paraId="2A092CCF">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工期保证体系及保证措施</w:t>
            </w:r>
          </w:p>
        </w:tc>
        <w:tc>
          <w:tcPr>
            <w:tcW w:w="1133" w:type="dxa"/>
            <w:noWrap w:val="0"/>
            <w:vAlign w:val="center"/>
          </w:tcPr>
          <w:p w14:paraId="076B7838">
            <w:pPr>
              <w:snapToGrid w:val="0"/>
              <w:jc w:val="center"/>
              <w:rPr>
                <w:rFonts w:hint="eastAsia" w:ascii="黑体" w:hAnsi="黑体" w:eastAsia="黑体" w:cs="黑体"/>
                <w:color w:val="auto"/>
                <w:szCs w:val="21"/>
                <w:highlight w:val="none"/>
              </w:rPr>
            </w:pPr>
            <w:r>
              <w:rPr>
                <w:rFonts w:hint="eastAsia" w:ascii="黑体" w:hAnsi="黑体" w:eastAsia="黑体" w:cs="黑体"/>
                <w:b/>
                <w:bCs/>
                <w:color w:val="auto"/>
                <w:szCs w:val="21"/>
                <w:highlight w:val="none"/>
                <w:u w:val="single"/>
                <w:lang w:val="en-US" w:eastAsia="zh-CN"/>
              </w:rPr>
              <w:t>5</w:t>
            </w:r>
            <w:r>
              <w:rPr>
                <w:rFonts w:hint="eastAsia" w:ascii="黑体" w:hAnsi="黑体" w:eastAsia="黑体" w:cs="黑体"/>
                <w:color w:val="auto"/>
                <w:szCs w:val="21"/>
                <w:highlight w:val="none"/>
              </w:rPr>
              <w:t>分</w:t>
            </w:r>
          </w:p>
        </w:tc>
        <w:tc>
          <w:tcPr>
            <w:tcW w:w="2834" w:type="dxa"/>
            <w:noWrap w:val="0"/>
            <w:vAlign w:val="center"/>
          </w:tcPr>
          <w:p w14:paraId="11E906F1">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对是否满足总工期和阶段工期要求、工期保证体系是否健全、制度是否完善、工期保证措施是否合理可行等进行评审</w:t>
            </w:r>
            <w:r>
              <w:rPr>
                <w:rFonts w:hint="eastAsia" w:ascii="黑体" w:hAnsi="黑体" w:eastAsia="黑体" w:cs="黑体"/>
                <w:color w:val="auto"/>
                <w:szCs w:val="21"/>
                <w:highlight w:val="none"/>
                <w:lang w:eastAsia="zh-CN"/>
              </w:rPr>
              <w:t>，按照</w:t>
            </w:r>
            <w:r>
              <w:rPr>
                <w:rFonts w:hint="eastAsia" w:ascii="黑体" w:hAnsi="黑体" w:eastAsia="黑体" w:cs="黑体"/>
                <w:color w:val="auto"/>
                <w:szCs w:val="21"/>
                <w:highlight w:val="none"/>
              </w:rPr>
              <w:t>合理</w:t>
            </w:r>
            <w:r>
              <w:rPr>
                <w:rFonts w:hint="eastAsia" w:ascii="黑体" w:hAnsi="黑体" w:eastAsia="黑体" w:cs="黑体"/>
                <w:color w:val="auto"/>
                <w:szCs w:val="21"/>
                <w:highlight w:val="none"/>
                <w:lang w:eastAsia="zh-CN"/>
              </w:rPr>
              <w:t>、全面</w:t>
            </w:r>
            <w:r>
              <w:rPr>
                <w:rFonts w:hint="eastAsia" w:ascii="黑体" w:hAnsi="黑体" w:eastAsia="黑体" w:cs="黑体"/>
                <w:color w:val="auto"/>
                <w:szCs w:val="21"/>
                <w:highlight w:val="none"/>
              </w:rPr>
              <w:t>、可靠、有效性得</w:t>
            </w:r>
            <w:r>
              <w:rPr>
                <w:rFonts w:hint="eastAsia" w:ascii="黑体" w:hAnsi="黑体" w:eastAsia="黑体" w:cs="黑体"/>
                <w:color w:val="auto"/>
                <w:szCs w:val="21"/>
                <w:highlight w:val="none"/>
                <w:lang w:val="en-US" w:eastAsia="zh-CN"/>
              </w:rPr>
              <w:t>3～5</w:t>
            </w:r>
            <w:r>
              <w:rPr>
                <w:rFonts w:hint="eastAsia" w:ascii="黑体" w:hAnsi="黑体" w:eastAsia="黑体" w:cs="黑体"/>
                <w:color w:val="auto"/>
                <w:szCs w:val="21"/>
                <w:highlight w:val="none"/>
              </w:rPr>
              <w:t>分</w:t>
            </w:r>
            <w:r>
              <w:rPr>
                <w:rFonts w:hint="eastAsia" w:ascii="黑体" w:hAnsi="黑体" w:eastAsia="黑体" w:cs="黑体"/>
                <w:color w:val="auto"/>
                <w:szCs w:val="21"/>
                <w:highlight w:val="none"/>
                <w:lang w:val="en-US" w:eastAsia="zh-CN"/>
              </w:rPr>
              <w:t>。</w:t>
            </w:r>
          </w:p>
        </w:tc>
      </w:tr>
      <w:tr w14:paraId="4860A8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324" w:hRule="atLeast"/>
          <w:jc w:val="center"/>
        </w:trPr>
        <w:tc>
          <w:tcPr>
            <w:tcW w:w="1019" w:type="dxa"/>
            <w:vMerge w:val="continue"/>
            <w:noWrap w:val="0"/>
            <w:vAlign w:val="center"/>
          </w:tcPr>
          <w:p w14:paraId="19A30429">
            <w:pPr>
              <w:rPr>
                <w:rFonts w:hint="eastAsia" w:ascii="黑体" w:hAnsi="黑体" w:eastAsia="黑体" w:cs="黑体"/>
                <w:color w:val="auto"/>
                <w:szCs w:val="21"/>
                <w:highlight w:val="none"/>
              </w:rPr>
            </w:pPr>
          </w:p>
        </w:tc>
        <w:tc>
          <w:tcPr>
            <w:tcW w:w="1135" w:type="dxa"/>
            <w:gridSpan w:val="2"/>
            <w:vMerge w:val="continue"/>
            <w:noWrap w:val="0"/>
            <w:vAlign w:val="center"/>
          </w:tcPr>
          <w:p w14:paraId="746004F2">
            <w:pPr>
              <w:adjustRightInd w:val="0"/>
              <w:snapToGrid w:val="0"/>
              <w:jc w:val="center"/>
              <w:rPr>
                <w:rFonts w:hint="eastAsia" w:ascii="黑体" w:hAnsi="黑体" w:eastAsia="黑体" w:cs="黑体"/>
                <w:color w:val="auto"/>
                <w:szCs w:val="21"/>
                <w:highlight w:val="none"/>
              </w:rPr>
            </w:pPr>
          </w:p>
        </w:tc>
        <w:tc>
          <w:tcPr>
            <w:tcW w:w="1004" w:type="dxa"/>
            <w:vMerge w:val="continue"/>
            <w:noWrap w:val="0"/>
            <w:vAlign w:val="center"/>
          </w:tcPr>
          <w:p w14:paraId="385B7639">
            <w:pPr>
              <w:jc w:val="center"/>
              <w:rPr>
                <w:rFonts w:hint="eastAsia" w:ascii="黑体" w:hAnsi="黑体" w:eastAsia="黑体" w:cs="黑体"/>
                <w:color w:val="auto"/>
                <w:szCs w:val="21"/>
                <w:highlight w:val="none"/>
              </w:rPr>
            </w:pPr>
          </w:p>
        </w:tc>
        <w:tc>
          <w:tcPr>
            <w:tcW w:w="1999" w:type="dxa"/>
            <w:noWrap w:val="0"/>
            <w:vAlign w:val="center"/>
          </w:tcPr>
          <w:p w14:paraId="3CDA1F98">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质量保证体系及保证措施</w:t>
            </w:r>
          </w:p>
        </w:tc>
        <w:tc>
          <w:tcPr>
            <w:tcW w:w="1133" w:type="dxa"/>
            <w:noWrap w:val="0"/>
            <w:vAlign w:val="center"/>
          </w:tcPr>
          <w:p w14:paraId="21A1D524">
            <w:pPr>
              <w:snapToGrid w:val="0"/>
              <w:jc w:val="center"/>
              <w:rPr>
                <w:rFonts w:hint="eastAsia" w:ascii="黑体" w:hAnsi="黑体" w:eastAsia="黑体" w:cs="黑体"/>
                <w:color w:val="auto"/>
                <w:szCs w:val="21"/>
                <w:highlight w:val="none"/>
              </w:rPr>
            </w:pPr>
            <w:r>
              <w:rPr>
                <w:rFonts w:hint="eastAsia" w:ascii="黑体" w:hAnsi="黑体" w:eastAsia="黑体" w:cs="黑体"/>
                <w:b/>
                <w:bCs/>
                <w:color w:val="auto"/>
                <w:szCs w:val="21"/>
                <w:highlight w:val="none"/>
                <w:u w:val="single"/>
                <w:lang w:val="en-US" w:eastAsia="zh-CN"/>
              </w:rPr>
              <w:t>5</w:t>
            </w:r>
            <w:r>
              <w:rPr>
                <w:rFonts w:hint="eastAsia" w:ascii="黑体" w:hAnsi="黑体" w:eastAsia="黑体" w:cs="黑体"/>
                <w:color w:val="auto"/>
                <w:szCs w:val="21"/>
                <w:highlight w:val="none"/>
              </w:rPr>
              <w:t>分</w:t>
            </w:r>
          </w:p>
        </w:tc>
        <w:tc>
          <w:tcPr>
            <w:tcW w:w="2834" w:type="dxa"/>
            <w:noWrap w:val="0"/>
            <w:vAlign w:val="center"/>
          </w:tcPr>
          <w:p w14:paraId="09B07DB4">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对质量是否满足要求、质量管理体系是否健全、制度是否完善、合理可行等进行评审</w:t>
            </w:r>
            <w:r>
              <w:rPr>
                <w:rFonts w:hint="eastAsia" w:ascii="黑体" w:hAnsi="黑体" w:eastAsia="黑体" w:cs="黑体"/>
                <w:color w:val="auto"/>
                <w:szCs w:val="21"/>
                <w:highlight w:val="none"/>
                <w:lang w:eastAsia="zh-CN"/>
              </w:rPr>
              <w:t>，按照</w:t>
            </w:r>
            <w:r>
              <w:rPr>
                <w:rFonts w:hint="eastAsia" w:ascii="黑体" w:hAnsi="黑体" w:eastAsia="黑体" w:cs="黑体"/>
                <w:color w:val="auto"/>
                <w:szCs w:val="21"/>
                <w:highlight w:val="none"/>
              </w:rPr>
              <w:t>合理</w:t>
            </w:r>
            <w:r>
              <w:rPr>
                <w:rFonts w:hint="eastAsia" w:ascii="黑体" w:hAnsi="黑体" w:eastAsia="黑体" w:cs="黑体"/>
                <w:color w:val="auto"/>
                <w:szCs w:val="21"/>
                <w:highlight w:val="none"/>
                <w:lang w:eastAsia="zh-CN"/>
              </w:rPr>
              <w:t>、全面</w:t>
            </w:r>
            <w:r>
              <w:rPr>
                <w:rFonts w:hint="eastAsia" w:ascii="黑体" w:hAnsi="黑体" w:eastAsia="黑体" w:cs="黑体"/>
                <w:color w:val="auto"/>
                <w:szCs w:val="21"/>
                <w:highlight w:val="none"/>
              </w:rPr>
              <w:t>、可靠、有效性得</w:t>
            </w:r>
            <w:r>
              <w:rPr>
                <w:rFonts w:hint="eastAsia" w:ascii="黑体" w:hAnsi="黑体" w:eastAsia="黑体" w:cs="黑体"/>
                <w:color w:val="auto"/>
                <w:szCs w:val="21"/>
                <w:highlight w:val="none"/>
                <w:lang w:val="en-US" w:eastAsia="zh-CN"/>
              </w:rPr>
              <w:t>3～5</w:t>
            </w:r>
            <w:r>
              <w:rPr>
                <w:rFonts w:hint="eastAsia" w:ascii="黑体" w:hAnsi="黑体" w:eastAsia="黑体" w:cs="黑体"/>
                <w:color w:val="auto"/>
                <w:szCs w:val="21"/>
                <w:highlight w:val="none"/>
              </w:rPr>
              <w:t>分</w:t>
            </w:r>
            <w:r>
              <w:rPr>
                <w:rFonts w:hint="eastAsia" w:ascii="黑体" w:hAnsi="黑体" w:eastAsia="黑体" w:cs="黑体"/>
                <w:color w:val="auto"/>
                <w:szCs w:val="21"/>
                <w:highlight w:val="none"/>
                <w:lang w:val="en-US" w:eastAsia="zh-CN"/>
              </w:rPr>
              <w:t>。</w:t>
            </w:r>
          </w:p>
        </w:tc>
      </w:tr>
      <w:tr w14:paraId="026F2A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324" w:hRule="atLeast"/>
          <w:jc w:val="center"/>
        </w:trPr>
        <w:tc>
          <w:tcPr>
            <w:tcW w:w="1019" w:type="dxa"/>
            <w:vMerge w:val="continue"/>
            <w:noWrap w:val="0"/>
            <w:vAlign w:val="center"/>
          </w:tcPr>
          <w:p w14:paraId="2D8AAC69">
            <w:pPr>
              <w:rPr>
                <w:rFonts w:hint="eastAsia" w:ascii="黑体" w:hAnsi="黑体" w:eastAsia="黑体" w:cs="黑体"/>
                <w:color w:val="auto"/>
                <w:szCs w:val="21"/>
                <w:highlight w:val="none"/>
              </w:rPr>
            </w:pPr>
          </w:p>
        </w:tc>
        <w:tc>
          <w:tcPr>
            <w:tcW w:w="1135" w:type="dxa"/>
            <w:gridSpan w:val="2"/>
            <w:vMerge w:val="continue"/>
            <w:noWrap w:val="0"/>
            <w:vAlign w:val="center"/>
          </w:tcPr>
          <w:p w14:paraId="4F941B32">
            <w:pPr>
              <w:adjustRightInd w:val="0"/>
              <w:snapToGrid w:val="0"/>
              <w:jc w:val="center"/>
              <w:rPr>
                <w:rFonts w:hint="eastAsia" w:ascii="黑体" w:hAnsi="黑体" w:eastAsia="黑体" w:cs="黑体"/>
                <w:color w:val="auto"/>
                <w:szCs w:val="21"/>
                <w:highlight w:val="none"/>
              </w:rPr>
            </w:pPr>
          </w:p>
        </w:tc>
        <w:tc>
          <w:tcPr>
            <w:tcW w:w="1004" w:type="dxa"/>
            <w:vMerge w:val="continue"/>
            <w:noWrap w:val="0"/>
            <w:vAlign w:val="center"/>
          </w:tcPr>
          <w:p w14:paraId="51AE6087">
            <w:pPr>
              <w:jc w:val="center"/>
              <w:rPr>
                <w:rFonts w:hint="eastAsia" w:ascii="黑体" w:hAnsi="黑体" w:eastAsia="黑体" w:cs="黑体"/>
                <w:color w:val="auto"/>
                <w:szCs w:val="21"/>
                <w:highlight w:val="none"/>
              </w:rPr>
            </w:pPr>
          </w:p>
        </w:tc>
        <w:tc>
          <w:tcPr>
            <w:tcW w:w="1999" w:type="dxa"/>
            <w:noWrap w:val="0"/>
            <w:vAlign w:val="center"/>
          </w:tcPr>
          <w:p w14:paraId="16B35E4E">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安全生产保证体系及保证措施</w:t>
            </w:r>
          </w:p>
        </w:tc>
        <w:tc>
          <w:tcPr>
            <w:tcW w:w="1133" w:type="dxa"/>
            <w:noWrap w:val="0"/>
            <w:vAlign w:val="center"/>
          </w:tcPr>
          <w:p w14:paraId="52A35DA1">
            <w:pPr>
              <w:snapToGrid w:val="0"/>
              <w:jc w:val="center"/>
              <w:rPr>
                <w:rFonts w:hint="eastAsia" w:ascii="黑体" w:hAnsi="黑体" w:eastAsia="黑体" w:cs="黑体"/>
                <w:color w:val="auto"/>
                <w:szCs w:val="21"/>
                <w:highlight w:val="none"/>
              </w:rPr>
            </w:pPr>
            <w:r>
              <w:rPr>
                <w:rFonts w:hint="eastAsia" w:ascii="黑体" w:hAnsi="黑体" w:eastAsia="黑体" w:cs="黑体"/>
                <w:b/>
                <w:bCs/>
                <w:color w:val="auto"/>
                <w:szCs w:val="21"/>
                <w:highlight w:val="none"/>
                <w:u w:val="single"/>
                <w:lang w:val="en-US" w:eastAsia="zh-CN"/>
              </w:rPr>
              <w:t>5</w:t>
            </w:r>
            <w:r>
              <w:rPr>
                <w:rFonts w:hint="eastAsia" w:ascii="黑体" w:hAnsi="黑体" w:eastAsia="黑体" w:cs="黑体"/>
                <w:color w:val="auto"/>
                <w:szCs w:val="21"/>
                <w:highlight w:val="none"/>
              </w:rPr>
              <w:t>分</w:t>
            </w:r>
          </w:p>
        </w:tc>
        <w:tc>
          <w:tcPr>
            <w:tcW w:w="2834" w:type="dxa"/>
            <w:noWrap w:val="0"/>
            <w:vAlign w:val="center"/>
          </w:tcPr>
          <w:p w14:paraId="59EFBCC6">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对安全生产是否满足要求、安全生产管理体系是否健全、制度是否完善、合理可行等进行评审</w:t>
            </w:r>
            <w:r>
              <w:rPr>
                <w:rFonts w:hint="eastAsia" w:ascii="黑体" w:hAnsi="黑体" w:eastAsia="黑体" w:cs="黑体"/>
                <w:color w:val="auto"/>
                <w:szCs w:val="21"/>
                <w:highlight w:val="none"/>
                <w:lang w:eastAsia="zh-CN"/>
              </w:rPr>
              <w:t>，按照</w:t>
            </w:r>
            <w:r>
              <w:rPr>
                <w:rFonts w:hint="eastAsia" w:ascii="黑体" w:hAnsi="黑体" w:eastAsia="黑体" w:cs="黑体"/>
                <w:color w:val="auto"/>
                <w:szCs w:val="21"/>
                <w:highlight w:val="none"/>
              </w:rPr>
              <w:t>合理</w:t>
            </w:r>
            <w:r>
              <w:rPr>
                <w:rFonts w:hint="eastAsia" w:ascii="黑体" w:hAnsi="黑体" w:eastAsia="黑体" w:cs="黑体"/>
                <w:color w:val="auto"/>
                <w:szCs w:val="21"/>
                <w:highlight w:val="none"/>
                <w:lang w:eastAsia="zh-CN"/>
              </w:rPr>
              <w:t>、全面</w:t>
            </w:r>
            <w:r>
              <w:rPr>
                <w:rFonts w:hint="eastAsia" w:ascii="黑体" w:hAnsi="黑体" w:eastAsia="黑体" w:cs="黑体"/>
                <w:color w:val="auto"/>
                <w:szCs w:val="21"/>
                <w:highlight w:val="none"/>
              </w:rPr>
              <w:t>、可靠、有效性得</w:t>
            </w:r>
            <w:r>
              <w:rPr>
                <w:rFonts w:hint="eastAsia" w:ascii="黑体" w:hAnsi="黑体" w:eastAsia="黑体" w:cs="黑体"/>
                <w:color w:val="auto"/>
                <w:szCs w:val="21"/>
                <w:highlight w:val="none"/>
                <w:lang w:val="en-US" w:eastAsia="zh-CN"/>
              </w:rPr>
              <w:t>3～5</w:t>
            </w:r>
            <w:r>
              <w:rPr>
                <w:rFonts w:hint="eastAsia" w:ascii="黑体" w:hAnsi="黑体" w:eastAsia="黑体" w:cs="黑体"/>
                <w:color w:val="auto"/>
                <w:szCs w:val="21"/>
                <w:highlight w:val="none"/>
              </w:rPr>
              <w:t>分</w:t>
            </w:r>
            <w:r>
              <w:rPr>
                <w:rFonts w:hint="eastAsia" w:ascii="黑体" w:hAnsi="黑体" w:eastAsia="黑体" w:cs="黑体"/>
                <w:color w:val="auto"/>
                <w:szCs w:val="21"/>
                <w:highlight w:val="none"/>
                <w:lang w:val="en-US" w:eastAsia="zh-CN"/>
              </w:rPr>
              <w:t>。</w:t>
            </w:r>
          </w:p>
        </w:tc>
      </w:tr>
      <w:tr w14:paraId="2DD45E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324" w:hRule="atLeast"/>
          <w:jc w:val="center"/>
        </w:trPr>
        <w:tc>
          <w:tcPr>
            <w:tcW w:w="1019" w:type="dxa"/>
            <w:vMerge w:val="continue"/>
            <w:noWrap w:val="0"/>
            <w:vAlign w:val="center"/>
          </w:tcPr>
          <w:p w14:paraId="01BD71C5">
            <w:pPr>
              <w:rPr>
                <w:rFonts w:hint="eastAsia" w:ascii="黑体" w:hAnsi="黑体" w:eastAsia="黑体" w:cs="黑体"/>
                <w:color w:val="auto"/>
                <w:szCs w:val="21"/>
                <w:highlight w:val="none"/>
              </w:rPr>
            </w:pPr>
          </w:p>
        </w:tc>
        <w:tc>
          <w:tcPr>
            <w:tcW w:w="1135" w:type="dxa"/>
            <w:gridSpan w:val="2"/>
            <w:vMerge w:val="continue"/>
            <w:noWrap w:val="0"/>
            <w:vAlign w:val="center"/>
          </w:tcPr>
          <w:p w14:paraId="3EAD0BFD">
            <w:pPr>
              <w:adjustRightInd w:val="0"/>
              <w:snapToGrid w:val="0"/>
              <w:jc w:val="center"/>
              <w:rPr>
                <w:rFonts w:hint="eastAsia" w:ascii="黑体" w:hAnsi="黑体" w:eastAsia="黑体" w:cs="黑体"/>
                <w:color w:val="auto"/>
                <w:szCs w:val="21"/>
                <w:highlight w:val="none"/>
              </w:rPr>
            </w:pPr>
          </w:p>
        </w:tc>
        <w:tc>
          <w:tcPr>
            <w:tcW w:w="1004" w:type="dxa"/>
            <w:vMerge w:val="continue"/>
            <w:noWrap w:val="0"/>
            <w:vAlign w:val="center"/>
          </w:tcPr>
          <w:p w14:paraId="2D9B4D3E">
            <w:pPr>
              <w:jc w:val="center"/>
              <w:rPr>
                <w:rFonts w:hint="eastAsia" w:ascii="黑体" w:hAnsi="黑体" w:eastAsia="黑体" w:cs="黑体"/>
                <w:color w:val="auto"/>
                <w:szCs w:val="21"/>
                <w:highlight w:val="none"/>
              </w:rPr>
            </w:pPr>
          </w:p>
        </w:tc>
        <w:tc>
          <w:tcPr>
            <w:tcW w:w="1999" w:type="dxa"/>
            <w:noWrap w:val="0"/>
            <w:vAlign w:val="center"/>
          </w:tcPr>
          <w:p w14:paraId="25FAE86C">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环境保护、水土保持保证体系及保证措施</w:t>
            </w:r>
          </w:p>
        </w:tc>
        <w:tc>
          <w:tcPr>
            <w:tcW w:w="1133" w:type="dxa"/>
            <w:noWrap w:val="0"/>
            <w:vAlign w:val="center"/>
          </w:tcPr>
          <w:p w14:paraId="2FF7E9B8">
            <w:pPr>
              <w:snapToGrid w:val="0"/>
              <w:jc w:val="center"/>
              <w:rPr>
                <w:rFonts w:hint="eastAsia" w:ascii="黑体" w:hAnsi="黑体" w:eastAsia="黑体" w:cs="黑体"/>
                <w:color w:val="auto"/>
                <w:szCs w:val="21"/>
                <w:highlight w:val="none"/>
              </w:rPr>
            </w:pPr>
            <w:r>
              <w:rPr>
                <w:rFonts w:hint="eastAsia" w:ascii="黑体" w:hAnsi="黑体" w:eastAsia="黑体" w:cs="黑体"/>
                <w:b/>
                <w:bCs/>
                <w:color w:val="auto"/>
                <w:szCs w:val="21"/>
                <w:highlight w:val="none"/>
                <w:u w:val="single"/>
                <w:lang w:val="en-US" w:eastAsia="zh-CN"/>
              </w:rPr>
              <w:t>3</w:t>
            </w:r>
            <w:r>
              <w:rPr>
                <w:rFonts w:hint="eastAsia" w:ascii="黑体" w:hAnsi="黑体" w:eastAsia="黑体" w:cs="黑体"/>
                <w:color w:val="auto"/>
                <w:szCs w:val="21"/>
                <w:highlight w:val="none"/>
              </w:rPr>
              <w:t>分</w:t>
            </w:r>
          </w:p>
        </w:tc>
        <w:tc>
          <w:tcPr>
            <w:tcW w:w="2834" w:type="dxa"/>
            <w:noWrap w:val="0"/>
            <w:vAlign w:val="center"/>
          </w:tcPr>
          <w:p w14:paraId="4C456D78">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对环境保护、水土保持保证体系是否健全、制度是否完善、合理可行等进行评审</w:t>
            </w:r>
            <w:r>
              <w:rPr>
                <w:rFonts w:hint="eastAsia" w:ascii="黑体" w:hAnsi="黑体" w:eastAsia="黑体" w:cs="黑体"/>
                <w:color w:val="auto"/>
                <w:szCs w:val="21"/>
                <w:highlight w:val="none"/>
                <w:lang w:eastAsia="zh-CN"/>
              </w:rPr>
              <w:t>，按照</w:t>
            </w:r>
            <w:r>
              <w:rPr>
                <w:rFonts w:hint="eastAsia" w:ascii="黑体" w:hAnsi="黑体" w:eastAsia="黑体" w:cs="黑体"/>
                <w:color w:val="auto"/>
                <w:szCs w:val="21"/>
                <w:highlight w:val="none"/>
              </w:rPr>
              <w:t>合理</w:t>
            </w:r>
            <w:r>
              <w:rPr>
                <w:rFonts w:hint="eastAsia" w:ascii="黑体" w:hAnsi="黑体" w:eastAsia="黑体" w:cs="黑体"/>
                <w:color w:val="auto"/>
                <w:szCs w:val="21"/>
                <w:highlight w:val="none"/>
                <w:lang w:eastAsia="zh-CN"/>
              </w:rPr>
              <w:t>、全面</w:t>
            </w:r>
            <w:r>
              <w:rPr>
                <w:rFonts w:hint="eastAsia" w:ascii="黑体" w:hAnsi="黑体" w:eastAsia="黑体" w:cs="黑体"/>
                <w:color w:val="auto"/>
                <w:szCs w:val="21"/>
                <w:highlight w:val="none"/>
              </w:rPr>
              <w:t>、可靠、有效性得</w:t>
            </w:r>
            <w:r>
              <w:rPr>
                <w:rFonts w:hint="eastAsia" w:ascii="黑体" w:hAnsi="黑体" w:eastAsia="黑体" w:cs="黑体"/>
                <w:color w:val="auto"/>
                <w:szCs w:val="21"/>
                <w:highlight w:val="none"/>
                <w:lang w:val="en-US" w:eastAsia="zh-CN"/>
              </w:rPr>
              <w:t>1.8～3</w:t>
            </w:r>
            <w:r>
              <w:rPr>
                <w:rFonts w:hint="eastAsia" w:ascii="黑体" w:hAnsi="黑体" w:eastAsia="黑体" w:cs="黑体"/>
                <w:color w:val="auto"/>
                <w:szCs w:val="21"/>
                <w:highlight w:val="none"/>
              </w:rPr>
              <w:t>分</w:t>
            </w:r>
            <w:r>
              <w:rPr>
                <w:rFonts w:hint="eastAsia" w:ascii="黑体" w:hAnsi="黑体" w:eastAsia="黑体" w:cs="黑体"/>
                <w:color w:val="auto"/>
                <w:szCs w:val="21"/>
                <w:highlight w:val="none"/>
                <w:lang w:val="en-US" w:eastAsia="zh-CN"/>
              </w:rPr>
              <w:t>。</w:t>
            </w:r>
          </w:p>
        </w:tc>
      </w:tr>
      <w:tr w14:paraId="3BC20C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324" w:hRule="atLeast"/>
          <w:jc w:val="center"/>
        </w:trPr>
        <w:tc>
          <w:tcPr>
            <w:tcW w:w="1019" w:type="dxa"/>
            <w:vMerge w:val="continue"/>
            <w:noWrap w:val="0"/>
            <w:vAlign w:val="center"/>
          </w:tcPr>
          <w:p w14:paraId="18BB1A00">
            <w:pPr>
              <w:rPr>
                <w:rFonts w:hint="eastAsia" w:ascii="黑体" w:hAnsi="黑体" w:eastAsia="黑体" w:cs="黑体"/>
                <w:color w:val="auto"/>
                <w:szCs w:val="21"/>
                <w:highlight w:val="none"/>
              </w:rPr>
            </w:pPr>
          </w:p>
        </w:tc>
        <w:tc>
          <w:tcPr>
            <w:tcW w:w="1135" w:type="dxa"/>
            <w:gridSpan w:val="2"/>
            <w:vMerge w:val="continue"/>
            <w:noWrap w:val="0"/>
            <w:vAlign w:val="center"/>
          </w:tcPr>
          <w:p w14:paraId="66EE618F">
            <w:pPr>
              <w:adjustRightInd w:val="0"/>
              <w:snapToGrid w:val="0"/>
              <w:jc w:val="center"/>
              <w:rPr>
                <w:rFonts w:hint="eastAsia" w:ascii="黑体" w:hAnsi="黑体" w:eastAsia="黑体" w:cs="黑体"/>
                <w:color w:val="auto"/>
                <w:szCs w:val="21"/>
                <w:highlight w:val="none"/>
              </w:rPr>
            </w:pPr>
          </w:p>
        </w:tc>
        <w:tc>
          <w:tcPr>
            <w:tcW w:w="1004" w:type="dxa"/>
            <w:vMerge w:val="continue"/>
            <w:noWrap w:val="0"/>
            <w:vAlign w:val="center"/>
          </w:tcPr>
          <w:p w14:paraId="54113640">
            <w:pPr>
              <w:jc w:val="center"/>
              <w:rPr>
                <w:rFonts w:hint="eastAsia" w:ascii="黑体" w:hAnsi="黑体" w:eastAsia="黑体" w:cs="黑体"/>
                <w:color w:val="auto"/>
                <w:szCs w:val="21"/>
                <w:highlight w:val="none"/>
              </w:rPr>
            </w:pPr>
          </w:p>
        </w:tc>
        <w:tc>
          <w:tcPr>
            <w:tcW w:w="1999" w:type="dxa"/>
            <w:noWrap w:val="0"/>
            <w:vAlign w:val="center"/>
          </w:tcPr>
          <w:p w14:paraId="4422932F">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文明施工、文物保护保证体系及保证措施</w:t>
            </w:r>
          </w:p>
        </w:tc>
        <w:tc>
          <w:tcPr>
            <w:tcW w:w="1133" w:type="dxa"/>
            <w:noWrap w:val="0"/>
            <w:vAlign w:val="center"/>
          </w:tcPr>
          <w:p w14:paraId="6947C5A3">
            <w:pPr>
              <w:snapToGrid w:val="0"/>
              <w:jc w:val="center"/>
              <w:rPr>
                <w:rFonts w:hint="eastAsia" w:ascii="黑体" w:hAnsi="黑体" w:eastAsia="黑体" w:cs="黑体"/>
                <w:color w:val="auto"/>
                <w:szCs w:val="21"/>
                <w:highlight w:val="none"/>
              </w:rPr>
            </w:pPr>
            <w:r>
              <w:rPr>
                <w:rFonts w:hint="eastAsia" w:ascii="黑体" w:hAnsi="黑体" w:eastAsia="黑体" w:cs="黑体"/>
                <w:b/>
                <w:bCs/>
                <w:color w:val="auto"/>
                <w:szCs w:val="21"/>
                <w:highlight w:val="none"/>
                <w:u w:val="single"/>
                <w:lang w:val="en-US" w:eastAsia="zh-CN"/>
              </w:rPr>
              <w:t>3</w:t>
            </w:r>
            <w:r>
              <w:rPr>
                <w:rFonts w:hint="eastAsia" w:ascii="黑体" w:hAnsi="黑体" w:eastAsia="黑体" w:cs="黑体"/>
                <w:color w:val="auto"/>
                <w:szCs w:val="21"/>
                <w:highlight w:val="none"/>
              </w:rPr>
              <w:t>分</w:t>
            </w:r>
          </w:p>
        </w:tc>
        <w:tc>
          <w:tcPr>
            <w:tcW w:w="2834" w:type="dxa"/>
            <w:noWrap w:val="0"/>
            <w:vAlign w:val="center"/>
          </w:tcPr>
          <w:p w14:paraId="50ACAF7F">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文物保护、文明施工保证体系是否健全、制度是否完善、合理可行等进行评审</w:t>
            </w:r>
            <w:r>
              <w:rPr>
                <w:rFonts w:hint="eastAsia" w:ascii="黑体" w:hAnsi="黑体" w:eastAsia="黑体" w:cs="黑体"/>
                <w:color w:val="auto"/>
                <w:szCs w:val="21"/>
                <w:highlight w:val="none"/>
                <w:lang w:eastAsia="zh-CN"/>
              </w:rPr>
              <w:t>，按照</w:t>
            </w:r>
            <w:r>
              <w:rPr>
                <w:rFonts w:hint="eastAsia" w:ascii="黑体" w:hAnsi="黑体" w:eastAsia="黑体" w:cs="黑体"/>
                <w:color w:val="auto"/>
                <w:szCs w:val="21"/>
                <w:highlight w:val="none"/>
              </w:rPr>
              <w:t>合理</w:t>
            </w:r>
            <w:r>
              <w:rPr>
                <w:rFonts w:hint="eastAsia" w:ascii="黑体" w:hAnsi="黑体" w:eastAsia="黑体" w:cs="黑体"/>
                <w:color w:val="auto"/>
                <w:szCs w:val="21"/>
                <w:highlight w:val="none"/>
                <w:lang w:eastAsia="zh-CN"/>
              </w:rPr>
              <w:t>、全面</w:t>
            </w:r>
            <w:r>
              <w:rPr>
                <w:rFonts w:hint="eastAsia" w:ascii="黑体" w:hAnsi="黑体" w:eastAsia="黑体" w:cs="黑体"/>
                <w:color w:val="auto"/>
                <w:szCs w:val="21"/>
                <w:highlight w:val="none"/>
              </w:rPr>
              <w:t>、可靠、有效性得</w:t>
            </w:r>
            <w:r>
              <w:rPr>
                <w:rFonts w:hint="eastAsia" w:ascii="黑体" w:hAnsi="黑体" w:eastAsia="黑体" w:cs="黑体"/>
                <w:color w:val="auto"/>
                <w:szCs w:val="21"/>
                <w:highlight w:val="none"/>
                <w:lang w:val="en-US" w:eastAsia="zh-CN"/>
              </w:rPr>
              <w:t>1.8～3</w:t>
            </w:r>
            <w:r>
              <w:rPr>
                <w:rFonts w:hint="eastAsia" w:ascii="黑体" w:hAnsi="黑体" w:eastAsia="黑体" w:cs="黑体"/>
                <w:color w:val="auto"/>
                <w:szCs w:val="21"/>
                <w:highlight w:val="none"/>
              </w:rPr>
              <w:t>分</w:t>
            </w:r>
            <w:r>
              <w:rPr>
                <w:rFonts w:hint="eastAsia" w:ascii="黑体" w:hAnsi="黑体" w:eastAsia="黑体" w:cs="黑体"/>
                <w:color w:val="auto"/>
                <w:szCs w:val="21"/>
                <w:highlight w:val="none"/>
                <w:lang w:val="en-US" w:eastAsia="zh-CN"/>
              </w:rPr>
              <w:t>。</w:t>
            </w:r>
          </w:p>
        </w:tc>
      </w:tr>
      <w:tr w14:paraId="134DF8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324" w:hRule="atLeast"/>
          <w:jc w:val="center"/>
        </w:trPr>
        <w:tc>
          <w:tcPr>
            <w:tcW w:w="1019" w:type="dxa"/>
            <w:vMerge w:val="continue"/>
            <w:noWrap w:val="0"/>
            <w:vAlign w:val="center"/>
          </w:tcPr>
          <w:p w14:paraId="25689985">
            <w:pPr>
              <w:rPr>
                <w:rFonts w:hint="eastAsia" w:ascii="黑体" w:hAnsi="黑体" w:eastAsia="黑体" w:cs="黑体"/>
                <w:color w:val="auto"/>
                <w:szCs w:val="21"/>
                <w:highlight w:val="none"/>
              </w:rPr>
            </w:pPr>
          </w:p>
        </w:tc>
        <w:tc>
          <w:tcPr>
            <w:tcW w:w="1135" w:type="dxa"/>
            <w:gridSpan w:val="2"/>
            <w:vMerge w:val="continue"/>
            <w:noWrap w:val="0"/>
            <w:vAlign w:val="center"/>
          </w:tcPr>
          <w:p w14:paraId="2062A065">
            <w:pPr>
              <w:adjustRightInd w:val="0"/>
              <w:snapToGrid w:val="0"/>
              <w:jc w:val="center"/>
              <w:rPr>
                <w:rFonts w:hint="eastAsia" w:ascii="黑体" w:hAnsi="黑体" w:eastAsia="黑体" w:cs="黑体"/>
                <w:color w:val="auto"/>
                <w:szCs w:val="21"/>
                <w:highlight w:val="none"/>
              </w:rPr>
            </w:pPr>
          </w:p>
        </w:tc>
        <w:tc>
          <w:tcPr>
            <w:tcW w:w="1004" w:type="dxa"/>
            <w:vMerge w:val="continue"/>
            <w:noWrap w:val="0"/>
            <w:vAlign w:val="center"/>
          </w:tcPr>
          <w:p w14:paraId="3647F8F3">
            <w:pPr>
              <w:jc w:val="center"/>
              <w:rPr>
                <w:rFonts w:hint="eastAsia" w:ascii="黑体" w:hAnsi="黑体" w:eastAsia="黑体" w:cs="黑体"/>
                <w:color w:val="auto"/>
                <w:szCs w:val="21"/>
                <w:highlight w:val="none"/>
              </w:rPr>
            </w:pPr>
          </w:p>
        </w:tc>
        <w:tc>
          <w:tcPr>
            <w:tcW w:w="1999" w:type="dxa"/>
            <w:noWrap w:val="0"/>
            <w:vAlign w:val="center"/>
          </w:tcPr>
          <w:p w14:paraId="65522B5D">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项目风险预测与防范，事故应急预案 </w:t>
            </w:r>
          </w:p>
        </w:tc>
        <w:tc>
          <w:tcPr>
            <w:tcW w:w="1133" w:type="dxa"/>
            <w:noWrap w:val="0"/>
            <w:vAlign w:val="center"/>
          </w:tcPr>
          <w:p w14:paraId="0D9FE70F">
            <w:pPr>
              <w:snapToGrid w:val="0"/>
              <w:jc w:val="center"/>
              <w:rPr>
                <w:rFonts w:hint="eastAsia" w:ascii="黑体" w:hAnsi="黑体" w:eastAsia="黑体" w:cs="黑体"/>
                <w:color w:val="auto"/>
                <w:szCs w:val="21"/>
                <w:highlight w:val="none"/>
              </w:rPr>
            </w:pPr>
            <w:r>
              <w:rPr>
                <w:rFonts w:hint="eastAsia" w:ascii="黑体" w:hAnsi="黑体" w:eastAsia="黑体" w:cs="黑体"/>
                <w:b/>
                <w:bCs/>
                <w:color w:val="auto"/>
                <w:szCs w:val="21"/>
                <w:highlight w:val="none"/>
                <w:u w:val="single"/>
                <w:lang w:val="en-US" w:eastAsia="zh-CN"/>
              </w:rPr>
              <w:t>3</w:t>
            </w:r>
            <w:r>
              <w:rPr>
                <w:rFonts w:hint="eastAsia" w:ascii="黑体" w:hAnsi="黑体" w:eastAsia="黑体" w:cs="黑体"/>
                <w:color w:val="auto"/>
                <w:szCs w:val="21"/>
                <w:highlight w:val="none"/>
              </w:rPr>
              <w:t>分</w:t>
            </w:r>
          </w:p>
        </w:tc>
        <w:tc>
          <w:tcPr>
            <w:tcW w:w="2834" w:type="dxa"/>
            <w:noWrap w:val="0"/>
            <w:vAlign w:val="center"/>
          </w:tcPr>
          <w:p w14:paraId="5DC09B20">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对项目风险预测与防范，事故应急预案等进行评审</w:t>
            </w:r>
            <w:r>
              <w:rPr>
                <w:rFonts w:hint="eastAsia" w:ascii="黑体" w:hAnsi="黑体" w:eastAsia="黑体" w:cs="黑体"/>
                <w:color w:val="auto"/>
                <w:szCs w:val="21"/>
                <w:highlight w:val="none"/>
                <w:lang w:eastAsia="zh-CN"/>
              </w:rPr>
              <w:t>，按照</w:t>
            </w:r>
            <w:r>
              <w:rPr>
                <w:rFonts w:hint="eastAsia" w:ascii="黑体" w:hAnsi="黑体" w:eastAsia="黑体" w:cs="黑体"/>
                <w:color w:val="auto"/>
                <w:szCs w:val="21"/>
                <w:highlight w:val="none"/>
              </w:rPr>
              <w:t>合理</w:t>
            </w:r>
            <w:r>
              <w:rPr>
                <w:rFonts w:hint="eastAsia" w:ascii="黑体" w:hAnsi="黑体" w:eastAsia="黑体" w:cs="黑体"/>
                <w:color w:val="auto"/>
                <w:szCs w:val="21"/>
                <w:highlight w:val="none"/>
                <w:lang w:eastAsia="zh-CN"/>
              </w:rPr>
              <w:t>、全面</w:t>
            </w:r>
            <w:r>
              <w:rPr>
                <w:rFonts w:hint="eastAsia" w:ascii="黑体" w:hAnsi="黑体" w:eastAsia="黑体" w:cs="黑体"/>
                <w:color w:val="auto"/>
                <w:szCs w:val="21"/>
                <w:highlight w:val="none"/>
              </w:rPr>
              <w:t>、可靠、有效性得</w:t>
            </w:r>
            <w:r>
              <w:rPr>
                <w:rFonts w:hint="eastAsia" w:ascii="黑体" w:hAnsi="黑体" w:eastAsia="黑体" w:cs="黑体"/>
                <w:color w:val="auto"/>
                <w:szCs w:val="21"/>
                <w:highlight w:val="none"/>
                <w:lang w:val="en-US" w:eastAsia="zh-CN"/>
              </w:rPr>
              <w:t>1.8～3</w:t>
            </w:r>
            <w:r>
              <w:rPr>
                <w:rFonts w:hint="eastAsia" w:ascii="黑体" w:hAnsi="黑体" w:eastAsia="黑体" w:cs="黑体"/>
                <w:color w:val="auto"/>
                <w:szCs w:val="21"/>
                <w:highlight w:val="none"/>
              </w:rPr>
              <w:t>分</w:t>
            </w:r>
            <w:r>
              <w:rPr>
                <w:rFonts w:hint="eastAsia" w:ascii="黑体" w:hAnsi="黑体" w:eastAsia="黑体" w:cs="黑体"/>
                <w:color w:val="auto"/>
                <w:szCs w:val="21"/>
                <w:highlight w:val="none"/>
                <w:lang w:val="en-US" w:eastAsia="zh-CN"/>
              </w:rPr>
              <w:t>。</w:t>
            </w:r>
          </w:p>
        </w:tc>
      </w:tr>
      <w:tr w14:paraId="488D47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324" w:hRule="atLeast"/>
          <w:jc w:val="center"/>
        </w:trPr>
        <w:tc>
          <w:tcPr>
            <w:tcW w:w="1019" w:type="dxa"/>
            <w:vMerge w:val="continue"/>
            <w:noWrap w:val="0"/>
            <w:vAlign w:val="center"/>
          </w:tcPr>
          <w:p w14:paraId="249C0DC6">
            <w:pPr>
              <w:rPr>
                <w:rFonts w:hint="eastAsia" w:ascii="黑体" w:hAnsi="黑体" w:eastAsia="黑体" w:cs="黑体"/>
                <w:color w:val="auto"/>
                <w:szCs w:val="21"/>
                <w:highlight w:val="none"/>
              </w:rPr>
            </w:pPr>
          </w:p>
        </w:tc>
        <w:tc>
          <w:tcPr>
            <w:tcW w:w="1135" w:type="dxa"/>
            <w:gridSpan w:val="2"/>
            <w:vMerge w:val="continue"/>
            <w:noWrap w:val="0"/>
            <w:vAlign w:val="center"/>
          </w:tcPr>
          <w:p w14:paraId="654DDEE7">
            <w:pPr>
              <w:adjustRightInd w:val="0"/>
              <w:snapToGrid w:val="0"/>
              <w:jc w:val="center"/>
              <w:rPr>
                <w:rFonts w:hint="eastAsia" w:ascii="黑体" w:hAnsi="黑体" w:eastAsia="黑体" w:cs="黑体"/>
                <w:color w:val="auto"/>
                <w:szCs w:val="21"/>
                <w:highlight w:val="none"/>
              </w:rPr>
            </w:pPr>
          </w:p>
        </w:tc>
        <w:tc>
          <w:tcPr>
            <w:tcW w:w="1004" w:type="dxa"/>
            <w:vMerge w:val="continue"/>
            <w:noWrap w:val="0"/>
            <w:vAlign w:val="center"/>
          </w:tcPr>
          <w:p w14:paraId="378E62B8">
            <w:pPr>
              <w:jc w:val="center"/>
              <w:rPr>
                <w:rFonts w:hint="eastAsia" w:ascii="黑体" w:hAnsi="黑体" w:eastAsia="黑体" w:cs="黑体"/>
                <w:color w:val="auto"/>
                <w:szCs w:val="21"/>
                <w:highlight w:val="none"/>
              </w:rPr>
            </w:pPr>
          </w:p>
        </w:tc>
        <w:tc>
          <w:tcPr>
            <w:tcW w:w="1999" w:type="dxa"/>
            <w:noWrap w:val="0"/>
            <w:vAlign w:val="center"/>
          </w:tcPr>
          <w:p w14:paraId="290BD2DF">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支付保障措施（有关民工工资、劳务分包、材料采购、设备租赁、工程分包等的按期支付保证措施）</w:t>
            </w:r>
          </w:p>
        </w:tc>
        <w:tc>
          <w:tcPr>
            <w:tcW w:w="1133" w:type="dxa"/>
            <w:noWrap w:val="0"/>
            <w:vAlign w:val="center"/>
          </w:tcPr>
          <w:p w14:paraId="4AB9AE9B">
            <w:pPr>
              <w:snapToGrid w:val="0"/>
              <w:jc w:val="center"/>
              <w:rPr>
                <w:rFonts w:hint="eastAsia" w:ascii="黑体" w:hAnsi="黑体" w:eastAsia="黑体" w:cs="黑体"/>
                <w:b/>
                <w:bCs/>
                <w:color w:val="auto"/>
                <w:szCs w:val="21"/>
                <w:highlight w:val="none"/>
                <w:u w:val="single"/>
                <w:lang w:val="en-US" w:eastAsia="zh-CN"/>
              </w:rPr>
            </w:pPr>
            <w:r>
              <w:rPr>
                <w:rFonts w:hint="eastAsia" w:ascii="黑体" w:hAnsi="黑体" w:eastAsia="黑体" w:cs="黑体"/>
                <w:b/>
                <w:bCs/>
                <w:color w:val="auto"/>
                <w:szCs w:val="21"/>
                <w:highlight w:val="none"/>
                <w:u w:val="single"/>
              </w:rPr>
              <w:t>4</w:t>
            </w:r>
            <w:r>
              <w:rPr>
                <w:rFonts w:hint="eastAsia" w:ascii="黑体" w:hAnsi="黑体" w:eastAsia="黑体" w:cs="黑体"/>
                <w:color w:val="auto"/>
                <w:szCs w:val="21"/>
                <w:highlight w:val="none"/>
              </w:rPr>
              <w:t>分</w:t>
            </w:r>
          </w:p>
        </w:tc>
        <w:tc>
          <w:tcPr>
            <w:tcW w:w="2834" w:type="dxa"/>
            <w:noWrap w:val="0"/>
            <w:vAlign w:val="center"/>
          </w:tcPr>
          <w:p w14:paraId="3AB5BFA5">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对支付保障措施进行评审。</w:t>
            </w:r>
            <w:r>
              <w:rPr>
                <w:rFonts w:hint="eastAsia" w:ascii="黑体" w:hAnsi="黑体" w:eastAsia="黑体" w:cs="黑体"/>
                <w:color w:val="auto"/>
                <w:szCs w:val="21"/>
                <w:highlight w:val="none"/>
                <w:lang w:eastAsia="zh-CN"/>
              </w:rPr>
              <w:t>按照</w:t>
            </w:r>
            <w:r>
              <w:rPr>
                <w:rFonts w:hint="eastAsia" w:ascii="黑体" w:hAnsi="黑体" w:eastAsia="黑体" w:cs="黑体"/>
                <w:color w:val="auto"/>
                <w:szCs w:val="21"/>
                <w:highlight w:val="none"/>
              </w:rPr>
              <w:t>合理</w:t>
            </w:r>
            <w:r>
              <w:rPr>
                <w:rFonts w:hint="eastAsia" w:ascii="黑体" w:hAnsi="黑体" w:eastAsia="黑体" w:cs="黑体"/>
                <w:color w:val="auto"/>
                <w:szCs w:val="21"/>
                <w:highlight w:val="none"/>
                <w:lang w:eastAsia="zh-CN"/>
              </w:rPr>
              <w:t>、全面</w:t>
            </w:r>
            <w:r>
              <w:rPr>
                <w:rFonts w:hint="eastAsia" w:ascii="黑体" w:hAnsi="黑体" w:eastAsia="黑体" w:cs="黑体"/>
                <w:color w:val="auto"/>
                <w:szCs w:val="21"/>
                <w:highlight w:val="none"/>
              </w:rPr>
              <w:t>、可靠、有效性得</w:t>
            </w:r>
            <w:r>
              <w:rPr>
                <w:rFonts w:hint="eastAsia" w:ascii="黑体" w:hAnsi="黑体" w:eastAsia="黑体" w:cs="黑体"/>
                <w:color w:val="auto"/>
                <w:szCs w:val="21"/>
                <w:highlight w:val="none"/>
                <w:lang w:val="en-US" w:eastAsia="zh-CN"/>
              </w:rPr>
              <w:t>2.4～4</w:t>
            </w:r>
            <w:r>
              <w:rPr>
                <w:rFonts w:hint="eastAsia" w:ascii="黑体" w:hAnsi="黑体" w:eastAsia="黑体" w:cs="黑体"/>
                <w:color w:val="auto"/>
                <w:szCs w:val="21"/>
                <w:highlight w:val="none"/>
              </w:rPr>
              <w:t>分</w:t>
            </w:r>
            <w:r>
              <w:rPr>
                <w:rFonts w:hint="eastAsia" w:ascii="黑体" w:hAnsi="黑体" w:eastAsia="黑体" w:cs="黑体"/>
                <w:color w:val="auto"/>
                <w:szCs w:val="21"/>
                <w:highlight w:val="none"/>
                <w:lang w:val="en-US" w:eastAsia="zh-CN"/>
              </w:rPr>
              <w:t>。</w:t>
            </w:r>
          </w:p>
        </w:tc>
      </w:tr>
      <w:tr w14:paraId="2E8D7C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324" w:hRule="atLeast"/>
          <w:jc w:val="center"/>
        </w:trPr>
        <w:tc>
          <w:tcPr>
            <w:tcW w:w="1019" w:type="dxa"/>
            <w:vMerge w:val="continue"/>
            <w:noWrap w:val="0"/>
            <w:vAlign w:val="center"/>
          </w:tcPr>
          <w:p w14:paraId="3BC6474B">
            <w:pPr>
              <w:rPr>
                <w:rFonts w:hint="eastAsia" w:ascii="黑体" w:hAnsi="黑体" w:eastAsia="黑体" w:cs="黑体"/>
                <w:color w:val="auto"/>
                <w:szCs w:val="21"/>
                <w:highlight w:val="none"/>
              </w:rPr>
            </w:pPr>
          </w:p>
        </w:tc>
        <w:tc>
          <w:tcPr>
            <w:tcW w:w="1135" w:type="dxa"/>
            <w:gridSpan w:val="2"/>
            <w:vMerge w:val="continue"/>
            <w:noWrap w:val="0"/>
            <w:vAlign w:val="center"/>
          </w:tcPr>
          <w:p w14:paraId="40FEF9CD">
            <w:pPr>
              <w:adjustRightInd w:val="0"/>
              <w:snapToGrid w:val="0"/>
              <w:jc w:val="center"/>
              <w:rPr>
                <w:rFonts w:hint="eastAsia" w:ascii="黑体" w:hAnsi="黑体" w:eastAsia="黑体" w:cs="黑体"/>
                <w:color w:val="auto"/>
                <w:szCs w:val="21"/>
                <w:highlight w:val="none"/>
              </w:rPr>
            </w:pPr>
          </w:p>
        </w:tc>
        <w:tc>
          <w:tcPr>
            <w:tcW w:w="1004" w:type="dxa"/>
            <w:vMerge w:val="continue"/>
            <w:noWrap w:val="0"/>
            <w:vAlign w:val="center"/>
          </w:tcPr>
          <w:p w14:paraId="73268FF9">
            <w:pPr>
              <w:jc w:val="center"/>
              <w:rPr>
                <w:rFonts w:hint="eastAsia" w:ascii="黑体" w:hAnsi="黑体" w:eastAsia="黑体" w:cs="黑体"/>
                <w:color w:val="auto"/>
                <w:szCs w:val="21"/>
                <w:highlight w:val="none"/>
              </w:rPr>
            </w:pPr>
          </w:p>
        </w:tc>
        <w:tc>
          <w:tcPr>
            <w:tcW w:w="1999" w:type="dxa"/>
            <w:noWrap w:val="0"/>
            <w:vAlign w:val="center"/>
          </w:tcPr>
          <w:p w14:paraId="2106B63C">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针对本项目建议</w:t>
            </w:r>
          </w:p>
        </w:tc>
        <w:tc>
          <w:tcPr>
            <w:tcW w:w="1133" w:type="dxa"/>
            <w:noWrap w:val="0"/>
            <w:vAlign w:val="center"/>
          </w:tcPr>
          <w:p w14:paraId="2BEE2ACA">
            <w:pPr>
              <w:snapToGrid w:val="0"/>
              <w:jc w:val="center"/>
              <w:rPr>
                <w:rFonts w:hint="eastAsia" w:ascii="黑体" w:hAnsi="黑体" w:eastAsia="黑体" w:cs="黑体"/>
                <w:color w:val="auto"/>
                <w:szCs w:val="21"/>
                <w:highlight w:val="none"/>
              </w:rPr>
            </w:pPr>
            <w:r>
              <w:rPr>
                <w:rFonts w:hint="eastAsia" w:ascii="黑体" w:hAnsi="黑体" w:eastAsia="黑体" w:cs="黑体"/>
                <w:b/>
                <w:bCs/>
                <w:color w:val="auto"/>
                <w:szCs w:val="21"/>
                <w:highlight w:val="none"/>
                <w:u w:val="single"/>
                <w:lang w:val="en-US" w:eastAsia="zh-CN"/>
              </w:rPr>
              <w:t>2</w:t>
            </w:r>
            <w:r>
              <w:rPr>
                <w:rFonts w:hint="eastAsia" w:ascii="黑体" w:hAnsi="黑体" w:eastAsia="黑体" w:cs="黑体"/>
                <w:color w:val="auto"/>
                <w:szCs w:val="21"/>
                <w:highlight w:val="none"/>
              </w:rPr>
              <w:t>分</w:t>
            </w:r>
          </w:p>
        </w:tc>
        <w:tc>
          <w:tcPr>
            <w:tcW w:w="2834" w:type="dxa"/>
            <w:noWrap w:val="0"/>
            <w:vAlign w:val="center"/>
          </w:tcPr>
          <w:p w14:paraId="6F768888">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对内容合理、可行、全面进行评审。</w:t>
            </w:r>
            <w:r>
              <w:rPr>
                <w:rFonts w:hint="eastAsia" w:ascii="黑体" w:hAnsi="黑体" w:eastAsia="黑体" w:cs="黑体"/>
                <w:color w:val="auto"/>
                <w:szCs w:val="21"/>
                <w:highlight w:val="none"/>
                <w:lang w:eastAsia="zh-CN"/>
              </w:rPr>
              <w:t>按照</w:t>
            </w:r>
            <w:r>
              <w:rPr>
                <w:rFonts w:hint="eastAsia" w:ascii="黑体" w:hAnsi="黑体" w:eastAsia="黑体" w:cs="黑体"/>
                <w:color w:val="auto"/>
                <w:szCs w:val="21"/>
                <w:highlight w:val="none"/>
              </w:rPr>
              <w:t>合理</w:t>
            </w:r>
            <w:r>
              <w:rPr>
                <w:rFonts w:hint="eastAsia" w:ascii="黑体" w:hAnsi="黑体" w:eastAsia="黑体" w:cs="黑体"/>
                <w:color w:val="auto"/>
                <w:szCs w:val="21"/>
                <w:highlight w:val="none"/>
                <w:lang w:eastAsia="zh-CN"/>
              </w:rPr>
              <w:t>、全面</w:t>
            </w:r>
            <w:r>
              <w:rPr>
                <w:rFonts w:hint="eastAsia" w:ascii="黑体" w:hAnsi="黑体" w:eastAsia="黑体" w:cs="黑体"/>
                <w:color w:val="auto"/>
                <w:szCs w:val="21"/>
                <w:highlight w:val="none"/>
              </w:rPr>
              <w:t>、可靠、有效性得</w:t>
            </w:r>
            <w:r>
              <w:rPr>
                <w:rFonts w:hint="eastAsia" w:ascii="黑体" w:hAnsi="黑体" w:eastAsia="黑体" w:cs="黑体"/>
                <w:color w:val="auto"/>
                <w:szCs w:val="21"/>
                <w:highlight w:val="none"/>
                <w:lang w:val="en-US" w:eastAsia="zh-CN"/>
              </w:rPr>
              <w:t>1.2～2</w:t>
            </w:r>
            <w:r>
              <w:rPr>
                <w:rFonts w:hint="eastAsia" w:ascii="黑体" w:hAnsi="黑体" w:eastAsia="黑体" w:cs="黑体"/>
                <w:color w:val="auto"/>
                <w:szCs w:val="21"/>
                <w:highlight w:val="none"/>
              </w:rPr>
              <w:t>分</w:t>
            </w:r>
            <w:r>
              <w:rPr>
                <w:rFonts w:hint="eastAsia" w:ascii="黑体" w:hAnsi="黑体" w:eastAsia="黑体" w:cs="黑体"/>
                <w:color w:val="auto"/>
                <w:szCs w:val="21"/>
                <w:highlight w:val="none"/>
                <w:lang w:val="en-US" w:eastAsia="zh-CN"/>
              </w:rPr>
              <w:t>。</w:t>
            </w:r>
          </w:p>
        </w:tc>
      </w:tr>
      <w:tr w14:paraId="15B688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jc w:val="center"/>
        </w:trPr>
        <w:tc>
          <w:tcPr>
            <w:tcW w:w="1019" w:type="dxa"/>
            <w:vMerge w:val="restart"/>
            <w:noWrap w:val="0"/>
            <w:vAlign w:val="center"/>
          </w:tcPr>
          <w:p w14:paraId="50BD18E9">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2.2.2(2)</w:t>
            </w:r>
          </w:p>
        </w:tc>
        <w:tc>
          <w:tcPr>
            <w:tcW w:w="1135" w:type="dxa"/>
            <w:gridSpan w:val="2"/>
            <w:vMerge w:val="restart"/>
            <w:noWrap w:val="0"/>
            <w:vAlign w:val="center"/>
          </w:tcPr>
          <w:p w14:paraId="0526268A">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主要人员</w:t>
            </w:r>
          </w:p>
        </w:tc>
        <w:tc>
          <w:tcPr>
            <w:tcW w:w="1004" w:type="dxa"/>
            <w:vMerge w:val="restart"/>
            <w:noWrap w:val="0"/>
            <w:vAlign w:val="center"/>
          </w:tcPr>
          <w:p w14:paraId="1969782F">
            <w:pPr>
              <w:jc w:val="center"/>
              <w:rPr>
                <w:rFonts w:hint="eastAsia" w:ascii="黑体" w:hAnsi="黑体" w:eastAsia="黑体" w:cs="黑体"/>
                <w:color w:val="auto"/>
                <w:szCs w:val="21"/>
                <w:highlight w:val="none"/>
              </w:rPr>
            </w:pPr>
            <w:r>
              <w:rPr>
                <w:rFonts w:hint="eastAsia" w:ascii="黑体" w:hAnsi="黑体" w:eastAsia="黑体" w:cs="黑体"/>
                <w:b/>
                <w:color w:val="auto"/>
                <w:szCs w:val="21"/>
                <w:highlight w:val="none"/>
                <w:u w:val="single"/>
              </w:rPr>
              <w:t>30</w:t>
            </w:r>
            <w:r>
              <w:rPr>
                <w:rFonts w:hint="eastAsia" w:ascii="黑体" w:hAnsi="黑体" w:eastAsia="黑体" w:cs="黑体"/>
                <w:color w:val="auto"/>
                <w:szCs w:val="21"/>
                <w:highlight w:val="none"/>
              </w:rPr>
              <w:t>分</w:t>
            </w:r>
          </w:p>
        </w:tc>
        <w:tc>
          <w:tcPr>
            <w:tcW w:w="1999" w:type="dxa"/>
            <w:noWrap w:val="0"/>
            <w:vAlign w:val="center"/>
          </w:tcPr>
          <w:p w14:paraId="1BB49098">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项目经理任职资格与业绩</w:t>
            </w:r>
          </w:p>
        </w:tc>
        <w:tc>
          <w:tcPr>
            <w:tcW w:w="1133" w:type="dxa"/>
            <w:noWrap w:val="0"/>
            <w:vAlign w:val="center"/>
          </w:tcPr>
          <w:p w14:paraId="0479F5A1">
            <w:pPr>
              <w:jc w:val="center"/>
              <w:rPr>
                <w:rFonts w:hint="eastAsia" w:ascii="黑体" w:hAnsi="黑体" w:eastAsia="黑体" w:cs="黑体"/>
                <w:color w:val="auto"/>
                <w:szCs w:val="21"/>
                <w:highlight w:val="none"/>
              </w:rPr>
            </w:pPr>
            <w:r>
              <w:rPr>
                <w:rFonts w:hint="eastAsia" w:ascii="黑体" w:hAnsi="黑体" w:eastAsia="黑体" w:cs="黑体"/>
                <w:b/>
                <w:color w:val="auto"/>
                <w:szCs w:val="21"/>
                <w:highlight w:val="none"/>
                <w:u w:val="single"/>
              </w:rPr>
              <w:t>1</w:t>
            </w:r>
            <w:r>
              <w:rPr>
                <w:rFonts w:hint="eastAsia" w:ascii="黑体" w:hAnsi="黑体" w:eastAsia="黑体" w:cs="黑体"/>
                <w:b/>
                <w:color w:val="auto"/>
                <w:szCs w:val="21"/>
                <w:highlight w:val="none"/>
                <w:u w:val="single"/>
                <w:lang w:val="en-US" w:eastAsia="zh-CN"/>
              </w:rPr>
              <w:t>5</w:t>
            </w:r>
            <w:r>
              <w:rPr>
                <w:rFonts w:hint="eastAsia" w:ascii="黑体" w:hAnsi="黑体" w:eastAsia="黑体" w:cs="黑体"/>
                <w:color w:val="auto"/>
                <w:szCs w:val="21"/>
                <w:highlight w:val="none"/>
              </w:rPr>
              <w:t>分</w:t>
            </w:r>
          </w:p>
        </w:tc>
        <w:tc>
          <w:tcPr>
            <w:tcW w:w="2834" w:type="dxa"/>
            <w:noWrap w:val="0"/>
            <w:vAlign w:val="center"/>
          </w:tcPr>
          <w:p w14:paraId="2D9B1BD4">
            <w:pPr>
              <w:rPr>
                <w:rFonts w:hint="eastAsia" w:ascii="黑体" w:hAnsi="黑体" w:eastAsia="黑体" w:cs="黑体"/>
                <w:color w:val="auto"/>
                <w:szCs w:val="21"/>
                <w:highlight w:val="none"/>
                <w:lang w:val="en-US" w:eastAsia="zh-CN"/>
              </w:rPr>
            </w:pPr>
            <w:r>
              <w:rPr>
                <w:rFonts w:hint="eastAsia" w:ascii="黑体" w:hAnsi="黑体" w:eastAsia="黑体" w:cs="黑体"/>
                <w:color w:val="auto"/>
                <w:spacing w:val="-4"/>
                <w:szCs w:val="21"/>
                <w:highlight w:val="none"/>
              </w:rPr>
              <w:t>满足资格审查条件得1</w:t>
            </w:r>
            <w:r>
              <w:rPr>
                <w:rFonts w:hint="eastAsia" w:ascii="黑体" w:hAnsi="黑体" w:eastAsia="黑体" w:cs="黑体"/>
                <w:color w:val="auto"/>
                <w:spacing w:val="-4"/>
                <w:szCs w:val="21"/>
                <w:highlight w:val="none"/>
                <w:lang w:val="en-US" w:eastAsia="zh-CN"/>
              </w:rPr>
              <w:t>5</w:t>
            </w:r>
            <w:r>
              <w:rPr>
                <w:rFonts w:hint="eastAsia" w:ascii="黑体" w:hAnsi="黑体" w:eastAsia="黑体" w:cs="黑体"/>
                <w:color w:val="auto"/>
                <w:spacing w:val="-4"/>
                <w:szCs w:val="21"/>
                <w:highlight w:val="none"/>
              </w:rPr>
              <w:t>分</w:t>
            </w:r>
            <w:r>
              <w:rPr>
                <w:rFonts w:hint="eastAsia" w:ascii="黑体" w:hAnsi="黑体" w:eastAsia="黑体" w:cs="黑体"/>
                <w:color w:val="auto"/>
                <w:spacing w:val="-4"/>
                <w:szCs w:val="21"/>
                <w:highlight w:val="none"/>
                <w:lang w:eastAsia="zh-CN"/>
              </w:rPr>
              <w:t>。</w:t>
            </w:r>
          </w:p>
        </w:tc>
      </w:tr>
      <w:tr w14:paraId="0DADF5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jc w:val="center"/>
        </w:trPr>
        <w:tc>
          <w:tcPr>
            <w:tcW w:w="1019" w:type="dxa"/>
            <w:vMerge w:val="continue"/>
            <w:noWrap w:val="0"/>
            <w:vAlign w:val="center"/>
          </w:tcPr>
          <w:p w14:paraId="64FFD2F8">
            <w:pPr>
              <w:rPr>
                <w:rFonts w:hint="eastAsia" w:ascii="黑体" w:hAnsi="黑体" w:eastAsia="黑体" w:cs="黑体"/>
                <w:color w:val="auto"/>
                <w:szCs w:val="21"/>
                <w:highlight w:val="none"/>
              </w:rPr>
            </w:pPr>
          </w:p>
        </w:tc>
        <w:tc>
          <w:tcPr>
            <w:tcW w:w="1135" w:type="dxa"/>
            <w:gridSpan w:val="2"/>
            <w:vMerge w:val="continue"/>
            <w:noWrap w:val="0"/>
            <w:vAlign w:val="center"/>
          </w:tcPr>
          <w:p w14:paraId="00875903">
            <w:pPr>
              <w:rPr>
                <w:rFonts w:hint="eastAsia" w:ascii="黑体" w:hAnsi="黑体" w:eastAsia="黑体" w:cs="黑体"/>
                <w:color w:val="auto"/>
                <w:szCs w:val="21"/>
                <w:highlight w:val="none"/>
              </w:rPr>
            </w:pPr>
          </w:p>
        </w:tc>
        <w:tc>
          <w:tcPr>
            <w:tcW w:w="1004" w:type="dxa"/>
            <w:vMerge w:val="continue"/>
            <w:noWrap w:val="0"/>
            <w:vAlign w:val="center"/>
          </w:tcPr>
          <w:p w14:paraId="19F8C56C">
            <w:pPr>
              <w:jc w:val="center"/>
              <w:rPr>
                <w:rFonts w:hint="eastAsia" w:ascii="黑体" w:hAnsi="黑体" w:eastAsia="黑体" w:cs="黑体"/>
                <w:color w:val="auto"/>
                <w:szCs w:val="21"/>
                <w:highlight w:val="none"/>
              </w:rPr>
            </w:pPr>
          </w:p>
        </w:tc>
        <w:tc>
          <w:tcPr>
            <w:tcW w:w="1999" w:type="dxa"/>
            <w:noWrap w:val="0"/>
            <w:vAlign w:val="center"/>
          </w:tcPr>
          <w:p w14:paraId="72444204">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项目总工任职资格与业绩</w:t>
            </w:r>
          </w:p>
        </w:tc>
        <w:tc>
          <w:tcPr>
            <w:tcW w:w="1133" w:type="dxa"/>
            <w:noWrap w:val="0"/>
            <w:vAlign w:val="center"/>
          </w:tcPr>
          <w:p w14:paraId="1C71ED16">
            <w:pPr>
              <w:jc w:val="center"/>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u w:val="single"/>
              </w:rPr>
              <w:t>15</w:t>
            </w:r>
            <w:r>
              <w:rPr>
                <w:rFonts w:hint="eastAsia" w:ascii="黑体" w:hAnsi="黑体" w:eastAsia="黑体" w:cs="黑体"/>
                <w:color w:val="auto"/>
                <w:szCs w:val="21"/>
                <w:highlight w:val="none"/>
              </w:rPr>
              <w:t>分</w:t>
            </w:r>
          </w:p>
        </w:tc>
        <w:tc>
          <w:tcPr>
            <w:tcW w:w="2834" w:type="dxa"/>
            <w:noWrap w:val="0"/>
            <w:vAlign w:val="center"/>
          </w:tcPr>
          <w:p w14:paraId="47F660D4">
            <w:pPr>
              <w:rPr>
                <w:rFonts w:hint="eastAsia" w:ascii="黑体" w:hAnsi="黑体" w:eastAsia="黑体" w:cs="黑体"/>
                <w:color w:val="auto"/>
                <w:szCs w:val="21"/>
                <w:highlight w:val="none"/>
                <w:lang w:eastAsia="zh-CN"/>
              </w:rPr>
            </w:pPr>
            <w:r>
              <w:rPr>
                <w:rFonts w:hint="eastAsia" w:ascii="黑体" w:hAnsi="黑体" w:eastAsia="黑体" w:cs="黑体"/>
                <w:color w:val="auto"/>
                <w:spacing w:val="-4"/>
                <w:szCs w:val="21"/>
                <w:highlight w:val="none"/>
              </w:rPr>
              <w:t>满足资格审查条件得1</w:t>
            </w:r>
            <w:r>
              <w:rPr>
                <w:rFonts w:hint="eastAsia" w:ascii="黑体" w:hAnsi="黑体" w:eastAsia="黑体" w:cs="黑体"/>
                <w:color w:val="auto"/>
                <w:spacing w:val="-4"/>
                <w:szCs w:val="21"/>
                <w:highlight w:val="none"/>
                <w:lang w:val="en-US" w:eastAsia="zh-CN"/>
              </w:rPr>
              <w:t>5</w:t>
            </w:r>
            <w:r>
              <w:rPr>
                <w:rFonts w:hint="eastAsia" w:ascii="黑体" w:hAnsi="黑体" w:eastAsia="黑体" w:cs="黑体"/>
                <w:color w:val="auto"/>
                <w:spacing w:val="-4"/>
                <w:szCs w:val="21"/>
                <w:highlight w:val="none"/>
              </w:rPr>
              <w:t>分</w:t>
            </w:r>
            <w:r>
              <w:rPr>
                <w:rFonts w:hint="eastAsia" w:ascii="黑体" w:hAnsi="黑体" w:eastAsia="黑体" w:cs="黑体"/>
                <w:color w:val="auto"/>
                <w:spacing w:val="-4"/>
                <w:szCs w:val="21"/>
                <w:highlight w:val="none"/>
                <w:lang w:eastAsia="zh-CN"/>
              </w:rPr>
              <w:t>。</w:t>
            </w:r>
          </w:p>
        </w:tc>
      </w:tr>
      <w:tr w14:paraId="655845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1069" w:hRule="atLeast"/>
          <w:jc w:val="center"/>
        </w:trPr>
        <w:tc>
          <w:tcPr>
            <w:tcW w:w="1019" w:type="dxa"/>
            <w:vMerge w:val="restart"/>
            <w:noWrap w:val="0"/>
            <w:vAlign w:val="center"/>
          </w:tcPr>
          <w:p w14:paraId="3C4EB42C">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2.2.2(3)</w:t>
            </w:r>
          </w:p>
        </w:tc>
        <w:tc>
          <w:tcPr>
            <w:tcW w:w="438" w:type="dxa"/>
            <w:vMerge w:val="restart"/>
            <w:noWrap w:val="0"/>
            <w:vAlign w:val="center"/>
          </w:tcPr>
          <w:p w14:paraId="3F158915">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其</w:t>
            </w:r>
          </w:p>
          <w:p w14:paraId="6BEF0E80">
            <w:pPr>
              <w:snapToGrid w:val="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他</w:t>
            </w:r>
          </w:p>
          <w:p w14:paraId="551F4D91">
            <w:pPr>
              <w:snapToGrid w:val="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因</w:t>
            </w:r>
          </w:p>
          <w:p w14:paraId="6FAD863D">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素</w:t>
            </w:r>
          </w:p>
        </w:tc>
        <w:tc>
          <w:tcPr>
            <w:tcW w:w="697" w:type="dxa"/>
            <w:noWrap w:val="0"/>
            <w:vAlign w:val="center"/>
          </w:tcPr>
          <w:p w14:paraId="47EB70D0">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履约信誉</w:t>
            </w:r>
          </w:p>
        </w:tc>
        <w:tc>
          <w:tcPr>
            <w:tcW w:w="1004" w:type="dxa"/>
            <w:noWrap w:val="0"/>
            <w:vAlign w:val="center"/>
          </w:tcPr>
          <w:p w14:paraId="43A9E70C">
            <w:pPr>
              <w:jc w:val="center"/>
              <w:rPr>
                <w:rFonts w:hint="eastAsia" w:ascii="黑体" w:hAnsi="黑体" w:eastAsia="黑体" w:cs="黑体"/>
                <w:color w:val="auto"/>
                <w:szCs w:val="21"/>
                <w:highlight w:val="none"/>
              </w:rPr>
            </w:pPr>
            <w:r>
              <w:rPr>
                <w:rFonts w:hint="eastAsia" w:ascii="黑体" w:hAnsi="黑体" w:eastAsia="黑体" w:cs="黑体"/>
                <w:b/>
                <w:color w:val="auto"/>
                <w:szCs w:val="21"/>
                <w:highlight w:val="none"/>
                <w:u w:val="single"/>
                <w:lang w:val="en-US" w:eastAsia="zh-CN"/>
              </w:rPr>
              <w:t>20</w:t>
            </w:r>
            <w:r>
              <w:rPr>
                <w:rFonts w:hint="eastAsia" w:ascii="黑体" w:hAnsi="黑体" w:eastAsia="黑体" w:cs="黑体"/>
                <w:color w:val="auto"/>
                <w:szCs w:val="21"/>
                <w:highlight w:val="none"/>
              </w:rPr>
              <w:t>分</w:t>
            </w:r>
          </w:p>
        </w:tc>
        <w:tc>
          <w:tcPr>
            <w:tcW w:w="1999" w:type="dxa"/>
            <w:noWrap w:val="0"/>
            <w:vAlign w:val="center"/>
          </w:tcPr>
          <w:p w14:paraId="579117BF">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投标人信誉</w:t>
            </w:r>
          </w:p>
        </w:tc>
        <w:tc>
          <w:tcPr>
            <w:tcW w:w="1133" w:type="dxa"/>
            <w:noWrap w:val="0"/>
            <w:vAlign w:val="center"/>
          </w:tcPr>
          <w:p w14:paraId="131EE233">
            <w:pPr>
              <w:jc w:val="center"/>
              <w:rPr>
                <w:rFonts w:hint="eastAsia" w:ascii="黑体" w:hAnsi="黑体" w:eastAsia="黑体" w:cs="黑体"/>
                <w:color w:val="auto"/>
                <w:szCs w:val="21"/>
                <w:highlight w:val="none"/>
              </w:rPr>
            </w:pPr>
            <w:r>
              <w:rPr>
                <w:rFonts w:hint="eastAsia" w:ascii="黑体" w:hAnsi="黑体" w:eastAsia="黑体" w:cs="黑体"/>
                <w:b/>
                <w:color w:val="auto"/>
                <w:szCs w:val="21"/>
                <w:highlight w:val="none"/>
                <w:u w:val="single"/>
                <w:lang w:val="en-US" w:eastAsia="zh-CN"/>
              </w:rPr>
              <w:t>20</w:t>
            </w:r>
            <w:r>
              <w:rPr>
                <w:rFonts w:hint="eastAsia" w:ascii="黑体" w:hAnsi="黑体" w:eastAsia="黑体" w:cs="黑体"/>
                <w:color w:val="auto"/>
                <w:szCs w:val="21"/>
                <w:highlight w:val="none"/>
              </w:rPr>
              <w:t>分</w:t>
            </w:r>
          </w:p>
        </w:tc>
        <w:tc>
          <w:tcPr>
            <w:tcW w:w="2834" w:type="dxa"/>
            <w:noWrap w:val="0"/>
            <w:vAlign w:val="center"/>
          </w:tcPr>
          <w:p w14:paraId="1C0809B8">
            <w:pPr>
              <w:rPr>
                <w:rFonts w:hint="eastAsia" w:ascii="黑体" w:hAnsi="黑体" w:eastAsia="黑体" w:cs="黑体"/>
                <w:color w:val="auto"/>
                <w:szCs w:val="21"/>
                <w:highlight w:val="none"/>
                <w:lang w:eastAsia="zh-CN"/>
              </w:rPr>
            </w:pPr>
            <w:r>
              <w:rPr>
                <w:rFonts w:hint="eastAsia" w:ascii="黑体" w:hAnsi="黑体" w:eastAsia="黑体" w:cs="黑体"/>
                <w:color w:val="auto"/>
                <w:spacing w:val="-4"/>
                <w:szCs w:val="21"/>
                <w:highlight w:val="none"/>
              </w:rPr>
              <w:t>满足资格审查条件得</w:t>
            </w:r>
            <w:r>
              <w:rPr>
                <w:rFonts w:hint="eastAsia" w:ascii="黑体" w:hAnsi="黑体" w:eastAsia="黑体" w:cs="黑体"/>
                <w:color w:val="auto"/>
                <w:spacing w:val="-4"/>
                <w:szCs w:val="21"/>
                <w:highlight w:val="none"/>
                <w:lang w:val="en-US" w:eastAsia="zh-CN"/>
              </w:rPr>
              <w:t>20</w:t>
            </w:r>
            <w:r>
              <w:rPr>
                <w:rFonts w:hint="eastAsia" w:ascii="黑体" w:hAnsi="黑体" w:eastAsia="黑体" w:cs="黑体"/>
                <w:color w:val="auto"/>
                <w:spacing w:val="-4"/>
                <w:szCs w:val="21"/>
                <w:highlight w:val="none"/>
              </w:rPr>
              <w:t>分</w:t>
            </w:r>
            <w:r>
              <w:rPr>
                <w:rFonts w:hint="eastAsia" w:ascii="黑体" w:hAnsi="黑体" w:eastAsia="黑体" w:cs="黑体"/>
                <w:color w:val="auto"/>
                <w:spacing w:val="-4"/>
                <w:szCs w:val="21"/>
                <w:highlight w:val="none"/>
                <w:lang w:eastAsia="zh-CN"/>
              </w:rPr>
              <w:t>。</w:t>
            </w:r>
          </w:p>
        </w:tc>
      </w:tr>
      <w:tr w14:paraId="34C547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85" w:type="dxa"/>
            <w:bottom w:w="0" w:type="dxa"/>
            <w:right w:w="85" w:type="dxa"/>
          </w:tblCellMar>
        </w:tblPrEx>
        <w:trPr>
          <w:trHeight w:val="1069" w:hRule="atLeast"/>
          <w:jc w:val="center"/>
        </w:trPr>
        <w:tc>
          <w:tcPr>
            <w:tcW w:w="1019" w:type="dxa"/>
            <w:vMerge w:val="continue"/>
            <w:noWrap w:val="0"/>
            <w:vAlign w:val="center"/>
          </w:tcPr>
          <w:p w14:paraId="2E5190CA">
            <w:pPr>
              <w:rPr>
                <w:rFonts w:hint="eastAsia" w:ascii="黑体" w:hAnsi="黑体" w:eastAsia="黑体" w:cs="黑体"/>
                <w:color w:val="auto"/>
                <w:szCs w:val="21"/>
                <w:highlight w:val="none"/>
              </w:rPr>
            </w:pPr>
          </w:p>
        </w:tc>
        <w:tc>
          <w:tcPr>
            <w:tcW w:w="438" w:type="dxa"/>
            <w:vMerge w:val="continue"/>
            <w:noWrap w:val="0"/>
            <w:vAlign w:val="center"/>
          </w:tcPr>
          <w:p w14:paraId="710FA1F9">
            <w:pPr>
              <w:rPr>
                <w:rFonts w:hint="eastAsia" w:ascii="黑体" w:hAnsi="黑体" w:eastAsia="黑体" w:cs="黑体"/>
                <w:color w:val="auto"/>
                <w:szCs w:val="21"/>
                <w:highlight w:val="none"/>
              </w:rPr>
            </w:pPr>
          </w:p>
        </w:tc>
        <w:tc>
          <w:tcPr>
            <w:tcW w:w="697" w:type="dxa"/>
            <w:noWrap w:val="0"/>
            <w:vAlign w:val="center"/>
          </w:tcPr>
          <w:p w14:paraId="0ADADE72">
            <w:pPr>
              <w:snapToGrid w:val="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业绩</w:t>
            </w:r>
          </w:p>
        </w:tc>
        <w:tc>
          <w:tcPr>
            <w:tcW w:w="1004" w:type="dxa"/>
            <w:noWrap w:val="0"/>
            <w:vAlign w:val="center"/>
          </w:tcPr>
          <w:p w14:paraId="501FB2D0">
            <w:pPr>
              <w:jc w:val="center"/>
              <w:rPr>
                <w:rFonts w:hint="eastAsia" w:ascii="黑体" w:hAnsi="黑体" w:eastAsia="黑体" w:cs="黑体"/>
                <w:b/>
                <w:color w:val="auto"/>
                <w:szCs w:val="21"/>
                <w:highlight w:val="none"/>
                <w:u w:val="single"/>
                <w:lang w:val="en-US" w:eastAsia="zh-CN"/>
              </w:rPr>
            </w:pPr>
            <w:r>
              <w:rPr>
                <w:rFonts w:hint="eastAsia" w:ascii="黑体" w:hAnsi="黑体" w:eastAsia="黑体" w:cs="黑体"/>
                <w:b/>
                <w:color w:val="auto"/>
                <w:szCs w:val="21"/>
                <w:highlight w:val="none"/>
                <w:u w:val="single"/>
                <w:lang w:val="en-US" w:eastAsia="zh-CN"/>
              </w:rPr>
              <w:t>10</w:t>
            </w:r>
            <w:r>
              <w:rPr>
                <w:rFonts w:hint="eastAsia" w:ascii="黑体" w:hAnsi="黑体" w:eastAsia="黑体" w:cs="黑体"/>
                <w:color w:val="auto"/>
                <w:szCs w:val="21"/>
                <w:highlight w:val="none"/>
              </w:rPr>
              <w:t>分</w:t>
            </w:r>
          </w:p>
        </w:tc>
        <w:tc>
          <w:tcPr>
            <w:tcW w:w="1999" w:type="dxa"/>
            <w:noWrap w:val="0"/>
            <w:vAlign w:val="center"/>
          </w:tcPr>
          <w:p w14:paraId="5A6FA2BF">
            <w:pPr>
              <w:snapToGrid w:val="0"/>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投标人提供的业绩</w:t>
            </w:r>
          </w:p>
        </w:tc>
        <w:tc>
          <w:tcPr>
            <w:tcW w:w="1133" w:type="dxa"/>
            <w:noWrap w:val="0"/>
            <w:vAlign w:val="center"/>
          </w:tcPr>
          <w:p w14:paraId="01EF3E36">
            <w:pPr>
              <w:jc w:val="center"/>
              <w:rPr>
                <w:rFonts w:hint="eastAsia" w:ascii="黑体" w:hAnsi="黑体" w:eastAsia="黑体" w:cs="黑体"/>
                <w:b/>
                <w:color w:val="auto"/>
                <w:szCs w:val="21"/>
                <w:highlight w:val="none"/>
                <w:u w:val="single"/>
                <w:lang w:val="en-US" w:eastAsia="zh-CN"/>
              </w:rPr>
            </w:pPr>
            <w:r>
              <w:rPr>
                <w:rFonts w:hint="eastAsia" w:ascii="黑体" w:hAnsi="黑体" w:eastAsia="黑体" w:cs="黑体"/>
                <w:b/>
                <w:color w:val="auto"/>
                <w:szCs w:val="21"/>
                <w:highlight w:val="none"/>
                <w:u w:val="single"/>
                <w:lang w:val="en-US" w:eastAsia="zh-CN"/>
              </w:rPr>
              <w:t>10</w:t>
            </w:r>
            <w:r>
              <w:rPr>
                <w:rFonts w:hint="eastAsia" w:ascii="黑体" w:hAnsi="黑体" w:eastAsia="黑体" w:cs="黑体"/>
                <w:color w:val="auto"/>
                <w:szCs w:val="21"/>
                <w:highlight w:val="none"/>
              </w:rPr>
              <w:t>分</w:t>
            </w:r>
          </w:p>
        </w:tc>
        <w:tc>
          <w:tcPr>
            <w:tcW w:w="2834" w:type="dxa"/>
            <w:noWrap w:val="0"/>
            <w:vAlign w:val="center"/>
          </w:tcPr>
          <w:p w14:paraId="7EAA3E4E">
            <w:pPr>
              <w:rPr>
                <w:rFonts w:hint="eastAsia" w:ascii="黑体" w:hAnsi="黑体" w:eastAsia="黑体" w:cs="黑体"/>
                <w:color w:val="auto"/>
                <w:spacing w:val="-4"/>
                <w:szCs w:val="21"/>
                <w:highlight w:val="none"/>
              </w:rPr>
            </w:pPr>
            <w:r>
              <w:rPr>
                <w:rFonts w:hint="eastAsia" w:ascii="黑体" w:hAnsi="黑体" w:eastAsia="黑体" w:cs="黑体"/>
                <w:color w:val="auto"/>
                <w:spacing w:val="-4"/>
                <w:szCs w:val="21"/>
                <w:highlight w:val="none"/>
              </w:rPr>
              <w:t>满足资格审查条件得</w:t>
            </w:r>
            <w:r>
              <w:rPr>
                <w:rFonts w:hint="eastAsia" w:ascii="黑体" w:hAnsi="黑体" w:eastAsia="黑体" w:cs="黑体"/>
                <w:color w:val="auto"/>
                <w:spacing w:val="-4"/>
                <w:szCs w:val="21"/>
                <w:highlight w:val="none"/>
                <w:lang w:val="en-US" w:eastAsia="zh-CN"/>
              </w:rPr>
              <w:t>10</w:t>
            </w:r>
            <w:r>
              <w:rPr>
                <w:rFonts w:hint="eastAsia" w:ascii="黑体" w:hAnsi="黑体" w:eastAsia="黑体" w:cs="黑体"/>
                <w:color w:val="auto"/>
                <w:spacing w:val="-4"/>
                <w:szCs w:val="21"/>
                <w:highlight w:val="none"/>
              </w:rPr>
              <w:t>分</w:t>
            </w:r>
            <w:r>
              <w:rPr>
                <w:rFonts w:hint="eastAsia" w:ascii="黑体" w:hAnsi="黑体" w:eastAsia="黑体" w:cs="黑体"/>
                <w:color w:val="auto"/>
                <w:spacing w:val="-4"/>
                <w:szCs w:val="21"/>
                <w:highlight w:val="none"/>
                <w:lang w:eastAsia="zh-CN"/>
              </w:rPr>
              <w:t>。</w:t>
            </w:r>
          </w:p>
        </w:tc>
      </w:tr>
    </w:tbl>
    <w:p w14:paraId="4C0EF692">
      <w:pPr>
        <w:pStyle w:val="2"/>
        <w:shd w:val="clear" w:color="auto" w:fill="auto"/>
        <w:spacing w:before="240" w:after="240" w:line="240" w:lineRule="atLeast"/>
        <w:jc w:val="left"/>
        <w:rPr>
          <w:rFonts w:hint="eastAsia" w:ascii="黑体" w:hAnsi="黑体" w:eastAsia="黑体" w:cs="黑体"/>
          <w:b w:val="0"/>
          <w:color w:val="auto"/>
          <w:sz w:val="28"/>
          <w:szCs w:val="28"/>
          <w:highlight w:val="none"/>
        </w:rPr>
      </w:pPr>
      <w:r>
        <w:rPr>
          <w:rFonts w:hint="eastAsia" w:ascii="黑体" w:hAnsi="黑体" w:eastAsia="黑体" w:cs="黑体"/>
          <w:color w:val="auto"/>
          <w:sz w:val="21"/>
          <w:szCs w:val="21"/>
          <w:highlight w:val="none"/>
        </w:rPr>
        <w:br w:type="page"/>
      </w:r>
    </w:p>
    <w:p w14:paraId="14F05B74">
      <w:pPr>
        <w:pStyle w:val="2"/>
        <w:pageBreakBefore w:val="0"/>
        <w:widowControl w:val="0"/>
        <w:shd w:val="clear" w:color="auto" w:fill="auto"/>
        <w:kinsoku/>
        <w:wordWrap/>
        <w:overflowPunct/>
        <w:topLinePunct w:val="0"/>
        <w:autoSpaceDE/>
        <w:autoSpaceDN/>
        <w:bidi w:val="0"/>
        <w:adjustRightInd/>
        <w:snapToGrid/>
        <w:spacing w:before="0" w:after="0" w:line="240" w:lineRule="atLeast"/>
        <w:jc w:val="left"/>
        <w:textAlignment w:val="auto"/>
        <w:rPr>
          <w:rFonts w:hint="eastAsia" w:ascii="黑体" w:hAnsi="黑体" w:eastAsia="黑体" w:cs="黑体"/>
          <w:b/>
          <w:bCs w:val="0"/>
          <w:color w:val="auto"/>
          <w:sz w:val="21"/>
          <w:szCs w:val="21"/>
          <w:highlight w:val="none"/>
        </w:rPr>
      </w:pPr>
      <w:bookmarkStart w:id="256" w:name="_Toc7522"/>
      <w:r>
        <w:rPr>
          <w:rFonts w:hint="eastAsia" w:ascii="黑体" w:hAnsi="黑体" w:eastAsia="黑体" w:cs="黑体"/>
          <w:b/>
          <w:bCs w:val="0"/>
          <w:color w:val="auto"/>
          <w:sz w:val="21"/>
          <w:szCs w:val="21"/>
          <w:highlight w:val="none"/>
        </w:rPr>
        <w:t>1. 评标方法</w:t>
      </w:r>
      <w:bookmarkEnd w:id="252"/>
      <w:bookmarkEnd w:id="256"/>
    </w:p>
    <w:p w14:paraId="5D300C07">
      <w:pPr>
        <w:pageBreakBefore w:val="0"/>
        <w:widowControl w:val="0"/>
        <w:shd w:val="clear" w:color="auto" w:fill="auto"/>
        <w:kinsoku/>
        <w:wordWrap/>
        <w:overflowPunct/>
        <w:topLinePunct w:val="0"/>
        <w:autoSpaceDE/>
        <w:autoSpaceDN/>
        <w:bidi w:val="0"/>
        <w:adjustRightInd/>
        <w:snapToGrid/>
        <w:spacing w:line="400" w:lineRule="atLeast"/>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本次评标采用技术评分最低标价法。评标委员会对满足招标文件实质性要求的投标文件的施工组织设计、主要人员、技术能力等因素进行评分，按照得分由高到低排序，对排名在招标文件规定数量以内的投标人的报价文件进行评审，按照评标价由低到高的顺序推荐中标候选人，或根据招标人授权直接确定中标人，但投标报价低于其成本的除外。评标价相等时，评标委员会应按照评标办法前附表规定的优先次序推荐中标候选人或确定中标人。</w:t>
      </w:r>
    </w:p>
    <w:p w14:paraId="3A1D4AE7">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1"/>
          <w:szCs w:val="21"/>
          <w:highlight w:val="none"/>
        </w:rPr>
      </w:pPr>
      <w:bookmarkStart w:id="257" w:name="_Toc11170"/>
      <w:bookmarkStart w:id="258" w:name="_Toc501257143"/>
      <w:r>
        <w:rPr>
          <w:rFonts w:hint="eastAsia" w:ascii="黑体" w:hAnsi="黑体" w:eastAsia="黑体" w:cs="黑体"/>
          <w:b/>
          <w:bCs w:val="0"/>
          <w:color w:val="auto"/>
          <w:sz w:val="21"/>
          <w:szCs w:val="21"/>
          <w:highlight w:val="none"/>
        </w:rPr>
        <w:t>2. 评审标准</w:t>
      </w:r>
      <w:bookmarkEnd w:id="257"/>
      <w:bookmarkEnd w:id="258"/>
    </w:p>
    <w:p w14:paraId="7842BAF0">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1"/>
          <w:szCs w:val="21"/>
          <w:highlight w:val="none"/>
        </w:rPr>
      </w:pPr>
      <w:bookmarkStart w:id="259" w:name="_Toc9721"/>
      <w:bookmarkStart w:id="260" w:name="_Toc501257144"/>
      <w:r>
        <w:rPr>
          <w:rFonts w:hint="eastAsia" w:ascii="黑体" w:hAnsi="黑体" w:eastAsia="黑体" w:cs="黑体"/>
          <w:b w:val="0"/>
          <w:color w:val="auto"/>
          <w:sz w:val="21"/>
          <w:szCs w:val="21"/>
          <w:highlight w:val="none"/>
        </w:rPr>
        <w:t>2.1 初步评审标准</w:t>
      </w:r>
      <w:bookmarkEnd w:id="259"/>
      <w:bookmarkEnd w:id="260"/>
    </w:p>
    <w:p w14:paraId="3506A7BC">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2.1.1 形式评审标准：见评标办法前附表。</w:t>
      </w:r>
    </w:p>
    <w:p w14:paraId="5B0978B5">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2.1.2 资格评审标准：见评标办法前附表。</w:t>
      </w:r>
    </w:p>
    <w:p w14:paraId="2BEEA7EA">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2.1.3 响应性评审标准：见评标办法前附表。</w:t>
      </w:r>
    </w:p>
    <w:p w14:paraId="4AAEB96F">
      <w:pPr>
        <w:pStyle w:val="2"/>
        <w:keepNext/>
        <w:keepLines/>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1"/>
          <w:szCs w:val="21"/>
          <w:highlight w:val="none"/>
        </w:rPr>
      </w:pPr>
      <w:bookmarkStart w:id="261" w:name="_Toc7455"/>
      <w:bookmarkStart w:id="262" w:name="_Toc501257145"/>
      <w:r>
        <w:rPr>
          <w:rFonts w:hint="eastAsia" w:ascii="黑体" w:hAnsi="黑体" w:eastAsia="黑体" w:cs="黑体"/>
          <w:b w:val="0"/>
          <w:color w:val="auto"/>
          <w:sz w:val="21"/>
          <w:szCs w:val="21"/>
          <w:highlight w:val="none"/>
        </w:rPr>
        <w:t>2.2 分值构成与评分标准</w:t>
      </w:r>
      <w:bookmarkEnd w:id="261"/>
      <w:bookmarkEnd w:id="262"/>
    </w:p>
    <w:p w14:paraId="07F9A342">
      <w:pPr>
        <w:pageBreakBefore w:val="0"/>
        <w:widowControl w:val="0"/>
        <w:shd w:val="clear" w:color="auto" w:fill="auto"/>
        <w:tabs>
          <w:tab w:val="left" w:pos="360"/>
        </w:tabs>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2.2.1 </w:t>
      </w:r>
      <w:r>
        <w:rPr>
          <w:rFonts w:hint="eastAsia" w:ascii="黑体" w:hAnsi="黑体" w:eastAsia="黑体" w:cs="黑体"/>
          <w:bCs/>
          <w:color w:val="auto"/>
          <w:kern w:val="44"/>
          <w:sz w:val="21"/>
          <w:szCs w:val="21"/>
          <w:highlight w:val="none"/>
        </w:rPr>
        <w:t>第一个信封评分</w:t>
      </w:r>
      <w:r>
        <w:rPr>
          <w:rFonts w:hint="eastAsia" w:ascii="黑体" w:hAnsi="黑体" w:eastAsia="黑体" w:cs="黑体"/>
          <w:color w:val="auto"/>
          <w:sz w:val="21"/>
          <w:szCs w:val="21"/>
          <w:highlight w:val="none"/>
        </w:rPr>
        <w:t>分值构成</w:t>
      </w:r>
    </w:p>
    <w:p w14:paraId="6BBF9A00">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（1）施工组织设计：见评标办法前附表；</w:t>
      </w:r>
    </w:p>
    <w:p w14:paraId="78E8B1DB">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（2）主要人员：见评标办法前附表；</w:t>
      </w:r>
    </w:p>
    <w:p w14:paraId="3B749B98">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（3）其他评分因素：见评标办法前附表。</w:t>
      </w:r>
    </w:p>
    <w:p w14:paraId="1ED76C08">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2.2.2 </w:t>
      </w:r>
      <w:r>
        <w:rPr>
          <w:rFonts w:hint="eastAsia" w:ascii="黑体" w:hAnsi="黑体" w:eastAsia="黑体" w:cs="黑体"/>
          <w:bCs/>
          <w:color w:val="auto"/>
          <w:kern w:val="44"/>
          <w:sz w:val="21"/>
          <w:szCs w:val="21"/>
          <w:highlight w:val="none"/>
        </w:rPr>
        <w:t>第一个信封</w:t>
      </w:r>
      <w:r>
        <w:rPr>
          <w:rFonts w:hint="eastAsia" w:ascii="黑体" w:hAnsi="黑体" w:eastAsia="黑体" w:cs="黑体"/>
          <w:bCs/>
          <w:color w:val="auto"/>
          <w:kern w:val="44"/>
          <w:sz w:val="21"/>
          <w:szCs w:val="21"/>
          <w:highlight w:val="none"/>
          <w:lang w:eastAsia="zh-CN"/>
        </w:rPr>
        <w:t>评分</w:t>
      </w:r>
      <w:r>
        <w:rPr>
          <w:rFonts w:hint="eastAsia" w:ascii="黑体" w:hAnsi="黑体" w:eastAsia="黑体" w:cs="黑体"/>
          <w:color w:val="auto"/>
          <w:sz w:val="21"/>
          <w:szCs w:val="21"/>
          <w:highlight w:val="none"/>
        </w:rPr>
        <w:t>标准</w:t>
      </w:r>
    </w:p>
    <w:p w14:paraId="5DEEE46C">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（1）施工组织设计评分标准：见评标办法前附表；</w:t>
      </w:r>
    </w:p>
    <w:p w14:paraId="59387822">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（2）主要人员评分标准：见评标办法前附表；</w:t>
      </w:r>
    </w:p>
    <w:p w14:paraId="0037A3B5">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（3）其他因素评分标准：见评标办法前附表。</w:t>
      </w:r>
    </w:p>
    <w:p w14:paraId="344CBF0B">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2.2.3 第二个信封详细评审标准：见评标办法前附表。</w:t>
      </w:r>
    </w:p>
    <w:p w14:paraId="03029FCF">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1"/>
          <w:szCs w:val="21"/>
          <w:highlight w:val="none"/>
        </w:rPr>
      </w:pPr>
      <w:bookmarkStart w:id="263" w:name="_Toc17625"/>
      <w:bookmarkStart w:id="264" w:name="_Toc501257146"/>
      <w:r>
        <w:rPr>
          <w:rFonts w:hint="eastAsia" w:ascii="黑体" w:hAnsi="黑体" w:eastAsia="黑体" w:cs="黑体"/>
          <w:b/>
          <w:bCs w:val="0"/>
          <w:color w:val="auto"/>
          <w:sz w:val="21"/>
          <w:szCs w:val="21"/>
          <w:highlight w:val="none"/>
        </w:rPr>
        <w:t>3. 评标程序</w:t>
      </w:r>
      <w:bookmarkEnd w:id="263"/>
      <w:bookmarkEnd w:id="264"/>
    </w:p>
    <w:p w14:paraId="05474E7C">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1"/>
          <w:szCs w:val="21"/>
          <w:highlight w:val="none"/>
        </w:rPr>
      </w:pPr>
      <w:bookmarkStart w:id="265" w:name="_Toc501257147"/>
      <w:bookmarkStart w:id="266" w:name="_Toc10010"/>
      <w:r>
        <w:rPr>
          <w:rFonts w:hint="eastAsia" w:ascii="黑体" w:hAnsi="黑体" w:eastAsia="黑体" w:cs="黑体"/>
          <w:b w:val="0"/>
          <w:color w:val="auto"/>
          <w:sz w:val="21"/>
          <w:szCs w:val="21"/>
          <w:highlight w:val="none"/>
        </w:rPr>
        <w:t>3.1第一个信封初步评审</w:t>
      </w:r>
      <w:bookmarkEnd w:id="265"/>
      <w:bookmarkEnd w:id="266"/>
    </w:p>
    <w:p w14:paraId="1DDA3229">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3.1.1 评标委员会可以要求投标人提交第二章“投标人须知”第3.5.1项至第3.5.6项规定的有关证明和证件的原件，以便核验。评标委员会依据本章第2.1款规定的标准对投标文件第一个信封（商务及技术文件）进行初步评审。有一项不符合评审标准的，评标委员会应否决其投标。</w:t>
      </w:r>
    </w:p>
    <w:p w14:paraId="7071A2A9">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1"/>
          <w:szCs w:val="21"/>
          <w:highlight w:val="none"/>
        </w:rPr>
      </w:pPr>
      <w:bookmarkStart w:id="267" w:name="_Toc501257148"/>
      <w:bookmarkStart w:id="268" w:name="_Toc12606"/>
      <w:r>
        <w:rPr>
          <w:rFonts w:hint="eastAsia" w:ascii="黑体" w:hAnsi="黑体" w:eastAsia="黑体" w:cs="黑体"/>
          <w:b w:val="0"/>
          <w:color w:val="auto"/>
          <w:sz w:val="21"/>
          <w:szCs w:val="21"/>
          <w:highlight w:val="none"/>
        </w:rPr>
        <w:t>3.2</w:t>
      </w:r>
      <w:r>
        <w:rPr>
          <w:rFonts w:hint="eastAsia" w:ascii="黑体" w:hAnsi="黑体" w:eastAsia="黑体" w:cs="黑体"/>
          <w:b w:val="0"/>
          <w:color w:val="auto"/>
          <w:sz w:val="21"/>
          <w:szCs w:val="21"/>
          <w:highlight w:val="none"/>
          <w:lang w:eastAsia="zh-CN"/>
        </w:rPr>
        <w:t xml:space="preserve"> </w:t>
      </w:r>
      <w:r>
        <w:rPr>
          <w:rFonts w:hint="eastAsia" w:ascii="黑体" w:hAnsi="黑体" w:eastAsia="黑体" w:cs="黑体"/>
          <w:b w:val="0"/>
          <w:color w:val="auto"/>
          <w:sz w:val="21"/>
          <w:szCs w:val="21"/>
          <w:highlight w:val="none"/>
        </w:rPr>
        <w:t>第一个信封详细评审</w:t>
      </w:r>
      <w:bookmarkEnd w:id="267"/>
      <w:bookmarkEnd w:id="268"/>
    </w:p>
    <w:p w14:paraId="57B91BFB">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3.2.1 评标委员会按本章第2.2款规定的量化因素和分值进行打分，并计算出各投标人的商务和技术得分。</w:t>
      </w:r>
    </w:p>
    <w:p w14:paraId="58A0FF3E">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（1）按本章第2.2.2项（1）目规定的评审因素和分值对施工组织设计部分计算出得分A；</w:t>
      </w:r>
    </w:p>
    <w:p w14:paraId="5D9124AD">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（2）按本章第2.2.2项（2）目规定的评审因素和分值对主要人员部分计算出得分B；</w:t>
      </w:r>
    </w:p>
    <w:p w14:paraId="10037F6C">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（3）按本章第2.2.2项（3）目规定的评审因素和分值对其他部分计算出得分C。</w:t>
      </w:r>
    </w:p>
    <w:p w14:paraId="48A6ED95">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3.2.2 投标人的商务和技术得分分值计算保留小数点后两位，小数点后第三位“四舍五入”。</w:t>
      </w:r>
    </w:p>
    <w:p w14:paraId="245A51F7">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3.2.3 投标人的商务和技术得分=A+B+C。</w:t>
      </w:r>
    </w:p>
    <w:p w14:paraId="51CCF785">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3.2.4 评标委员会按照投标人的商务和技术得分由高到低排序，排名在评标办法前附表规定数量以内的投标人，其投标文件第一个信封（商务及技术文件）通过详细评审。</w:t>
      </w:r>
    </w:p>
    <w:p w14:paraId="6AA782EA">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3.2.5 通过投标文件第一个信封（商务及技术文件）初步评审的投标人不少于3个且未超过评标办法前附表第3.2.4项规定数量的，均通过投标文件第一个信封（商务及技术文件）详细评审，不再对投标人的商务和技术文件进行评分。</w:t>
      </w:r>
    </w:p>
    <w:p w14:paraId="02AB1C3C">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1"/>
          <w:szCs w:val="21"/>
          <w:highlight w:val="none"/>
        </w:rPr>
      </w:pPr>
      <w:bookmarkStart w:id="269" w:name="_Toc2187"/>
      <w:bookmarkStart w:id="270" w:name="_Toc501257149"/>
      <w:r>
        <w:rPr>
          <w:rFonts w:hint="eastAsia" w:ascii="黑体" w:hAnsi="黑体" w:eastAsia="黑体" w:cs="黑体"/>
          <w:b w:val="0"/>
          <w:color w:val="auto"/>
          <w:sz w:val="21"/>
          <w:szCs w:val="21"/>
          <w:highlight w:val="none"/>
        </w:rPr>
        <w:t>3.3</w:t>
      </w:r>
      <w:r>
        <w:rPr>
          <w:rFonts w:hint="eastAsia" w:ascii="黑体" w:hAnsi="黑体" w:eastAsia="黑体" w:cs="黑体"/>
          <w:b w:val="0"/>
          <w:color w:val="auto"/>
          <w:sz w:val="21"/>
          <w:szCs w:val="21"/>
          <w:highlight w:val="none"/>
          <w:lang w:eastAsia="zh-CN"/>
        </w:rPr>
        <w:t xml:space="preserve"> </w:t>
      </w:r>
      <w:r>
        <w:rPr>
          <w:rFonts w:hint="eastAsia" w:ascii="黑体" w:hAnsi="黑体" w:eastAsia="黑体" w:cs="黑体"/>
          <w:b w:val="0"/>
          <w:color w:val="auto"/>
          <w:sz w:val="21"/>
          <w:szCs w:val="21"/>
          <w:highlight w:val="none"/>
        </w:rPr>
        <w:t>第二个信封开标</w:t>
      </w:r>
      <w:bookmarkEnd w:id="269"/>
      <w:bookmarkEnd w:id="270"/>
    </w:p>
    <w:p w14:paraId="43E190FC">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第一个信封（商务及技术文件）评审结束后，招标人将按照第二章“投标人须知”第5.1款规定的时间和地点对通过投标文件第一个信封（商务及技术文件）评审的投标文件第二个信封（报价文件）进行开标。</w:t>
      </w:r>
    </w:p>
    <w:p w14:paraId="4EA584A5">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1"/>
          <w:szCs w:val="21"/>
          <w:highlight w:val="none"/>
        </w:rPr>
      </w:pPr>
      <w:bookmarkStart w:id="271" w:name="_Toc501257150"/>
      <w:bookmarkStart w:id="272" w:name="_Toc18471"/>
      <w:r>
        <w:rPr>
          <w:rFonts w:hint="eastAsia" w:ascii="黑体" w:hAnsi="黑体" w:eastAsia="黑体" w:cs="黑体"/>
          <w:b w:val="0"/>
          <w:color w:val="auto"/>
          <w:sz w:val="21"/>
          <w:szCs w:val="21"/>
          <w:highlight w:val="none"/>
        </w:rPr>
        <w:t>3.4</w:t>
      </w:r>
      <w:r>
        <w:rPr>
          <w:rFonts w:hint="eastAsia" w:ascii="黑体" w:hAnsi="黑体" w:eastAsia="黑体" w:cs="黑体"/>
          <w:b w:val="0"/>
          <w:color w:val="auto"/>
          <w:sz w:val="21"/>
          <w:szCs w:val="21"/>
          <w:highlight w:val="none"/>
          <w:lang w:eastAsia="zh-CN"/>
        </w:rPr>
        <w:t xml:space="preserve"> </w:t>
      </w:r>
      <w:r>
        <w:rPr>
          <w:rFonts w:hint="eastAsia" w:ascii="黑体" w:hAnsi="黑体" w:eastAsia="黑体" w:cs="黑体"/>
          <w:b w:val="0"/>
          <w:color w:val="auto"/>
          <w:sz w:val="21"/>
          <w:szCs w:val="21"/>
          <w:highlight w:val="none"/>
        </w:rPr>
        <w:t>第二个信封初步评审</w:t>
      </w:r>
      <w:bookmarkEnd w:id="271"/>
      <w:bookmarkEnd w:id="272"/>
    </w:p>
    <w:p w14:paraId="61791669">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3.4.1 评标委员会依据本章第2.1.1项、第2.1.3项规定的评审标准对投标文件第二个信封（报价文件）进行初步评审。有一项不符合评审标准的，评标委员会应否决其投标。</w:t>
      </w:r>
    </w:p>
    <w:p w14:paraId="594DACAA">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3.4.2</w:t>
      </w:r>
      <w:r>
        <w:rPr>
          <w:rFonts w:hint="eastAsia" w:ascii="黑体" w:hAnsi="黑体" w:eastAsia="黑体" w:cs="黑体"/>
          <w:color w:val="auto"/>
          <w:sz w:val="21"/>
          <w:szCs w:val="21"/>
          <w:highlight w:val="none"/>
          <w:vertAlign w:val="superscript"/>
        </w:rPr>
        <w:footnoteReference w:id="6"/>
      </w:r>
      <w:r>
        <w:rPr>
          <w:rFonts w:hint="eastAsia" w:ascii="黑体" w:hAnsi="黑体" w:eastAsia="黑体" w:cs="黑体"/>
          <w:color w:val="auto"/>
          <w:sz w:val="21"/>
          <w:szCs w:val="21"/>
          <w:highlight w:val="none"/>
        </w:rPr>
        <w:t xml:space="preserve"> 投标报价有算术错误的，评标委员会按以下原则对投标报价进行修正，修正的价格经投标人书面确认后具有约束力。投标人不接受修正价格的，评标委员会应否决其投标。</w:t>
      </w:r>
    </w:p>
    <w:p w14:paraId="131551BD">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（1）投标文件中的大写金额与小写金额不一致的，以大写金额为准；</w:t>
      </w:r>
    </w:p>
    <w:p w14:paraId="61E4D7C8">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（2）总价金额与依据单价计算出的结果不一致的，以单价金额为准修正总价，但单价金额小数点有明显错误的除外;</w:t>
      </w:r>
    </w:p>
    <w:p w14:paraId="539FF956">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（3）当单价与数量相乘不等于合价时，以单价计算为准，如果单价有明显的小数点位置差错，应以标出的合价为准，同时对单价予以修正；</w:t>
      </w:r>
    </w:p>
    <w:p w14:paraId="1416C92F">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（4）当各子目的合价累计不等于总价时，应以各子目合价累计数为准，修正总价。</w:t>
      </w:r>
    </w:p>
    <w:p w14:paraId="4C5AB7F6">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3.4.3 工程量清单中的投标报价有其他错误的，评标委员会按以下原则对投标报价进行修正，修正的价格经投标人书面确认后具有约束力。投标人不接受修正价格的，评标委员会应否决其投标。</w:t>
      </w:r>
    </w:p>
    <w:p w14:paraId="22948FEE">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在招标人给定的工程量清单中漏报了某个工程子目的单价、合价或总额价，或所报单价、合价或总额价减少了报价范围，则漏报的工程子目单价、合价和总额价或单价、合价和总额价中减少的报价内容视为已含入其他工程子目的单价、合价和总额价之中。</w:t>
      </w:r>
    </w:p>
    <w:p w14:paraId="62749E44">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在招标人给定的工程量清单中多报了某个工程子目的单价、合价或总额价，或所报单价、合价或总额价增加了报价范围，则从投标报价中扣除多报的工程子目报价或工程子目报价中增加了报价范围的部分报价。</w:t>
      </w:r>
    </w:p>
    <w:p w14:paraId="78AE5E04">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（3）当单价与数量的乘积与合价（金额）虽然一致，但投标人修改了该子目的工程数量，则其合价按招标人给定的工程数量乘以投标人所报单价予以修正。</w:t>
      </w:r>
    </w:p>
    <w:p w14:paraId="07C5CD5C">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3.4.4 修正后的最终投标报价若超过最高投标限价（如有），评标委员会应否决其投标。</w:t>
      </w:r>
    </w:p>
    <w:p w14:paraId="40F8CB00">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1"/>
          <w:szCs w:val="21"/>
          <w:highlight w:val="none"/>
        </w:rPr>
      </w:pPr>
      <w:bookmarkStart w:id="273" w:name="_Toc501257151"/>
      <w:bookmarkStart w:id="274" w:name="_Toc1211"/>
      <w:r>
        <w:rPr>
          <w:rFonts w:hint="eastAsia" w:ascii="黑体" w:hAnsi="黑体" w:eastAsia="黑体" w:cs="黑体"/>
          <w:b w:val="0"/>
          <w:color w:val="auto"/>
          <w:sz w:val="21"/>
          <w:szCs w:val="21"/>
          <w:highlight w:val="none"/>
        </w:rPr>
        <w:t>3.5</w:t>
      </w:r>
      <w:r>
        <w:rPr>
          <w:rFonts w:hint="eastAsia" w:ascii="黑体" w:hAnsi="黑体" w:eastAsia="黑体" w:cs="黑体"/>
          <w:b w:val="0"/>
          <w:color w:val="auto"/>
          <w:sz w:val="21"/>
          <w:szCs w:val="21"/>
          <w:highlight w:val="none"/>
          <w:lang w:eastAsia="zh-CN"/>
        </w:rPr>
        <w:t xml:space="preserve"> </w:t>
      </w:r>
      <w:r>
        <w:rPr>
          <w:rFonts w:hint="eastAsia" w:ascii="黑体" w:hAnsi="黑体" w:eastAsia="黑体" w:cs="黑体"/>
          <w:b w:val="0"/>
          <w:color w:val="auto"/>
          <w:sz w:val="21"/>
          <w:szCs w:val="21"/>
          <w:highlight w:val="none"/>
        </w:rPr>
        <w:t>第二个信封详细评审</w:t>
      </w:r>
      <w:bookmarkEnd w:id="273"/>
      <w:bookmarkEnd w:id="274"/>
    </w:p>
    <w:p w14:paraId="0AE9F420">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3.5.1 评标委员会按本章第2.2款规定的量化因素和标准进行价格折算，计算出评标价，并编制价格比较一览表。</w:t>
      </w:r>
    </w:p>
    <w:p w14:paraId="236997CF">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3.5.2 评标委员会发现投标人的报价明显低于其他投标报价，使得其投标报价可能低于其个别成本的，应要求该投标人作出书面说明并提供相应的证明材料。投标人不能合理说明或不能提供相应证明材料的，由评标委员会认定该投标人以低于成本报价竞标，并否决其投标。</w:t>
      </w:r>
    </w:p>
    <w:p w14:paraId="0F3D43DB">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1"/>
          <w:szCs w:val="21"/>
          <w:highlight w:val="none"/>
        </w:rPr>
      </w:pPr>
      <w:bookmarkStart w:id="275" w:name="_Toc501257152"/>
      <w:bookmarkStart w:id="276" w:name="_Toc14579"/>
      <w:r>
        <w:rPr>
          <w:rFonts w:hint="eastAsia" w:ascii="黑体" w:hAnsi="黑体" w:eastAsia="黑体" w:cs="黑体"/>
          <w:b w:val="0"/>
          <w:color w:val="auto"/>
          <w:sz w:val="21"/>
          <w:szCs w:val="21"/>
          <w:highlight w:val="none"/>
        </w:rPr>
        <w:t>3.6</w:t>
      </w:r>
      <w:r>
        <w:rPr>
          <w:rFonts w:hint="eastAsia" w:ascii="黑体" w:hAnsi="黑体" w:eastAsia="黑体" w:cs="黑体"/>
          <w:b w:val="0"/>
          <w:color w:val="auto"/>
          <w:sz w:val="21"/>
          <w:szCs w:val="21"/>
          <w:highlight w:val="none"/>
          <w:lang w:eastAsia="zh-CN"/>
        </w:rPr>
        <w:t xml:space="preserve"> </w:t>
      </w:r>
      <w:r>
        <w:rPr>
          <w:rFonts w:hint="eastAsia" w:ascii="黑体" w:hAnsi="黑体" w:eastAsia="黑体" w:cs="黑体"/>
          <w:b w:val="0"/>
          <w:color w:val="auto"/>
          <w:sz w:val="21"/>
          <w:szCs w:val="21"/>
          <w:highlight w:val="none"/>
        </w:rPr>
        <w:t>投标文件相关信息的核查</w:t>
      </w:r>
      <w:bookmarkEnd w:id="275"/>
      <w:bookmarkEnd w:id="276"/>
    </w:p>
    <w:p w14:paraId="49E1A882">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3.6.1 在评标过程中，评标委员会应查询交通运输主管部门“</w:t>
      </w:r>
      <w:r>
        <w:rPr>
          <w:rFonts w:hint="eastAsia" w:ascii="黑体" w:hAnsi="黑体" w:eastAsia="黑体" w:cs="黑体"/>
          <w:color w:val="auto"/>
          <w:sz w:val="21"/>
          <w:szCs w:val="21"/>
          <w:highlight w:val="none"/>
          <w:lang w:eastAsia="zh-CN"/>
        </w:rPr>
        <w:t>全国公路建设市场监督管理系统</w:t>
      </w:r>
      <w:r>
        <w:rPr>
          <w:rFonts w:hint="eastAsia" w:ascii="黑体" w:hAnsi="黑体" w:eastAsia="黑体" w:cs="黑体"/>
          <w:color w:val="auto"/>
          <w:sz w:val="21"/>
          <w:szCs w:val="21"/>
          <w:highlight w:val="none"/>
        </w:rPr>
        <w:t>”，对投标人的资质、业绩、主要人员资历和目前在岗情况、信用等级等信息进行核实。若投标文件载明的信息与交通运输主管部门“</w:t>
      </w:r>
      <w:r>
        <w:rPr>
          <w:rFonts w:hint="eastAsia" w:ascii="黑体" w:hAnsi="黑体" w:eastAsia="黑体" w:cs="黑体"/>
          <w:color w:val="auto"/>
          <w:sz w:val="21"/>
          <w:szCs w:val="21"/>
          <w:highlight w:val="none"/>
          <w:lang w:eastAsia="zh-CN"/>
        </w:rPr>
        <w:t>全国公路建设市场监督管理系统</w:t>
      </w:r>
      <w:r>
        <w:rPr>
          <w:rFonts w:hint="eastAsia" w:ascii="黑体" w:hAnsi="黑体" w:eastAsia="黑体" w:cs="黑体"/>
          <w:color w:val="auto"/>
          <w:sz w:val="21"/>
          <w:szCs w:val="21"/>
          <w:highlight w:val="none"/>
        </w:rPr>
        <w:t>”发布的信息不符，使得投标人的资格条件不符合招标文件规定的，评标委员会应否决其投标。</w:t>
      </w:r>
    </w:p>
    <w:p w14:paraId="68A2324C">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3.6.2 评标委员会应对在评标过程中发现的投标人与投标人之间、投标人与招标人之间存在的串通投标的情形进行评审和认定。投标人存在串通投标、弄虚作假、行贿等违法行为的，评标委员会应否决其投标。</w:t>
      </w:r>
    </w:p>
    <w:p w14:paraId="55581C35">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（1）有下列情形之一的，属于投标人相互串通投标：</w:t>
      </w:r>
    </w:p>
    <w:p w14:paraId="7E71F134">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a.投标人之间协商投标报价等投标文件的实质性内容；</w:t>
      </w:r>
    </w:p>
    <w:p w14:paraId="6968CB9F">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b.投标人之间约定中标人；</w:t>
      </w:r>
    </w:p>
    <w:p w14:paraId="13CA9288">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c.投标人之间约定部分投标人放弃投标或中标；</w:t>
      </w:r>
    </w:p>
    <w:p w14:paraId="61C30ABD">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d.属于同一集团、协会、商会等组织成员的投标人按照该组织要求协同投标；</w:t>
      </w:r>
    </w:p>
    <w:p w14:paraId="73E17D00">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e.投标人之间为谋取中标或排斥特定投标人而采取的其他联合行动。</w:t>
      </w:r>
    </w:p>
    <w:p w14:paraId="419C1DBF">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（2）有下列情形之一的，视为投标人相互串通投标：</w:t>
      </w:r>
    </w:p>
    <w:p w14:paraId="03D31652">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a.不同投标人的投标文件由同一单位或个人编制；</w:t>
      </w:r>
    </w:p>
    <w:p w14:paraId="4F156180">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b.不同投标人委托同一单位或个人办理投标事宜；</w:t>
      </w:r>
    </w:p>
    <w:p w14:paraId="23828A43">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c.不同投标人的投标文件载明的项目管理成员为同一人；</w:t>
      </w:r>
    </w:p>
    <w:p w14:paraId="2D83FE8D">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d.不同投标人的投标文件异常一致或投标报价呈规律性差异；</w:t>
      </w:r>
    </w:p>
    <w:p w14:paraId="1D705617">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e.不同投标人的投标文件相互混装；</w:t>
      </w:r>
    </w:p>
    <w:p w14:paraId="4646FB37">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f.不同投标人的投标保证金从同一单位或个人的账户转出。</w:t>
      </w:r>
    </w:p>
    <w:p w14:paraId="1C42E254">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（3）有下列情形之一的，属于招标人与投标人串通投标：</w:t>
      </w:r>
    </w:p>
    <w:p w14:paraId="176D3831">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a.招标人在开标前开启投标文件并将有关信息泄露给其他投标人;</w:t>
      </w:r>
    </w:p>
    <w:p w14:paraId="460E2832">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b.招标人直接或间接向投标人泄露标底、评标委员会成员等信息；</w:t>
      </w:r>
    </w:p>
    <w:p w14:paraId="3091346E">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c.招标人明示或暗示投标人压低或抬高投标报价；</w:t>
      </w:r>
    </w:p>
    <w:p w14:paraId="7464F523">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d.招标人授意投标人撤换、修改投标文件；</w:t>
      </w:r>
    </w:p>
    <w:p w14:paraId="3B8ADC3E">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e.招标人明示或暗示投标人为特定投标人中标提供方便；</w:t>
      </w:r>
    </w:p>
    <w:p w14:paraId="1E47D74C">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f.招标人与投标人为谋求特定投标人中标而采取的其他串通行为。</w:t>
      </w:r>
    </w:p>
    <w:p w14:paraId="10AD6C29">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（4）投标人有下列情形之一的，属于弄虚作假的行为：</w:t>
      </w:r>
    </w:p>
    <w:p w14:paraId="7CED4E57">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a.使用通过受让或租借等方式获取的资格、资质证书投标；</w:t>
      </w:r>
    </w:p>
    <w:p w14:paraId="6A30F325">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b.使用伪造、变造的许可证件；</w:t>
      </w:r>
    </w:p>
    <w:p w14:paraId="1390951D">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c.提供虚假的财务状况或业绩；</w:t>
      </w:r>
    </w:p>
    <w:p w14:paraId="6BA89281">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d.提供虚假的项目负责人或主要技术人员简历、劳动关系证明；</w:t>
      </w:r>
    </w:p>
    <w:p w14:paraId="50B78268">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e.提供虚假的信用状况；</w:t>
      </w:r>
    </w:p>
    <w:p w14:paraId="506B03AF">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f.其他弄虚作假的行为。</w:t>
      </w:r>
    </w:p>
    <w:p w14:paraId="5037482A">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1"/>
          <w:szCs w:val="21"/>
          <w:highlight w:val="none"/>
        </w:rPr>
      </w:pPr>
      <w:bookmarkStart w:id="277" w:name="_Toc501257153"/>
      <w:bookmarkStart w:id="278" w:name="_Toc2529"/>
      <w:r>
        <w:rPr>
          <w:rFonts w:hint="eastAsia" w:ascii="黑体" w:hAnsi="黑体" w:eastAsia="黑体" w:cs="黑体"/>
          <w:b w:val="0"/>
          <w:color w:val="auto"/>
          <w:sz w:val="21"/>
          <w:szCs w:val="21"/>
          <w:highlight w:val="none"/>
        </w:rPr>
        <w:t>3.7 投标文件的澄清和说明</w:t>
      </w:r>
      <w:bookmarkEnd w:id="277"/>
      <w:bookmarkEnd w:id="278"/>
    </w:p>
    <w:p w14:paraId="6151E861">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3.7.1 在评标过程中，评标委员会可以书面形式要求投标人对投标文件中含义不明确的内容、明显文字或计算错误进行书面澄清或说明。评标委员会不接受投标人主动提出的澄清、说明。投标人不按评标委员会要求澄清或说明的，评标委员会应否决其投标。</w:t>
      </w:r>
    </w:p>
    <w:p w14:paraId="21E8B348">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3.7.2 澄清和说明不得超出投标文件的范围或改变投标文件的实质性内容（算术性错误的修正除外）。投标人的书面澄清、说明属于投标文件的组成部分。</w:t>
      </w:r>
    </w:p>
    <w:p w14:paraId="3BCF8BAB">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3.7.3 评标委员会不得暗示或诱导投标人作出澄清、说明，对投标人提交的澄清、说明有疑问的，可以要求投标人进一步澄清或说明，直至满足评标委员会的要求。</w:t>
      </w:r>
    </w:p>
    <w:p w14:paraId="24EF0DBC">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3.7.4 凡超出招标文件规定的或给发包人带来未曾要求的利益的变化、偏差或其他因素在评标时不予考虑。</w:t>
      </w:r>
    </w:p>
    <w:p w14:paraId="7C2F239B">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1"/>
          <w:szCs w:val="21"/>
          <w:highlight w:val="none"/>
        </w:rPr>
      </w:pPr>
      <w:bookmarkStart w:id="279" w:name="_Toc501257154"/>
      <w:bookmarkStart w:id="280" w:name="_Toc3083"/>
      <w:r>
        <w:rPr>
          <w:rFonts w:hint="eastAsia" w:ascii="黑体" w:hAnsi="黑体" w:eastAsia="黑体" w:cs="黑体"/>
          <w:b w:val="0"/>
          <w:color w:val="auto"/>
          <w:sz w:val="21"/>
          <w:szCs w:val="21"/>
          <w:highlight w:val="none"/>
        </w:rPr>
        <w:t>3</w:t>
      </w:r>
      <w:r>
        <w:rPr>
          <w:rFonts w:hint="eastAsia" w:ascii="黑体" w:hAnsi="黑体" w:eastAsia="黑体" w:cs="黑体"/>
          <w:b w:val="0"/>
          <w:color w:val="auto"/>
          <w:sz w:val="21"/>
          <w:szCs w:val="21"/>
          <w:highlight w:val="none"/>
          <w:lang w:eastAsia="zh-CN"/>
        </w:rPr>
        <w:t>.8</w:t>
      </w:r>
      <w:r>
        <w:rPr>
          <w:rFonts w:hint="eastAsia" w:ascii="黑体" w:hAnsi="黑体" w:eastAsia="黑体" w:cs="黑体"/>
          <w:b w:val="0"/>
          <w:color w:val="auto"/>
          <w:sz w:val="21"/>
          <w:szCs w:val="21"/>
          <w:highlight w:val="none"/>
        </w:rPr>
        <w:t xml:space="preserve"> 不得否决投标的情形</w:t>
      </w:r>
      <w:bookmarkEnd w:id="279"/>
      <w:bookmarkEnd w:id="280"/>
    </w:p>
    <w:p w14:paraId="00A3DC90">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投标文件存在第二章“投标人须知”第1.12.3项所列情形的，均视为细微偏差，评标委员会不得否决投标人的投标，应按照第二章“投标人须知”第1.12.4项规定的原则处理。</w:t>
      </w:r>
    </w:p>
    <w:p w14:paraId="2C2311BE">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1"/>
          <w:szCs w:val="21"/>
          <w:highlight w:val="none"/>
        </w:rPr>
      </w:pPr>
      <w:bookmarkStart w:id="281" w:name="_Toc501257155"/>
      <w:bookmarkStart w:id="282" w:name="_Toc11678"/>
      <w:r>
        <w:rPr>
          <w:rFonts w:hint="eastAsia" w:ascii="黑体" w:hAnsi="黑体" w:eastAsia="黑体" w:cs="黑体"/>
          <w:b w:val="0"/>
          <w:color w:val="auto"/>
          <w:sz w:val="21"/>
          <w:szCs w:val="21"/>
          <w:highlight w:val="none"/>
        </w:rPr>
        <w:t>3.</w:t>
      </w:r>
      <w:r>
        <w:rPr>
          <w:rFonts w:hint="eastAsia" w:ascii="黑体" w:hAnsi="黑体" w:eastAsia="黑体" w:cs="黑体"/>
          <w:b w:val="0"/>
          <w:color w:val="auto"/>
          <w:sz w:val="21"/>
          <w:szCs w:val="21"/>
          <w:highlight w:val="none"/>
          <w:lang w:eastAsia="zh-CN"/>
        </w:rPr>
        <w:t>9</w:t>
      </w:r>
      <w:r>
        <w:rPr>
          <w:rFonts w:hint="eastAsia" w:ascii="黑体" w:hAnsi="黑体" w:eastAsia="黑体" w:cs="黑体"/>
          <w:b w:val="0"/>
          <w:color w:val="auto"/>
          <w:sz w:val="21"/>
          <w:szCs w:val="21"/>
          <w:highlight w:val="none"/>
        </w:rPr>
        <w:t xml:space="preserve"> 评标结果</w:t>
      </w:r>
      <w:bookmarkEnd w:id="281"/>
      <w:bookmarkEnd w:id="282"/>
    </w:p>
    <w:p w14:paraId="694E0E6E">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3.9.1除第二章“投标人须知”前附表授权直接确定中标人外，评标委员会按照评标价由低到高的顺序推荐中标候选人，并标明排序。</w:t>
      </w:r>
    </w:p>
    <w:p w14:paraId="2CE2A5DF">
      <w:pPr>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1"/>
          <w:szCs w:val="21"/>
          <w:highlight w:val="none"/>
        </w:rPr>
        <w:t>3.9.2 评标委员会完成评标后，应向招标人提交书面评标报告。</w:t>
      </w:r>
    </w:p>
    <w:p w14:paraId="6A2729FD">
      <w:pPr>
        <w:shd w:val="clear" w:color="auto" w:fill="auto"/>
        <w:spacing w:line="360" w:lineRule="auto"/>
        <w:ind w:firstLine="480" w:firstLineChars="200"/>
        <w:rPr>
          <w:rFonts w:hint="eastAsia" w:ascii="黑体" w:hAnsi="黑体" w:eastAsia="黑体" w:cs="黑体"/>
          <w:color w:val="auto"/>
          <w:sz w:val="24"/>
          <w:highlight w:val="none"/>
        </w:rPr>
        <w:sectPr>
          <w:headerReference r:id="rId18" w:type="default"/>
          <w:footerReference r:id="rId19" w:type="default"/>
          <w:footnotePr>
            <w:numFmt w:val="decimalEnclosedCircleChinese"/>
            <w:numRestart w:val="eachPage"/>
          </w:footnotePr>
          <w:pgSz w:w="11907" w:h="16840"/>
          <w:pgMar w:top="1588" w:right="1588" w:bottom="1474" w:left="1644" w:header="851" w:footer="851" w:gutter="0"/>
          <w:pgBorders>
            <w:top w:val="none" w:sz="0" w:space="0"/>
            <w:left w:val="none" w:sz="0" w:space="0"/>
            <w:bottom w:val="none" w:sz="0" w:space="0"/>
            <w:right w:val="none" w:sz="0" w:space="0"/>
          </w:pgBorders>
          <w:pgNumType w:fmt="numberInDash"/>
          <w:cols w:space="720" w:num="1"/>
          <w:docGrid w:linePitch="312" w:charSpace="0"/>
        </w:sectPr>
      </w:pPr>
    </w:p>
    <w:bookmarkEnd w:id="253"/>
    <w:p w14:paraId="04915804">
      <w:pPr>
        <w:shd w:val="clear" w:color="auto" w:fill="auto"/>
        <w:spacing w:line="440" w:lineRule="exact"/>
        <w:jc w:val="center"/>
        <w:rPr>
          <w:rFonts w:eastAsia="黑体"/>
          <w:color w:val="auto"/>
          <w:sz w:val="29"/>
          <w:szCs w:val="29"/>
          <w:highlight w:val="none"/>
        </w:rPr>
      </w:pPr>
    </w:p>
    <w:p w14:paraId="3A9DBDEF">
      <w:pPr>
        <w:shd w:val="clear" w:color="auto" w:fill="auto"/>
        <w:spacing w:line="440" w:lineRule="exact"/>
        <w:jc w:val="center"/>
        <w:rPr>
          <w:rFonts w:eastAsia="黑体"/>
          <w:color w:val="auto"/>
          <w:sz w:val="29"/>
          <w:szCs w:val="29"/>
          <w:highlight w:val="none"/>
        </w:rPr>
      </w:pPr>
    </w:p>
    <w:p w14:paraId="61AB5F2F">
      <w:pPr>
        <w:shd w:val="clear" w:color="auto" w:fill="auto"/>
        <w:spacing w:line="440" w:lineRule="exact"/>
        <w:jc w:val="center"/>
        <w:rPr>
          <w:rFonts w:eastAsia="黑体"/>
          <w:color w:val="auto"/>
          <w:sz w:val="29"/>
          <w:szCs w:val="29"/>
          <w:highlight w:val="none"/>
        </w:rPr>
      </w:pPr>
    </w:p>
    <w:p w14:paraId="4954B300">
      <w:pPr>
        <w:shd w:val="clear" w:color="auto" w:fill="auto"/>
        <w:spacing w:line="440" w:lineRule="exact"/>
        <w:jc w:val="center"/>
        <w:rPr>
          <w:rFonts w:hint="eastAsia" w:eastAsia="黑体"/>
          <w:color w:val="auto"/>
          <w:sz w:val="29"/>
          <w:szCs w:val="29"/>
          <w:highlight w:val="none"/>
        </w:rPr>
      </w:pPr>
    </w:p>
    <w:p w14:paraId="7004D47C">
      <w:pPr>
        <w:shd w:val="clear" w:color="auto" w:fill="auto"/>
        <w:spacing w:line="440" w:lineRule="exact"/>
        <w:jc w:val="center"/>
        <w:rPr>
          <w:rFonts w:hint="eastAsia" w:eastAsia="黑体"/>
          <w:color w:val="auto"/>
          <w:sz w:val="29"/>
          <w:szCs w:val="29"/>
          <w:highlight w:val="none"/>
        </w:rPr>
      </w:pPr>
    </w:p>
    <w:p w14:paraId="2AE8A0CC">
      <w:pPr>
        <w:shd w:val="clear" w:color="auto" w:fill="auto"/>
        <w:spacing w:line="440" w:lineRule="exact"/>
        <w:jc w:val="center"/>
        <w:rPr>
          <w:rFonts w:hint="eastAsia" w:eastAsia="黑体"/>
          <w:color w:val="auto"/>
          <w:sz w:val="29"/>
          <w:szCs w:val="29"/>
          <w:highlight w:val="none"/>
        </w:rPr>
      </w:pPr>
    </w:p>
    <w:p w14:paraId="17CD2FF3">
      <w:pPr>
        <w:shd w:val="clear" w:color="auto" w:fill="auto"/>
        <w:spacing w:line="440" w:lineRule="exact"/>
        <w:jc w:val="center"/>
        <w:rPr>
          <w:rFonts w:hint="eastAsia" w:eastAsia="黑体"/>
          <w:color w:val="auto"/>
          <w:sz w:val="29"/>
          <w:szCs w:val="29"/>
          <w:highlight w:val="none"/>
        </w:rPr>
      </w:pPr>
    </w:p>
    <w:p w14:paraId="302291FD">
      <w:pPr>
        <w:shd w:val="clear" w:color="auto" w:fill="auto"/>
        <w:spacing w:line="440" w:lineRule="exact"/>
        <w:jc w:val="center"/>
        <w:rPr>
          <w:rFonts w:hint="eastAsia" w:eastAsia="黑体"/>
          <w:color w:val="auto"/>
          <w:sz w:val="29"/>
          <w:szCs w:val="29"/>
          <w:highlight w:val="none"/>
        </w:rPr>
      </w:pPr>
    </w:p>
    <w:p w14:paraId="62E13AEE">
      <w:pPr>
        <w:shd w:val="clear" w:color="auto" w:fill="auto"/>
        <w:spacing w:line="440" w:lineRule="exact"/>
        <w:jc w:val="center"/>
        <w:rPr>
          <w:rFonts w:hint="eastAsia" w:eastAsia="黑体"/>
          <w:color w:val="auto"/>
          <w:sz w:val="29"/>
          <w:szCs w:val="29"/>
          <w:highlight w:val="none"/>
        </w:rPr>
      </w:pPr>
    </w:p>
    <w:p w14:paraId="68908403">
      <w:pPr>
        <w:shd w:val="clear" w:color="auto" w:fill="auto"/>
        <w:spacing w:line="440" w:lineRule="exact"/>
        <w:jc w:val="center"/>
        <w:rPr>
          <w:rFonts w:hint="eastAsia" w:eastAsia="黑体"/>
          <w:color w:val="auto"/>
          <w:sz w:val="29"/>
          <w:szCs w:val="29"/>
          <w:highlight w:val="none"/>
        </w:rPr>
      </w:pPr>
    </w:p>
    <w:p w14:paraId="417ADC6E">
      <w:pPr>
        <w:shd w:val="clear" w:color="auto" w:fill="auto"/>
        <w:spacing w:line="440" w:lineRule="exact"/>
        <w:jc w:val="center"/>
        <w:rPr>
          <w:rFonts w:hint="eastAsia" w:eastAsia="黑体"/>
          <w:color w:val="auto"/>
          <w:sz w:val="29"/>
          <w:szCs w:val="29"/>
          <w:highlight w:val="none"/>
        </w:rPr>
      </w:pPr>
    </w:p>
    <w:p w14:paraId="6E7D2D9D">
      <w:pPr>
        <w:pStyle w:val="2"/>
        <w:bidi w:val="0"/>
        <w:rPr>
          <w:rFonts w:eastAsia="黑体"/>
          <w:b w:val="0"/>
          <w:color w:val="auto"/>
          <w:szCs w:val="56"/>
          <w:highlight w:val="none"/>
        </w:rPr>
      </w:pPr>
      <w:bookmarkStart w:id="283" w:name="_Toc31713"/>
      <w:bookmarkStart w:id="284" w:name="_Toc234832964"/>
      <w:bookmarkStart w:id="285" w:name="_Toc501257187"/>
      <w:r>
        <w:rPr>
          <w:highlight w:val="none"/>
        </w:rPr>
        <w:t>第四章  合同条款及格式</w:t>
      </w:r>
      <w:bookmarkEnd w:id="283"/>
      <w:bookmarkEnd w:id="284"/>
      <w:bookmarkEnd w:id="285"/>
    </w:p>
    <w:p w14:paraId="37B6EB3A">
      <w:pPr>
        <w:shd w:val="clear" w:color="auto" w:fill="auto"/>
        <w:spacing w:line="440" w:lineRule="exact"/>
        <w:rPr>
          <w:rFonts w:eastAsia="黑体"/>
          <w:color w:val="auto"/>
          <w:sz w:val="20"/>
          <w:szCs w:val="20"/>
          <w:highlight w:val="none"/>
        </w:rPr>
      </w:pPr>
    </w:p>
    <w:p w14:paraId="7D006A91">
      <w:pPr>
        <w:shd w:val="clear" w:color="auto" w:fill="auto"/>
        <w:spacing w:line="440" w:lineRule="exact"/>
        <w:rPr>
          <w:rFonts w:eastAsia="黑体"/>
          <w:color w:val="auto"/>
          <w:sz w:val="20"/>
          <w:szCs w:val="20"/>
          <w:highlight w:val="none"/>
        </w:rPr>
      </w:pPr>
    </w:p>
    <w:p w14:paraId="31986B3B">
      <w:pPr>
        <w:shd w:val="clear" w:color="auto" w:fill="auto"/>
        <w:spacing w:line="440" w:lineRule="exact"/>
        <w:rPr>
          <w:rFonts w:eastAsia="黑体"/>
          <w:color w:val="auto"/>
          <w:sz w:val="20"/>
          <w:szCs w:val="20"/>
          <w:highlight w:val="none"/>
        </w:rPr>
      </w:pPr>
    </w:p>
    <w:p w14:paraId="42873A20">
      <w:pPr>
        <w:pStyle w:val="3"/>
        <w:bidi w:val="0"/>
        <w:rPr>
          <w:rFonts w:hint="eastAsia" w:ascii="黑体" w:hAnsi="黑体" w:eastAsia="黑体" w:cs="黑体"/>
          <w:color w:val="000000"/>
          <w:kern w:val="2"/>
          <w:sz w:val="30"/>
          <w:szCs w:val="30"/>
          <w:highlight w:val="none"/>
        </w:rPr>
      </w:pPr>
      <w:r>
        <w:rPr>
          <w:color w:val="auto"/>
          <w:szCs w:val="20"/>
          <w:highlight w:val="none"/>
        </w:rPr>
        <w:br w:type="page"/>
      </w:r>
      <w:bookmarkStart w:id="286" w:name="_Toc13971"/>
      <w:bookmarkStart w:id="287" w:name="_Toc501257188"/>
      <w:bookmarkStart w:id="288" w:name="_Toc234832965"/>
      <w:r>
        <w:rPr>
          <w:highlight w:val="none"/>
        </w:rPr>
        <w:t>第一节  通用合同条款</w:t>
      </w:r>
      <w:bookmarkEnd w:id="286"/>
      <w:bookmarkEnd w:id="287"/>
      <w:bookmarkEnd w:id="288"/>
    </w:p>
    <w:p w14:paraId="33EDF5E2">
      <w:pPr>
        <w:pStyle w:val="2"/>
        <w:shd w:val="clear" w:color="auto" w:fill="auto"/>
        <w:spacing w:before="240" w:after="240" w:line="380" w:lineRule="atLeast"/>
        <w:rPr>
          <w:rFonts w:eastAsia="黑体"/>
          <w:b w:val="0"/>
          <w:color w:val="auto"/>
          <w:sz w:val="24"/>
          <w:szCs w:val="24"/>
          <w:highlight w:val="none"/>
        </w:rPr>
      </w:pPr>
      <w:bookmarkStart w:id="289" w:name="_Toc6848"/>
      <w:r>
        <w:rPr>
          <w:rFonts w:hint="eastAsia" w:ascii="黑体" w:hAnsi="黑体" w:eastAsia="黑体" w:cs="黑体"/>
          <w:b w:val="0"/>
          <w:bCs w:val="0"/>
          <w:color w:val="000000"/>
          <w:kern w:val="2"/>
          <w:sz w:val="30"/>
          <w:szCs w:val="30"/>
          <w:highlight w:val="none"/>
        </w:rPr>
        <w:t>"通用合同条款"采用《标准施工招标文件》的"通用合同条款"。</w:t>
      </w:r>
      <w:r>
        <w:rPr>
          <w:rFonts w:eastAsia="黑体"/>
          <w:b w:val="0"/>
          <w:color w:val="auto"/>
          <w:sz w:val="32"/>
          <w:szCs w:val="32"/>
          <w:highlight w:val="none"/>
        </w:rPr>
        <w:br w:type="page"/>
      </w:r>
      <w:bookmarkEnd w:id="289"/>
    </w:p>
    <w:p w14:paraId="63B986D1">
      <w:pPr>
        <w:pStyle w:val="3"/>
        <w:bidi w:val="0"/>
        <w:rPr>
          <w:rFonts w:eastAsia="黑体"/>
          <w:b/>
          <w:bCs w:val="0"/>
          <w:color w:val="auto"/>
          <w:szCs w:val="42"/>
          <w:highlight w:val="none"/>
        </w:rPr>
      </w:pPr>
      <w:bookmarkStart w:id="290" w:name="_Toc501257345"/>
      <w:bookmarkStart w:id="291" w:name="_Toc25439"/>
      <w:bookmarkStart w:id="292" w:name="_Toc234833122"/>
      <w:r>
        <w:rPr>
          <w:highlight w:val="none"/>
        </w:rPr>
        <w:t>第二节  专用合同条款</w:t>
      </w:r>
      <w:bookmarkEnd w:id="290"/>
      <w:bookmarkEnd w:id="291"/>
      <w:bookmarkEnd w:id="292"/>
    </w:p>
    <w:p w14:paraId="6B770E87">
      <w:pPr>
        <w:pStyle w:val="2"/>
        <w:keepNext/>
        <w:keepLines/>
        <w:pageBreakBefore w:val="0"/>
        <w:widowControl w:val="0"/>
        <w:shd w:val="clear" w:color="auto" w:fill="auto"/>
        <w:kinsoku/>
        <w:wordWrap/>
        <w:overflowPunct/>
        <w:topLinePunct w:val="0"/>
        <w:autoSpaceDE/>
        <w:autoSpaceDN/>
        <w:bidi w:val="0"/>
        <w:adjustRightInd/>
        <w:snapToGrid/>
        <w:spacing w:before="240" w:after="240" w:line="360" w:lineRule="auto"/>
        <w:jc w:val="center"/>
        <w:textAlignment w:val="auto"/>
        <w:rPr>
          <w:rFonts w:eastAsia="黑体"/>
          <w:b/>
          <w:bCs w:val="0"/>
          <w:color w:val="auto"/>
          <w:sz w:val="24"/>
          <w:szCs w:val="24"/>
          <w:highlight w:val="none"/>
        </w:rPr>
      </w:pPr>
      <w:bookmarkStart w:id="293" w:name="_Toc21571"/>
      <w:bookmarkStart w:id="294" w:name="_Toc234833123"/>
      <w:bookmarkStart w:id="295" w:name="_Toc501257346"/>
      <w:r>
        <w:rPr>
          <w:rFonts w:eastAsia="黑体"/>
          <w:b/>
          <w:bCs w:val="0"/>
          <w:color w:val="auto"/>
          <w:sz w:val="32"/>
          <w:szCs w:val="32"/>
          <w:highlight w:val="none"/>
        </w:rPr>
        <w:t>A. 公路工程专用合同条款</w:t>
      </w:r>
      <w:bookmarkEnd w:id="293"/>
      <w:bookmarkEnd w:id="294"/>
      <w:bookmarkEnd w:id="295"/>
    </w:p>
    <w:p w14:paraId="709D1DB1">
      <w:pPr>
        <w:pStyle w:val="2"/>
        <w:keepNext/>
        <w:keepLines/>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296" w:name="_Toc501257347"/>
      <w:bookmarkStart w:id="297" w:name="_Toc25282"/>
      <w:bookmarkStart w:id="298" w:name="_Toc234833124"/>
      <w:r>
        <w:rPr>
          <w:rFonts w:hint="eastAsia" w:ascii="黑体" w:hAnsi="黑体" w:eastAsia="黑体" w:cs="黑体"/>
          <w:b w:val="0"/>
          <w:color w:val="auto"/>
          <w:sz w:val="28"/>
          <w:szCs w:val="28"/>
          <w:highlight w:val="none"/>
        </w:rPr>
        <w:t>1. 一般约定</w:t>
      </w:r>
      <w:bookmarkEnd w:id="296"/>
      <w:bookmarkEnd w:id="297"/>
      <w:bookmarkEnd w:id="298"/>
      <w:r>
        <w:rPr>
          <w:rFonts w:hint="eastAsia" w:ascii="黑体" w:hAnsi="黑体" w:eastAsia="黑体" w:cs="黑体"/>
          <w:b w:val="0"/>
          <w:color w:val="auto"/>
          <w:sz w:val="28"/>
          <w:szCs w:val="28"/>
          <w:highlight w:val="none"/>
        </w:rPr>
        <w:tab/>
      </w:r>
    </w:p>
    <w:p w14:paraId="6694B51A">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42"/>
          <w:szCs w:val="42"/>
          <w:highlight w:val="none"/>
        </w:rPr>
      </w:pPr>
      <w:bookmarkStart w:id="299" w:name="_Toc3956"/>
      <w:bookmarkStart w:id="300" w:name="_Toc234833125"/>
      <w:bookmarkStart w:id="301" w:name="_Toc501257348"/>
      <w:r>
        <w:rPr>
          <w:rFonts w:hint="eastAsia" w:ascii="黑体" w:hAnsi="黑体" w:eastAsia="黑体" w:cs="黑体"/>
          <w:b w:val="0"/>
          <w:color w:val="auto"/>
          <w:sz w:val="24"/>
          <w:szCs w:val="24"/>
          <w:highlight w:val="none"/>
        </w:rPr>
        <w:t>1.1</w:t>
      </w:r>
      <w:r>
        <w:rPr>
          <w:rFonts w:hint="eastAsia" w:ascii="黑体" w:hAnsi="黑体" w:eastAsia="黑体" w:cs="黑体"/>
          <w:b w:val="0"/>
          <w:color w:val="auto"/>
          <w:sz w:val="24"/>
          <w:szCs w:val="24"/>
          <w:highlight w:val="none"/>
        </w:rPr>
        <w:tab/>
      </w:r>
      <w:r>
        <w:rPr>
          <w:rFonts w:hint="eastAsia" w:ascii="黑体" w:hAnsi="黑体" w:eastAsia="黑体" w:cs="黑体"/>
          <w:b w:val="0"/>
          <w:color w:val="auto"/>
          <w:sz w:val="24"/>
          <w:szCs w:val="24"/>
          <w:highlight w:val="none"/>
        </w:rPr>
        <w:t>词语定义</w:t>
      </w:r>
      <w:bookmarkEnd w:id="299"/>
      <w:bookmarkEnd w:id="300"/>
      <w:bookmarkEnd w:id="301"/>
    </w:p>
    <w:p w14:paraId="7F3DD6D9">
      <w:pPr>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1.1.1 合同</w:t>
      </w:r>
    </w:p>
    <w:p w14:paraId="25C78D6D">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第1.1.1.6目细化为：</w:t>
      </w:r>
    </w:p>
    <w:p w14:paraId="339CB6CC">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技术规范：指本合同所约定的技术标准和要求，是合同文件的组成部分。通用合同条款中“技术标准和要求”一词具有相同含义。</w:t>
      </w:r>
    </w:p>
    <w:p w14:paraId="220F0875">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第1.1.1.8目细化为：</w:t>
      </w:r>
    </w:p>
    <w:p w14:paraId="4D12F877">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5.1～表5.5）。</w:t>
      </w:r>
    </w:p>
    <w:p w14:paraId="6FC3EF36">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本项补充第1.1.1.10目：</w:t>
      </w:r>
    </w:p>
    <w:p w14:paraId="6CD648F6">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1.1.1.10 补遗书：指发出招标文件之后由招标人向已取得招标文件的投标人发出的、编号的对招标文件所作的澄清、修改书。</w:t>
      </w:r>
    </w:p>
    <w:p w14:paraId="652C4D7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1.1.2 合同当事人和人员</w:t>
      </w:r>
    </w:p>
    <w:p w14:paraId="197E61B8">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本项补充第1.1.2.8目：</w:t>
      </w:r>
    </w:p>
    <w:p w14:paraId="22D1110D">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1.1.2.8 承包人项目总工：指由承包人书面委派常驻现场负责管理本合同工程的总工程师或技术总负责人。</w:t>
      </w:r>
    </w:p>
    <w:p w14:paraId="0CD1A6D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1.1.3 工程和设备</w:t>
      </w:r>
    </w:p>
    <w:p w14:paraId="3F81654F">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第1.1.3.4目细化为：</w:t>
      </w:r>
    </w:p>
    <w:p w14:paraId="144BEE96">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单位工程：指在建设项目中，根据签订的合同，具有独立施工条件的工程。</w:t>
      </w:r>
    </w:p>
    <w:p w14:paraId="3C7059CD">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第1.1.3.10目细化为： </w:t>
      </w:r>
    </w:p>
    <w:p w14:paraId="67EA718D">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永久占地：指为实施本合同工程而需要的一切永久占用的土地，包括公路两侧路权范围内的用地。</w:t>
      </w:r>
    </w:p>
    <w:p w14:paraId="241E9FF9">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第1.1.3.11目细化为：</w:t>
      </w:r>
    </w:p>
    <w:p w14:paraId="6B6BD463">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临时占地：指为实施本合同工程而需要的一切临时占用的土地，包括施工所用的临时支线、便道、便桥和现场的临时出入通道，以及生产（办公）、生活等临时设施用地等。</w:t>
      </w:r>
    </w:p>
    <w:p w14:paraId="0814D7F1">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本项补充第1.1.3.12目、第1.1.3.13目：</w:t>
      </w:r>
    </w:p>
    <w:p w14:paraId="49061A76">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1.1.3.12 分部工程：指在单位工程中，按结构部位、路段长度及施工特点或施工任务划分的若干个工程。</w:t>
      </w:r>
    </w:p>
    <w:p w14:paraId="7E38C819">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1.1.3.13 分项工程：指在分部工程中，按不同的施工方法、材料、工序及路段长度等划分的若干个工程。</w:t>
      </w:r>
    </w:p>
    <w:p w14:paraId="53507343">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bookmarkStart w:id="302" w:name="OLE_LINK18"/>
      <w:r>
        <w:rPr>
          <w:rFonts w:hint="eastAsia" w:ascii="黑体" w:hAnsi="黑体" w:eastAsia="黑体" w:cs="黑体"/>
          <w:color w:val="auto"/>
          <w:sz w:val="24"/>
          <w:highlight w:val="none"/>
        </w:rPr>
        <w:t>1.1.6 其他</w:t>
      </w:r>
    </w:p>
    <w:p w14:paraId="0FD7E0B5">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本项补充第1.1.6.2目～第1.1.6.9目：</w:t>
      </w:r>
    </w:p>
    <w:p w14:paraId="34520446">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1.1.6.2 竣工验收：指《公路工程竣（交）工验收办法》中的竣工验收。通用合同条款中“国家验收”一词具有相同含义。</w:t>
      </w:r>
    </w:p>
    <w:p w14:paraId="684C1A53">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1.1.6.3交工：指《公路工程竣（交）工验收办法》中的交工。通用合同条款中“竣工”一词具有相同含义。</w:t>
      </w:r>
    </w:p>
    <w:p w14:paraId="51BA0BEA">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1.1.6.4交工验收：指《公路工程竣（交）工验收办法》中的交工验收。通用合同条款中“竣工验收”一词具有相同含义。</w:t>
      </w:r>
    </w:p>
    <w:p w14:paraId="5F8AC503">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1.1.6.5交工验收证书：指《公路工程竣（交）工验收办法》中的交工验收证书。通用合同条款中“工程接收证书”一词具有相同含义。</w:t>
      </w:r>
    </w:p>
    <w:bookmarkEnd w:id="302"/>
    <w:p w14:paraId="08344112">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1.1.6.6转包：指承包人违反法律和不履行合同规定的责任和义务，将中标工程全部委托或以专业分包的名义将中标工程肢解后全部委托给其他施工企业施工的行为。</w:t>
      </w:r>
    </w:p>
    <w:p w14:paraId="3B45A5EB">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1.1.6.7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p>
    <w:p w14:paraId="5BBF622C">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1.1.6.8劳务分包：指承包人与具有施工劳务资质的劳务企业签订劳务分包合同，由劳务企业提供劳务人员及机具，由承包人统一组织施工、统一控制工程质量、施工进度、材料采购、生产安全的施工行为。</w:t>
      </w:r>
    </w:p>
    <w:p w14:paraId="5A97D52E">
      <w:pPr>
        <w:pageBreakBefore w:val="0"/>
        <w:shd w:val="clear" w:color="auto" w:fill="auto"/>
        <w:kinsoku/>
        <w:wordWrap/>
        <w:overflowPunct/>
        <w:topLinePunct w:val="0"/>
        <w:autoSpaceDE/>
        <w:autoSpaceDN/>
        <w:bidi w:val="0"/>
        <w:adjustRightInd/>
        <w:snapToGrid/>
        <w:spacing w:line="360" w:lineRule="auto"/>
        <w:ind w:firstLine="720" w:firstLineChars="3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1.1.6.9雇用民工：指承包人与具有相应劳动能力的自然人签订劳动合同，由承包人统一组织管理，从事分项工程施工或配套工程施工的行为。</w:t>
      </w:r>
    </w:p>
    <w:p w14:paraId="1A95DFB9">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03" w:name="_Toc19907"/>
      <w:bookmarkStart w:id="304" w:name="_Toc501257349"/>
      <w:bookmarkStart w:id="305" w:name="_Toc234833126"/>
      <w:r>
        <w:rPr>
          <w:rFonts w:hint="eastAsia" w:ascii="黑体" w:hAnsi="黑体" w:eastAsia="黑体" w:cs="黑体"/>
          <w:b w:val="0"/>
          <w:color w:val="auto"/>
          <w:sz w:val="24"/>
          <w:szCs w:val="24"/>
          <w:highlight w:val="none"/>
        </w:rPr>
        <w:t>1.4 合同文件的优先顺序</w:t>
      </w:r>
      <w:bookmarkEnd w:id="303"/>
      <w:bookmarkEnd w:id="304"/>
      <w:bookmarkEnd w:id="305"/>
    </w:p>
    <w:p w14:paraId="099602D0">
      <w:pPr>
        <w:pageBreakBefore w:val="0"/>
        <w:widowControl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本款约定为：</w:t>
      </w:r>
    </w:p>
    <w:p w14:paraId="7122B2A4">
      <w:pPr>
        <w:pageBreakBefore w:val="0"/>
        <w:widowControl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组成合同的各项文件应互相解释，互为说明。除项目专用合同条款另有约定外，解释合同文件的优先顺序如下：</w:t>
      </w:r>
    </w:p>
    <w:p w14:paraId="4710AD3E">
      <w:pPr>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（1）合同协议书及各种合同附件（含评标期间和合同谈判过程中的澄清文件和补充资料）；</w:t>
      </w:r>
    </w:p>
    <w:p w14:paraId="09AC63D2">
      <w:pPr>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（2）中标通知书；</w:t>
      </w:r>
    </w:p>
    <w:p w14:paraId="6316B70C">
      <w:pPr>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（3）投标函及投标函附录；</w:t>
      </w:r>
    </w:p>
    <w:p w14:paraId="0A38845B">
      <w:pPr>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（4）项目专用合同条款；</w:t>
      </w:r>
    </w:p>
    <w:p w14:paraId="47D60475">
      <w:pPr>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（5）公路工程专用合同条款；</w:t>
      </w:r>
    </w:p>
    <w:p w14:paraId="7A85C897">
      <w:pPr>
        <w:pageBreakBefore w:val="0"/>
        <w:widowControl w:val="0"/>
        <w:shd w:val="clear" w:color="auto" w:fill="auto"/>
        <w:kinsoku/>
        <w:wordWrap/>
        <w:overflowPunct/>
        <w:topLinePunct w:val="0"/>
        <w:autoSpaceDE/>
        <w:autoSpaceDN/>
        <w:bidi w:val="0"/>
        <w:adjustRightInd/>
        <w:snapToGrid/>
        <w:spacing w:line="360" w:lineRule="auto"/>
        <w:ind w:firstLine="48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（6）通用合同条款；</w:t>
      </w:r>
    </w:p>
    <w:p w14:paraId="70022CA1">
      <w:pPr>
        <w:pageBreakBefore w:val="0"/>
        <w:widowControl w:val="0"/>
        <w:shd w:val="clear" w:color="auto" w:fill="auto"/>
        <w:kinsoku/>
        <w:wordWrap/>
        <w:overflowPunct/>
        <w:topLinePunct w:val="0"/>
        <w:autoSpaceDE/>
        <w:autoSpaceDN/>
        <w:bidi w:val="0"/>
        <w:adjustRightInd/>
        <w:snapToGrid/>
        <w:spacing w:line="360" w:lineRule="auto"/>
        <w:ind w:firstLine="48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（7）工程量清单计量规则；</w:t>
      </w:r>
    </w:p>
    <w:p w14:paraId="4A003D76">
      <w:pPr>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（8）技术规范；</w:t>
      </w:r>
    </w:p>
    <w:p w14:paraId="1FC4FD43">
      <w:pPr>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（9）图纸；</w:t>
      </w:r>
    </w:p>
    <w:p w14:paraId="5D5DD893">
      <w:pPr>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（10）已标价工程量清单；</w:t>
      </w:r>
    </w:p>
    <w:p w14:paraId="0A2ABCEF">
      <w:pPr>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（11）承包人有关人员、设备投入的承诺及投标文件中的施工组织设计；</w:t>
      </w:r>
    </w:p>
    <w:p w14:paraId="11968121">
      <w:pPr>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（12）其他合同文件。</w:t>
      </w:r>
    </w:p>
    <w:p w14:paraId="1ABEC971">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06" w:name="_Toc7896"/>
      <w:bookmarkStart w:id="307" w:name="_Toc501257350"/>
      <w:bookmarkStart w:id="308" w:name="_Toc234833127"/>
      <w:r>
        <w:rPr>
          <w:rFonts w:hint="eastAsia" w:ascii="黑体" w:hAnsi="黑体" w:eastAsia="黑体" w:cs="黑体"/>
          <w:b w:val="0"/>
          <w:color w:val="auto"/>
          <w:sz w:val="24"/>
          <w:szCs w:val="24"/>
          <w:highlight w:val="none"/>
        </w:rPr>
        <w:t>1.5 合同协议书</w:t>
      </w:r>
      <w:bookmarkEnd w:id="306"/>
      <w:bookmarkEnd w:id="307"/>
      <w:bookmarkEnd w:id="308"/>
    </w:p>
    <w:p w14:paraId="12BD77D2">
      <w:pPr>
        <w:pageBreakBefore w:val="0"/>
        <w:widowControl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w:t>
      </w:r>
    </w:p>
    <w:p w14:paraId="3DC0FA6A">
      <w:pPr>
        <w:pageBreakBefore w:val="0"/>
        <w:widowControl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制备本合同文件的费用由发包人承担。在合同协议书签订并生效之前，投标函和中标通知书将对双方具有约束力。</w:t>
      </w:r>
    </w:p>
    <w:p w14:paraId="7EF8E026">
      <w:pPr>
        <w:pStyle w:val="2"/>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09" w:name="_Toc15361"/>
      <w:bookmarkStart w:id="310" w:name="_Toc501257351"/>
      <w:bookmarkStart w:id="311" w:name="_Toc234833128"/>
      <w:r>
        <w:rPr>
          <w:rFonts w:hint="eastAsia" w:ascii="黑体" w:hAnsi="黑体" w:eastAsia="黑体" w:cs="黑体"/>
          <w:b w:val="0"/>
          <w:color w:val="auto"/>
          <w:sz w:val="24"/>
          <w:szCs w:val="24"/>
          <w:highlight w:val="none"/>
        </w:rPr>
        <w:t>1.6 图纸和承包人文件</w:t>
      </w:r>
      <w:bookmarkEnd w:id="309"/>
      <w:bookmarkEnd w:id="310"/>
      <w:bookmarkEnd w:id="311"/>
    </w:p>
    <w:p w14:paraId="7F7FCB99">
      <w:pPr>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1.6.1 图纸的提供</w:t>
      </w:r>
    </w:p>
    <w:p w14:paraId="089C2993">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本项细化为：</w:t>
      </w:r>
    </w:p>
    <w:p w14:paraId="4F229A30">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监理人应在发出中标通知书之后42天内，向承包人免费提供由发包人或其委托的设计单位设计的施工图纸、技术规范和其他技术资料2份，并向承包人进行技术交底。承包人需要更多份数时，应自费复制。由于发包人未按时提供图纸造成工期延误的，按第11.3款的约定办理。</w:t>
      </w:r>
    </w:p>
    <w:p w14:paraId="55A4FCC7">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1.6.2 承包人提供的文件</w:t>
      </w:r>
    </w:p>
    <w:p w14:paraId="09433491">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本项细化为：</w:t>
      </w:r>
    </w:p>
    <w:p w14:paraId="5CCA4BF0">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有下列情形之一的，承包人应免费向监理人提交相关部分工程的施工图纸3份，并附必要的计算书、技术资料，或施工工艺图、设备安装图及安装设备的使用和维护手册各2份供监理人批准。</w:t>
      </w:r>
    </w:p>
    <w:p w14:paraId="5659233C">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（1）为使第1.6.1项所述的施工图纸适合于经施工测量后的纵、横断面；</w:t>
      </w:r>
    </w:p>
    <w:p w14:paraId="0F749F12">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（2）为使第1.6.1项所述的施工图纸适合于现场具体地形；</w:t>
      </w:r>
    </w:p>
    <w:p w14:paraId="3F022AD2">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（3）为使第1.6.1项所述的施工图纸适合于因尺寸与位置变化而引起局部变更；</w:t>
      </w:r>
    </w:p>
    <w:p w14:paraId="56C1C29E">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（4）由于合同要求与施工需要。</w:t>
      </w:r>
    </w:p>
    <w:p w14:paraId="7C6861B8">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此类图纸应按监理人规定的格式和图幅绘制。监理人在收到由承包人绘制的上述工程、工艺图纸、计算书和有关技术资料后14天内应予批准或提出修改要求，承包人应按监理人提出的要求作出修改，重新向监理人提交，监理人应在7天内批准或提出进一步的修改意见。</w:t>
      </w:r>
    </w:p>
    <w:p w14:paraId="5FE2812F">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1.6.4 图纸的错误</w:t>
      </w:r>
    </w:p>
    <w:p w14:paraId="7CE883F7">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本项细化为：</w:t>
      </w:r>
    </w:p>
    <w:p w14:paraId="1F988DC4">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当承包人在查阅合同文件或在本合同工程实施过程中，发现有关的工程设计、技术规范、图纸或其他资料中的任何差错、遗漏或缺陷后，应及时通知监理人。监理人接到该通知后，应立即就此作出决定，并通知承包人和发包人。</w:t>
      </w:r>
    </w:p>
    <w:p w14:paraId="0C1676AD">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12" w:name="_Toc22011"/>
      <w:bookmarkStart w:id="313" w:name="_Toc501257352"/>
      <w:bookmarkStart w:id="314" w:name="_Toc234833129"/>
      <w:r>
        <w:rPr>
          <w:rFonts w:hint="eastAsia" w:ascii="黑体" w:hAnsi="黑体" w:eastAsia="黑体" w:cs="黑体"/>
          <w:b w:val="0"/>
          <w:color w:val="auto"/>
          <w:sz w:val="24"/>
          <w:szCs w:val="24"/>
          <w:highlight w:val="none"/>
        </w:rPr>
        <w:t>1.9 严禁贿赂</w:t>
      </w:r>
      <w:bookmarkEnd w:id="312"/>
      <w:bookmarkEnd w:id="313"/>
      <w:bookmarkEnd w:id="314"/>
    </w:p>
    <w:p w14:paraId="17CC2126">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w:t>
      </w:r>
    </w:p>
    <w:p w14:paraId="2B68F52A">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14:paraId="4710326F">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315" w:name="_Toc234833130"/>
      <w:bookmarkStart w:id="316" w:name="_Toc501257353"/>
      <w:bookmarkStart w:id="317" w:name="_Toc2973"/>
      <w:r>
        <w:rPr>
          <w:rFonts w:hint="eastAsia" w:ascii="黑体" w:hAnsi="黑体" w:eastAsia="黑体" w:cs="黑体"/>
          <w:b w:val="0"/>
          <w:color w:val="auto"/>
          <w:sz w:val="28"/>
          <w:szCs w:val="28"/>
          <w:highlight w:val="none"/>
        </w:rPr>
        <w:t>2. 发包人义务</w:t>
      </w:r>
      <w:bookmarkEnd w:id="315"/>
      <w:bookmarkEnd w:id="316"/>
      <w:bookmarkEnd w:id="317"/>
    </w:p>
    <w:p w14:paraId="5C4655B3">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18" w:name="_Toc501257354"/>
      <w:bookmarkStart w:id="319" w:name="_Toc6199"/>
      <w:bookmarkStart w:id="320" w:name="_Toc234833131"/>
      <w:r>
        <w:rPr>
          <w:rFonts w:hint="eastAsia" w:ascii="黑体" w:hAnsi="黑体" w:eastAsia="黑体" w:cs="黑体"/>
          <w:b w:val="0"/>
          <w:color w:val="auto"/>
          <w:sz w:val="24"/>
          <w:szCs w:val="24"/>
          <w:highlight w:val="none"/>
        </w:rPr>
        <w:t>2.3 提供施工场地</w:t>
      </w:r>
      <w:bookmarkEnd w:id="318"/>
      <w:bookmarkEnd w:id="319"/>
      <w:bookmarkEnd w:id="320"/>
    </w:p>
    <w:p w14:paraId="4D776C90">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w:t>
      </w:r>
    </w:p>
    <w:p w14:paraId="7C8BAECA">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发包人负责办理永久占地的征用及与之有关的拆迁赔偿手续并承担相关费用。承包人在按第10条规定提交施工进度计划的同时，应向监理人提交一份按施工先后次序所需的永久占地计划。监理人应在收到此计划后的14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以使承包人能够连续不间断地施工。由于承包人施工考虑不周或措施不当等原因而造成的超计划占地或拆迁等所发生的征用和赔偿费用，应由承包人承担。</w:t>
      </w:r>
    </w:p>
    <w:p w14:paraId="03BD50C3">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p>
    <w:p w14:paraId="79935E5D">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321" w:name="_Toc234833132"/>
      <w:bookmarkStart w:id="322" w:name="_Toc501257355"/>
      <w:bookmarkStart w:id="323" w:name="_Toc348"/>
      <w:r>
        <w:rPr>
          <w:rFonts w:hint="eastAsia" w:ascii="黑体" w:hAnsi="黑体" w:eastAsia="黑体" w:cs="黑体"/>
          <w:b w:val="0"/>
          <w:color w:val="auto"/>
          <w:sz w:val="28"/>
          <w:szCs w:val="28"/>
          <w:highlight w:val="none"/>
        </w:rPr>
        <w:t>3. 监理人</w:t>
      </w:r>
      <w:bookmarkEnd w:id="321"/>
      <w:bookmarkEnd w:id="322"/>
      <w:bookmarkEnd w:id="323"/>
    </w:p>
    <w:p w14:paraId="438F523A">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24" w:name="_Toc234833133"/>
      <w:bookmarkStart w:id="325" w:name="_Toc501257356"/>
      <w:bookmarkStart w:id="326" w:name="_Toc4805"/>
      <w:r>
        <w:rPr>
          <w:rFonts w:hint="eastAsia" w:ascii="黑体" w:hAnsi="黑体" w:eastAsia="黑体" w:cs="黑体"/>
          <w:b w:val="0"/>
          <w:color w:val="auto"/>
          <w:sz w:val="24"/>
          <w:szCs w:val="24"/>
          <w:highlight w:val="none"/>
        </w:rPr>
        <w:t>3.1 监理人的职责和权力</w:t>
      </w:r>
      <w:bookmarkEnd w:id="324"/>
      <w:bookmarkEnd w:id="325"/>
      <w:bookmarkEnd w:id="326"/>
      <w:r>
        <w:rPr>
          <w:rFonts w:hint="eastAsia" w:ascii="黑体" w:hAnsi="黑体" w:eastAsia="黑体" w:cs="黑体"/>
          <w:b w:val="0"/>
          <w:color w:val="auto"/>
          <w:sz w:val="24"/>
          <w:szCs w:val="24"/>
          <w:highlight w:val="none"/>
        </w:rPr>
        <w:t xml:space="preserve"> </w:t>
      </w:r>
    </w:p>
    <w:p w14:paraId="6502BE0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第3.1.1项补充：</w:t>
      </w:r>
    </w:p>
    <w:p w14:paraId="34E41BB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监理人在行使下列权力前需要经发包人事先批准：</w:t>
      </w:r>
    </w:p>
    <w:p w14:paraId="526776C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（1）根据第4.3款，同意分包本工程的某些非关键性工作或者适合专业化队伍施工的专项工程；</w:t>
      </w:r>
    </w:p>
    <w:p w14:paraId="5213A2A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（2）确定第4.11款下产生的费用增加额；</w:t>
      </w:r>
    </w:p>
    <w:p w14:paraId="1B02828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（3）根据第11.1款、第12.3款、第12.4款发布开工通知、暂停施工指示或复工通知；</w:t>
      </w:r>
    </w:p>
    <w:p w14:paraId="42F030E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（4）决定第11.3款、第11.4款下的工期延长；</w:t>
      </w:r>
    </w:p>
    <w:p w14:paraId="3454856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（5）审查批准技术方案或设计的变更；</w:t>
      </w:r>
    </w:p>
    <w:p w14:paraId="33E1AB5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（6）根据第15.3款发出的变更指示，其单项工程变更或累计变更涉及的金额超过了项目专用合同条款数据表中规定的金额； </w:t>
      </w:r>
    </w:p>
    <w:p w14:paraId="5389468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（7）确定第15.4款下变更工作的单价；</w:t>
      </w:r>
    </w:p>
    <w:p w14:paraId="488165B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（8）按照第15.6款决定有关暂列金额的使用； </w:t>
      </w:r>
    </w:p>
    <w:p w14:paraId="772F3E5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（9）确定第15.8款下的暂估价金额；</w:t>
      </w:r>
    </w:p>
    <w:p w14:paraId="0A6998D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（10）确定第23.1款下的索赔额。</w:t>
      </w:r>
    </w:p>
    <w:p w14:paraId="7D627BB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3.5款商定或确定。</w:t>
      </w:r>
    </w:p>
    <w:p w14:paraId="04ADABBE">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27" w:name="_Toc234833134"/>
      <w:bookmarkStart w:id="328" w:name="_Toc19186"/>
      <w:bookmarkStart w:id="329" w:name="_Toc501257357"/>
      <w:r>
        <w:rPr>
          <w:rFonts w:hint="eastAsia" w:ascii="黑体" w:hAnsi="黑体" w:eastAsia="黑体" w:cs="黑体"/>
          <w:b w:val="0"/>
          <w:color w:val="auto"/>
          <w:sz w:val="24"/>
          <w:szCs w:val="24"/>
          <w:highlight w:val="none"/>
        </w:rPr>
        <w:t>3.5</w:t>
      </w:r>
      <w:r>
        <w:rPr>
          <w:rFonts w:hint="eastAsia" w:ascii="黑体" w:hAnsi="黑体" w:eastAsia="黑体" w:cs="黑体"/>
          <w:b w:val="0"/>
          <w:color w:val="auto"/>
          <w:sz w:val="24"/>
          <w:szCs w:val="24"/>
          <w:highlight w:val="none"/>
        </w:rPr>
        <w:tab/>
      </w:r>
      <w:r>
        <w:rPr>
          <w:rFonts w:hint="eastAsia" w:ascii="黑体" w:hAnsi="黑体" w:eastAsia="黑体" w:cs="黑体"/>
          <w:b w:val="0"/>
          <w:color w:val="auto"/>
          <w:sz w:val="24"/>
          <w:szCs w:val="24"/>
          <w:highlight w:val="none"/>
        </w:rPr>
        <w:t>商定或确定</w:t>
      </w:r>
      <w:bookmarkEnd w:id="327"/>
      <w:bookmarkEnd w:id="328"/>
      <w:bookmarkEnd w:id="329"/>
    </w:p>
    <w:p w14:paraId="23E56E5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第3.5.1项补充：</w:t>
      </w:r>
    </w:p>
    <w:p w14:paraId="28EF938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如果这项商定或确定导致费用增加和（或）工期延长，或者涉及确定变更工程的价格，则总监理工程师在发出通知前，应征得发包人的同意。</w:t>
      </w:r>
    </w:p>
    <w:p w14:paraId="76A3098F">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330" w:name="_Toc234833135"/>
      <w:bookmarkStart w:id="331" w:name="_Toc501257358"/>
      <w:bookmarkStart w:id="332" w:name="_Toc9315"/>
      <w:r>
        <w:rPr>
          <w:rFonts w:hint="eastAsia" w:ascii="黑体" w:hAnsi="黑体" w:eastAsia="黑体" w:cs="黑体"/>
          <w:b w:val="0"/>
          <w:color w:val="auto"/>
          <w:sz w:val="28"/>
          <w:szCs w:val="28"/>
          <w:highlight w:val="none"/>
        </w:rPr>
        <w:t>4. 承包人</w:t>
      </w:r>
      <w:bookmarkEnd w:id="330"/>
      <w:bookmarkEnd w:id="331"/>
      <w:bookmarkEnd w:id="332"/>
    </w:p>
    <w:p w14:paraId="125012C4">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33" w:name="_Toc501257359"/>
      <w:bookmarkStart w:id="334" w:name="_Toc234833136"/>
      <w:bookmarkStart w:id="335" w:name="_Toc31897"/>
      <w:r>
        <w:rPr>
          <w:rFonts w:hint="eastAsia" w:ascii="黑体" w:hAnsi="黑体" w:eastAsia="黑体" w:cs="黑体"/>
          <w:b w:val="0"/>
          <w:color w:val="auto"/>
          <w:sz w:val="24"/>
          <w:szCs w:val="24"/>
          <w:highlight w:val="none"/>
        </w:rPr>
        <w:t>4.1 承包人的一般义务</w:t>
      </w:r>
      <w:bookmarkEnd w:id="333"/>
      <w:bookmarkEnd w:id="334"/>
      <w:bookmarkEnd w:id="335"/>
    </w:p>
    <w:p w14:paraId="6E081B4C">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4.1.9 工程的维护和照管 </w:t>
      </w:r>
    </w:p>
    <w:p w14:paraId="5D50A3FD">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本项细化为：</w:t>
      </w:r>
    </w:p>
    <w:p w14:paraId="1892A91A">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p>
    <w:p w14:paraId="06A15086">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在承包人负责照管与维护期间，如果本工程或材料、设备等发生损失或损害，除不可抗力原因之外，承包人均应自费弥补，并达到合同要求。承包人还应对按第19条规定而实施作业过程中由承包人造成的对工程的任何损失或损害负责。</w:t>
      </w:r>
    </w:p>
    <w:p w14:paraId="3C7C0218">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4.1.10 其他义务</w:t>
      </w:r>
    </w:p>
    <w:p w14:paraId="5BED4315">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本项细化为：</w:t>
      </w:r>
    </w:p>
    <w:p w14:paraId="03CBB031">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 临时占地由承包人向当地政府土地管理部门申请，并办理租用手续，承包人按有关规定直接支付其费用，发包人对此将予以协调。</w:t>
      </w:r>
    </w:p>
    <w:p w14:paraId="28B6E72F">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临时占地范围包括承包人驻地的办公室、食堂、宿舍、道路和机械设备停放场、材料堆放场地、弃土场、预制场、拌和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列入工程量清单第100章中由承包人按总额报价。</w:t>
      </w:r>
    </w:p>
    <w:p w14:paraId="78A1EE7E">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临时占地退还前，承包人应自费恢复到临时占地使用前的状况。如因承包人撤离后未按要求对临时占地进行恢复或虽进行了恢复但未达到使用标准的，将由发包人委托第三方对其恢复，所发生的费用将从应付给承包人的任何款项内扣除。</w:t>
      </w:r>
    </w:p>
    <w:p w14:paraId="01C5D679">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除项目专用合同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p>
    <w:p w14:paraId="6E566E7F">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w:t>
      </w:r>
      <w:r>
        <w:rPr>
          <w:rFonts w:hint="eastAsia" w:ascii="黑体" w:hAnsi="黑体" w:eastAsia="黑体" w:cs="黑体"/>
          <w:color w:val="auto"/>
          <w:sz w:val="24"/>
          <w:highlight w:val="none"/>
          <w:lang w:eastAsia="zh-CN"/>
        </w:rPr>
        <w:t>全国公路建设市场监督管理系统</w:t>
      </w:r>
      <w:r>
        <w:rPr>
          <w:rFonts w:hint="eastAsia" w:ascii="黑体" w:hAnsi="黑体" w:eastAsia="黑体" w:cs="黑体"/>
          <w:color w:val="auto"/>
          <w:sz w:val="24"/>
          <w:highlight w:val="none"/>
        </w:rPr>
        <w:t>。</w:t>
      </w:r>
    </w:p>
    <w:p w14:paraId="0FDB0ED2">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w:t>
      </w:r>
    </w:p>
    <w:p w14:paraId="08178DCA">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工资支付表应如实记录支付单位、支付时间、支付对象、支付数额、支付对象的身份证号和签字等信息。民工花名册和工资支付表应报监理人备查。</w:t>
      </w:r>
    </w:p>
    <w:p w14:paraId="4964DF57">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通运输主管部门报告。</w:t>
      </w:r>
    </w:p>
    <w:p w14:paraId="048C5406">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5）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应列入工程量清单第100章中。</w:t>
      </w:r>
    </w:p>
    <w:p w14:paraId="36CBDC43">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（6）承包人应履行项目专用合同条款约定的其他义务。</w:t>
      </w:r>
    </w:p>
    <w:p w14:paraId="7240980F">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36" w:name="_Toc501257360"/>
      <w:bookmarkStart w:id="337" w:name="_Toc18189"/>
      <w:bookmarkStart w:id="338" w:name="_Toc234833137"/>
      <w:r>
        <w:rPr>
          <w:rFonts w:hint="eastAsia" w:ascii="黑体" w:hAnsi="黑体" w:eastAsia="黑体" w:cs="黑体"/>
          <w:b w:val="0"/>
          <w:color w:val="auto"/>
          <w:sz w:val="24"/>
          <w:szCs w:val="24"/>
          <w:highlight w:val="none"/>
        </w:rPr>
        <w:t>4.2 履约保证金</w:t>
      </w:r>
      <w:bookmarkEnd w:id="336"/>
      <w:bookmarkEnd w:id="337"/>
    </w:p>
    <w:p w14:paraId="16E1A01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本款细化为：</w:t>
      </w:r>
    </w:p>
    <w:p w14:paraId="1DC2B76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承包人应保证其履约保证金在发包人签发交工验收证书且承包人按照合同约定缴纳质量保证金前一直有效。发包人应在收到承包人缴纳的质量保证金后28天内将履约保证金退还给承包人。</w:t>
      </w:r>
    </w:p>
    <w:p w14:paraId="388A691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承包人拒绝按照本合同约定缴纳质量保证金的，发包人有权从交工付款证书中扣留相应金额作为质量保证金，或者直接将履约保证金金额用于保证承包人在缺陷责任期内履行缺陷修复义务。</w:t>
      </w:r>
    </w:p>
    <w:p w14:paraId="7993CA36">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39" w:name="_Toc501257361"/>
      <w:bookmarkStart w:id="340" w:name="_Toc11355"/>
      <w:r>
        <w:rPr>
          <w:rFonts w:hint="eastAsia" w:ascii="黑体" w:hAnsi="黑体" w:eastAsia="黑体" w:cs="黑体"/>
          <w:b w:val="0"/>
          <w:color w:val="auto"/>
          <w:sz w:val="24"/>
          <w:szCs w:val="24"/>
          <w:highlight w:val="none"/>
        </w:rPr>
        <w:t>4.3 分包</w:t>
      </w:r>
      <w:bookmarkEnd w:id="338"/>
      <w:bookmarkEnd w:id="339"/>
      <w:bookmarkEnd w:id="340"/>
    </w:p>
    <w:p w14:paraId="36541FE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第4.3.2项～第4.3.4项细化为：</w:t>
      </w:r>
    </w:p>
    <w:p w14:paraId="03CDB9A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4.3.2 承包人不得将工程关键性工作分包给第三人。经发包人同意，承包人可将工程的其他部分或工作分包给第三人。分包包括专业分包和劳务分包。</w:t>
      </w:r>
    </w:p>
    <w:p w14:paraId="4975ACB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4.3.3 专业分包</w:t>
      </w:r>
    </w:p>
    <w:p w14:paraId="2648CEB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在工程施工过程中，承包人进行专业分包必须遵守以下规定：</w:t>
      </w:r>
    </w:p>
    <w:p w14:paraId="14F3A26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允许专业分包的工程范围仅限于非关键性工程或者适合专业化队伍施工的专项工程。未列入投标文件的专项工程，承包人不得分包。但因工程变更增加了有特殊性技术要求、特殊工艺或者涉及专利保护等的专项工程，且按规定无须再进行招标的，由承包人提出书面申请，经发包人书面同意，可以分包。</w:t>
      </w:r>
    </w:p>
    <w:p w14:paraId="5EDF5DC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（2）专业分包人的资格能力（含安全生产能力）应与其分包工程的标准和规模相适应，且应当具备如下条件：</w:t>
      </w:r>
    </w:p>
    <w:p w14:paraId="2452C15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a. 具有经工商登记的法人资格；</w:t>
      </w:r>
    </w:p>
    <w:p w14:paraId="7BFF8A6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b. 具有从事类似工程经验的管理与技术人员； </w:t>
      </w:r>
    </w:p>
    <w:p w14:paraId="501B1AC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c. 具有（自有或租赁）分包工程所需的施工设备。</w:t>
      </w:r>
    </w:p>
    <w:p w14:paraId="09A3B7F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承包人应向监理人提交专业分包人的资格能力证明材料，经监理人审查并报发包人批准后，可以将相应专业工程分包给该专业分包人。</w:t>
      </w:r>
    </w:p>
    <w:p w14:paraId="079E398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（3）专业分包工程不得再次分包。</w:t>
      </w:r>
    </w:p>
    <w:p w14:paraId="764B26F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承包人和专业分包人应当按照交通运输主管部门制定的统一格式依法签订专业分包合同，并履行合同约定的义务。专业分包合同必须遵循承包合同的各项原则，满足承包合同中的质量、安全、进度、环保以及其他技术、经济等要求。专业分包合同必须明确约定工程款支付条款、结算方式以及保证按期支付的相应措施，确保工程款的支付。承包人应在工程实施前，将经监理人审查同意后的分包合同报发包人备案。</w:t>
      </w:r>
    </w:p>
    <w:p w14:paraId="786C973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5）专业分包人应当设立项目管理机构，对所分包工程的施工活动实施管理。项目管理机构应当具有与分包工程的规模、技术复杂程度相适应的技术、经济管理人员，其中项目负责人和技术、财务、计量、质量、安全等主要管理人员必须是专业分包人本单位人员。</w:t>
      </w:r>
    </w:p>
    <w:p w14:paraId="0B078FB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6）承包人应当建立健全相关分包管理制度和台账，对专业分包工程的质量、安全、进度和专业分包人的行为等实施全过程管理，按照合同约定对专业分包工程的实施向发包人负责，并承担赔偿责任。专业分包合同不免除承包合同中规定的承包人的责任或者义务。</w:t>
      </w:r>
    </w:p>
    <w:p w14:paraId="00812FB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（7）专业分包人应当依据专业分包合同的约定，组织分包工程的施工，并对分包工程的质量、安全和进度等实施有效控制。专业分包人对其分包的工程向承包人负责，并就所分包的工程向发包人承担连带责任。</w:t>
      </w:r>
    </w:p>
    <w:p w14:paraId="73D3311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8）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14:paraId="4FD986E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违反上述规定之一者属违规分包。</w:t>
      </w:r>
    </w:p>
    <w:p w14:paraId="3E84447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4.3.4 劳务分包</w:t>
      </w:r>
    </w:p>
    <w:p w14:paraId="5370E74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在工程施工过程中，承包人进行劳务分包必须遵守以下规定：</w:t>
      </w:r>
    </w:p>
    <w:p w14:paraId="1B2B61B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（1）劳务分包人应具有施工劳务资质。</w:t>
      </w:r>
    </w:p>
    <w:p w14:paraId="1800141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劳务分包应当依法签订劳务分包合同，劳务分包合同必须由承包人的法定代表人或其委托代理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w:t>
      </w:r>
    </w:p>
    <w:p w14:paraId="4061776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承包人雇用的劳务作业应加入到承包人的施工班组统一管理。有关施工质量、施工安全、施工进度、环境保护、技术方案、试验检测、材料保管与供应、机械设备等都必须由承包人管理与调配，不得以包代管。</w:t>
      </w:r>
    </w:p>
    <w:p w14:paraId="30A4B93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（4）承包人应当对劳务分包人员进行安全培训和管理，劳务分包人不得将其分包的劳务作业再次分包。</w:t>
      </w:r>
    </w:p>
    <w:p w14:paraId="4483EC7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违反上述规定之一者属违规分包。</w:t>
      </w:r>
    </w:p>
    <w:p w14:paraId="65A58D7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本款补充第4.3.6项、第4.3.7项：</w:t>
      </w:r>
    </w:p>
    <w:p w14:paraId="694576D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4.3.6 发包人对承包人与分包人之间的法律与经济纠纷不承担任何责任和义务。</w:t>
      </w:r>
    </w:p>
    <w:p w14:paraId="34E0178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4.3.7 本项目的各项分包工作均应遵守《公路工程施工分包管理办法》的有关规定。</w:t>
      </w:r>
    </w:p>
    <w:p w14:paraId="59109FB8">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41" w:name="_Toc13471"/>
      <w:bookmarkStart w:id="342" w:name="_Toc234833138"/>
      <w:bookmarkStart w:id="343" w:name="_Toc501257362"/>
      <w:r>
        <w:rPr>
          <w:rFonts w:hint="eastAsia" w:ascii="黑体" w:hAnsi="黑体" w:eastAsia="黑体" w:cs="黑体"/>
          <w:b w:val="0"/>
          <w:color w:val="auto"/>
          <w:sz w:val="24"/>
          <w:szCs w:val="24"/>
          <w:highlight w:val="none"/>
        </w:rPr>
        <w:t>4.4</w:t>
      </w:r>
      <w:r>
        <w:rPr>
          <w:rFonts w:hint="eastAsia" w:ascii="黑体" w:hAnsi="黑体" w:eastAsia="黑体" w:cs="黑体"/>
          <w:b w:val="0"/>
          <w:color w:val="auto"/>
          <w:sz w:val="24"/>
          <w:szCs w:val="24"/>
          <w:highlight w:val="none"/>
        </w:rPr>
        <w:tab/>
      </w:r>
      <w:r>
        <w:rPr>
          <w:rFonts w:hint="eastAsia" w:ascii="黑体" w:hAnsi="黑体" w:eastAsia="黑体" w:cs="黑体"/>
          <w:b w:val="0"/>
          <w:color w:val="auto"/>
          <w:sz w:val="24"/>
          <w:szCs w:val="24"/>
          <w:highlight w:val="none"/>
        </w:rPr>
        <w:t>联合体</w:t>
      </w:r>
      <w:bookmarkEnd w:id="341"/>
      <w:bookmarkEnd w:id="342"/>
      <w:bookmarkEnd w:id="343"/>
    </w:p>
    <w:p w14:paraId="22B5E5B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本款补充第4.4.4项：</w:t>
      </w:r>
    </w:p>
    <w:p w14:paraId="20D3CC2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4.4.4未经发包人事先同意，联合体的组成与结构不得变动。</w:t>
      </w:r>
    </w:p>
    <w:p w14:paraId="2691143D">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44" w:name="_Toc501257363"/>
      <w:bookmarkStart w:id="345" w:name="_Toc234833139"/>
      <w:bookmarkStart w:id="346" w:name="_Toc8381"/>
      <w:r>
        <w:rPr>
          <w:rFonts w:hint="eastAsia" w:ascii="黑体" w:hAnsi="黑体" w:eastAsia="黑体" w:cs="黑体"/>
          <w:b w:val="0"/>
          <w:color w:val="auto"/>
          <w:sz w:val="24"/>
          <w:szCs w:val="24"/>
          <w:highlight w:val="none"/>
        </w:rPr>
        <w:t>4.6 承包人人员的管理</w:t>
      </w:r>
      <w:bookmarkEnd w:id="344"/>
      <w:bookmarkEnd w:id="345"/>
      <w:bookmarkEnd w:id="346"/>
    </w:p>
    <w:p w14:paraId="1E20D02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第4.6.3项细化为：</w:t>
      </w:r>
    </w:p>
    <w:p w14:paraId="03D8E6B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p>
    <w:p w14:paraId="2064CE9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本款补充第4.6.5项：</w:t>
      </w:r>
    </w:p>
    <w:p w14:paraId="59E3E57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4.6.5 尽管承包人已按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p>
    <w:p w14:paraId="7592DEDD">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47" w:name="_Toc501257364"/>
      <w:bookmarkStart w:id="348" w:name="_Toc234833140"/>
      <w:bookmarkStart w:id="349" w:name="_Toc1364"/>
      <w:r>
        <w:rPr>
          <w:rFonts w:hint="eastAsia" w:ascii="黑体" w:hAnsi="黑体" w:eastAsia="黑体" w:cs="黑体"/>
          <w:b w:val="0"/>
          <w:color w:val="auto"/>
          <w:sz w:val="24"/>
          <w:szCs w:val="24"/>
          <w:highlight w:val="none"/>
        </w:rPr>
        <w:t>4.7 撤换承包人项目经理和其他人员</w:t>
      </w:r>
      <w:bookmarkEnd w:id="347"/>
      <w:bookmarkEnd w:id="348"/>
      <w:bookmarkEnd w:id="349"/>
    </w:p>
    <w:p w14:paraId="0645E62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本款细化为：</w:t>
      </w:r>
    </w:p>
    <w:p w14:paraId="16E2116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p>
    <w:p w14:paraId="191B1B04">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50" w:name="_Toc30123"/>
      <w:bookmarkStart w:id="351" w:name="_Toc234833141"/>
      <w:bookmarkStart w:id="352" w:name="_Toc501257365"/>
      <w:r>
        <w:rPr>
          <w:rFonts w:hint="eastAsia" w:ascii="黑体" w:hAnsi="黑体" w:eastAsia="黑体" w:cs="黑体"/>
          <w:b w:val="0"/>
          <w:color w:val="auto"/>
          <w:sz w:val="24"/>
          <w:szCs w:val="24"/>
          <w:highlight w:val="none"/>
        </w:rPr>
        <w:t>4.9 工程价款应专款专用</w:t>
      </w:r>
      <w:bookmarkEnd w:id="350"/>
      <w:bookmarkEnd w:id="351"/>
      <w:bookmarkEnd w:id="352"/>
    </w:p>
    <w:p w14:paraId="7F52EDD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本款细化为：</w:t>
      </w:r>
    </w:p>
    <w:p w14:paraId="5ADC823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780BFF86">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53" w:name="_Toc501257366"/>
      <w:bookmarkStart w:id="354" w:name="_Toc234833142"/>
      <w:bookmarkStart w:id="355" w:name="_Toc16259"/>
      <w:r>
        <w:rPr>
          <w:rFonts w:hint="eastAsia" w:ascii="黑体" w:hAnsi="黑体" w:eastAsia="黑体" w:cs="黑体"/>
          <w:b w:val="0"/>
          <w:color w:val="auto"/>
          <w:sz w:val="24"/>
          <w:szCs w:val="24"/>
          <w:highlight w:val="none"/>
        </w:rPr>
        <w:t>4.10 承包人现场查勘</w:t>
      </w:r>
      <w:bookmarkEnd w:id="353"/>
      <w:bookmarkEnd w:id="354"/>
      <w:bookmarkEnd w:id="355"/>
      <w:r>
        <w:rPr>
          <w:rFonts w:hint="eastAsia" w:ascii="黑体" w:hAnsi="黑体" w:eastAsia="黑体" w:cs="黑体"/>
          <w:b w:val="0"/>
          <w:color w:val="auto"/>
          <w:sz w:val="24"/>
          <w:szCs w:val="24"/>
          <w:highlight w:val="none"/>
        </w:rPr>
        <w:t xml:space="preserve">    </w:t>
      </w:r>
    </w:p>
    <w:p w14:paraId="79548F5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第4.10.1项细化为：</w:t>
      </w:r>
      <w:r>
        <w:rPr>
          <w:rStyle w:val="28"/>
          <w:rFonts w:hint="eastAsia" w:ascii="黑体" w:hAnsi="黑体" w:eastAsia="黑体" w:cs="黑体"/>
          <w:color w:val="auto"/>
          <w:sz w:val="24"/>
          <w:highlight w:val="none"/>
        </w:rPr>
        <w:footnoteReference w:id="7"/>
      </w:r>
    </w:p>
    <w:p w14:paraId="5CAE745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发包人提供的本合同工程的水文、地质、气象和料场分布、取土场、弃土场位置等资料均属于参考资料，并不构成合同文件的组成部分，承包人应对自己就上述资料的解释、推论和应用负责，发包人不对承包人据此作出的判断和决策承担任何责任。</w:t>
      </w:r>
    </w:p>
    <w:p w14:paraId="255F51DB">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56" w:name="_Toc29138"/>
      <w:bookmarkStart w:id="357" w:name="_Toc501257367"/>
      <w:bookmarkStart w:id="358" w:name="_Toc234833143"/>
      <w:r>
        <w:rPr>
          <w:rFonts w:hint="eastAsia" w:ascii="黑体" w:hAnsi="黑体" w:eastAsia="黑体" w:cs="黑体"/>
          <w:b w:val="0"/>
          <w:color w:val="auto"/>
          <w:sz w:val="24"/>
          <w:szCs w:val="24"/>
          <w:highlight w:val="none"/>
        </w:rPr>
        <w:t>4.11 不利物质条件</w:t>
      </w:r>
      <w:bookmarkEnd w:id="356"/>
      <w:bookmarkEnd w:id="357"/>
      <w:bookmarkEnd w:id="358"/>
    </w:p>
    <w:p w14:paraId="234A5D6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第4.11.2项细化为：</w:t>
      </w:r>
    </w:p>
    <w:p w14:paraId="2F439AA0">
      <w:pPr>
        <w:pageBreakBefore w:val="0"/>
        <w:shd w:val="clear" w:color="auto" w:fill="auto"/>
        <w:kinsoku/>
        <w:wordWrap/>
        <w:overflowPunct/>
        <w:topLinePunct w:val="0"/>
        <w:autoSpaceDE/>
        <w:autoSpaceDN/>
        <w:bidi w:val="0"/>
        <w:adjustRightInd/>
        <w:snapToGrid/>
        <w:spacing w:line="360" w:lineRule="auto"/>
        <w:ind w:firstLine="420"/>
        <w:jc w:val="left"/>
        <w:textAlignment w:val="auto"/>
        <w:rPr>
          <w:rFonts w:hint="eastAsia" w:ascii="黑体" w:hAnsi="黑体" w:eastAsia="黑体" w:cs="黑体"/>
          <w:iCs/>
          <w:color w:val="auto"/>
          <w:sz w:val="24"/>
          <w:highlight w:val="none"/>
        </w:rPr>
      </w:pPr>
      <w:r>
        <w:rPr>
          <w:rFonts w:hint="eastAsia" w:ascii="黑体" w:hAnsi="黑体" w:eastAsia="黑体" w:cs="黑体"/>
          <w:iCs/>
          <w:color w:val="auto"/>
          <w:sz w:val="24"/>
          <w:highlight w:val="none"/>
        </w:rPr>
        <w:t>4.11.2 承包人遇到不可预见的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14:paraId="7F21D097">
      <w:pPr>
        <w:pageBreakBefore w:val="0"/>
        <w:shd w:val="clear" w:color="auto" w:fill="auto"/>
        <w:kinsoku/>
        <w:wordWrap/>
        <w:overflowPunct/>
        <w:topLinePunct w:val="0"/>
        <w:autoSpaceDE/>
        <w:autoSpaceDN/>
        <w:bidi w:val="0"/>
        <w:adjustRightInd/>
        <w:snapToGrid/>
        <w:spacing w:line="360" w:lineRule="auto"/>
        <w:ind w:firstLine="42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本款补充第4.11.3项：</w:t>
      </w:r>
    </w:p>
    <w:p w14:paraId="163098EE">
      <w:pPr>
        <w:pageBreakBefore w:val="0"/>
        <w:shd w:val="clear" w:color="auto" w:fill="auto"/>
        <w:kinsoku/>
        <w:wordWrap/>
        <w:overflowPunct/>
        <w:topLinePunct w:val="0"/>
        <w:autoSpaceDE/>
        <w:autoSpaceDN/>
        <w:bidi w:val="0"/>
        <w:adjustRightInd/>
        <w:snapToGrid/>
        <w:spacing w:line="360" w:lineRule="auto"/>
        <w:ind w:firstLine="42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4.11.3 可预见的不利物质条件</w:t>
      </w:r>
    </w:p>
    <w:p w14:paraId="33E8025D">
      <w:pPr>
        <w:pageBreakBefore w:val="0"/>
        <w:shd w:val="clear" w:color="auto" w:fill="auto"/>
        <w:kinsoku/>
        <w:wordWrap/>
        <w:overflowPunct/>
        <w:topLinePunct w:val="0"/>
        <w:autoSpaceDE/>
        <w:autoSpaceDN/>
        <w:bidi w:val="0"/>
        <w:adjustRightInd/>
        <w:snapToGrid/>
        <w:spacing w:line="360" w:lineRule="auto"/>
        <w:ind w:firstLine="42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（1）对于项目专用合同条款中已经明确指出的不利物质条件无论承包人是否有其经历和经验均视为承包人在接受合同时已预见其影响，并已在签约合同价中计入因其影响而可能发生的一切费用。</w:t>
      </w:r>
    </w:p>
    <w:p w14:paraId="5CF29802">
      <w:pPr>
        <w:pageBreakBefore w:val="0"/>
        <w:shd w:val="clear" w:color="auto" w:fill="auto"/>
        <w:kinsoku/>
        <w:wordWrap/>
        <w:overflowPunct/>
        <w:topLinePunct w:val="0"/>
        <w:autoSpaceDE/>
        <w:autoSpaceDN/>
        <w:bidi w:val="0"/>
        <w:adjustRightInd/>
        <w:snapToGrid/>
        <w:spacing w:line="360" w:lineRule="auto"/>
        <w:ind w:firstLine="42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（2）对于项目专用合同条款未明确指出，但是在不利物质条件发生之前，监理人已经指示承包人有可能发生，但承包人未能及时采取有效措施，而导致的损失和后果均由承包人承担。</w:t>
      </w:r>
    </w:p>
    <w:p w14:paraId="2C051922">
      <w:pPr>
        <w:pageBreakBefore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p>
    <w:p w14:paraId="5CDEC90A">
      <w:pPr>
        <w:pageBreakBefore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补充第4.12款、第4.13款：</w:t>
      </w:r>
    </w:p>
    <w:p w14:paraId="46FE3A11">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59" w:name="_Toc501257368"/>
      <w:bookmarkStart w:id="360" w:name="_Toc234833144"/>
      <w:bookmarkStart w:id="361" w:name="_Toc18958"/>
      <w:r>
        <w:rPr>
          <w:rFonts w:hint="eastAsia" w:ascii="黑体" w:hAnsi="黑体" w:eastAsia="黑体" w:cs="黑体"/>
          <w:b w:val="0"/>
          <w:color w:val="auto"/>
          <w:sz w:val="24"/>
          <w:szCs w:val="24"/>
          <w:highlight w:val="none"/>
        </w:rPr>
        <w:t>4.12 投标文件的完备性</w:t>
      </w:r>
      <w:bookmarkEnd w:id="359"/>
      <w:bookmarkEnd w:id="360"/>
      <w:bookmarkEnd w:id="361"/>
    </w:p>
    <w:p w14:paraId="52D9EB7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以及为实施和完成本合同工程及其缺陷修复所必需的一切工作和条件。</w:t>
      </w:r>
    </w:p>
    <w:p w14:paraId="4CC38310">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62" w:name="_Toc501257369"/>
      <w:bookmarkStart w:id="363" w:name="_Toc22482"/>
      <w:r>
        <w:rPr>
          <w:rFonts w:hint="eastAsia" w:ascii="黑体" w:hAnsi="黑体" w:eastAsia="黑体" w:cs="黑体"/>
          <w:b w:val="0"/>
          <w:color w:val="auto"/>
          <w:sz w:val="24"/>
          <w:szCs w:val="24"/>
          <w:highlight w:val="none"/>
        </w:rPr>
        <w:t>4.13 开展党建工作要求</w:t>
      </w:r>
      <w:bookmarkEnd w:id="362"/>
      <w:bookmarkEnd w:id="363"/>
    </w:p>
    <w:p w14:paraId="7330170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对于政府投资的国家高速公路项目，或承包人为国有控股或参股企业的，承包人应按规定在项目现场设立基层党组织。不满足上述情形的，承包人应创造条件使党员能够参加党组织生活并接受相应管理。</w:t>
      </w:r>
    </w:p>
    <w:p w14:paraId="72F0BD2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p>
    <w:p w14:paraId="6D417CD0">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364" w:name="_Toc501257370"/>
      <w:bookmarkStart w:id="365" w:name="_Toc32592"/>
      <w:bookmarkStart w:id="366" w:name="_Toc234833145"/>
      <w:r>
        <w:rPr>
          <w:rFonts w:hint="eastAsia" w:ascii="黑体" w:hAnsi="黑体" w:eastAsia="黑体" w:cs="黑体"/>
          <w:b w:val="0"/>
          <w:color w:val="auto"/>
          <w:sz w:val="28"/>
          <w:szCs w:val="28"/>
          <w:highlight w:val="none"/>
        </w:rPr>
        <w:t>5. 材料和工程设备</w:t>
      </w:r>
      <w:bookmarkEnd w:id="364"/>
      <w:bookmarkEnd w:id="365"/>
      <w:bookmarkEnd w:id="366"/>
    </w:p>
    <w:p w14:paraId="3DD9487A">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67" w:name="_Toc234833146"/>
      <w:bookmarkStart w:id="368" w:name="_Toc501257371"/>
      <w:bookmarkStart w:id="369" w:name="_Toc6632"/>
      <w:r>
        <w:rPr>
          <w:rFonts w:hint="eastAsia" w:ascii="黑体" w:hAnsi="黑体" w:eastAsia="黑体" w:cs="黑体"/>
          <w:b w:val="0"/>
          <w:color w:val="auto"/>
          <w:sz w:val="24"/>
          <w:szCs w:val="24"/>
          <w:highlight w:val="none"/>
        </w:rPr>
        <w:t>5.2 发包人提供的材料和工程设备</w:t>
      </w:r>
      <w:bookmarkEnd w:id="367"/>
      <w:bookmarkEnd w:id="368"/>
      <w:bookmarkEnd w:id="369"/>
    </w:p>
    <w:p w14:paraId="07DB9A5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第5.2.3项补充：</w:t>
      </w:r>
    </w:p>
    <w:p w14:paraId="01B8845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负责接收并按规定对材料进行抽样检验和对工程设备进行检验测试，若发现材料和工程设备存在缺陷，承包人应及时通知监理人，发包人应及时改正通知中指出的缺陷。承包人负责接收后的运输和保管，因承包人的原因发生丢失、损坏或进度拖延，由承包人承担相应责任。</w:t>
      </w:r>
    </w:p>
    <w:p w14:paraId="36724E77">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370" w:name="_Toc501257372"/>
      <w:bookmarkStart w:id="371" w:name="_Toc234833147"/>
      <w:bookmarkStart w:id="372" w:name="_Toc19611"/>
      <w:r>
        <w:rPr>
          <w:rFonts w:hint="eastAsia" w:ascii="黑体" w:hAnsi="黑体" w:eastAsia="黑体" w:cs="黑体"/>
          <w:b w:val="0"/>
          <w:color w:val="auto"/>
          <w:sz w:val="28"/>
          <w:szCs w:val="28"/>
          <w:highlight w:val="none"/>
        </w:rPr>
        <w:t>6. 施工设备和临时设施</w:t>
      </w:r>
      <w:bookmarkEnd w:id="370"/>
      <w:bookmarkEnd w:id="371"/>
      <w:bookmarkEnd w:id="372"/>
      <w:r>
        <w:rPr>
          <w:rFonts w:hint="eastAsia" w:ascii="黑体" w:hAnsi="黑体" w:eastAsia="黑体" w:cs="黑体"/>
          <w:b w:val="0"/>
          <w:color w:val="auto"/>
          <w:sz w:val="28"/>
          <w:szCs w:val="28"/>
          <w:highlight w:val="none"/>
        </w:rPr>
        <w:t xml:space="preserve"> </w:t>
      </w:r>
    </w:p>
    <w:p w14:paraId="541D658A">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73" w:name="_Toc501257373"/>
      <w:bookmarkStart w:id="374" w:name="_Toc19457"/>
      <w:bookmarkStart w:id="375" w:name="_Toc234833148"/>
      <w:r>
        <w:rPr>
          <w:rFonts w:hint="eastAsia" w:ascii="黑体" w:hAnsi="黑体" w:eastAsia="黑体" w:cs="黑体"/>
          <w:b w:val="0"/>
          <w:color w:val="auto"/>
          <w:sz w:val="24"/>
          <w:szCs w:val="24"/>
          <w:highlight w:val="none"/>
        </w:rPr>
        <w:t>6.1 承包人提供的施工设备和临时设施</w:t>
      </w:r>
      <w:bookmarkEnd w:id="373"/>
      <w:bookmarkEnd w:id="374"/>
      <w:bookmarkEnd w:id="375"/>
    </w:p>
    <w:p w14:paraId="20552DC3">
      <w:pPr>
        <w:pageBreakBefore w:val="0"/>
        <w:shd w:val="clear" w:color="auto" w:fill="auto"/>
        <w:kinsoku/>
        <w:wordWrap/>
        <w:overflowPunct/>
        <w:topLinePunct w:val="0"/>
        <w:autoSpaceDE/>
        <w:autoSpaceDN/>
        <w:bidi w:val="0"/>
        <w:adjustRightInd/>
        <w:snapToGrid/>
        <w:spacing w:line="360" w:lineRule="auto"/>
        <w:ind w:firstLine="42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第6.1.2项约定为：</w:t>
      </w:r>
    </w:p>
    <w:p w14:paraId="1D032B6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承包人应自行承担修建临时设施的费用，需要临时占地的，应由承包人按第4.1.10项（1）目的规定办理。</w:t>
      </w:r>
    </w:p>
    <w:p w14:paraId="6A8132E5">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76" w:name="_Toc501257374"/>
      <w:bookmarkStart w:id="377" w:name="_Toc27265"/>
      <w:bookmarkStart w:id="378" w:name="_Toc234833149"/>
      <w:r>
        <w:rPr>
          <w:rFonts w:hint="eastAsia" w:ascii="黑体" w:hAnsi="黑体" w:eastAsia="黑体" w:cs="黑体"/>
          <w:b w:val="0"/>
          <w:color w:val="auto"/>
          <w:sz w:val="24"/>
          <w:szCs w:val="24"/>
          <w:highlight w:val="none"/>
        </w:rPr>
        <w:t>6.3 要求承包人增加或更换施工设备</w:t>
      </w:r>
      <w:bookmarkEnd w:id="376"/>
      <w:bookmarkEnd w:id="377"/>
      <w:bookmarkEnd w:id="378"/>
    </w:p>
    <w:p w14:paraId="3C53E68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本款细化为：</w:t>
      </w:r>
    </w:p>
    <w:p w14:paraId="21B42E8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承诺的施工设备必须按时到达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p>
    <w:p w14:paraId="14B9F913">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379" w:name="_Toc501257375"/>
      <w:bookmarkStart w:id="380" w:name="_Toc234833150"/>
      <w:bookmarkStart w:id="381" w:name="_Toc20314"/>
      <w:r>
        <w:rPr>
          <w:rFonts w:hint="eastAsia" w:ascii="黑体" w:hAnsi="黑体" w:eastAsia="黑体" w:cs="黑体"/>
          <w:b w:val="0"/>
          <w:color w:val="auto"/>
          <w:sz w:val="28"/>
          <w:szCs w:val="28"/>
          <w:highlight w:val="none"/>
        </w:rPr>
        <w:t>7. 交通运输</w:t>
      </w:r>
      <w:bookmarkEnd w:id="379"/>
      <w:bookmarkEnd w:id="380"/>
      <w:bookmarkEnd w:id="381"/>
      <w:r>
        <w:rPr>
          <w:rFonts w:hint="eastAsia" w:ascii="黑体" w:hAnsi="黑体" w:eastAsia="黑体" w:cs="黑体"/>
          <w:b w:val="0"/>
          <w:color w:val="auto"/>
          <w:sz w:val="28"/>
          <w:szCs w:val="28"/>
          <w:highlight w:val="none"/>
        </w:rPr>
        <w:t xml:space="preserve"> </w:t>
      </w:r>
    </w:p>
    <w:p w14:paraId="61787ECD">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82" w:name="_Toc23672"/>
      <w:bookmarkStart w:id="383" w:name="_Toc501257376"/>
      <w:bookmarkStart w:id="384" w:name="_Toc234833151"/>
      <w:r>
        <w:rPr>
          <w:rFonts w:hint="eastAsia" w:ascii="黑体" w:hAnsi="黑体" w:eastAsia="黑体" w:cs="黑体"/>
          <w:b w:val="0"/>
          <w:color w:val="auto"/>
          <w:sz w:val="24"/>
          <w:szCs w:val="24"/>
          <w:highlight w:val="none"/>
        </w:rPr>
        <w:t>7.1 道路通行权和场外设施</w:t>
      </w:r>
      <w:bookmarkEnd w:id="382"/>
      <w:bookmarkEnd w:id="383"/>
      <w:bookmarkEnd w:id="384"/>
    </w:p>
    <w:p w14:paraId="3EC62B36">
      <w:pPr>
        <w:pageBreakBefore w:val="0"/>
        <w:shd w:val="clear" w:color="auto" w:fill="auto"/>
        <w:kinsoku/>
        <w:wordWrap/>
        <w:overflowPunct/>
        <w:topLinePunct w:val="0"/>
        <w:autoSpaceDE/>
        <w:autoSpaceDN/>
        <w:bidi w:val="0"/>
        <w:adjustRightInd/>
        <w:snapToGrid/>
        <w:spacing w:line="360" w:lineRule="auto"/>
        <w:ind w:firstLine="42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本款约定为：</w:t>
      </w:r>
    </w:p>
    <w:p w14:paraId="538DF72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根据合同工程的施工需要，负责办理取得出入施工场地的专用和临时道路的通行权，以及取得为工程建设所需修建场外设施的权利，并承担有关费用。需要发包人协调时，发包人应协助承包人办理相关手续。</w:t>
      </w:r>
    </w:p>
    <w:p w14:paraId="3186B185">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385" w:name="_Toc501257377"/>
      <w:bookmarkStart w:id="386" w:name="_Toc234833152"/>
      <w:bookmarkStart w:id="387" w:name="_Toc19471"/>
      <w:r>
        <w:rPr>
          <w:rFonts w:hint="eastAsia" w:ascii="黑体" w:hAnsi="黑体" w:eastAsia="黑体" w:cs="黑体"/>
          <w:b w:val="0"/>
          <w:color w:val="auto"/>
          <w:sz w:val="28"/>
          <w:szCs w:val="28"/>
          <w:highlight w:val="none"/>
        </w:rPr>
        <w:t>8. 测量放线</w:t>
      </w:r>
      <w:bookmarkEnd w:id="385"/>
      <w:bookmarkEnd w:id="386"/>
      <w:bookmarkEnd w:id="387"/>
    </w:p>
    <w:p w14:paraId="2AAC058E">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88" w:name="_Toc6818"/>
      <w:bookmarkStart w:id="389" w:name="_Toc501257378"/>
      <w:bookmarkStart w:id="390" w:name="_Toc234833153"/>
      <w:r>
        <w:rPr>
          <w:rFonts w:hint="eastAsia" w:ascii="黑体" w:hAnsi="黑体" w:eastAsia="黑体" w:cs="黑体"/>
          <w:b w:val="0"/>
          <w:color w:val="auto"/>
          <w:sz w:val="24"/>
          <w:szCs w:val="24"/>
          <w:highlight w:val="none"/>
        </w:rPr>
        <w:t>8.4 监理人使用施工控制网</w:t>
      </w:r>
      <w:bookmarkEnd w:id="388"/>
      <w:bookmarkEnd w:id="389"/>
      <w:bookmarkEnd w:id="390"/>
    </w:p>
    <w:p w14:paraId="6CA6C2C5">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w:t>
      </w:r>
    </w:p>
    <w:p w14:paraId="6C6C98C7">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经监理人批准，其他相关承包人也可免费使用施工控制网。</w:t>
      </w:r>
    </w:p>
    <w:p w14:paraId="2C88B68E">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391" w:name="_Toc28754"/>
      <w:bookmarkStart w:id="392" w:name="_Toc501257379"/>
      <w:bookmarkStart w:id="393" w:name="_Toc234833154"/>
      <w:r>
        <w:rPr>
          <w:rFonts w:hint="eastAsia" w:ascii="黑体" w:hAnsi="黑体" w:eastAsia="黑体" w:cs="黑体"/>
          <w:b w:val="0"/>
          <w:color w:val="auto"/>
          <w:sz w:val="28"/>
          <w:szCs w:val="28"/>
          <w:highlight w:val="none"/>
        </w:rPr>
        <w:t>9. 施工安全、治安保卫和环境保护</w:t>
      </w:r>
      <w:bookmarkEnd w:id="391"/>
      <w:bookmarkEnd w:id="392"/>
      <w:bookmarkEnd w:id="393"/>
    </w:p>
    <w:p w14:paraId="62269CAC">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94" w:name="_Toc7863"/>
      <w:bookmarkStart w:id="395" w:name="_Toc234833155"/>
      <w:bookmarkStart w:id="396" w:name="_Toc501257380"/>
      <w:r>
        <w:rPr>
          <w:rFonts w:hint="eastAsia" w:ascii="黑体" w:hAnsi="黑体" w:eastAsia="黑体" w:cs="黑体"/>
          <w:b w:val="0"/>
          <w:color w:val="auto"/>
          <w:sz w:val="24"/>
          <w:szCs w:val="24"/>
          <w:highlight w:val="none"/>
        </w:rPr>
        <w:t>9.2 承包人的施工安全责任</w:t>
      </w:r>
      <w:bookmarkEnd w:id="394"/>
      <w:bookmarkEnd w:id="395"/>
      <w:bookmarkEnd w:id="396"/>
    </w:p>
    <w:p w14:paraId="6C4F2EF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第9.2.1项细化为：</w:t>
      </w:r>
    </w:p>
    <w:p w14:paraId="4E5624F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430E680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根据本工程的实际安全施工要求，编制施工安全技术措施，并在签订合同协议书后28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p>
    <w:p w14:paraId="4FAB3C1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本项目需要编制专项施工方案的工程包括但不限于以下内容：</w:t>
      </w:r>
    </w:p>
    <w:p w14:paraId="4495DA1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（1）不良地质条件下有潜在危险性的土方、石方开挖；</w:t>
      </w:r>
    </w:p>
    <w:p w14:paraId="7F27D31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（2）滑坡和高边坡处理；</w:t>
      </w:r>
    </w:p>
    <w:p w14:paraId="7718D9C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（3）桩基础、挡墙基础、深水基础及围堰工程；</w:t>
      </w:r>
    </w:p>
    <w:p w14:paraId="7E585D8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（4）桥梁工程中的梁、拱、柱等构件施工等；</w:t>
      </w:r>
    </w:p>
    <w:p w14:paraId="6368E49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（5）隧道工程中的不良地质隧道、高瓦斯隧道等；</w:t>
      </w:r>
    </w:p>
    <w:p w14:paraId="65BEF27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（6）水上工程中的打桩船作业、施工船作业、外海孤岛作业、边通航边施工作业等；</w:t>
      </w:r>
    </w:p>
    <w:p w14:paraId="27CE221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（7）水下工程中的水下焊接、混凝土浇筑、爆破工程等；</w:t>
      </w:r>
    </w:p>
    <w:p w14:paraId="51AD7AD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（8）爆破工程；</w:t>
      </w:r>
    </w:p>
    <w:p w14:paraId="0044395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（9）大型临时工程中的大型支架、模板、便桥的架设与拆除；桥梁、码头的加固与拆除；</w:t>
      </w:r>
    </w:p>
    <w:p w14:paraId="556586F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（10）其他危险性较大的工程。</w:t>
      </w:r>
    </w:p>
    <w:p w14:paraId="6B4668B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监理人和发包人在检查中发现有安全问题或有违反安全管理规章制度的情况时，可视为承包人违约，应按第22.1款的规定办理。</w:t>
      </w:r>
    </w:p>
    <w:p w14:paraId="5AF6809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第9.2.5项细化为：</w:t>
      </w:r>
    </w:p>
    <w:p w14:paraId="471CD41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除项目专用合同条款另有约定外，安全生产费用应为投标价（不含安全生产费及建筑工程一切险及第三者责任险的保险费）的1.5%（若发包人公布了最高投标限价时，按最高投标限价的1.5%计）。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3.5款商定或确定。</w:t>
      </w:r>
    </w:p>
    <w:p w14:paraId="3090BAA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本款补充第9.2.8项~第9.2.11项：</w:t>
      </w:r>
    </w:p>
    <w:p w14:paraId="7CA202B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9.2.8 承包人应充分关注和保障所有在现场工作的人员的安全，采取以下有效措施，使现场和本合同工程的实施保持有条不紊，以免使上述人员的安全受到威胁。</w:t>
      </w:r>
    </w:p>
    <w:p w14:paraId="4154AF5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（1）按《公路水运工程安全生产监督管理办法》规定的最低数量和资质条件配备专职安全生产管理人员；</w:t>
      </w:r>
    </w:p>
    <w:p w14:paraId="445D3CF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p>
    <w:p w14:paraId="508F1F2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（3）所有施工机具设备和高空作业设备均应定期检查，并有安全员的签字记录；</w:t>
      </w:r>
    </w:p>
    <w:p w14:paraId="2E989AD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（4）根据本合同各单位工程的施工特点，严格执行《公路水运工程安全生产监督管理办法》《公路工程施工安全技术规范》等有关规定。</w:t>
      </w:r>
    </w:p>
    <w:p w14:paraId="008F689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9.2.9 为了保护本合同工程免遭损坏，或为了现场附近和过往群众的安全与方便，在确有必要的时候和地方，或当监理人或有关主管部门要求时，承包人应自费提供照明、警卫、护栅、警告标志等安全防护设施。</w:t>
      </w:r>
    </w:p>
    <w:p w14:paraId="2FD8833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9.2.10 在通航水域施工时，承包人应与当地主管部门取得联系，设置必要的导航标志，及时发布航行通告，确保施工水域安全。</w:t>
      </w:r>
    </w:p>
    <w:p w14:paraId="2A4B502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9.2.11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19712C68">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397" w:name="_Toc234833156"/>
      <w:bookmarkStart w:id="398" w:name="_Toc27164"/>
      <w:bookmarkStart w:id="399" w:name="_Toc501257381"/>
      <w:r>
        <w:rPr>
          <w:rFonts w:hint="eastAsia" w:ascii="黑体" w:hAnsi="黑体" w:eastAsia="黑体" w:cs="黑体"/>
          <w:b w:val="0"/>
          <w:color w:val="auto"/>
          <w:sz w:val="24"/>
          <w:szCs w:val="24"/>
          <w:highlight w:val="none"/>
        </w:rPr>
        <w:t>9.4 环境保护</w:t>
      </w:r>
      <w:bookmarkEnd w:id="397"/>
      <w:bookmarkEnd w:id="398"/>
      <w:bookmarkEnd w:id="399"/>
    </w:p>
    <w:p w14:paraId="09EC84F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本款补充第9.4.7项~第9.4.11项：</w:t>
      </w:r>
    </w:p>
    <w:p w14:paraId="78A2BB1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9.4.7 承包人应切实执行技术规范中有关环境保护方面的条款和规定。</w:t>
      </w:r>
    </w:p>
    <w:p w14:paraId="263DA5F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p>
    <w:p w14:paraId="1D7DA91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（2）对于公路施工中粉尘污染的主要污染源――灰土拌和、施工车辆和筑路机械运行及运输产生的扬尘，应采取有效措施减轻其对施工现场的大气污染，保护人民健康，如：</w:t>
      </w:r>
    </w:p>
    <w:p w14:paraId="0B096BB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a. 拌和设备应有较好的密封，或有防尘设备。</w:t>
      </w:r>
    </w:p>
    <w:p w14:paraId="35C958A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b. 施工通道、沥青混凝土拌和站及灰土拌和站应经常进行洒水降尘。</w:t>
      </w:r>
    </w:p>
    <w:p w14:paraId="70250E8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c. 路面施工应注意保持水分，以免扬尘。</w:t>
      </w:r>
    </w:p>
    <w:p w14:paraId="773CB87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d. 隧道出渣和桥梁钻孔灌注桩施工时排出的泥浆要进行妥善处理，严禁向河流或农田排放。</w:t>
      </w:r>
    </w:p>
    <w:p w14:paraId="1DE2DF4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（3）采取可靠措施保证原有交通的正常通行，维持沿线村镇的居民饮水、农田灌溉、生产生活用电及通信等管线的正常使用。</w:t>
      </w:r>
    </w:p>
    <w:p w14:paraId="7A029B8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9.4.8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047B2B8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9.4.9在施工期间，承包人应随时保持现场整洁，施工设备和材料、工程设备应整齐妥善存放和储存，废料与垃圾及不再需要的临时设施应及时从现场清除、拆除并运走。</w:t>
      </w:r>
    </w:p>
    <w:p w14:paraId="247681C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9.4.10 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25D1E21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9.4.11 承包人应严格按照国家有关法规要求，做好施工过程中的生态保护和水土保持工作。施工中要尽可能减少对原地面的扰动，减少对地面草木的破坏，需要爆破作业的，应按规定进行控爆设计。雨季填筑路基应随挖、随运、随填、随压，要完善施工中的临时排水系统，加强施工便道的管理。取（弃）土场必须先挡后弃，严禁在指定的取（弃）土场以外的地方乱挖乱弃。</w:t>
      </w:r>
    </w:p>
    <w:p w14:paraId="263B1FD3">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400" w:name="_Toc501257382"/>
      <w:bookmarkStart w:id="401" w:name="_Toc234833157"/>
      <w:bookmarkStart w:id="402" w:name="_Toc5477"/>
      <w:r>
        <w:rPr>
          <w:rFonts w:hint="eastAsia" w:ascii="黑体" w:hAnsi="黑体" w:eastAsia="黑体" w:cs="黑体"/>
          <w:b w:val="0"/>
          <w:color w:val="auto"/>
          <w:sz w:val="28"/>
          <w:szCs w:val="28"/>
          <w:highlight w:val="none"/>
        </w:rPr>
        <w:t>10. 进度计划</w:t>
      </w:r>
      <w:bookmarkEnd w:id="400"/>
      <w:bookmarkEnd w:id="401"/>
      <w:bookmarkEnd w:id="402"/>
    </w:p>
    <w:p w14:paraId="3EC159D0">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03" w:name="_Toc30607"/>
      <w:bookmarkStart w:id="404" w:name="_Toc234833158"/>
      <w:bookmarkStart w:id="405" w:name="_Toc501257383"/>
      <w:r>
        <w:rPr>
          <w:rFonts w:hint="eastAsia" w:ascii="黑体" w:hAnsi="黑体" w:eastAsia="黑体" w:cs="黑体"/>
          <w:b w:val="0"/>
          <w:color w:val="auto"/>
          <w:sz w:val="24"/>
          <w:szCs w:val="24"/>
          <w:highlight w:val="none"/>
        </w:rPr>
        <w:t>10.1 合同进度计划</w:t>
      </w:r>
      <w:bookmarkEnd w:id="403"/>
      <w:bookmarkEnd w:id="404"/>
      <w:bookmarkEnd w:id="405"/>
    </w:p>
    <w:p w14:paraId="3574C51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w:t>
      </w:r>
    </w:p>
    <w:p w14:paraId="0C7B281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承包人编制施工方案说明的内容见项目专用合同条款。</w:t>
      </w:r>
    </w:p>
    <w:p w14:paraId="263F668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承包人向监理人报送施工进度计划和施工方案说明的期限：签订合同协议书后28天之内。</w:t>
      </w:r>
    </w:p>
    <w:p w14:paraId="3DF0E0B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监理人应在14天内对承包人施工进度计划和施工方案说明予以批复或提出修改意见。</w:t>
      </w:r>
    </w:p>
    <w:p w14:paraId="7F9E297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合同进度计划应按照关键线路网络图和主要工作横道图两种形式分别编绘，并应包括每月预计完成的工作量和形象进度。</w:t>
      </w:r>
    </w:p>
    <w:p w14:paraId="057B6F3D">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06" w:name="_Toc16300"/>
      <w:bookmarkStart w:id="407" w:name="_Toc234833159"/>
      <w:bookmarkStart w:id="408" w:name="_Toc501257384"/>
      <w:r>
        <w:rPr>
          <w:rFonts w:hint="eastAsia" w:ascii="黑体" w:hAnsi="黑体" w:eastAsia="黑体" w:cs="黑体"/>
          <w:b w:val="0"/>
          <w:color w:val="auto"/>
          <w:sz w:val="24"/>
          <w:szCs w:val="24"/>
          <w:highlight w:val="none"/>
        </w:rPr>
        <w:t>10.2 合同进度计划的修订</w:t>
      </w:r>
      <w:bookmarkEnd w:id="406"/>
      <w:bookmarkEnd w:id="407"/>
      <w:bookmarkEnd w:id="408"/>
    </w:p>
    <w:p w14:paraId="7A7AEDDB">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w:t>
      </w:r>
    </w:p>
    <w:p w14:paraId="2963FCE9">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承包人提交合同进度计划修订申请报告，并附有关措施和相关资料的期限：实际进度发生滞后的当月25日前。</w:t>
      </w:r>
    </w:p>
    <w:p w14:paraId="15ADA4DC">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监理人批复修订合同进度计划的期限：收到修订合同进度计划后14天内。</w:t>
      </w:r>
    </w:p>
    <w:p w14:paraId="7D281C04">
      <w:pPr>
        <w:pageBreakBefore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本条补充第10.3款、第10.4款：</w:t>
      </w:r>
    </w:p>
    <w:p w14:paraId="4C7A1BDE">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09" w:name="_Toc234833160"/>
      <w:bookmarkStart w:id="410" w:name="_Toc501257385"/>
      <w:bookmarkStart w:id="411" w:name="_Toc2932"/>
      <w:r>
        <w:rPr>
          <w:rFonts w:hint="eastAsia" w:ascii="黑体" w:hAnsi="黑体" w:eastAsia="黑体" w:cs="黑体"/>
          <w:b w:val="0"/>
          <w:color w:val="auto"/>
          <w:sz w:val="24"/>
          <w:szCs w:val="24"/>
          <w:highlight w:val="none"/>
        </w:rPr>
        <w:t>10.3 年度施工计划</w:t>
      </w:r>
      <w:bookmarkEnd w:id="409"/>
      <w:bookmarkEnd w:id="410"/>
      <w:bookmarkEnd w:id="411"/>
    </w:p>
    <w:p w14:paraId="6D9D0D80">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在每年11月底前，根据已同意的合同进度计划或其修订的计划，向监理人提交2份格式和内容符合监理人合理规定的下一年度的施工计划，以供审查。该计划应包括本年度估计完成的和下一年度预计完成的分项工程数量和工作量，以及为实施此计划将采取的措施。</w:t>
      </w:r>
    </w:p>
    <w:p w14:paraId="7E3457D7">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12" w:name="_Toc11251"/>
      <w:bookmarkStart w:id="413" w:name="_Toc234833161"/>
      <w:bookmarkStart w:id="414" w:name="_Toc501257386"/>
      <w:r>
        <w:rPr>
          <w:rFonts w:hint="eastAsia" w:ascii="黑体" w:hAnsi="黑体" w:eastAsia="黑体" w:cs="黑体"/>
          <w:b w:val="0"/>
          <w:color w:val="auto"/>
          <w:sz w:val="24"/>
          <w:szCs w:val="24"/>
          <w:highlight w:val="none"/>
        </w:rPr>
        <w:t>10.4 合同用款计划</w:t>
      </w:r>
      <w:bookmarkEnd w:id="412"/>
      <w:bookmarkEnd w:id="413"/>
      <w:bookmarkEnd w:id="414"/>
    </w:p>
    <w:p w14:paraId="77F0A7DE">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在签订本合同协议书后28天之内，按招标文件中规定的格式，向监理人提交2份按合同规定承包人有权得到支付的详细的季度合同用款计划，以备监理人查阅。如果监理人提出要求，承包人还应按季度提交修订的合同用款计划。</w:t>
      </w:r>
    </w:p>
    <w:p w14:paraId="63C6C91D">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415" w:name="_Toc501257387"/>
      <w:bookmarkStart w:id="416" w:name="_Toc11878"/>
      <w:bookmarkStart w:id="417" w:name="_Toc234833162"/>
      <w:r>
        <w:rPr>
          <w:rFonts w:hint="eastAsia" w:ascii="黑体" w:hAnsi="黑体" w:eastAsia="黑体" w:cs="黑体"/>
          <w:b w:val="0"/>
          <w:color w:val="auto"/>
          <w:sz w:val="28"/>
          <w:szCs w:val="28"/>
          <w:highlight w:val="none"/>
        </w:rPr>
        <w:t>11. 开工和交工</w:t>
      </w:r>
      <w:bookmarkEnd w:id="415"/>
      <w:bookmarkEnd w:id="416"/>
      <w:bookmarkEnd w:id="417"/>
    </w:p>
    <w:p w14:paraId="663F70C0">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18" w:name="_Toc501257388"/>
      <w:bookmarkStart w:id="419" w:name="_Toc27882"/>
      <w:bookmarkStart w:id="420" w:name="_Toc234833163"/>
      <w:r>
        <w:rPr>
          <w:rFonts w:hint="eastAsia" w:ascii="黑体" w:hAnsi="黑体" w:eastAsia="黑体" w:cs="黑体"/>
          <w:b w:val="0"/>
          <w:color w:val="auto"/>
          <w:sz w:val="24"/>
          <w:szCs w:val="24"/>
          <w:highlight w:val="none"/>
        </w:rPr>
        <w:t>11.1 开工</w:t>
      </w:r>
      <w:bookmarkEnd w:id="418"/>
      <w:bookmarkEnd w:id="419"/>
      <w:bookmarkEnd w:id="420"/>
    </w:p>
    <w:p w14:paraId="2BAD139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第11.1.2项补充：</w:t>
      </w:r>
    </w:p>
    <w:p w14:paraId="01E9ED6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承包人应在分部工程开工前14天向监理人提交分部工程开工报审表，若承包人的开工准备、工作计划和质量控制方法是可接受的且已获得批准，则经监理人书面同意，分部工程才能开工。</w:t>
      </w:r>
    </w:p>
    <w:p w14:paraId="4AF912C1">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21" w:name="_Toc501257389"/>
      <w:bookmarkStart w:id="422" w:name="_Toc234833164"/>
      <w:bookmarkStart w:id="423" w:name="_Toc19125"/>
      <w:r>
        <w:rPr>
          <w:rFonts w:hint="eastAsia" w:ascii="黑体" w:hAnsi="黑体" w:eastAsia="黑体" w:cs="黑体"/>
          <w:b w:val="0"/>
          <w:color w:val="auto"/>
          <w:sz w:val="24"/>
          <w:szCs w:val="24"/>
          <w:highlight w:val="none"/>
        </w:rPr>
        <w:t>11.3 发包人的工期延误</w:t>
      </w:r>
      <w:bookmarkEnd w:id="421"/>
      <w:bookmarkEnd w:id="422"/>
      <w:bookmarkEnd w:id="423"/>
    </w:p>
    <w:p w14:paraId="14CCEB9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w:t>
      </w:r>
    </w:p>
    <w:p w14:paraId="026A69D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即使由于上述原因造成工期延误，如果受影响的工程并非处在工程施工进度网络计划的关键线路上，则承包人无权要求延长总工期。</w:t>
      </w:r>
    </w:p>
    <w:p w14:paraId="0DC9A7D5">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24" w:name="_Toc234833165"/>
      <w:bookmarkStart w:id="425" w:name="_Toc25728"/>
      <w:bookmarkStart w:id="426" w:name="_Toc501257390"/>
      <w:r>
        <w:rPr>
          <w:rFonts w:hint="eastAsia" w:ascii="黑体" w:hAnsi="黑体" w:eastAsia="黑体" w:cs="黑体"/>
          <w:b w:val="0"/>
          <w:color w:val="auto"/>
          <w:sz w:val="24"/>
          <w:szCs w:val="24"/>
          <w:highlight w:val="none"/>
        </w:rPr>
        <w:t>11.4异常恶劣的气候条件</w:t>
      </w:r>
      <w:bookmarkEnd w:id="424"/>
      <w:bookmarkEnd w:id="425"/>
      <w:bookmarkEnd w:id="426"/>
    </w:p>
    <w:p w14:paraId="5C8FCC7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w:t>
      </w:r>
    </w:p>
    <w:p w14:paraId="04591BE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异常气候是指项目所在地30年以上一遇的罕见气候现象（包括</w:t>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HYPERLINK "http://baike.baidu.com/view/8193.htm" \t "_blank"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温度</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t>、降水、降雪、风等）。异常恶劣的气候条件在项目专用合同条款中作具体约定。</w:t>
      </w:r>
    </w:p>
    <w:p w14:paraId="006FC5DE">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27" w:name="_Toc11118"/>
      <w:bookmarkStart w:id="428" w:name="_Toc234833166"/>
      <w:bookmarkStart w:id="429" w:name="_Toc501257391"/>
      <w:r>
        <w:rPr>
          <w:rFonts w:hint="eastAsia" w:ascii="黑体" w:hAnsi="黑体" w:eastAsia="黑体" w:cs="黑体"/>
          <w:b w:val="0"/>
          <w:color w:val="auto"/>
          <w:sz w:val="24"/>
          <w:szCs w:val="24"/>
          <w:highlight w:val="none"/>
        </w:rPr>
        <w:t>11.5 承包人的工期延误</w:t>
      </w:r>
      <w:bookmarkEnd w:id="427"/>
      <w:bookmarkEnd w:id="428"/>
      <w:bookmarkEnd w:id="429"/>
    </w:p>
    <w:p w14:paraId="441B9F1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本款细化为：</w:t>
      </w:r>
    </w:p>
    <w:p w14:paraId="1DFE2FE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承包人应严格执行监理人批准的合同进度计划，对工作量计划和形象进度计划分别控制。除第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1CDDD2F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如果承包人在接到监理人通知后的14天内，未能采取加快工程进度的措施，致使实际工程进度进一步滞后，或承包人虽采取了一些措施，仍无法按预计工期交工时，监理人应立即通知发包人。发包人在向承包人发出书面警告通知14天后，发包人可按第22.1款终止对承包人的雇用，也可将本合同工程中的一部分工作交由其他承包人或其他分包人完成。在不解除本合同规定的承包人责任和义务的同时，承包人应承担因此所增加的一切费用。</w:t>
      </w:r>
    </w:p>
    <w:p w14:paraId="7C1FA4C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由于承包人原因造成工期延误，承包人应支付逾期交工违约金。逾期交工违约金的计算方法在项目专用合同条款数据表中约定，时间自预定的交工日期起到交工验收证书中写明的实际交工日期止（扣除已批准的延长工期），按天计算。逾期交工违约金累计金额最高不超过项目专用合同条款数据表中写明的限额。发包人可以从应付或到期应付给承包人的任何款项中或采用其他方法扣除此违约金。</w:t>
      </w:r>
    </w:p>
    <w:p w14:paraId="7B3DEF2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（4）承包人支付逾期交工违约金，不免除承包人完成工程及修补缺陷的义务。</w:t>
      </w:r>
    </w:p>
    <w:p w14:paraId="5AA92F5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5）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p>
    <w:p w14:paraId="406DCFB6">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30" w:name="_Toc501257392"/>
      <w:bookmarkStart w:id="431" w:name="_Toc17717"/>
      <w:bookmarkStart w:id="432" w:name="_Toc234833167"/>
      <w:r>
        <w:rPr>
          <w:rFonts w:hint="eastAsia" w:ascii="黑体" w:hAnsi="黑体" w:eastAsia="黑体" w:cs="黑体"/>
          <w:b w:val="0"/>
          <w:color w:val="auto"/>
          <w:sz w:val="24"/>
          <w:szCs w:val="24"/>
          <w:highlight w:val="none"/>
        </w:rPr>
        <w:t>11.6 工期提前</w:t>
      </w:r>
      <w:bookmarkEnd w:id="430"/>
      <w:bookmarkEnd w:id="431"/>
      <w:bookmarkEnd w:id="432"/>
    </w:p>
    <w:p w14:paraId="2F698AF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w:t>
      </w:r>
    </w:p>
    <w:p w14:paraId="06B8AE0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发包人不得随意要求承包人提前交工，承包人也不得随意提出提前交工的建议。如遇特殊情况，确需将工期提前的，发包人和承包人必须采取有效措施，确保工程质量。</w:t>
      </w:r>
    </w:p>
    <w:p w14:paraId="2A452FC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如果承包人提前交工，发包人支付奖金的计算方法在项目专用合同条款数据表中约定，时间自交工验收证书中写明的实际交工日期起至预定的交工日期止，按天计算。但奖金最高限额不超过项目专用合同条款数据表中写明的限额。</w:t>
      </w:r>
    </w:p>
    <w:p w14:paraId="20481F9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p>
    <w:p w14:paraId="0E908171">
      <w:pPr>
        <w:pageBreakBefore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本条补充第11.7款：</w:t>
      </w:r>
    </w:p>
    <w:p w14:paraId="7A858A90">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33" w:name="_Toc234833168"/>
      <w:bookmarkStart w:id="434" w:name="_Toc501257393"/>
      <w:bookmarkStart w:id="435" w:name="_Toc8738"/>
      <w:r>
        <w:rPr>
          <w:rFonts w:hint="eastAsia" w:ascii="黑体" w:hAnsi="黑体" w:eastAsia="黑体" w:cs="黑体"/>
          <w:b w:val="0"/>
          <w:color w:val="auto"/>
          <w:sz w:val="24"/>
          <w:szCs w:val="24"/>
          <w:highlight w:val="none"/>
        </w:rPr>
        <w:t>11.7 工作时间的限制</w:t>
      </w:r>
      <w:bookmarkEnd w:id="433"/>
      <w:bookmarkEnd w:id="434"/>
      <w:bookmarkEnd w:id="435"/>
    </w:p>
    <w:p w14:paraId="520DC90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承包人在夜间或国家规定的节假日进行永久工程的施工，应向监理人报告，以便监理人履行监理职责和义务。</w:t>
      </w:r>
    </w:p>
    <w:p w14:paraId="67C3CBB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但是，为了抢救生命或保护财产，或为了工程的安全、质量而不可避免地短暂作业，则不必事先向监理人报告。但承包人应在事后立即向监理人报告。</w:t>
      </w:r>
    </w:p>
    <w:p w14:paraId="4FEB9ED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本款规定不适用于习惯上或施工本身要求实行连续生产的作业。</w:t>
      </w:r>
    </w:p>
    <w:p w14:paraId="0B48E30E">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436" w:name="_Toc4610"/>
      <w:bookmarkStart w:id="437" w:name="_Toc234833169"/>
      <w:bookmarkStart w:id="438" w:name="_Toc501257394"/>
      <w:r>
        <w:rPr>
          <w:rFonts w:hint="eastAsia" w:ascii="黑体" w:hAnsi="黑体" w:eastAsia="黑体" w:cs="黑体"/>
          <w:b w:val="0"/>
          <w:color w:val="auto"/>
          <w:sz w:val="28"/>
          <w:szCs w:val="28"/>
          <w:highlight w:val="none"/>
        </w:rPr>
        <w:t>12. 暂停施工</w:t>
      </w:r>
      <w:bookmarkEnd w:id="436"/>
      <w:bookmarkEnd w:id="437"/>
      <w:bookmarkEnd w:id="438"/>
    </w:p>
    <w:p w14:paraId="65A3B867">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39" w:name="_Toc24089"/>
      <w:bookmarkStart w:id="440" w:name="_Toc501257395"/>
      <w:bookmarkStart w:id="441" w:name="_Toc234833170"/>
      <w:r>
        <w:rPr>
          <w:rFonts w:hint="eastAsia" w:ascii="黑体" w:hAnsi="黑体" w:eastAsia="黑体" w:cs="黑体"/>
          <w:b w:val="0"/>
          <w:color w:val="auto"/>
          <w:sz w:val="24"/>
          <w:szCs w:val="24"/>
          <w:highlight w:val="none"/>
        </w:rPr>
        <w:t>12.1 承包人暂停施工的责任</w:t>
      </w:r>
      <w:bookmarkEnd w:id="439"/>
      <w:bookmarkEnd w:id="440"/>
      <w:bookmarkEnd w:id="441"/>
    </w:p>
    <w:p w14:paraId="1F56544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本款第（5）项细化为：</w:t>
      </w:r>
    </w:p>
    <w:p w14:paraId="1D38F54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（5）现场气候条件导致的必要停工（第11.4款约定的异常恶劣的气候条件除外）；</w:t>
      </w:r>
    </w:p>
    <w:p w14:paraId="7C37E08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（6）项目专用合同条款可能约定的由承包人承担的其他暂停施工。</w:t>
      </w:r>
    </w:p>
    <w:p w14:paraId="55A3AE36">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442" w:name="_Toc234833171"/>
      <w:bookmarkStart w:id="443" w:name="_Toc22430"/>
      <w:bookmarkStart w:id="444" w:name="_Toc501257396"/>
      <w:r>
        <w:rPr>
          <w:rFonts w:hint="eastAsia" w:ascii="黑体" w:hAnsi="黑体" w:eastAsia="黑体" w:cs="黑体"/>
          <w:b w:val="0"/>
          <w:color w:val="auto"/>
          <w:sz w:val="28"/>
          <w:szCs w:val="28"/>
          <w:highlight w:val="none"/>
        </w:rPr>
        <w:t>13. 工程质量</w:t>
      </w:r>
      <w:bookmarkEnd w:id="442"/>
      <w:bookmarkEnd w:id="443"/>
      <w:bookmarkEnd w:id="444"/>
    </w:p>
    <w:p w14:paraId="644DBBE4">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45" w:name="_Toc32483"/>
      <w:bookmarkStart w:id="446" w:name="_Toc234833172"/>
      <w:bookmarkStart w:id="447" w:name="_Toc501257397"/>
      <w:r>
        <w:rPr>
          <w:rFonts w:hint="eastAsia" w:ascii="黑体" w:hAnsi="黑体" w:eastAsia="黑体" w:cs="黑体"/>
          <w:b w:val="0"/>
          <w:color w:val="auto"/>
          <w:sz w:val="24"/>
          <w:szCs w:val="24"/>
          <w:highlight w:val="none"/>
        </w:rPr>
        <w:t>13.1 工程质量要求</w:t>
      </w:r>
      <w:bookmarkEnd w:id="445"/>
      <w:bookmarkEnd w:id="446"/>
      <w:bookmarkEnd w:id="447"/>
    </w:p>
    <w:p w14:paraId="1170A14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第13.1.1项约定为：</w:t>
      </w:r>
    </w:p>
    <w:p w14:paraId="12C7105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工程质量验收按技术规范及《公路工程质量检验评定标准》执行。</w:t>
      </w:r>
    </w:p>
    <w:p w14:paraId="27AA2A7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本款补充第13.1.4项、第13.1.5项：</w:t>
      </w:r>
    </w:p>
    <w:p w14:paraId="20FD42D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13.1.4 发包人和承包人应严格遵守《关于严格落实公路工程质量责任制的若干意见》的相关规定，认真执行工程质量责任登记制度并</w:t>
      </w:r>
      <w:r>
        <w:rPr>
          <w:rFonts w:hint="eastAsia" w:ascii="黑体" w:hAnsi="黑体" w:eastAsia="黑体" w:cs="黑体"/>
          <w:color w:val="auto"/>
          <w:kern w:val="0"/>
          <w:sz w:val="24"/>
          <w:highlight w:val="none"/>
        </w:rPr>
        <w:t>按要求填写工程质量责任登记表</w:t>
      </w:r>
      <w:r>
        <w:rPr>
          <w:rFonts w:hint="eastAsia" w:ascii="黑体" w:hAnsi="黑体" w:eastAsia="黑体" w:cs="黑体"/>
          <w:color w:val="auto"/>
          <w:sz w:val="24"/>
          <w:highlight w:val="none"/>
        </w:rPr>
        <w:t>。</w:t>
      </w:r>
    </w:p>
    <w:p w14:paraId="6187CBB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13.1.5 本项目严格执行质量责任追究制度。质量事故处理实行“四不放过”原则：事故原因调查不清不放过；事故责任者没有受到教育不放过；没有防范措施不放过；相关责任人没受到处理不放过。</w:t>
      </w:r>
    </w:p>
    <w:p w14:paraId="787D7A49">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48" w:name="_Toc501257398"/>
      <w:bookmarkStart w:id="449" w:name="_Toc1546"/>
      <w:bookmarkStart w:id="450" w:name="_Toc234833173"/>
      <w:r>
        <w:rPr>
          <w:rFonts w:hint="eastAsia" w:ascii="黑体" w:hAnsi="黑体" w:eastAsia="黑体" w:cs="黑体"/>
          <w:b w:val="0"/>
          <w:color w:val="auto"/>
          <w:sz w:val="24"/>
          <w:szCs w:val="24"/>
          <w:highlight w:val="none"/>
        </w:rPr>
        <w:t>13.2 承包人的质量管理</w:t>
      </w:r>
      <w:bookmarkEnd w:id="448"/>
      <w:bookmarkEnd w:id="449"/>
      <w:bookmarkEnd w:id="450"/>
    </w:p>
    <w:p w14:paraId="4196509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第13.2.1项补充：</w:t>
      </w:r>
    </w:p>
    <w:p w14:paraId="063624D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承包人提交工程质量保证措施文件的期限：签订合同协议书后28天之内。</w:t>
      </w:r>
    </w:p>
    <w:p w14:paraId="18F5F47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本款补充第13.2.3项~第13.2.10项：</w:t>
      </w:r>
    </w:p>
    <w:p w14:paraId="5588789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13.2.3 公路工程施行质量责任终身制。承包人应当书面明确相应的项目负责人和质量负责人。承包人的相关人员按照国家法律法规和有关规定在工程合理使用年限内承担相应的质量责任。</w:t>
      </w:r>
    </w:p>
    <w:p w14:paraId="6A60196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13.2.4 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p>
    <w:p w14:paraId="4DD487F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13.2.5 承包人对工程施工质量负责，应当按合同约定设立现场质量管理机构、配备工程技术人员和质量管理人员，落实工程施工质量责任制。</w:t>
      </w:r>
    </w:p>
    <w:p w14:paraId="28A6AFF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13.2.6 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p>
    <w:p w14:paraId="40B110D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13.2.7 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14:paraId="08E57FA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13.2.8 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p>
    <w:p w14:paraId="33C741B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13.2.9 承包人应当依法规范分包行为，并对承担的工程质量负总责，分包单位对分包合同范围内的工程质量负责。</w:t>
      </w:r>
    </w:p>
    <w:p w14:paraId="59268A3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13.2.10 承包人驻工程现场机构应在现场驻地和重要的分部、分项工程施工现场设置明显的工程质量责任登记表公示牌。</w:t>
      </w:r>
    </w:p>
    <w:p w14:paraId="196D0640">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51" w:name="_Toc501257399"/>
      <w:bookmarkStart w:id="452" w:name="_Toc234833174"/>
      <w:bookmarkStart w:id="453" w:name="_Toc4196"/>
      <w:r>
        <w:rPr>
          <w:rFonts w:hint="eastAsia" w:ascii="黑体" w:hAnsi="黑体" w:eastAsia="黑体" w:cs="黑体"/>
          <w:b w:val="0"/>
          <w:color w:val="auto"/>
          <w:sz w:val="24"/>
          <w:szCs w:val="24"/>
          <w:highlight w:val="none"/>
        </w:rPr>
        <w:t>13.4 监理人的质量检查</w:t>
      </w:r>
      <w:bookmarkEnd w:id="451"/>
      <w:bookmarkEnd w:id="452"/>
      <w:bookmarkEnd w:id="453"/>
    </w:p>
    <w:p w14:paraId="3B3571E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w:t>
      </w:r>
    </w:p>
    <w:p w14:paraId="0702391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监理人及其委派的检验人员，应能进入工程现场，以及材料或工程设备的制造、加工或制配的车间和场所，包括不属于承包人的车间或场所进行检查，承包人应为此提供便利和协助。</w:t>
      </w:r>
    </w:p>
    <w:p w14:paraId="042C335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监理人可以将材料或工程设备的检查和检验委托给一家独立的有质量检验认证资格的检验单位。该独立检验单位的检验结果应视为监理人完成的。监理人应将这种委托的通知书不少于7天前交给承包人。</w:t>
      </w:r>
    </w:p>
    <w:p w14:paraId="13827FC0">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54" w:name="_Toc501257400"/>
      <w:bookmarkStart w:id="455" w:name="_Toc3547"/>
      <w:bookmarkStart w:id="456" w:name="_Toc234833175"/>
      <w:r>
        <w:rPr>
          <w:rFonts w:hint="eastAsia" w:ascii="黑体" w:hAnsi="黑体" w:eastAsia="黑体" w:cs="黑体"/>
          <w:b w:val="0"/>
          <w:color w:val="auto"/>
          <w:sz w:val="24"/>
          <w:szCs w:val="24"/>
          <w:highlight w:val="none"/>
        </w:rPr>
        <w:t>13.5 工程隐蔽部位覆盖前的检查</w:t>
      </w:r>
      <w:bookmarkEnd w:id="454"/>
      <w:bookmarkEnd w:id="455"/>
      <w:bookmarkEnd w:id="456"/>
    </w:p>
    <w:p w14:paraId="5A277C2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第13.5.1项补充：</w:t>
      </w:r>
    </w:p>
    <w:p w14:paraId="611072B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68843B72">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57" w:name="_Toc501257401"/>
      <w:bookmarkStart w:id="458" w:name="_Toc3093"/>
      <w:bookmarkStart w:id="459" w:name="_Toc234833176"/>
      <w:r>
        <w:rPr>
          <w:rFonts w:hint="eastAsia" w:ascii="黑体" w:hAnsi="黑体" w:eastAsia="黑体" w:cs="黑体"/>
          <w:b w:val="0"/>
          <w:color w:val="auto"/>
          <w:sz w:val="24"/>
          <w:szCs w:val="24"/>
          <w:highlight w:val="none"/>
        </w:rPr>
        <w:t>13.6 清除不合格工程</w:t>
      </w:r>
      <w:bookmarkEnd w:id="457"/>
      <w:bookmarkEnd w:id="458"/>
      <w:bookmarkEnd w:id="459"/>
    </w:p>
    <w:p w14:paraId="039FC6F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第13.6.1项细化为：</w:t>
      </w:r>
    </w:p>
    <w:p w14:paraId="4CC93A0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承包人使用不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14:paraId="4C4FB64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（2）如果承包人未在规定时间内执行监理人的指示，发包人有权雇用他人执行，由此增加的费用和（或）工期延误由承包人承担。</w:t>
      </w:r>
    </w:p>
    <w:p w14:paraId="19B8C4A4">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460" w:name="_Toc2296"/>
      <w:bookmarkStart w:id="461" w:name="_Toc501257402"/>
      <w:bookmarkStart w:id="462" w:name="_Toc234833177"/>
      <w:r>
        <w:rPr>
          <w:rFonts w:hint="eastAsia" w:ascii="黑体" w:hAnsi="黑体" w:eastAsia="黑体" w:cs="黑体"/>
          <w:b w:val="0"/>
          <w:color w:val="auto"/>
          <w:sz w:val="28"/>
          <w:szCs w:val="28"/>
          <w:highlight w:val="none"/>
        </w:rPr>
        <w:t>14. 试验和检验</w:t>
      </w:r>
      <w:bookmarkEnd w:id="460"/>
      <w:bookmarkEnd w:id="461"/>
      <w:bookmarkEnd w:id="462"/>
    </w:p>
    <w:p w14:paraId="0109C1F1">
      <w:pPr>
        <w:pageBreakBefore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本条补充第14.4款：</w:t>
      </w:r>
    </w:p>
    <w:p w14:paraId="60E798C5">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63" w:name="_Toc501257403"/>
      <w:bookmarkStart w:id="464" w:name="_Toc234833178"/>
      <w:bookmarkStart w:id="465" w:name="_Toc22863"/>
      <w:r>
        <w:rPr>
          <w:rFonts w:hint="eastAsia" w:ascii="黑体" w:hAnsi="黑体" w:eastAsia="黑体" w:cs="黑体"/>
          <w:b w:val="0"/>
          <w:color w:val="auto"/>
          <w:sz w:val="24"/>
          <w:szCs w:val="24"/>
          <w:highlight w:val="none"/>
        </w:rPr>
        <w:t>14.4 试验和检验费用</w:t>
      </w:r>
      <w:bookmarkEnd w:id="463"/>
      <w:bookmarkEnd w:id="464"/>
      <w:bookmarkEnd w:id="465"/>
    </w:p>
    <w:p w14:paraId="18AE441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（1）承包人应负责提供合同和技术规范规定的试验和检验所需的全部样品，并承担其费用。</w:t>
      </w:r>
    </w:p>
    <w:p w14:paraId="31572D5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（2）在合同中明确规定的试验和检验，包括无须在工程量清单中单独列项和已在工程量清单中单独列项的试验和检验，其试验和检验的费用由承包人承担。</w:t>
      </w:r>
    </w:p>
    <w:p w14:paraId="35CC299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47341742">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466" w:name="_Toc19000"/>
      <w:bookmarkStart w:id="467" w:name="_Toc501257404"/>
      <w:bookmarkStart w:id="468" w:name="_Toc234833179"/>
      <w:r>
        <w:rPr>
          <w:rFonts w:hint="eastAsia" w:ascii="黑体" w:hAnsi="黑体" w:eastAsia="黑体" w:cs="黑体"/>
          <w:b w:val="0"/>
          <w:color w:val="auto"/>
          <w:sz w:val="28"/>
          <w:szCs w:val="28"/>
          <w:highlight w:val="none"/>
        </w:rPr>
        <w:t>15. 变更</w:t>
      </w:r>
      <w:bookmarkEnd w:id="466"/>
      <w:bookmarkEnd w:id="467"/>
      <w:bookmarkEnd w:id="468"/>
    </w:p>
    <w:p w14:paraId="30BE8DFF">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69" w:name="_Toc234833180"/>
      <w:bookmarkStart w:id="470" w:name="_Toc501257405"/>
      <w:bookmarkStart w:id="471" w:name="_Toc27877"/>
      <w:r>
        <w:rPr>
          <w:rFonts w:hint="eastAsia" w:ascii="黑体" w:hAnsi="黑体" w:eastAsia="黑体" w:cs="黑体"/>
          <w:b w:val="0"/>
          <w:color w:val="auto"/>
          <w:sz w:val="24"/>
          <w:szCs w:val="24"/>
          <w:highlight w:val="none"/>
        </w:rPr>
        <w:t>15.1 变更的范围和内容</w:t>
      </w:r>
      <w:bookmarkEnd w:id="469"/>
      <w:bookmarkEnd w:id="470"/>
      <w:bookmarkEnd w:id="471"/>
    </w:p>
    <w:p w14:paraId="763C653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本款第（1）项细化为：</w:t>
      </w:r>
    </w:p>
    <w:p w14:paraId="3466FD7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（1）取消合同中任何一项工作，但被取消的工作不能转由发包人或其他人实施，由于承包人违约造成的情况除外；</w:t>
      </w:r>
    </w:p>
    <w:p w14:paraId="34D54CDA">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72" w:name="_Toc4883"/>
      <w:bookmarkStart w:id="473" w:name="_Toc234833181"/>
      <w:bookmarkStart w:id="474" w:name="_Toc501257406"/>
      <w:r>
        <w:rPr>
          <w:rFonts w:hint="eastAsia" w:ascii="黑体" w:hAnsi="黑体" w:eastAsia="黑体" w:cs="黑体"/>
          <w:b w:val="0"/>
          <w:color w:val="auto"/>
          <w:sz w:val="24"/>
          <w:szCs w:val="24"/>
          <w:highlight w:val="none"/>
        </w:rPr>
        <w:t>15.3 变更程序</w:t>
      </w:r>
      <w:bookmarkEnd w:id="472"/>
      <w:bookmarkEnd w:id="473"/>
      <w:bookmarkEnd w:id="474"/>
    </w:p>
    <w:p w14:paraId="4F666D7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本款补充第15.3.4项：</w:t>
      </w:r>
    </w:p>
    <w:p w14:paraId="6CECAF6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15.3.4 设计变更程序应执行《公路工程设计变更管理办法》的相关规定。</w:t>
      </w:r>
    </w:p>
    <w:p w14:paraId="4FD9EC0F">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75" w:name="_Toc501257407"/>
      <w:bookmarkStart w:id="476" w:name="_Toc27290"/>
      <w:bookmarkStart w:id="477" w:name="_Toc234833182"/>
      <w:r>
        <w:rPr>
          <w:rFonts w:hint="eastAsia" w:ascii="黑体" w:hAnsi="黑体" w:eastAsia="黑体" w:cs="黑体"/>
          <w:b w:val="0"/>
          <w:color w:val="auto"/>
          <w:sz w:val="24"/>
          <w:szCs w:val="24"/>
          <w:highlight w:val="none"/>
        </w:rPr>
        <w:t>15.4 变更的估价原则</w:t>
      </w:r>
      <w:bookmarkEnd w:id="475"/>
      <w:bookmarkEnd w:id="476"/>
      <w:bookmarkEnd w:id="477"/>
      <w:r>
        <w:rPr>
          <w:rFonts w:hint="eastAsia" w:ascii="黑体" w:hAnsi="黑体" w:eastAsia="黑体" w:cs="黑体"/>
          <w:b w:val="0"/>
          <w:color w:val="auto"/>
          <w:sz w:val="24"/>
          <w:szCs w:val="24"/>
          <w:highlight w:val="none"/>
        </w:rPr>
        <w:t xml:space="preserve"> </w:t>
      </w:r>
    </w:p>
    <w:p w14:paraId="0136344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本款细化为：</w:t>
      </w:r>
    </w:p>
    <w:p w14:paraId="3811142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除项目专用合同条款另有约定外，因变更引起的价格调整按照本款约定处理。</w:t>
      </w:r>
    </w:p>
    <w:p w14:paraId="6E0AA93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15.4.1 如果取消某项工作，则该项工作的总额价不予支付。</w:t>
      </w:r>
    </w:p>
    <w:p w14:paraId="7C56B65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15.4.2 已标价工程量清单中有适用于变更工作的子目的，采用该子目的单价。</w:t>
      </w:r>
    </w:p>
    <w:p w14:paraId="00D1697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15.4.3 已标价工程量清单中无适用于变更工作的子目，但有类似子目的，可在合理范围内参照类似子目的单价，由监理人按第3.5款商定或确定变更工作的单价。</w:t>
      </w:r>
    </w:p>
    <w:p w14:paraId="34DB59C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15.4.4 已标价工程量清单中无适用或类似子目的单价，可在综合考虑承包人在投标时所提供的单价分析表的基础上，由监理人按第3.5款商定或确定变更工作的单价。</w:t>
      </w:r>
    </w:p>
    <w:p w14:paraId="30E40F7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15.4.5 如果本工程的变更指示是因承包人过错、承包人违反合同或承包人责任造成的，则这种违约引起的任何额外费用应由承包人承担。</w:t>
      </w:r>
    </w:p>
    <w:p w14:paraId="1E58D298">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78" w:name="_Toc26564"/>
      <w:bookmarkStart w:id="479" w:name="_Toc234833183"/>
      <w:bookmarkStart w:id="480" w:name="_Toc501257408"/>
      <w:r>
        <w:rPr>
          <w:rFonts w:hint="eastAsia" w:ascii="黑体" w:hAnsi="黑体" w:eastAsia="黑体" w:cs="黑体"/>
          <w:b w:val="0"/>
          <w:color w:val="auto"/>
          <w:sz w:val="24"/>
          <w:szCs w:val="24"/>
          <w:highlight w:val="none"/>
        </w:rPr>
        <w:t>15.5 承包人的合理化建议</w:t>
      </w:r>
      <w:bookmarkEnd w:id="478"/>
      <w:bookmarkEnd w:id="479"/>
      <w:bookmarkEnd w:id="480"/>
    </w:p>
    <w:p w14:paraId="64F96164">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第15.5.2项约定为：</w:t>
      </w:r>
    </w:p>
    <w:p w14:paraId="64A60A4E">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承包人提出的合理化建议缩短了工期，发包人按第11.6款的规定给予奖励。</w:t>
      </w:r>
    </w:p>
    <w:p w14:paraId="2A07220C">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承包人提出的合理化建议降低了合同价格或者提高了工程经济效益的，发包人按项目专用合同条款数据表中规定的金额给予奖励。</w:t>
      </w:r>
    </w:p>
    <w:p w14:paraId="463A62BA">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81" w:name="_Toc501257409"/>
      <w:bookmarkStart w:id="482" w:name="_Toc32563"/>
      <w:bookmarkStart w:id="483" w:name="_Toc234833184"/>
      <w:r>
        <w:rPr>
          <w:rFonts w:hint="eastAsia" w:ascii="黑体" w:hAnsi="黑体" w:eastAsia="黑体" w:cs="黑体"/>
          <w:b w:val="0"/>
          <w:color w:val="auto"/>
          <w:sz w:val="24"/>
          <w:szCs w:val="24"/>
          <w:highlight w:val="none"/>
        </w:rPr>
        <w:t>15.6暂列金额</w:t>
      </w:r>
      <w:bookmarkEnd w:id="481"/>
      <w:bookmarkEnd w:id="482"/>
      <w:bookmarkEnd w:id="483"/>
    </w:p>
    <w:p w14:paraId="58E66897">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本款细化为：</w:t>
      </w:r>
    </w:p>
    <w:p w14:paraId="72AC8B7F">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15.6.1 暂列金额应由监理人报发包人批准后指令全部或部分地使用，或者根本不予动用。</w:t>
      </w:r>
    </w:p>
    <w:p w14:paraId="36DF00DB">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15.6.2 对于经发包人批准的每一笔暂列金额，监理人有权向承包人发出实施工程或提供材料、工程设备或服务的指令。这些指令应由承包人完成，监理人应根据第15.4款约定的变更估价原则和第15.7款的规定，对合同价格进行相应调整。</w:t>
      </w:r>
    </w:p>
    <w:p w14:paraId="619139D9">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15.6.3 当监理人提出要求时，承包人应提供有关暂列金额支出的所有报价单、发票、凭证和账单或收据，除非该工作是根据已标价工程量清单列明的单价或总额价进行的估价。</w:t>
      </w:r>
    </w:p>
    <w:p w14:paraId="365DB981">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484" w:name="_Toc501257410"/>
      <w:bookmarkStart w:id="485" w:name="_Toc234833185"/>
      <w:bookmarkStart w:id="486" w:name="_Toc32142"/>
      <w:r>
        <w:rPr>
          <w:rFonts w:hint="eastAsia" w:ascii="黑体" w:hAnsi="黑体" w:eastAsia="黑体" w:cs="黑体"/>
          <w:b w:val="0"/>
          <w:color w:val="auto"/>
          <w:sz w:val="28"/>
          <w:szCs w:val="28"/>
          <w:highlight w:val="none"/>
        </w:rPr>
        <w:t>16. 价格调整</w:t>
      </w:r>
      <w:bookmarkEnd w:id="484"/>
      <w:bookmarkEnd w:id="485"/>
      <w:bookmarkEnd w:id="486"/>
    </w:p>
    <w:p w14:paraId="1E0F5F2B">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87" w:name="_Toc501257411"/>
      <w:bookmarkStart w:id="488" w:name="_Toc234833186"/>
      <w:bookmarkStart w:id="489" w:name="_Toc8248"/>
      <w:r>
        <w:rPr>
          <w:rFonts w:hint="eastAsia" w:ascii="黑体" w:hAnsi="黑体" w:eastAsia="黑体" w:cs="黑体"/>
          <w:b w:val="0"/>
          <w:color w:val="auto"/>
          <w:sz w:val="24"/>
          <w:szCs w:val="24"/>
          <w:highlight w:val="none"/>
        </w:rPr>
        <w:t>16.1 物价波动引起的价格调整</w:t>
      </w:r>
      <w:bookmarkEnd w:id="487"/>
      <w:bookmarkEnd w:id="488"/>
      <w:bookmarkEnd w:id="489"/>
    </w:p>
    <w:p w14:paraId="257A299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本款约定为：</w:t>
      </w:r>
    </w:p>
    <w:p w14:paraId="0E4F558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（1）除项目专用合同条款另有约定外，因物价波动引起的价格调整应按项目专用合同条款数据表的规定，按照第16.1.1项或第16.1.2项约定的原则处理；或者</w:t>
      </w:r>
    </w:p>
    <w:p w14:paraId="35BF3B0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（2）在合同执行期间（包括工期拖延期间）由于人工、材料和设备价格的上涨而引起工程施工成本增加的风险由承包人自行承担，合同价格不会因此而调整。</w:t>
      </w:r>
    </w:p>
    <w:p w14:paraId="679942BF">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16.1.1 采用价格指数调整价格差额</w:t>
      </w:r>
    </w:p>
    <w:p w14:paraId="4A72BC3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16.1.1.1 价格调整公式</w:t>
      </w:r>
    </w:p>
    <w:p w14:paraId="7D354DD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价格调整公式后增加备注如下：</w:t>
      </w:r>
    </w:p>
    <w:p w14:paraId="21351063">
      <w:pPr>
        <w:pageBreakBefore w:val="0"/>
        <w:shd w:val="clear" w:color="auto" w:fill="auto"/>
        <w:kinsoku/>
        <w:wordWrap/>
        <w:overflowPunct/>
        <w:topLinePunct w:val="0"/>
        <w:autoSpaceDE/>
        <w:autoSpaceDN/>
        <w:bidi w:val="0"/>
        <w:adjustRightInd/>
        <w:snapToGrid/>
        <w:spacing w:line="360" w:lineRule="auto"/>
        <w:ind w:firstLine="746" w:firstLineChars="311"/>
        <w:jc w:val="left"/>
        <w:textAlignment w:val="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式中，</w:t>
      </w:r>
      <w:r>
        <w:rPr>
          <w:rFonts w:hint="eastAsia" w:ascii="黑体" w:hAnsi="黑体" w:eastAsia="黑体" w:cs="黑体"/>
          <w:b/>
          <w:bCs/>
          <w:color w:val="auto"/>
          <w:sz w:val="24"/>
          <w:highlight w:val="none"/>
        </w:rPr>
        <w:t>A=1－（B</w:t>
      </w:r>
      <w:r>
        <w:rPr>
          <w:rFonts w:hint="eastAsia" w:ascii="黑体" w:hAnsi="黑体" w:eastAsia="黑体" w:cs="黑体"/>
          <w:b/>
          <w:bCs/>
          <w:color w:val="auto"/>
          <w:sz w:val="24"/>
          <w:highlight w:val="none"/>
          <w:vertAlign w:val="subscript"/>
        </w:rPr>
        <w:t>1</w:t>
      </w:r>
      <w:r>
        <w:rPr>
          <w:rFonts w:hint="eastAsia" w:ascii="黑体" w:hAnsi="黑体" w:eastAsia="黑体" w:cs="黑体"/>
          <w:b/>
          <w:bCs/>
          <w:color w:val="auto"/>
          <w:sz w:val="24"/>
          <w:highlight w:val="none"/>
        </w:rPr>
        <w:t>＋B</w:t>
      </w:r>
      <w:r>
        <w:rPr>
          <w:rFonts w:hint="eastAsia" w:ascii="黑体" w:hAnsi="黑体" w:eastAsia="黑体" w:cs="黑体"/>
          <w:b/>
          <w:bCs/>
          <w:color w:val="auto"/>
          <w:sz w:val="24"/>
          <w:highlight w:val="none"/>
          <w:vertAlign w:val="subscript"/>
        </w:rPr>
        <w:t>2</w:t>
      </w:r>
      <w:r>
        <w:rPr>
          <w:rFonts w:hint="eastAsia" w:ascii="黑体" w:hAnsi="黑体" w:eastAsia="黑体" w:cs="黑体"/>
          <w:b/>
          <w:bCs/>
          <w:color w:val="auto"/>
          <w:sz w:val="24"/>
          <w:highlight w:val="none"/>
        </w:rPr>
        <w:t>＋B</w:t>
      </w:r>
      <w:r>
        <w:rPr>
          <w:rFonts w:hint="eastAsia" w:ascii="黑体" w:hAnsi="黑体" w:eastAsia="黑体" w:cs="黑体"/>
          <w:b/>
          <w:bCs/>
          <w:color w:val="auto"/>
          <w:sz w:val="24"/>
          <w:highlight w:val="none"/>
          <w:vertAlign w:val="subscript"/>
        </w:rPr>
        <w:t>3</w:t>
      </w:r>
      <w:r>
        <w:rPr>
          <w:rFonts w:hint="eastAsia" w:ascii="黑体" w:hAnsi="黑体" w:eastAsia="黑体" w:cs="黑体"/>
          <w:b/>
          <w:bCs/>
          <w:color w:val="auto"/>
          <w:sz w:val="24"/>
          <w:highlight w:val="none"/>
        </w:rPr>
        <w:t>＋</w:t>
      </w:r>
      <w:r>
        <w:rPr>
          <w:rFonts w:hint="eastAsia" w:ascii="黑体" w:hAnsi="黑体" w:eastAsia="黑体" w:cs="黑体"/>
          <w:b/>
          <w:bCs/>
          <w:color w:val="auto"/>
          <w:sz w:val="24"/>
          <w:highlight w:val="none"/>
          <w:vertAlign w:val="subscript"/>
        </w:rPr>
        <w:t>……</w:t>
      </w:r>
      <w:r>
        <w:rPr>
          <w:rFonts w:hint="eastAsia" w:ascii="黑体" w:hAnsi="黑体" w:eastAsia="黑体" w:cs="黑体"/>
          <w:b/>
          <w:bCs/>
          <w:color w:val="auto"/>
          <w:sz w:val="24"/>
          <w:highlight w:val="none"/>
        </w:rPr>
        <w:t>＋B</w:t>
      </w:r>
      <w:r>
        <w:rPr>
          <w:rFonts w:hint="eastAsia" w:ascii="黑体" w:hAnsi="黑体" w:eastAsia="黑体" w:cs="黑体"/>
          <w:b/>
          <w:bCs/>
          <w:color w:val="auto"/>
          <w:sz w:val="24"/>
          <w:highlight w:val="none"/>
          <w:vertAlign w:val="subscript"/>
        </w:rPr>
        <w:t>n</w:t>
      </w:r>
      <w:r>
        <w:rPr>
          <w:rFonts w:hint="eastAsia" w:ascii="黑体" w:hAnsi="黑体" w:eastAsia="黑体" w:cs="黑体"/>
          <w:b/>
          <w:bCs/>
          <w:color w:val="auto"/>
          <w:sz w:val="24"/>
          <w:highlight w:val="none"/>
        </w:rPr>
        <w:t>）</w:t>
      </w:r>
      <w:r>
        <w:rPr>
          <w:rFonts w:hint="eastAsia" w:ascii="黑体" w:hAnsi="黑体" w:eastAsia="黑体" w:cs="黑体"/>
          <w:color w:val="auto"/>
          <w:sz w:val="24"/>
          <w:highlight w:val="none"/>
        </w:rPr>
        <w:t>。</w:t>
      </w:r>
    </w:p>
    <w:p w14:paraId="08A2038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本目最后一段文字细化为：</w:t>
      </w:r>
    </w:p>
    <w:p w14:paraId="149F962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在采用价格调整公式进行调价时，还应遵守以下规定：</w:t>
      </w:r>
    </w:p>
    <w:p w14:paraId="69F2A1C8">
      <w:pPr>
        <w:pageBreakBefore w:val="0"/>
        <w:shd w:val="clear" w:color="auto" w:fill="auto"/>
        <w:kinsoku/>
        <w:wordWrap/>
        <w:overflowPunct/>
        <w:topLinePunct w:val="0"/>
        <w:autoSpaceDE/>
        <w:autoSpaceDN/>
        <w:bidi w:val="0"/>
        <w:adjustRightInd/>
        <w:snapToGrid/>
        <w:spacing w:line="360" w:lineRule="auto"/>
        <w:ind w:firstLine="477" w:firstLineChars="199"/>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以上价格调整公式中的各可调因子、定值权重，以及基本价格指数及其来源由发包人在投标函附录价格指数和权重表中约定。价格指数应首先采用国家或省、自治区、直辖市价格部门或统计部门提供的价格指数，缺乏上述价格指数时，可采用上述部门提供的价格代替。</w:t>
      </w:r>
    </w:p>
    <w:p w14:paraId="2F0FF61B">
      <w:pPr>
        <w:pageBreakBefore w:val="0"/>
        <w:shd w:val="clear" w:color="auto" w:fill="auto"/>
        <w:kinsoku/>
        <w:wordWrap/>
        <w:overflowPunct/>
        <w:topLinePunct w:val="0"/>
        <w:autoSpaceDE/>
        <w:autoSpaceDN/>
        <w:bidi w:val="0"/>
        <w:adjustRightInd/>
        <w:snapToGrid/>
        <w:spacing w:line="360" w:lineRule="auto"/>
        <w:ind w:firstLine="477" w:firstLineChars="199"/>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价格调整公式中的变值权重，由发包人根据项目实际情况测算确定范围，并在投标函附录价格指数和权重表中约定范围；承包人在投标时在此范围内填写各可调因子的权重，合同实施期间将按此权重进行调价。</w:t>
      </w:r>
    </w:p>
    <w:p w14:paraId="0CF961D3">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490" w:name="_Toc234833187"/>
      <w:bookmarkStart w:id="491" w:name="_Toc23546"/>
      <w:bookmarkStart w:id="492" w:name="_Toc501257412"/>
      <w:r>
        <w:rPr>
          <w:rFonts w:hint="eastAsia" w:ascii="黑体" w:hAnsi="黑体" w:eastAsia="黑体" w:cs="黑体"/>
          <w:b w:val="0"/>
          <w:color w:val="auto"/>
          <w:sz w:val="28"/>
          <w:szCs w:val="28"/>
          <w:highlight w:val="none"/>
        </w:rPr>
        <w:t>17. 计量与支付</w:t>
      </w:r>
      <w:bookmarkEnd w:id="490"/>
      <w:bookmarkEnd w:id="491"/>
      <w:bookmarkEnd w:id="492"/>
    </w:p>
    <w:p w14:paraId="6135C279">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93" w:name="_Toc234833188"/>
      <w:bookmarkStart w:id="494" w:name="_Toc501257413"/>
      <w:bookmarkStart w:id="495" w:name="_Toc1697"/>
      <w:r>
        <w:rPr>
          <w:rFonts w:hint="eastAsia" w:ascii="黑体" w:hAnsi="黑体" w:eastAsia="黑体" w:cs="黑体"/>
          <w:b w:val="0"/>
          <w:color w:val="auto"/>
          <w:sz w:val="24"/>
          <w:szCs w:val="24"/>
          <w:highlight w:val="none"/>
        </w:rPr>
        <w:t>17.1 计量</w:t>
      </w:r>
      <w:bookmarkEnd w:id="493"/>
      <w:bookmarkEnd w:id="494"/>
      <w:bookmarkEnd w:id="495"/>
      <w:r>
        <w:rPr>
          <w:rFonts w:hint="eastAsia" w:ascii="黑体" w:hAnsi="黑体" w:eastAsia="黑体" w:cs="黑体"/>
          <w:b w:val="0"/>
          <w:color w:val="auto"/>
          <w:sz w:val="24"/>
          <w:szCs w:val="24"/>
          <w:highlight w:val="none"/>
        </w:rPr>
        <w:t xml:space="preserve"> </w:t>
      </w:r>
    </w:p>
    <w:p w14:paraId="4230E144">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17.1.2 计量方法</w:t>
      </w:r>
    </w:p>
    <w:p w14:paraId="097846F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本项约定为：</w:t>
      </w:r>
    </w:p>
    <w:p w14:paraId="6C65C37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工程的计量应以净值为准，除非项目专用合同条款另有约定。工程量清单中各个子目的具体计量方法按本合同文件工程量清单计量规则中的规定执行。</w:t>
      </w:r>
    </w:p>
    <w:p w14:paraId="2FA0875B">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17.1.4 单价子目的计量</w:t>
      </w:r>
    </w:p>
    <w:p w14:paraId="6443E8B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本项补充：</w:t>
      </w:r>
    </w:p>
    <w:p w14:paraId="2A341B7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（7）承包人未在已标价工程量清单中填入单价或总额价的工程子目，将被认为其已包含在本合同的其他子目的单价和总额价中，发包人将不另行支付。</w:t>
      </w:r>
    </w:p>
    <w:p w14:paraId="12FFA298">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17.1.5 总价子目的计量</w:t>
      </w:r>
    </w:p>
    <w:p w14:paraId="5602A699">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本项补充：</w:t>
      </w:r>
    </w:p>
    <w:p w14:paraId="70F50E3E">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本项目工程量清单中要求承包人以“总额”方式报价的子目，各子目的支付原则和支付进度按项目专用合同条款的规定执行。</w:t>
      </w:r>
    </w:p>
    <w:p w14:paraId="657153CF">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96" w:name="_Toc501257414"/>
      <w:bookmarkStart w:id="497" w:name="_Toc234833189"/>
      <w:bookmarkStart w:id="498" w:name="_Toc20818"/>
      <w:r>
        <w:rPr>
          <w:rFonts w:hint="eastAsia" w:ascii="黑体" w:hAnsi="黑体" w:eastAsia="黑体" w:cs="黑体"/>
          <w:b w:val="0"/>
          <w:color w:val="auto"/>
          <w:sz w:val="24"/>
          <w:szCs w:val="24"/>
          <w:highlight w:val="none"/>
        </w:rPr>
        <w:t>17.2 预付款</w:t>
      </w:r>
      <w:bookmarkEnd w:id="496"/>
      <w:bookmarkEnd w:id="497"/>
      <w:bookmarkEnd w:id="498"/>
    </w:p>
    <w:p w14:paraId="5A4999FB">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17.2.1预付款</w:t>
      </w:r>
    </w:p>
    <w:p w14:paraId="7E78108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本项约定为：</w:t>
      </w:r>
    </w:p>
    <w:p w14:paraId="3A97D29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预付款包括开工预付款和材料、设备预付款。具体额度和预付办法如下：</w:t>
      </w:r>
    </w:p>
    <w:p w14:paraId="19A8FBC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（1）开工预付款的金额在项目专用合同条款数据表中约定。在承包人签订了合同协议书且承包人承诺的主要设备进场后，监理人应在当期进度付款证书中向承包人支付开工预付款。</w:t>
      </w:r>
    </w:p>
    <w:p w14:paraId="198A072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承包人不得将该预付款用于与本工程无关的支出，监理人有权监督承包人对该项费用的使用，如经查实承包人滥用开工预付款，发包人有权立即向银行索赔履约保证金，并解除合同。</w:t>
      </w:r>
    </w:p>
    <w:p w14:paraId="49C81E5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（2）材料、设备预付款按项目专用合同条款数据表中所列主要材料、设备单据费用（进口的材料、设备为到岸价，国内采购的为出厂价或销售价，地方材料为堆场价）的百分比支付。其预付条件为：</w:t>
      </w:r>
    </w:p>
    <w:p w14:paraId="628F1F3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a. 材料、设备符合规范要求并经监理人认可；</w:t>
      </w:r>
    </w:p>
    <w:p w14:paraId="3245F71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b. 承包人已出具材料、设备费用凭证或支付单据；</w:t>
      </w:r>
    </w:p>
    <w:p w14:paraId="0C375E5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c. 材料、设备已在现场交货，且存储良好，监理人认为材料、设备的存储方法符合要求。</w:t>
      </w:r>
    </w:p>
    <w:p w14:paraId="534AE55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则监理人应将此项金额作为材料、设备预付款计入下一次的进度付款证书中。在预计交工前3个月，将不再支付材料、设备预付款。</w:t>
      </w:r>
    </w:p>
    <w:p w14:paraId="73BC189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17.2.2 预付款保函</w:t>
      </w:r>
    </w:p>
    <w:p w14:paraId="7221271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本项细化为：</w:t>
      </w:r>
    </w:p>
    <w:p w14:paraId="12C9054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rPr>
        <w:t>承包人无须向发包人提交预付款保函。发包人向承包人支付的预付款，应按照本合同第17.2.1项规定使用，承包人提交的履约保证金对预付款的正常使用承担保证责任。</w:t>
      </w:r>
    </w:p>
    <w:p w14:paraId="0E5EAC1B">
      <w:pPr>
        <w:pageBreakBefore w:val="0"/>
        <w:shd w:val="clear" w:color="auto" w:fill="auto"/>
        <w:kinsoku/>
        <w:wordWrap/>
        <w:overflowPunct/>
        <w:topLinePunct w:val="0"/>
        <w:autoSpaceDE/>
        <w:autoSpaceDN/>
        <w:bidi w:val="0"/>
        <w:adjustRightInd/>
        <w:snapToGrid/>
        <w:spacing w:line="360" w:lineRule="auto"/>
        <w:ind w:firstLine="42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17.2.3 预付款的扣回与还清</w:t>
      </w:r>
    </w:p>
    <w:p w14:paraId="1CE8B129">
      <w:pPr>
        <w:pageBreakBefore w:val="0"/>
        <w:shd w:val="clear" w:color="auto" w:fill="auto"/>
        <w:kinsoku/>
        <w:wordWrap/>
        <w:overflowPunct/>
        <w:topLinePunct w:val="0"/>
        <w:autoSpaceDE/>
        <w:autoSpaceDN/>
        <w:bidi w:val="0"/>
        <w:adjustRightInd/>
        <w:snapToGrid/>
        <w:spacing w:line="360" w:lineRule="auto"/>
        <w:ind w:firstLine="42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本项约定为：</w:t>
      </w:r>
    </w:p>
    <w:p w14:paraId="6FF73F38">
      <w:pPr>
        <w:pageBreakBefore w:val="0"/>
        <w:shd w:val="clear" w:color="auto" w:fill="auto"/>
        <w:kinsoku/>
        <w:wordWrap/>
        <w:overflowPunct/>
        <w:topLinePunct w:val="0"/>
        <w:autoSpaceDE/>
        <w:autoSpaceDN/>
        <w:bidi w:val="0"/>
        <w:adjustRightInd/>
        <w:snapToGrid/>
        <w:spacing w:line="360" w:lineRule="auto"/>
        <w:ind w:firstLine="42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开工预付款在进度付款证书的累计金额未达到签约合同价的30%之前不予扣回，在达到签约合同价30%之后，开始按工程进度以固定比例（即每完成签约合同价的1%，扣回开工预付款的2%）分期从各月的进度付款证书中扣回，全部金额在进度付款证书的累计金额达到签约合同价的80%时扣完。</w:t>
      </w:r>
    </w:p>
    <w:p w14:paraId="7BE54910">
      <w:pPr>
        <w:pageBreakBefore w:val="0"/>
        <w:shd w:val="clear" w:color="auto" w:fill="auto"/>
        <w:kinsoku/>
        <w:wordWrap/>
        <w:overflowPunct/>
        <w:topLinePunct w:val="0"/>
        <w:autoSpaceDE/>
        <w:autoSpaceDN/>
        <w:bidi w:val="0"/>
        <w:adjustRightInd/>
        <w:snapToGrid/>
        <w:spacing w:line="360" w:lineRule="auto"/>
        <w:ind w:firstLine="42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（2）当材料、设备已用于或安装在永久工程之中时，材料、设备预付款应从进度付款证书中扣回，扣回期不超过3个月。已经支付材料、设备预付款的材料、设备的所有权应属于发包人。</w:t>
      </w:r>
    </w:p>
    <w:p w14:paraId="4A0FDCEF">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499" w:name="_Toc9217"/>
      <w:bookmarkStart w:id="500" w:name="_Toc501257415"/>
      <w:bookmarkStart w:id="501" w:name="_Toc234833190"/>
      <w:r>
        <w:rPr>
          <w:rFonts w:hint="eastAsia" w:ascii="黑体" w:hAnsi="黑体" w:eastAsia="黑体" w:cs="黑体"/>
          <w:b w:val="0"/>
          <w:color w:val="auto"/>
          <w:sz w:val="24"/>
          <w:szCs w:val="24"/>
          <w:highlight w:val="none"/>
        </w:rPr>
        <w:t>17.3 工程进度付款</w:t>
      </w:r>
      <w:bookmarkEnd w:id="499"/>
      <w:bookmarkEnd w:id="500"/>
      <w:bookmarkEnd w:id="501"/>
    </w:p>
    <w:p w14:paraId="05ED0116">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17.3.3 进度付款证书和支付时间</w:t>
      </w:r>
    </w:p>
    <w:p w14:paraId="50F524C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本项（1）目补充：</w:t>
      </w:r>
    </w:p>
    <w:p w14:paraId="241559D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6F6956C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本项（2）目细化为：</w:t>
      </w:r>
    </w:p>
    <w:p w14:paraId="09213CF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发包人应在监理人收到进度付款申请单且承包人提交了合格的增值税专用发票后的28天内，将进度应付款支付给承包人。</w:t>
      </w:r>
    </w:p>
    <w:p w14:paraId="2F8B5FF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发包人不按期支付的，按项目专用合同条款数据表中约定的利率向承包人支付逾期付款违约金。违约金计算基数为发包人的全部未付款额，时间从应付而未付该款额之日算起（不计复利）。</w:t>
      </w:r>
    </w:p>
    <w:p w14:paraId="425907AD">
      <w:pPr>
        <w:pageBreakBefore w:val="0"/>
        <w:widowControl/>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本款补充第17.3.5项：</w:t>
      </w:r>
    </w:p>
    <w:p w14:paraId="5A0021D4">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17.3.5 农民工工资保证金</w:t>
      </w:r>
    </w:p>
    <w:p w14:paraId="5FCA7B58">
      <w:pPr>
        <w:pageBreakBefore w:val="0"/>
        <w:widowControl/>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（1）为确保施工过程中农民工工资实时、足额发放到位，承包人应按照项目专用合同条款约定的时间和金额缴存农民工工资保证金。</w:t>
      </w:r>
    </w:p>
    <w:p w14:paraId="53F0B0AD">
      <w:pPr>
        <w:pageBreakBefore w:val="0"/>
        <w:widowControl/>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（2）农民工工资保证金可采用银行保函或现金、支票形式。采用银行保函时，出具保函的银行须具有相应担保能力，且按照发包人批准的格式出具，所需费用由承包人承担。</w:t>
      </w:r>
    </w:p>
    <w:p w14:paraId="31E60F16">
      <w:pPr>
        <w:pageBreakBefore w:val="0"/>
        <w:widowControl/>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（3）农民工工资保证金的扣留条件、返还时间按照项目专用合同条款的约定执行。</w:t>
      </w:r>
    </w:p>
    <w:p w14:paraId="68A45C83">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02" w:name="_Toc234833191"/>
      <w:bookmarkStart w:id="503" w:name="_Toc501257416"/>
      <w:bookmarkStart w:id="504" w:name="_Toc7073"/>
      <w:r>
        <w:rPr>
          <w:rFonts w:hint="eastAsia" w:ascii="黑体" w:hAnsi="黑体" w:eastAsia="黑体" w:cs="黑体"/>
          <w:b w:val="0"/>
          <w:color w:val="auto"/>
          <w:sz w:val="24"/>
          <w:szCs w:val="24"/>
          <w:highlight w:val="none"/>
        </w:rPr>
        <w:t>17.4 质量保证金</w:t>
      </w:r>
      <w:bookmarkEnd w:id="502"/>
      <w:bookmarkEnd w:id="503"/>
      <w:bookmarkEnd w:id="504"/>
    </w:p>
    <w:p w14:paraId="706E845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第17.4.1项、第17.4.2项细化为：</w:t>
      </w:r>
    </w:p>
    <w:p w14:paraId="14011D7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17.4.1 交工验收证书签发后14天内，承包人应向发包人缴纳质量保证金。质量保证金可采用银行保函或现金、支票形式，金额应符合项目专用合同条款数据表的规定。采用银行保函时，出具保函的银行须具有相应担保能力，且按照发包人批准的格式出具，所需费用由承包人承担。</w:t>
      </w:r>
    </w:p>
    <w:p w14:paraId="5A8F905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kern w:val="0"/>
          <w:sz w:val="24"/>
          <w:highlight w:val="none"/>
        </w:rPr>
      </w:pPr>
      <w:r>
        <w:rPr>
          <w:rFonts w:hint="eastAsia" w:ascii="黑体" w:hAnsi="黑体" w:eastAsia="黑体" w:cs="黑体"/>
          <w:color w:val="auto"/>
          <w:sz w:val="24"/>
          <w:highlight w:val="none"/>
        </w:rPr>
        <w:t>质量保证金采用现金、支票形式提交的，发包人应在项目专用合同条款数据表中明确是否</w:t>
      </w:r>
      <w:r>
        <w:rPr>
          <w:rFonts w:hint="eastAsia" w:ascii="黑体" w:hAnsi="黑体" w:eastAsia="黑体" w:cs="黑体"/>
          <w:color w:val="auto"/>
          <w:kern w:val="0"/>
          <w:sz w:val="24"/>
          <w:highlight w:val="none"/>
        </w:rPr>
        <w:t>计付利息以及利息的计算方式。</w:t>
      </w:r>
    </w:p>
    <w:p w14:paraId="0894C39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17.4.2 在第1.1.4.5目约定的缺陷责任期满，且质量监督机构已按规定对工程质量检测鉴定合格，承包人向发包人申请到期应返还承包人剩余的质量保证金金额，发包人应在14天内会同承包人按照合同约定的内容核实承包人是否完成缺陷责任。如无异议，发包人应当在核实后将剩余保证金返还承包人。</w:t>
      </w:r>
    </w:p>
    <w:p w14:paraId="5C178F81">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05" w:name="_Toc501257417"/>
      <w:bookmarkStart w:id="506" w:name="_Toc234833192"/>
      <w:bookmarkStart w:id="507" w:name="_Toc3562"/>
      <w:r>
        <w:rPr>
          <w:rFonts w:hint="eastAsia" w:ascii="黑体" w:hAnsi="黑体" w:eastAsia="黑体" w:cs="黑体"/>
          <w:b w:val="0"/>
          <w:color w:val="auto"/>
          <w:sz w:val="24"/>
          <w:szCs w:val="24"/>
          <w:highlight w:val="none"/>
        </w:rPr>
        <w:t>17.5 交工结算</w:t>
      </w:r>
      <w:bookmarkEnd w:id="505"/>
      <w:bookmarkEnd w:id="506"/>
      <w:bookmarkEnd w:id="507"/>
    </w:p>
    <w:p w14:paraId="7B2EE255">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17.5.1 交工付款申请单</w:t>
      </w:r>
    </w:p>
    <w:p w14:paraId="0141592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本项（1）目约定为：</w:t>
      </w:r>
    </w:p>
    <w:p w14:paraId="095C48C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承包人向监理人提交交工付款申请单（包括相关证明材料）的份数在项目专用合同条款数据表中约定；期限：交工验收证书签发后42天内。</w:t>
      </w:r>
    </w:p>
    <w:p w14:paraId="7373872B">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17.5.2 交工付款证书及支付时间</w:t>
      </w:r>
    </w:p>
    <w:p w14:paraId="6312632E">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本项（2）目细化为：</w:t>
      </w:r>
    </w:p>
    <w:p w14:paraId="0040E53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发包人应在监理人出具交工付款证书且承包人提交了合格的增值税专用发票后的14天内，将应支付款支付给承包人。发包人不按期支付的，按第17.3.3（2）目的约定，将逾期付款违约金支付给承包人。</w:t>
      </w:r>
    </w:p>
    <w:p w14:paraId="4D29E55F">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08" w:name="_Toc501257418"/>
      <w:bookmarkStart w:id="509" w:name="_Toc234833193"/>
      <w:bookmarkStart w:id="510" w:name="_Toc29438"/>
      <w:r>
        <w:rPr>
          <w:rFonts w:hint="eastAsia" w:ascii="黑体" w:hAnsi="黑体" w:eastAsia="黑体" w:cs="黑体"/>
          <w:b w:val="0"/>
          <w:color w:val="auto"/>
          <w:sz w:val="24"/>
          <w:szCs w:val="24"/>
          <w:highlight w:val="none"/>
        </w:rPr>
        <w:t>17.6 最终结清</w:t>
      </w:r>
      <w:bookmarkEnd w:id="508"/>
      <w:bookmarkEnd w:id="509"/>
      <w:bookmarkEnd w:id="510"/>
    </w:p>
    <w:p w14:paraId="279B48F9">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17.6.1 最终结清申请单</w:t>
      </w:r>
    </w:p>
    <w:p w14:paraId="5A3BC30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本项（1）目约定为：</w:t>
      </w:r>
    </w:p>
    <w:p w14:paraId="5EEF57E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承包人向监理人提交最终结清申请单（包括相关证明材料）的份数在项目专用合同条款数据表中约定；期限：缺陷责任期终止证书签发后28天内。</w:t>
      </w:r>
    </w:p>
    <w:p w14:paraId="5C0C680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最终结清申请单中的总金额应认为是代表了根据合同规定应付给承包人的全部款项的最后结算。</w:t>
      </w:r>
    </w:p>
    <w:p w14:paraId="3972A606">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17.6.2 最终结清证书和支付时间 </w:t>
      </w:r>
    </w:p>
    <w:p w14:paraId="442175C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本项（2）目细化为：</w:t>
      </w:r>
    </w:p>
    <w:p w14:paraId="3C38B38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（2）发包人应在监理人出具最终结清证书且承包人提交了合格的增值税专用发票后的14天内，将应支付款支付给承包人。发包人不按期支付的，按第17.3.3（2）目的约定，将逾期付款违约金支付给承包人。</w:t>
      </w:r>
    </w:p>
    <w:p w14:paraId="6715E2DF">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511" w:name="_Toc501257419"/>
      <w:bookmarkStart w:id="512" w:name="_Toc31143"/>
      <w:bookmarkStart w:id="513" w:name="_Toc234833194"/>
      <w:r>
        <w:rPr>
          <w:rFonts w:hint="eastAsia" w:ascii="黑体" w:hAnsi="黑体" w:eastAsia="黑体" w:cs="黑体"/>
          <w:b w:val="0"/>
          <w:color w:val="auto"/>
          <w:sz w:val="28"/>
          <w:szCs w:val="28"/>
          <w:highlight w:val="none"/>
        </w:rPr>
        <w:t>18. 交工验收</w:t>
      </w:r>
      <w:bookmarkEnd w:id="511"/>
      <w:bookmarkEnd w:id="512"/>
      <w:bookmarkEnd w:id="513"/>
    </w:p>
    <w:p w14:paraId="59D86C66">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14" w:name="_Toc234833195"/>
      <w:bookmarkStart w:id="515" w:name="_Toc18161"/>
      <w:bookmarkStart w:id="516" w:name="_Toc501257420"/>
      <w:r>
        <w:rPr>
          <w:rFonts w:hint="eastAsia" w:ascii="黑体" w:hAnsi="黑体" w:eastAsia="黑体" w:cs="黑体"/>
          <w:b w:val="0"/>
          <w:color w:val="auto"/>
          <w:sz w:val="24"/>
          <w:szCs w:val="24"/>
          <w:highlight w:val="none"/>
        </w:rPr>
        <w:t>18.2 交工验收申请报告</w:t>
      </w:r>
      <w:bookmarkEnd w:id="514"/>
      <w:bookmarkEnd w:id="515"/>
      <w:bookmarkEnd w:id="516"/>
    </w:p>
    <w:p w14:paraId="500343A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本款第（2）项约定为：</w:t>
      </w:r>
    </w:p>
    <w:p w14:paraId="477DB80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竣工资料的内容：承包人应按照《公路工程竣（交）工验收办法》和相关规定编制竣工资料。</w:t>
      </w:r>
    </w:p>
    <w:p w14:paraId="6E5D51E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竣工资料的份数在项目专用合同条款数据表中约定。</w:t>
      </w:r>
    </w:p>
    <w:p w14:paraId="2A06B398">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17" w:name="_Toc234833196"/>
      <w:bookmarkStart w:id="518" w:name="_Toc29302"/>
      <w:bookmarkStart w:id="519" w:name="_Toc501257421"/>
      <w:r>
        <w:rPr>
          <w:rFonts w:hint="eastAsia" w:ascii="黑体" w:hAnsi="黑体" w:eastAsia="黑体" w:cs="黑体"/>
          <w:b w:val="0"/>
          <w:color w:val="auto"/>
          <w:sz w:val="24"/>
          <w:szCs w:val="24"/>
          <w:highlight w:val="none"/>
        </w:rPr>
        <w:t>18.3 验收</w:t>
      </w:r>
      <w:bookmarkEnd w:id="517"/>
      <w:bookmarkEnd w:id="518"/>
      <w:bookmarkEnd w:id="519"/>
    </w:p>
    <w:p w14:paraId="2D79143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第18.3.2项补充：</w:t>
      </w:r>
    </w:p>
    <w:p w14:paraId="2B3224A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p>
    <w:p w14:paraId="23E2736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第18.3.5项约定为：</w:t>
      </w:r>
    </w:p>
    <w:p w14:paraId="2EFFC8A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经验收合格工程的实际交工日期，以最终提交交工验收申请报告的日期为准，并在交工验收证书中写明。</w:t>
      </w:r>
    </w:p>
    <w:p w14:paraId="75E2C77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本款补充第18.3.7项：</w:t>
      </w:r>
    </w:p>
    <w:p w14:paraId="3548D2A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组织办理交工验收和签发交工验收证书的费用由发包人承担。但按照第18.3.4项规定达不到合格标准的交工验收费用由承包人承担。</w:t>
      </w:r>
    </w:p>
    <w:p w14:paraId="5B370DD0">
      <w:pPr>
        <w:pageBreakBefore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本条补充第18.9款：</w:t>
      </w:r>
    </w:p>
    <w:p w14:paraId="75642477">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20" w:name="_Toc20524"/>
      <w:bookmarkStart w:id="521" w:name="_Toc234833197"/>
      <w:bookmarkStart w:id="522" w:name="_Toc501257422"/>
      <w:r>
        <w:rPr>
          <w:rFonts w:hint="eastAsia" w:ascii="黑体" w:hAnsi="黑体" w:eastAsia="黑体" w:cs="黑体"/>
          <w:b w:val="0"/>
          <w:color w:val="auto"/>
          <w:sz w:val="24"/>
          <w:szCs w:val="24"/>
          <w:highlight w:val="none"/>
        </w:rPr>
        <w:t>18.9 竣工文件</w:t>
      </w:r>
      <w:bookmarkEnd w:id="520"/>
      <w:bookmarkEnd w:id="521"/>
      <w:bookmarkEnd w:id="522"/>
    </w:p>
    <w:p w14:paraId="454B61A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承包人应按照《公路工程竣（交）工验收办法》的相关规定，在缺陷责任期内为竣工验收补充竣工资料，并在签发缺陷责任期终止证书之前提交。</w:t>
      </w:r>
    </w:p>
    <w:p w14:paraId="55169E5C">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523" w:name="_Toc501257423"/>
      <w:bookmarkStart w:id="524" w:name="_Toc1771"/>
      <w:bookmarkStart w:id="525" w:name="_Toc234833198"/>
      <w:r>
        <w:rPr>
          <w:rFonts w:hint="eastAsia" w:ascii="黑体" w:hAnsi="黑体" w:eastAsia="黑体" w:cs="黑体"/>
          <w:b w:val="0"/>
          <w:color w:val="auto"/>
          <w:sz w:val="28"/>
          <w:szCs w:val="28"/>
          <w:highlight w:val="none"/>
        </w:rPr>
        <w:t>19. 缺陷责任与保修责任</w:t>
      </w:r>
      <w:bookmarkEnd w:id="523"/>
      <w:bookmarkEnd w:id="524"/>
      <w:bookmarkEnd w:id="525"/>
    </w:p>
    <w:p w14:paraId="00406141">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26" w:name="_Toc501257424"/>
      <w:bookmarkStart w:id="527" w:name="_Toc24823"/>
      <w:bookmarkStart w:id="528" w:name="_Toc234833199"/>
      <w:r>
        <w:rPr>
          <w:rFonts w:hint="eastAsia" w:ascii="黑体" w:hAnsi="黑体" w:eastAsia="黑体" w:cs="黑体"/>
          <w:b w:val="0"/>
          <w:color w:val="auto"/>
          <w:sz w:val="24"/>
          <w:szCs w:val="24"/>
          <w:highlight w:val="none"/>
        </w:rPr>
        <w:t>19.2 缺陷责任</w:t>
      </w:r>
      <w:bookmarkEnd w:id="526"/>
      <w:bookmarkEnd w:id="527"/>
      <w:bookmarkEnd w:id="528"/>
    </w:p>
    <w:p w14:paraId="7D50074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第19.2.2项补充：</w:t>
      </w:r>
    </w:p>
    <w:p w14:paraId="2AA7CD7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在缺陷责任期内，承包人应尽快完成在交工验收证书中写明的未完成工作，并完成对本工程缺陷的修复或监理人指令的修补工作。</w:t>
      </w:r>
    </w:p>
    <w:p w14:paraId="49F35C7B">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29" w:name="_Toc501257425"/>
      <w:bookmarkStart w:id="530" w:name="_Toc20011"/>
      <w:bookmarkStart w:id="531" w:name="_Toc234833200"/>
      <w:r>
        <w:rPr>
          <w:rFonts w:hint="eastAsia" w:ascii="黑体" w:hAnsi="黑体" w:eastAsia="黑体" w:cs="黑体"/>
          <w:b w:val="0"/>
          <w:color w:val="auto"/>
          <w:sz w:val="24"/>
          <w:szCs w:val="24"/>
          <w:highlight w:val="none"/>
        </w:rPr>
        <w:t>19.5 承包人的进入权</w:t>
      </w:r>
      <w:bookmarkEnd w:id="529"/>
      <w:bookmarkEnd w:id="530"/>
      <w:bookmarkEnd w:id="531"/>
      <w:r>
        <w:rPr>
          <w:rFonts w:hint="eastAsia" w:ascii="黑体" w:hAnsi="黑体" w:eastAsia="黑体" w:cs="黑体"/>
          <w:b w:val="0"/>
          <w:color w:val="auto"/>
          <w:sz w:val="24"/>
          <w:szCs w:val="24"/>
          <w:highlight w:val="none"/>
        </w:rPr>
        <w:t xml:space="preserve"> </w:t>
      </w:r>
    </w:p>
    <w:p w14:paraId="3FBF754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w:t>
      </w:r>
    </w:p>
    <w:p w14:paraId="3593410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承包人在缺陷修复施工过程中，应服从管养单位的有关安全管理规定，由于承包人自身原因造成的人员伤亡、设备和材料的损毁及罚款等责任由承包人自负。</w:t>
      </w:r>
    </w:p>
    <w:p w14:paraId="1C7A5F49">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32" w:name="_Toc501257426"/>
      <w:bookmarkStart w:id="533" w:name="_Toc29175"/>
      <w:bookmarkStart w:id="534" w:name="_Toc234833201"/>
      <w:r>
        <w:rPr>
          <w:rFonts w:hint="eastAsia" w:ascii="黑体" w:hAnsi="黑体" w:eastAsia="黑体" w:cs="黑体"/>
          <w:b w:val="0"/>
          <w:color w:val="auto"/>
          <w:sz w:val="24"/>
          <w:szCs w:val="24"/>
          <w:highlight w:val="none"/>
        </w:rPr>
        <w:t>19.7 保修责任</w:t>
      </w:r>
      <w:bookmarkEnd w:id="532"/>
      <w:bookmarkEnd w:id="533"/>
      <w:bookmarkEnd w:id="534"/>
    </w:p>
    <w:p w14:paraId="2FBC82E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本款细化为：</w:t>
      </w:r>
    </w:p>
    <w:p w14:paraId="6ED8E8A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7630E16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（2）在全部工程交工验收前，已经发包人提前验收的单位工程，其保修期的起算日期相应提前。</w:t>
      </w:r>
    </w:p>
    <w:p w14:paraId="7A5511A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（3）工程保修期终止后28天内，监理人签发保修期终止证书。</w:t>
      </w:r>
    </w:p>
    <w:p w14:paraId="5570FBE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（4）若承包人不履行保修义务和责任，则承包人应承担由于违约造成的法律后果，并由发包人将其违约行为上报省级交通运输主管部门，作为不良记录纳入</w:t>
      </w:r>
      <w:r>
        <w:rPr>
          <w:rFonts w:hint="eastAsia" w:ascii="黑体" w:hAnsi="黑体" w:eastAsia="黑体" w:cs="黑体"/>
          <w:color w:val="auto"/>
          <w:sz w:val="24"/>
          <w:highlight w:val="none"/>
          <w:lang w:eastAsia="zh-CN"/>
        </w:rPr>
        <w:t>全国公路建设市场监督管理系统</w:t>
      </w:r>
      <w:r>
        <w:rPr>
          <w:rFonts w:hint="eastAsia" w:ascii="黑体" w:hAnsi="黑体" w:eastAsia="黑体" w:cs="黑体"/>
          <w:color w:val="auto"/>
          <w:sz w:val="24"/>
          <w:highlight w:val="none"/>
        </w:rPr>
        <w:t>。</w:t>
      </w:r>
    </w:p>
    <w:p w14:paraId="1A787DE4">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535" w:name="_Toc501257427"/>
      <w:bookmarkStart w:id="536" w:name="_Toc27664"/>
      <w:bookmarkStart w:id="537" w:name="_Toc234833202"/>
      <w:r>
        <w:rPr>
          <w:rFonts w:hint="eastAsia" w:ascii="黑体" w:hAnsi="黑体" w:eastAsia="黑体" w:cs="黑体"/>
          <w:b w:val="0"/>
          <w:color w:val="auto"/>
          <w:sz w:val="28"/>
          <w:szCs w:val="28"/>
          <w:highlight w:val="none"/>
        </w:rPr>
        <w:t>20. 保险</w:t>
      </w:r>
      <w:bookmarkEnd w:id="535"/>
      <w:bookmarkEnd w:id="536"/>
      <w:bookmarkEnd w:id="537"/>
    </w:p>
    <w:p w14:paraId="18919223">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38" w:name="_Toc234833203"/>
      <w:bookmarkStart w:id="539" w:name="_Toc5691"/>
      <w:bookmarkStart w:id="540" w:name="_Toc501257428"/>
      <w:r>
        <w:rPr>
          <w:rFonts w:hint="eastAsia" w:ascii="黑体" w:hAnsi="黑体" w:eastAsia="黑体" w:cs="黑体"/>
          <w:b w:val="0"/>
          <w:color w:val="auto"/>
          <w:sz w:val="24"/>
          <w:szCs w:val="24"/>
          <w:highlight w:val="none"/>
        </w:rPr>
        <w:t>20.1工程保险</w:t>
      </w:r>
      <w:bookmarkEnd w:id="538"/>
      <w:bookmarkEnd w:id="539"/>
      <w:bookmarkEnd w:id="540"/>
    </w:p>
    <w:p w14:paraId="0C78F6C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本款约定为：</w:t>
      </w:r>
    </w:p>
    <w:p w14:paraId="2633526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建筑工程一切险的投保内容：为本合同工程的永久工程、临时工程和设备及已运至施工工地用于永久工程的材料和设备所投的保险。</w:t>
      </w:r>
    </w:p>
    <w:p w14:paraId="018957E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保险金额：工程量清单第100章（不含建筑工程一切险及第三者责任险的保险费）至第700章的合计金额。</w:t>
      </w:r>
    </w:p>
    <w:p w14:paraId="22CC0C4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保险费率：在项目专用合同条款数据表中约定。</w:t>
      </w:r>
    </w:p>
    <w:p w14:paraId="611F392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保险期限：开工日起直至本合同工程签发缺陷责任期终止证书止（即合同工期＋缺陷责任期）。</w:t>
      </w:r>
    </w:p>
    <w:p w14:paraId="65931E2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承包人应以发包人和承包人的共同名义投保建筑工程一切险。建筑工程一切险的保险费由承包人报价时列入工程量清单第100章内。发包人在接到保险单后，将按照保险单的费用直接向承包人支付。</w:t>
      </w:r>
    </w:p>
    <w:p w14:paraId="5734AC40">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41" w:name="_Toc234833204"/>
      <w:bookmarkStart w:id="542" w:name="_Toc501257429"/>
      <w:bookmarkStart w:id="543" w:name="_Toc13189"/>
      <w:r>
        <w:rPr>
          <w:rFonts w:hint="eastAsia" w:ascii="黑体" w:hAnsi="黑体" w:eastAsia="黑体" w:cs="黑体"/>
          <w:b w:val="0"/>
          <w:color w:val="auto"/>
          <w:sz w:val="24"/>
          <w:szCs w:val="24"/>
          <w:highlight w:val="none"/>
        </w:rPr>
        <w:t>20.4 第三者责任险</w:t>
      </w:r>
      <w:bookmarkEnd w:id="541"/>
      <w:bookmarkEnd w:id="542"/>
      <w:bookmarkEnd w:id="543"/>
    </w:p>
    <w:p w14:paraId="2448524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第20.4.2项补充：</w:t>
      </w:r>
    </w:p>
    <w:p w14:paraId="4D51E4C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第三者责任险的保险费由承包人报价时列入工程量清单第100章内。发包人在接到保险单后，将按照保险单的费用直接向承包人支付。</w:t>
      </w:r>
    </w:p>
    <w:p w14:paraId="3F12A773">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44" w:name="_Toc6330"/>
      <w:bookmarkStart w:id="545" w:name="_Toc234833205"/>
      <w:bookmarkStart w:id="546" w:name="_Toc501257430"/>
      <w:r>
        <w:rPr>
          <w:rFonts w:hint="eastAsia" w:ascii="黑体" w:hAnsi="黑体" w:eastAsia="黑体" w:cs="黑体"/>
          <w:b w:val="0"/>
          <w:color w:val="auto"/>
          <w:sz w:val="24"/>
          <w:szCs w:val="24"/>
          <w:highlight w:val="none"/>
        </w:rPr>
        <w:t>20.5 其他保险</w:t>
      </w:r>
      <w:bookmarkEnd w:id="544"/>
      <w:bookmarkEnd w:id="545"/>
      <w:bookmarkEnd w:id="546"/>
    </w:p>
    <w:p w14:paraId="5CD587F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本款约定为：</w:t>
      </w:r>
    </w:p>
    <w:p w14:paraId="5FDE810E">
      <w:pPr>
        <w:pageBreakBefore w:val="0"/>
        <w:shd w:val="clear" w:color="auto" w:fill="auto"/>
        <w:kinsoku/>
        <w:wordWrap/>
        <w:overflowPunct/>
        <w:topLinePunct w:val="0"/>
        <w:autoSpaceDE/>
        <w:autoSpaceDN/>
        <w:bidi w:val="0"/>
        <w:adjustRightInd/>
        <w:snapToGrid/>
        <w:spacing w:line="360" w:lineRule="auto"/>
        <w:ind w:firstLine="42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承包人应为其施工设备等办理保险，其投保金额应足以现场重置。办理本款保险的一切费用均由承包人承担，并包括在工程量清单的单价及总额价中，发包人不单独支付。</w:t>
      </w:r>
    </w:p>
    <w:p w14:paraId="760953EE">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47" w:name="_Toc234833206"/>
      <w:bookmarkStart w:id="548" w:name="_Toc501257431"/>
      <w:bookmarkStart w:id="549" w:name="_Toc16528"/>
      <w:r>
        <w:rPr>
          <w:rFonts w:hint="eastAsia" w:ascii="黑体" w:hAnsi="黑体" w:eastAsia="黑体" w:cs="黑体"/>
          <w:b w:val="0"/>
          <w:color w:val="auto"/>
          <w:sz w:val="24"/>
          <w:szCs w:val="24"/>
          <w:highlight w:val="none"/>
        </w:rPr>
        <w:t>20.6 对各项保险的一般要求</w:t>
      </w:r>
      <w:bookmarkEnd w:id="547"/>
      <w:bookmarkEnd w:id="548"/>
      <w:bookmarkEnd w:id="549"/>
    </w:p>
    <w:p w14:paraId="0CCEF1FC">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20.6.1 保险凭证</w:t>
      </w:r>
    </w:p>
    <w:p w14:paraId="600FCDEB">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本项约定为：</w:t>
      </w:r>
    </w:p>
    <w:p w14:paraId="35B4C104">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承包人向发包人提交各项保险生效的证据和保险单副本的期限：开工后56天内。</w:t>
      </w:r>
    </w:p>
    <w:p w14:paraId="6D065D26">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20.6.3 持续保险</w:t>
      </w:r>
    </w:p>
    <w:p w14:paraId="408E4C2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本项补充：</w:t>
      </w:r>
    </w:p>
    <w:p w14:paraId="4688F15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在整个合同期内，承包人应按合同条款规定保证足够的保险额。</w:t>
      </w:r>
    </w:p>
    <w:p w14:paraId="52D03643">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20.6.4 保险金不足的补偿</w:t>
      </w:r>
    </w:p>
    <w:p w14:paraId="1400931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本项细化为：</w:t>
      </w:r>
    </w:p>
    <w:p w14:paraId="380D4DB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保险金不足以补偿损失的（包括免赔额和超过赔偿限额的部分），应由承包人和（或）发包人按合同约定负责补偿。</w:t>
      </w:r>
    </w:p>
    <w:p w14:paraId="56B1811D">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20.6.5 未按约定投保的补救</w:t>
      </w:r>
    </w:p>
    <w:p w14:paraId="370A4D3C">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本项（2）目细化为：</w:t>
      </w:r>
    </w:p>
    <w:p w14:paraId="4DF9E130">
      <w:pPr>
        <w:pageBreakBefore w:val="0"/>
        <w:shd w:val="clear" w:color="auto" w:fill="auto"/>
        <w:kinsoku/>
        <w:wordWrap/>
        <w:overflowPunct/>
        <w:topLinePunct w:val="0"/>
        <w:autoSpaceDE/>
        <w:autoSpaceDN/>
        <w:bidi w:val="0"/>
        <w:adjustRightInd/>
        <w:snapToGrid/>
        <w:spacing w:line="360" w:lineRule="auto"/>
        <w:ind w:firstLine="39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308FC456">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550" w:name="_Toc234833207"/>
      <w:bookmarkStart w:id="551" w:name="_Toc501257432"/>
      <w:bookmarkStart w:id="552" w:name="_Toc22175"/>
      <w:r>
        <w:rPr>
          <w:rFonts w:hint="eastAsia" w:ascii="黑体" w:hAnsi="黑体" w:eastAsia="黑体" w:cs="黑体"/>
          <w:b w:val="0"/>
          <w:color w:val="auto"/>
          <w:sz w:val="28"/>
          <w:szCs w:val="28"/>
          <w:highlight w:val="none"/>
        </w:rPr>
        <w:t>21. 不可抗力</w:t>
      </w:r>
      <w:bookmarkEnd w:id="550"/>
      <w:bookmarkEnd w:id="551"/>
      <w:bookmarkEnd w:id="552"/>
    </w:p>
    <w:p w14:paraId="1851F81E">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53" w:name="_Toc28649"/>
      <w:bookmarkStart w:id="554" w:name="_Toc501257433"/>
      <w:bookmarkStart w:id="555" w:name="_Toc234833208"/>
      <w:r>
        <w:rPr>
          <w:rFonts w:hint="eastAsia" w:ascii="黑体" w:hAnsi="黑体" w:eastAsia="黑体" w:cs="黑体"/>
          <w:b w:val="0"/>
          <w:color w:val="auto"/>
          <w:sz w:val="24"/>
          <w:szCs w:val="24"/>
          <w:highlight w:val="none"/>
        </w:rPr>
        <w:t>21.1 不可抗力的确认</w:t>
      </w:r>
      <w:bookmarkEnd w:id="553"/>
      <w:bookmarkEnd w:id="554"/>
      <w:bookmarkEnd w:id="555"/>
    </w:p>
    <w:p w14:paraId="24D777A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第21.1.1项细化为：</w:t>
      </w:r>
    </w:p>
    <w:p w14:paraId="09E5B77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不可抗力是指承包人和发包人在订立合同时不可预见，在工程施工过程中不可避免发生并不能克服的自然灾害和社会性突发事件。包括但不限于：</w:t>
      </w:r>
    </w:p>
    <w:p w14:paraId="124E542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（1）地震、海啸、火山爆发、泥石流、暴雨（雪）、台风、龙卷风、水灾等自然灾害；</w:t>
      </w:r>
    </w:p>
    <w:p w14:paraId="17AB383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（2）战争、骚乱、暴动，但纯属承包人或其分包人派遣与雇用的人员由于本合同工程施工原因引起者除外；</w:t>
      </w:r>
    </w:p>
    <w:p w14:paraId="5077738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（3）核反应、辐射或放射性污染；</w:t>
      </w:r>
    </w:p>
    <w:p w14:paraId="43DBA00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（4）空中飞行物体坠落或非发包人或承包人责任造成的爆炸、火灾；</w:t>
      </w:r>
    </w:p>
    <w:p w14:paraId="5D9066D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（5）瘟疫；</w:t>
      </w:r>
    </w:p>
    <w:p w14:paraId="47E5CEB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（6）项目专用合同条款约定的其他情形。</w:t>
      </w:r>
    </w:p>
    <w:p w14:paraId="7DC7C1FB">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56" w:name="_Toc501257434"/>
      <w:bookmarkStart w:id="557" w:name="_Toc17689"/>
      <w:bookmarkStart w:id="558" w:name="_Toc234833209"/>
      <w:r>
        <w:rPr>
          <w:rFonts w:hint="eastAsia" w:ascii="黑体" w:hAnsi="黑体" w:eastAsia="黑体" w:cs="黑体"/>
          <w:b w:val="0"/>
          <w:color w:val="auto"/>
          <w:sz w:val="24"/>
          <w:szCs w:val="24"/>
          <w:highlight w:val="none"/>
        </w:rPr>
        <w:t>21.3 不可抗力后果及其处理</w:t>
      </w:r>
      <w:bookmarkEnd w:id="556"/>
      <w:bookmarkEnd w:id="557"/>
      <w:bookmarkEnd w:id="558"/>
    </w:p>
    <w:p w14:paraId="4B66C049">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21.3.4 因不可抗力解除合同</w:t>
      </w:r>
    </w:p>
    <w:p w14:paraId="14D0F72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本项细化为：</w:t>
      </w:r>
    </w:p>
    <w:p w14:paraId="1279EB6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p>
    <w:p w14:paraId="5D5ECA51">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559" w:name="_Toc234833210"/>
      <w:bookmarkStart w:id="560" w:name="_Toc2063"/>
      <w:bookmarkStart w:id="561" w:name="_Toc501257435"/>
      <w:r>
        <w:rPr>
          <w:rFonts w:hint="eastAsia" w:ascii="黑体" w:hAnsi="黑体" w:eastAsia="黑体" w:cs="黑体"/>
          <w:b w:val="0"/>
          <w:color w:val="auto"/>
          <w:sz w:val="28"/>
          <w:szCs w:val="28"/>
          <w:highlight w:val="none"/>
        </w:rPr>
        <w:t>22. 违约</w:t>
      </w:r>
      <w:bookmarkEnd w:id="559"/>
      <w:bookmarkEnd w:id="560"/>
      <w:bookmarkEnd w:id="561"/>
    </w:p>
    <w:p w14:paraId="5C3E35C4">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62" w:name="_Toc501257436"/>
      <w:bookmarkStart w:id="563" w:name="_Toc18058"/>
      <w:bookmarkStart w:id="564" w:name="_Toc234833211"/>
      <w:r>
        <w:rPr>
          <w:rFonts w:hint="eastAsia" w:ascii="黑体" w:hAnsi="黑体" w:eastAsia="黑体" w:cs="黑体"/>
          <w:b w:val="0"/>
          <w:color w:val="auto"/>
          <w:sz w:val="24"/>
          <w:szCs w:val="24"/>
          <w:highlight w:val="none"/>
        </w:rPr>
        <w:t>22.1 承包人违约</w:t>
      </w:r>
      <w:bookmarkEnd w:id="562"/>
      <w:bookmarkEnd w:id="563"/>
      <w:bookmarkEnd w:id="564"/>
    </w:p>
    <w:p w14:paraId="51C19D0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22.1.1 承包人违约的情形</w:t>
      </w:r>
    </w:p>
    <w:p w14:paraId="5E0B948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本项（2）目细化为：</w:t>
      </w:r>
    </w:p>
    <w:p w14:paraId="6F71EF0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（2）承包人违反第5.3款或第6.4款的约定，未经监理人批准，私自将已按合同约定进入施工场地的施工设备、临时设施、材料或工程设备撤离施工场地；</w:t>
      </w:r>
    </w:p>
    <w:p w14:paraId="73C2A29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本项（7）目细化为：</w:t>
      </w:r>
    </w:p>
    <w:p w14:paraId="21A8E91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（7）承包人未能按期开工；</w:t>
      </w:r>
    </w:p>
    <w:p w14:paraId="6DF16DD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（8）承包人违反第4.6款或第6.3款的规定，未按承诺或未按监理人的要求及时配备称职的主要管理人员、技术骨干或关键施工设备；</w:t>
      </w:r>
    </w:p>
    <w:p w14:paraId="7E08880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（9）经监理人和发包人检查，发现承包人有安全问题或有违反安全管理规章制度的情况；</w:t>
      </w:r>
    </w:p>
    <w:p w14:paraId="170BBE5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（10）承包人不按合同约定履行义务的其他情况。</w:t>
      </w:r>
    </w:p>
    <w:p w14:paraId="219103D5">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22.1.2 对承包人违约的处理</w:t>
      </w:r>
    </w:p>
    <w:p w14:paraId="62A62A4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本项补充：</w:t>
      </w:r>
    </w:p>
    <w:p w14:paraId="7C73FA5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（4）承包人发生第22.1.1项约定的违约情况时，无论发包人是否解除合同，发包人均有权向承包人课以项目专用合同条款中规定的违约金，并由发包人将其违约行为上报省级交通运输主管部门，作为不良记录纳入</w:t>
      </w:r>
      <w:r>
        <w:rPr>
          <w:rFonts w:hint="eastAsia" w:ascii="黑体" w:hAnsi="黑体" w:eastAsia="黑体" w:cs="黑体"/>
          <w:color w:val="auto"/>
          <w:sz w:val="24"/>
          <w:highlight w:val="none"/>
          <w:lang w:eastAsia="zh-CN"/>
        </w:rPr>
        <w:t>全国公路建设市场监督管理系统</w:t>
      </w:r>
      <w:r>
        <w:rPr>
          <w:rFonts w:hint="eastAsia" w:ascii="黑体" w:hAnsi="黑体" w:eastAsia="黑体" w:cs="黑体"/>
          <w:color w:val="auto"/>
          <w:sz w:val="24"/>
          <w:highlight w:val="none"/>
        </w:rPr>
        <w:t>。</w:t>
      </w:r>
    </w:p>
    <w:p w14:paraId="1E53D225">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65" w:name="_Toc501257437"/>
      <w:bookmarkStart w:id="566" w:name="_Toc234833212"/>
      <w:bookmarkStart w:id="567" w:name="_Toc18486"/>
      <w:r>
        <w:rPr>
          <w:rFonts w:hint="eastAsia" w:ascii="黑体" w:hAnsi="黑体" w:eastAsia="黑体" w:cs="黑体"/>
          <w:b w:val="0"/>
          <w:color w:val="auto"/>
          <w:sz w:val="24"/>
          <w:szCs w:val="24"/>
          <w:highlight w:val="none"/>
        </w:rPr>
        <w:t>22.2 发包人违约</w:t>
      </w:r>
      <w:bookmarkEnd w:id="565"/>
      <w:bookmarkEnd w:id="566"/>
      <w:bookmarkEnd w:id="567"/>
    </w:p>
    <w:p w14:paraId="5CE757B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22.2.1发包人违约的情形</w:t>
      </w:r>
    </w:p>
    <w:p w14:paraId="2AF8FD9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本项（5）目细化为：</w:t>
      </w:r>
    </w:p>
    <w:p w14:paraId="688F360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（5）发包人无正当理由不按时返还履约保证金、质量保证金或农民工工资保证金的；</w:t>
      </w:r>
    </w:p>
    <w:p w14:paraId="6859066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（6）发包人不履行合同约定其他义务的。</w:t>
      </w:r>
    </w:p>
    <w:p w14:paraId="4C9483F6">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22.2.2 承包人有权暂停施工</w:t>
      </w:r>
    </w:p>
    <w:p w14:paraId="04FBE29F">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本项细化为：</w:t>
      </w:r>
    </w:p>
    <w:p w14:paraId="54BFB911">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发包人发生除第22.2.1（4）、（5）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381AF18A">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发包人发生第22.2.1（5）目的违约情况时，承包人可向发包人发出通知，要求发包人采取有效措施纠正违约行为。发包人收到承包人通知后的28天内仍不返还履约保证金、质量保证金或农民工工资保证金的，发包人应按项目专用合同条款的约定向承包人支付逾期返还保证金的违约金。</w:t>
      </w:r>
    </w:p>
    <w:p w14:paraId="310DEB69">
      <w:pPr>
        <w:pageBreakBefore w:val="0"/>
        <w:shd w:val="clear" w:color="auto" w:fill="auto"/>
        <w:kinsoku/>
        <w:wordWrap/>
        <w:overflowPunct/>
        <w:topLinePunct w:val="0"/>
        <w:autoSpaceDE/>
        <w:autoSpaceDN/>
        <w:bidi w:val="0"/>
        <w:adjustRightInd/>
        <w:snapToGrid/>
        <w:spacing w:line="360" w:lineRule="auto"/>
        <w:ind w:firstLine="470" w:firstLineChars="196"/>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22.2.4 解除合同后的付款</w:t>
      </w:r>
    </w:p>
    <w:p w14:paraId="55461E2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本项（2）目细化为：</w:t>
      </w:r>
    </w:p>
    <w:p w14:paraId="5702DC6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（2）承包人为该工程施工订购并已付款的材料、工程设备和其他物品的金额。发包人付款后，该材料、工程设备和其他物品归发包人所有；</w:t>
      </w:r>
    </w:p>
    <w:p w14:paraId="79E8FB74">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568" w:name="_Toc234833213"/>
      <w:bookmarkStart w:id="569" w:name="_Toc501257438"/>
      <w:bookmarkStart w:id="570" w:name="_Toc21062"/>
      <w:r>
        <w:rPr>
          <w:rFonts w:hint="eastAsia" w:ascii="黑体" w:hAnsi="黑体" w:eastAsia="黑体" w:cs="黑体"/>
          <w:b w:val="0"/>
          <w:color w:val="auto"/>
          <w:sz w:val="28"/>
          <w:szCs w:val="28"/>
          <w:highlight w:val="none"/>
        </w:rPr>
        <w:t>23. 索赔</w:t>
      </w:r>
      <w:bookmarkEnd w:id="568"/>
      <w:bookmarkEnd w:id="569"/>
      <w:bookmarkEnd w:id="570"/>
    </w:p>
    <w:p w14:paraId="22222D2B">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71" w:name="_Toc29581"/>
      <w:bookmarkStart w:id="572" w:name="_Toc234833214"/>
      <w:bookmarkStart w:id="573" w:name="_Toc501257439"/>
      <w:r>
        <w:rPr>
          <w:rFonts w:hint="eastAsia" w:ascii="黑体" w:hAnsi="黑体" w:eastAsia="黑体" w:cs="黑体"/>
          <w:b w:val="0"/>
          <w:color w:val="auto"/>
          <w:sz w:val="24"/>
          <w:szCs w:val="24"/>
          <w:highlight w:val="none"/>
        </w:rPr>
        <w:t>23.1 承包人索赔的提出</w:t>
      </w:r>
      <w:bookmarkEnd w:id="571"/>
      <w:bookmarkEnd w:id="572"/>
      <w:bookmarkEnd w:id="573"/>
    </w:p>
    <w:p w14:paraId="602297D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本款第（4）项细化为：</w:t>
      </w:r>
    </w:p>
    <w:p w14:paraId="2BA5986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（4）在索赔事件影响结束后的28天内，承包人应向监理人递交最终索赔通知书，说明最终要求索赔的追加付款金额和（或）延长的工期，并附必要的记录和证明材料。</w:t>
      </w:r>
    </w:p>
    <w:p w14:paraId="1923E625">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74" w:name="_Toc19270"/>
      <w:bookmarkStart w:id="575" w:name="_Toc234833215"/>
      <w:bookmarkStart w:id="576" w:name="_Toc501257440"/>
      <w:r>
        <w:rPr>
          <w:rFonts w:hint="eastAsia" w:ascii="黑体" w:hAnsi="黑体" w:eastAsia="黑体" w:cs="黑体"/>
          <w:b w:val="0"/>
          <w:color w:val="auto"/>
          <w:sz w:val="24"/>
          <w:szCs w:val="24"/>
          <w:highlight w:val="none"/>
        </w:rPr>
        <w:t>23.2 承包人索赔处理程序</w:t>
      </w:r>
      <w:bookmarkEnd w:id="574"/>
      <w:bookmarkEnd w:id="575"/>
      <w:bookmarkEnd w:id="576"/>
    </w:p>
    <w:p w14:paraId="176C4E7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本款第（2）项细化为：</w:t>
      </w:r>
    </w:p>
    <w:p w14:paraId="1DC826D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监理人应按第3.5款商定或确定追加的付款和（或）延长的工期，并在收到上述索赔通知书或有关索赔的进一步证明材料后的42天内，将索赔处理结果报发包人批准后答复承包人。如果承包人提出的索赔要求未能遵守第23.1（2）~（4）项的规定，则承包人只限于索赔由监理人按当时记录予以核实的那部分款额和（或）工期延长天数。</w:t>
      </w:r>
    </w:p>
    <w:p w14:paraId="71968304">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8"/>
          <w:szCs w:val="28"/>
          <w:highlight w:val="none"/>
        </w:rPr>
      </w:pPr>
      <w:bookmarkStart w:id="577" w:name="_Toc25502"/>
      <w:bookmarkStart w:id="578" w:name="_Toc501257441"/>
      <w:bookmarkStart w:id="579" w:name="_Toc234833216"/>
      <w:r>
        <w:rPr>
          <w:rFonts w:hint="eastAsia" w:ascii="黑体" w:hAnsi="黑体" w:eastAsia="黑体" w:cs="黑体"/>
          <w:b w:val="0"/>
          <w:color w:val="auto"/>
          <w:sz w:val="28"/>
          <w:szCs w:val="28"/>
          <w:highlight w:val="none"/>
        </w:rPr>
        <w:t>24. 争议的解决</w:t>
      </w:r>
      <w:bookmarkEnd w:id="577"/>
      <w:bookmarkEnd w:id="578"/>
      <w:bookmarkEnd w:id="579"/>
    </w:p>
    <w:p w14:paraId="4AA7D211">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80" w:name="_Toc1405"/>
      <w:bookmarkStart w:id="581" w:name="_Toc234833217"/>
      <w:bookmarkStart w:id="582" w:name="_Toc501257442"/>
      <w:r>
        <w:rPr>
          <w:rFonts w:hint="eastAsia" w:ascii="黑体" w:hAnsi="黑体" w:eastAsia="黑体" w:cs="黑体"/>
          <w:b w:val="0"/>
          <w:color w:val="auto"/>
          <w:sz w:val="24"/>
          <w:szCs w:val="24"/>
          <w:highlight w:val="none"/>
        </w:rPr>
        <w:t>24.3 争议评审</w:t>
      </w:r>
      <w:bookmarkEnd w:id="580"/>
      <w:bookmarkEnd w:id="581"/>
      <w:bookmarkEnd w:id="582"/>
    </w:p>
    <w:p w14:paraId="2B091B2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第24.3.1项补充：</w:t>
      </w:r>
    </w:p>
    <w:p w14:paraId="1F07942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争议评审组由3人或5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14:paraId="62FA1B86">
      <w:pPr>
        <w:pageBreakBefore w:val="0"/>
        <w:shd w:val="clear" w:color="auto" w:fill="auto"/>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本条补充第24.4款、第24.5款（适用于采用仲裁方式最终解决争议的项目）：</w:t>
      </w:r>
    </w:p>
    <w:p w14:paraId="12E11093">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83" w:name="_Toc17119"/>
      <w:bookmarkStart w:id="584" w:name="_Toc501257443"/>
      <w:bookmarkStart w:id="585" w:name="_Toc234833218"/>
      <w:r>
        <w:rPr>
          <w:rFonts w:hint="eastAsia" w:ascii="黑体" w:hAnsi="黑体" w:eastAsia="黑体" w:cs="黑体"/>
          <w:b w:val="0"/>
          <w:color w:val="auto"/>
          <w:sz w:val="24"/>
          <w:szCs w:val="24"/>
          <w:highlight w:val="none"/>
        </w:rPr>
        <w:t>24.4 仲裁</w:t>
      </w:r>
      <w:bookmarkEnd w:id="583"/>
      <w:bookmarkEnd w:id="584"/>
      <w:bookmarkEnd w:id="585"/>
    </w:p>
    <w:p w14:paraId="13131E0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（1）对于未能友好解决或未能通过争议评审解决的争议，发包人或承包人任一方均有权提交给第24.1款约定的仲裁委员会仲裁。</w:t>
      </w:r>
    </w:p>
    <w:p w14:paraId="3567948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仲裁可在交工之前或之后进行，但发包人、监理人和承包人各自的义务不得因在工程实施期间进行仲裁而有所改变。如果仲裁是在终止合同的情况下进行，则对合同工程应采取保护措施，措施费由败诉方承担。</w:t>
      </w:r>
    </w:p>
    <w:p w14:paraId="6F6DB03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（3）仲裁裁决是终局性的并对发包人和承包人双方具有约束力。</w:t>
      </w:r>
    </w:p>
    <w:p w14:paraId="761927F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（4）全部仲裁费用应由败诉方承担；或按仲裁委员会裁决的比例分担。</w:t>
      </w:r>
    </w:p>
    <w:p w14:paraId="2E8D352A">
      <w:pPr>
        <w:pStyle w:val="2"/>
        <w:pageBreakBefore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黑体" w:hAnsi="黑体" w:eastAsia="黑体" w:cs="黑体"/>
          <w:b w:val="0"/>
          <w:color w:val="auto"/>
          <w:sz w:val="24"/>
          <w:szCs w:val="24"/>
          <w:highlight w:val="none"/>
        </w:rPr>
      </w:pPr>
      <w:bookmarkStart w:id="586" w:name="_Toc501257444"/>
      <w:bookmarkStart w:id="587" w:name="_Toc13991"/>
      <w:bookmarkStart w:id="588" w:name="_Toc234833219"/>
      <w:r>
        <w:rPr>
          <w:rFonts w:hint="eastAsia" w:ascii="黑体" w:hAnsi="黑体" w:eastAsia="黑体" w:cs="黑体"/>
          <w:b w:val="0"/>
          <w:color w:val="auto"/>
          <w:sz w:val="24"/>
          <w:szCs w:val="24"/>
          <w:highlight w:val="none"/>
        </w:rPr>
        <w:t>24.5 仲裁的执行</w:t>
      </w:r>
      <w:bookmarkEnd w:id="586"/>
      <w:bookmarkEnd w:id="587"/>
      <w:bookmarkEnd w:id="588"/>
    </w:p>
    <w:p w14:paraId="481110C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（1）任何一方不履行仲裁机构的裁决的，对方可以向有管辖权的人民法院申请执行。</w:t>
      </w:r>
    </w:p>
    <w:p w14:paraId="69D30F8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任何一方提出证据证明裁决有《中华人民共和国仲裁法》第五十八条规定情形之一的，可以向仲裁委员会所在地的中级人民法院申请撤销裁决。人民法院认定执行该裁决违背社会公共利益的，裁定不予执行。仲裁裁决被人民法院裁定不予执行的，当事人可以根据双方达成的书面仲裁协议重新申请仲裁，也可以向人民法院起诉。</w:t>
      </w:r>
    </w:p>
    <w:p w14:paraId="56565929">
      <w:pPr>
        <w:pStyle w:val="2"/>
        <w:shd w:val="clear" w:color="auto" w:fill="auto"/>
        <w:spacing w:before="240" w:after="240" w:line="380" w:lineRule="atLeast"/>
        <w:jc w:val="center"/>
        <w:rPr>
          <w:rFonts w:eastAsia="黑体"/>
          <w:color w:val="auto"/>
          <w:sz w:val="27"/>
          <w:szCs w:val="27"/>
          <w:highlight w:val="none"/>
        </w:rPr>
      </w:pPr>
      <w:r>
        <w:rPr>
          <w:rFonts w:eastAsia="黑体"/>
          <w:color w:val="auto"/>
          <w:sz w:val="24"/>
          <w:highlight w:val="none"/>
        </w:rPr>
        <w:br w:type="page"/>
      </w:r>
      <w:bookmarkStart w:id="589" w:name="_Toc234833220"/>
      <w:bookmarkStart w:id="590" w:name="_Toc22708"/>
      <w:bookmarkStart w:id="591" w:name="_Toc501257445"/>
      <w:r>
        <w:rPr>
          <w:rFonts w:eastAsia="黑体"/>
          <w:b/>
          <w:bCs w:val="0"/>
          <w:color w:val="auto"/>
          <w:sz w:val="32"/>
          <w:szCs w:val="32"/>
          <w:highlight w:val="none"/>
        </w:rPr>
        <w:t>B. 项目专用合同条款</w:t>
      </w:r>
      <w:bookmarkEnd w:id="589"/>
      <w:bookmarkEnd w:id="590"/>
      <w:bookmarkEnd w:id="591"/>
    </w:p>
    <w:p w14:paraId="3DA1CFED">
      <w:pPr>
        <w:pStyle w:val="9"/>
        <w:shd w:val="clear" w:color="auto" w:fill="auto"/>
        <w:snapToGrid w:val="0"/>
        <w:spacing w:line="400" w:lineRule="atLeast"/>
        <w:ind w:left="0" w:leftChars="0"/>
        <w:rPr>
          <w:rFonts w:hint="eastAsia" w:eastAsia="黑体"/>
          <w:b/>
          <w:bCs/>
          <w:color w:val="auto"/>
          <w:sz w:val="24"/>
          <w:highlight w:val="none"/>
        </w:rPr>
      </w:pPr>
      <w:r>
        <w:rPr>
          <w:rFonts w:eastAsia="黑体"/>
          <w:b/>
          <w:bCs/>
          <w:color w:val="auto"/>
          <w:sz w:val="24"/>
          <w:highlight w:val="none"/>
        </w:rPr>
        <w:t xml:space="preserve">说  </w:t>
      </w:r>
      <w:r>
        <w:rPr>
          <w:rFonts w:hint="eastAsia" w:eastAsia="黑体"/>
          <w:b/>
          <w:bCs/>
          <w:color w:val="auto"/>
          <w:sz w:val="24"/>
          <w:highlight w:val="none"/>
        </w:rPr>
        <w:t>明：</w:t>
      </w:r>
    </w:p>
    <w:p w14:paraId="4DE23CA9">
      <w:pPr>
        <w:pStyle w:val="9"/>
        <w:shd w:val="clear" w:color="auto" w:fill="auto"/>
        <w:snapToGrid w:val="0"/>
        <w:spacing w:line="400" w:lineRule="atLeast"/>
        <w:ind w:left="0" w:leftChars="0" w:firstLine="720" w:firstLineChars="300"/>
        <w:rPr>
          <w:rFonts w:hint="eastAsia" w:ascii="黑体" w:hAnsi="黑体" w:eastAsia="黑体" w:cs="黑体"/>
          <w:color w:val="auto"/>
          <w:sz w:val="24"/>
          <w:highlight w:val="none"/>
        </w:rPr>
      </w:pPr>
      <w:r>
        <w:rPr>
          <w:rFonts w:hint="eastAsia" w:ascii="黑体" w:hAnsi="黑体" w:eastAsia="黑体" w:cs="黑体"/>
          <w:color w:val="auto"/>
          <w:sz w:val="24"/>
          <w:highlight w:val="none"/>
        </w:rPr>
        <w:t>1.招标人在根据《</w:t>
      </w:r>
      <w:r>
        <w:rPr>
          <w:rFonts w:hint="eastAsia" w:ascii="黑体" w:hAnsi="黑体" w:eastAsia="黑体" w:cs="黑体"/>
          <w:color w:val="auto"/>
          <w:sz w:val="24"/>
          <w:highlight w:val="none"/>
          <w:lang w:val="en-US" w:eastAsia="zh-CN"/>
        </w:rPr>
        <w:t>内蒙古自治区</w:t>
      </w:r>
      <w:r>
        <w:rPr>
          <w:rFonts w:hint="eastAsia" w:ascii="黑体" w:hAnsi="黑体" w:eastAsia="黑体" w:cs="黑体"/>
          <w:color w:val="auto"/>
          <w:sz w:val="24"/>
          <w:highlight w:val="none"/>
        </w:rPr>
        <w:t>公路工程标准</w:t>
      </w:r>
      <w:r>
        <w:rPr>
          <w:rFonts w:hint="eastAsia" w:ascii="黑体" w:hAnsi="黑体" w:eastAsia="黑体" w:cs="黑体"/>
          <w:color w:val="auto"/>
          <w:sz w:val="24"/>
          <w:highlight w:val="none"/>
          <w:lang w:eastAsia="zh-CN"/>
        </w:rPr>
        <w:t>施工电子招标文件</w:t>
      </w:r>
      <w:r>
        <w:rPr>
          <w:rFonts w:hint="eastAsia" w:ascii="黑体" w:hAnsi="黑体" w:eastAsia="黑体" w:cs="黑体"/>
          <w:color w:val="auto"/>
          <w:sz w:val="24"/>
          <w:highlight w:val="none"/>
        </w:rPr>
        <w:t>》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内容，不得违反法律、行政法规的强制性规定和平等、自愿、公平和诚实信用原则。</w:t>
      </w:r>
    </w:p>
    <w:p w14:paraId="22E445EA">
      <w:pPr>
        <w:pStyle w:val="9"/>
        <w:shd w:val="clear" w:color="auto" w:fill="auto"/>
        <w:snapToGrid w:val="0"/>
        <w:spacing w:line="400" w:lineRule="atLeast"/>
        <w:ind w:left="0" w:leftChars="0" w:firstLine="720" w:firstLineChars="300"/>
        <w:rPr>
          <w:rFonts w:hint="eastAsia" w:ascii="黑体" w:hAnsi="黑体" w:eastAsia="黑体" w:cs="黑体"/>
          <w:color w:val="auto"/>
          <w:sz w:val="24"/>
          <w:highlight w:val="none"/>
        </w:rPr>
      </w:pPr>
      <w:r>
        <w:rPr>
          <w:rFonts w:hint="eastAsia" w:ascii="黑体" w:hAnsi="黑体" w:eastAsia="黑体" w:cs="黑体"/>
          <w:color w:val="auto"/>
          <w:sz w:val="24"/>
          <w:highlight w:val="none"/>
        </w:rPr>
        <w:t>2.项目专用合同条款的编号应与通用合同条款和公路工程专用合同条款一致。</w:t>
      </w:r>
    </w:p>
    <w:p w14:paraId="786F555E">
      <w:pPr>
        <w:pStyle w:val="9"/>
        <w:shd w:val="clear" w:color="auto" w:fill="auto"/>
        <w:snapToGrid w:val="0"/>
        <w:spacing w:line="400" w:lineRule="atLeast"/>
        <w:ind w:left="0" w:leftChars="0" w:firstLine="720" w:firstLineChars="300"/>
        <w:rPr>
          <w:rFonts w:hint="eastAsia" w:ascii="黑体" w:hAnsi="黑体" w:eastAsia="黑体" w:cs="黑体"/>
          <w:color w:val="auto"/>
          <w:sz w:val="24"/>
          <w:highlight w:val="none"/>
        </w:rPr>
      </w:pPr>
      <w:r>
        <w:rPr>
          <w:rFonts w:hint="eastAsia" w:ascii="黑体" w:hAnsi="黑体" w:eastAsia="黑体" w:cs="黑体"/>
          <w:color w:val="auto"/>
          <w:sz w:val="24"/>
          <w:highlight w:val="none"/>
        </w:rPr>
        <w:t>3.项目专用合同条款可对下列内容进行补充和细化：</w:t>
      </w:r>
    </w:p>
    <w:p w14:paraId="2E5B0CC5">
      <w:pPr>
        <w:pStyle w:val="9"/>
        <w:shd w:val="clear" w:color="auto" w:fill="auto"/>
        <w:snapToGrid w:val="0"/>
        <w:spacing w:line="400" w:lineRule="atLeast"/>
        <w:ind w:left="0" w:leftChars="0" w:firstLine="720" w:firstLineChars="300"/>
        <w:rPr>
          <w:rFonts w:hint="eastAsia" w:ascii="黑体" w:hAnsi="黑体" w:eastAsia="黑体" w:cs="黑体"/>
          <w:color w:val="auto"/>
          <w:sz w:val="24"/>
          <w:highlight w:val="none"/>
        </w:rPr>
      </w:pPr>
      <w:r>
        <w:rPr>
          <w:rFonts w:hint="eastAsia" w:ascii="黑体" w:hAnsi="黑体" w:eastAsia="黑体" w:cs="黑体"/>
          <w:color w:val="auto"/>
          <w:sz w:val="24"/>
          <w:highlight w:val="none"/>
        </w:rPr>
        <w:t>（1）“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p>
    <w:p w14:paraId="79C861D8">
      <w:pPr>
        <w:pStyle w:val="9"/>
        <w:shd w:val="clear" w:color="auto" w:fill="auto"/>
        <w:snapToGrid w:val="0"/>
        <w:spacing w:line="400" w:lineRule="atLeast"/>
        <w:ind w:left="0" w:leftChars="0" w:firstLine="720" w:firstLineChars="300"/>
        <w:rPr>
          <w:rFonts w:hint="eastAsia" w:ascii="黑体" w:hAnsi="黑体" w:eastAsia="黑体" w:cs="黑体"/>
          <w:color w:val="auto"/>
          <w:sz w:val="24"/>
          <w:highlight w:val="none"/>
        </w:rPr>
      </w:pPr>
      <w:r>
        <w:rPr>
          <w:rFonts w:hint="eastAsia" w:ascii="黑体" w:hAnsi="黑体" w:eastAsia="黑体" w:cs="黑体"/>
          <w:color w:val="auto"/>
          <w:sz w:val="24"/>
          <w:highlight w:val="none"/>
        </w:rPr>
        <w:t>（2）“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p>
    <w:p w14:paraId="22CA11BF">
      <w:pPr>
        <w:pStyle w:val="9"/>
        <w:shd w:val="clear" w:color="auto" w:fill="auto"/>
        <w:snapToGrid w:val="0"/>
        <w:spacing w:line="400" w:lineRule="atLeast"/>
        <w:ind w:left="0" w:leftChars="0" w:firstLine="720" w:firstLineChars="300"/>
        <w:rPr>
          <w:rFonts w:hint="eastAsia" w:ascii="黑体" w:hAnsi="黑体" w:eastAsia="黑体" w:cs="黑体"/>
          <w:color w:val="auto"/>
          <w:sz w:val="24"/>
          <w:highlight w:val="none"/>
        </w:rPr>
      </w:pPr>
      <w:r>
        <w:rPr>
          <w:rFonts w:hint="eastAsia" w:ascii="黑体" w:hAnsi="黑体" w:eastAsia="黑体" w:cs="黑体"/>
          <w:color w:val="auto"/>
          <w:sz w:val="24"/>
          <w:highlight w:val="none"/>
        </w:rPr>
        <w:t>（3）其他需要补充、细化的内容。</w:t>
      </w:r>
    </w:p>
    <w:p w14:paraId="598AEC1E">
      <w:pPr>
        <w:pStyle w:val="9"/>
        <w:shd w:val="clear" w:color="auto" w:fill="auto"/>
        <w:snapToGrid w:val="0"/>
        <w:spacing w:line="400" w:lineRule="atLeast"/>
        <w:ind w:left="0" w:leftChars="0" w:firstLine="720" w:firstLineChars="300"/>
        <w:rPr>
          <w:rFonts w:eastAsia="黑体"/>
          <w:color w:val="auto"/>
          <w:sz w:val="24"/>
          <w:highlight w:val="none"/>
        </w:rPr>
      </w:pPr>
    </w:p>
    <w:p w14:paraId="5F9BC87D">
      <w:pPr>
        <w:pStyle w:val="2"/>
        <w:shd w:val="clear" w:color="auto" w:fill="auto"/>
        <w:spacing w:before="240" w:after="240" w:line="380" w:lineRule="atLeast"/>
        <w:jc w:val="center"/>
        <w:rPr>
          <w:color w:val="auto"/>
          <w:sz w:val="24"/>
          <w:highlight w:val="none"/>
        </w:rPr>
      </w:pPr>
      <w:r>
        <w:rPr>
          <w:rFonts w:eastAsia="黑体"/>
          <w:color w:val="auto"/>
          <w:sz w:val="28"/>
          <w:highlight w:val="none"/>
        </w:rPr>
        <w:br w:type="page"/>
      </w:r>
      <w:bookmarkStart w:id="592" w:name="_Toc14033"/>
      <w:bookmarkStart w:id="593" w:name="_Toc234833221"/>
      <w:bookmarkStart w:id="594" w:name="_Toc501257446"/>
      <w:r>
        <w:rPr>
          <w:rFonts w:eastAsia="黑体"/>
          <w:b/>
          <w:bCs w:val="0"/>
          <w:color w:val="auto"/>
          <w:sz w:val="32"/>
          <w:szCs w:val="32"/>
          <w:highlight w:val="none"/>
        </w:rPr>
        <w:t>项目专用合同条款数据表</w:t>
      </w:r>
      <w:bookmarkEnd w:id="592"/>
      <w:bookmarkEnd w:id="593"/>
      <w:bookmarkEnd w:id="594"/>
    </w:p>
    <w:tbl>
      <w:tblPr>
        <w:tblStyle w:val="22"/>
        <w:tblW w:w="9341" w:type="dxa"/>
        <w:tblInd w:w="-2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218"/>
        <w:gridCol w:w="7322"/>
      </w:tblGrid>
      <w:tr w14:paraId="7F0C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0F4F2BAA">
            <w:pPr>
              <w:shd w:val="clear" w:color="auto" w:fill="auto"/>
              <w:spacing w:line="360" w:lineRule="auto"/>
              <w:jc w:val="center"/>
              <w:rPr>
                <w:rStyle w:val="33"/>
                <w:rFonts w:hint="eastAsia" w:ascii="黑体" w:hAnsi="黑体" w:eastAsia="黑体" w:cs="黑体"/>
                <w:b/>
                <w:bCs/>
                <w:color w:val="auto"/>
                <w:sz w:val="21"/>
                <w:szCs w:val="21"/>
                <w:highlight w:val="none"/>
                <w:lang w:val="zh-TW" w:eastAsia="zh-TW"/>
              </w:rPr>
            </w:pPr>
            <w:r>
              <w:rPr>
                <w:rStyle w:val="33"/>
                <w:rFonts w:hint="eastAsia" w:ascii="黑体" w:hAnsi="黑体" w:eastAsia="黑体" w:cs="黑体"/>
                <w:b/>
                <w:bCs/>
                <w:color w:val="auto"/>
                <w:sz w:val="21"/>
                <w:szCs w:val="21"/>
                <w:highlight w:val="none"/>
                <w:lang w:val="zh-TW" w:eastAsia="zh-TW"/>
              </w:rPr>
              <w:t>序号</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3D5F7C6F">
            <w:pPr>
              <w:shd w:val="clear" w:color="auto" w:fill="auto"/>
              <w:spacing w:line="360" w:lineRule="auto"/>
              <w:jc w:val="center"/>
              <w:rPr>
                <w:rStyle w:val="33"/>
                <w:rFonts w:hint="eastAsia" w:ascii="黑体" w:hAnsi="黑体" w:eastAsia="黑体" w:cs="黑体"/>
                <w:b/>
                <w:bCs/>
                <w:color w:val="auto"/>
                <w:sz w:val="21"/>
                <w:szCs w:val="21"/>
                <w:highlight w:val="none"/>
                <w:lang w:val="zh-TW" w:eastAsia="zh-TW"/>
              </w:rPr>
            </w:pPr>
            <w:r>
              <w:rPr>
                <w:rStyle w:val="33"/>
                <w:rFonts w:hint="eastAsia" w:ascii="黑体" w:hAnsi="黑体" w:eastAsia="黑体" w:cs="黑体"/>
                <w:b/>
                <w:bCs/>
                <w:color w:val="auto"/>
                <w:sz w:val="21"/>
                <w:szCs w:val="21"/>
                <w:highlight w:val="none"/>
                <w:lang w:val="zh-TW" w:eastAsia="zh-TW"/>
              </w:rPr>
              <w:t>条目号</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05B67B28">
            <w:pPr>
              <w:shd w:val="clear" w:color="auto" w:fill="auto"/>
              <w:spacing w:line="360" w:lineRule="auto"/>
              <w:jc w:val="center"/>
              <w:rPr>
                <w:rStyle w:val="33"/>
                <w:rFonts w:hint="eastAsia" w:ascii="黑体" w:hAnsi="黑体" w:eastAsia="黑体" w:cs="黑体"/>
                <w:b/>
                <w:bCs/>
                <w:color w:val="auto"/>
                <w:sz w:val="21"/>
                <w:szCs w:val="21"/>
                <w:highlight w:val="none"/>
                <w:lang w:val="zh-TW" w:eastAsia="zh-TW"/>
              </w:rPr>
            </w:pPr>
            <w:r>
              <w:rPr>
                <w:rStyle w:val="33"/>
                <w:rFonts w:hint="eastAsia" w:ascii="黑体" w:hAnsi="黑体" w:eastAsia="黑体" w:cs="黑体"/>
                <w:b/>
                <w:bCs/>
                <w:color w:val="auto"/>
                <w:sz w:val="21"/>
                <w:szCs w:val="21"/>
                <w:highlight w:val="none"/>
                <w:lang w:val="zh-TW" w:eastAsia="zh-TW"/>
              </w:rPr>
              <w:t>信息或数据</w:t>
            </w:r>
          </w:p>
        </w:tc>
      </w:tr>
      <w:tr w14:paraId="547B4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74992CDD">
            <w:pPr>
              <w:pStyle w:val="34"/>
              <w:shd w:val="clear" w:color="auto" w:fill="auto"/>
              <w:spacing w:before="0" w:line="240" w:lineRule="auto"/>
              <w:jc w:val="center"/>
              <w:rPr>
                <w:rFonts w:hint="eastAsia" w:ascii="黑体" w:hAnsi="黑体" w:eastAsia="黑体" w:cs="黑体"/>
                <w:color w:val="auto"/>
                <w:sz w:val="21"/>
                <w:szCs w:val="21"/>
                <w:highlight w:val="none"/>
              </w:rPr>
            </w:pPr>
            <w:r>
              <w:rPr>
                <w:rStyle w:val="35"/>
                <w:rFonts w:hint="eastAsia" w:ascii="黑体" w:hAnsi="黑体" w:eastAsia="黑体" w:cs="黑体"/>
                <w:color w:val="auto"/>
                <w:sz w:val="21"/>
                <w:szCs w:val="21"/>
                <w:highlight w:val="none"/>
                <w:lang w:val="zh-TW" w:eastAsia="zh-TW"/>
              </w:rPr>
              <w:t>1</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77CB4A28">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1.1.2.2</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17707033">
            <w:pPr>
              <w:rPr>
                <w:rFonts w:hint="eastAsia" w:ascii="黑体" w:hAnsi="黑体" w:eastAsia="黑体" w:cs="黑体"/>
                <w:b/>
                <w:bCs/>
                <w:color w:val="auto"/>
                <w:szCs w:val="21"/>
                <w:highlight w:val="none"/>
                <w:u w:val="single"/>
                <w:lang w:eastAsia="zh-CN"/>
              </w:rPr>
            </w:pPr>
            <w:r>
              <w:rPr>
                <w:rFonts w:hint="eastAsia" w:ascii="黑体" w:hAnsi="黑体" w:eastAsia="黑体" w:cs="黑体"/>
                <w:bCs/>
                <w:color w:val="auto"/>
                <w:szCs w:val="21"/>
                <w:highlight w:val="none"/>
              </w:rPr>
              <w:t>发包人：</w:t>
            </w:r>
            <w:r>
              <w:rPr>
                <w:rFonts w:hint="eastAsia" w:ascii="黑体" w:hAnsi="黑体" w:eastAsia="黑体" w:cs="黑体"/>
                <w:b/>
                <w:bCs/>
                <w:color w:val="auto"/>
                <w:szCs w:val="21"/>
                <w:highlight w:val="none"/>
                <w:u w:val="single"/>
                <w:lang w:eastAsia="zh-CN"/>
              </w:rPr>
              <w:t>新巴尔虎左旗住房建设和交通运输局</w:t>
            </w:r>
          </w:p>
          <w:p w14:paraId="1C059388">
            <w:pPr>
              <w:rPr>
                <w:rFonts w:hint="eastAsia" w:ascii="黑体" w:hAnsi="黑体" w:eastAsia="黑体" w:cs="黑体"/>
                <w:b/>
                <w:color w:val="auto"/>
                <w:szCs w:val="21"/>
                <w:highlight w:val="none"/>
                <w:u w:val="single"/>
              </w:rPr>
            </w:pPr>
            <w:r>
              <w:rPr>
                <w:rFonts w:hint="eastAsia" w:ascii="黑体" w:hAnsi="黑体" w:eastAsia="黑体" w:cs="黑体"/>
                <w:bCs/>
                <w:color w:val="auto"/>
                <w:szCs w:val="21"/>
                <w:highlight w:val="none"/>
              </w:rPr>
              <w:t>地  址：</w:t>
            </w:r>
            <w:r>
              <w:rPr>
                <w:rFonts w:hint="eastAsia" w:ascii="黑体" w:hAnsi="黑体" w:eastAsia="黑体" w:cs="黑体"/>
                <w:b/>
                <w:bCs w:val="0"/>
                <w:color w:val="auto"/>
                <w:szCs w:val="21"/>
                <w:highlight w:val="none"/>
                <w:u w:val="single"/>
                <w:lang w:eastAsia="zh-CN"/>
              </w:rPr>
              <w:t>新巴尔虎左旗阿木古郎镇呼格吉乐街和巴尔虎路交汇处向北1500米</w:t>
            </w:r>
          </w:p>
          <w:p w14:paraId="4FA7E37A">
            <w:pPr>
              <w:pStyle w:val="34"/>
              <w:shd w:val="clear" w:color="auto" w:fill="auto"/>
              <w:spacing w:before="0" w:line="240" w:lineRule="auto"/>
              <w:jc w:val="both"/>
              <w:rPr>
                <w:rFonts w:hint="eastAsia" w:ascii="黑体" w:hAnsi="黑体" w:eastAsia="黑体" w:cs="黑体"/>
                <w:color w:val="auto"/>
                <w:sz w:val="21"/>
                <w:szCs w:val="21"/>
                <w:highlight w:val="none"/>
              </w:rPr>
            </w:pPr>
            <w:r>
              <w:rPr>
                <w:rFonts w:hint="eastAsia" w:ascii="黑体" w:hAnsi="黑体" w:eastAsia="黑体" w:cs="黑体"/>
                <w:bCs/>
                <w:color w:val="auto"/>
                <w:kern w:val="2"/>
                <w:sz w:val="21"/>
                <w:szCs w:val="21"/>
                <w:highlight w:val="none"/>
                <w:lang w:val="en-US" w:eastAsia="zh-CN"/>
              </w:rPr>
              <w:t>邮政编码</w:t>
            </w:r>
            <w:r>
              <w:rPr>
                <w:rFonts w:hint="eastAsia" w:ascii="黑体" w:hAnsi="黑体" w:eastAsia="黑体" w:cs="黑体"/>
                <w:bCs/>
                <w:color w:val="auto"/>
                <w:sz w:val="21"/>
                <w:szCs w:val="21"/>
                <w:highlight w:val="none"/>
                <w:lang w:val="en-US" w:eastAsia="zh-CN"/>
              </w:rPr>
              <w:t>：</w:t>
            </w:r>
            <w:r>
              <w:rPr>
                <w:rFonts w:hint="eastAsia" w:ascii="黑体" w:hAnsi="黑体" w:eastAsia="黑体" w:cs="黑体"/>
                <w:b/>
                <w:bCs w:val="0"/>
                <w:color w:val="auto"/>
                <w:kern w:val="2"/>
                <w:sz w:val="21"/>
                <w:szCs w:val="21"/>
                <w:highlight w:val="none"/>
                <w:u w:val="single"/>
                <w:lang w:val="en-US" w:eastAsia="zh-CN" w:bidi="ar-SA"/>
              </w:rPr>
              <w:t>021000</w:t>
            </w:r>
          </w:p>
        </w:tc>
      </w:tr>
      <w:tr w14:paraId="2241C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6A97A362">
            <w:pPr>
              <w:shd w:val="clear" w:color="auto" w:fill="auto"/>
              <w:jc w:val="center"/>
              <w:rPr>
                <w:rFonts w:hint="eastAsia" w:ascii="黑体" w:hAnsi="黑体" w:eastAsia="黑体" w:cs="黑体"/>
                <w:color w:val="auto"/>
                <w:sz w:val="21"/>
                <w:szCs w:val="21"/>
                <w:highlight w:val="none"/>
                <w:lang w:val="zh-TW" w:eastAsia="zh-TW"/>
              </w:rPr>
            </w:pPr>
            <w:r>
              <w:rPr>
                <w:rFonts w:hint="eastAsia" w:ascii="黑体" w:hAnsi="黑体" w:eastAsia="黑体" w:cs="黑体"/>
                <w:color w:val="auto"/>
                <w:sz w:val="21"/>
                <w:szCs w:val="21"/>
                <w:highlight w:val="none"/>
              </w:rPr>
              <w:t>2</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6D2A8769">
            <w:pPr>
              <w:shd w:val="clear" w:color="auto" w:fill="auto"/>
              <w:jc w:val="center"/>
              <w:rPr>
                <w:rFonts w:hint="eastAsia" w:ascii="黑体" w:hAnsi="黑体" w:eastAsia="黑体" w:cs="黑体"/>
                <w:color w:val="auto"/>
                <w:sz w:val="21"/>
                <w:szCs w:val="21"/>
                <w:highlight w:val="none"/>
                <w:lang w:val="zh-TW" w:eastAsia="zh-TW"/>
              </w:rPr>
            </w:pPr>
            <w:r>
              <w:rPr>
                <w:rFonts w:hint="eastAsia" w:ascii="黑体" w:hAnsi="黑体" w:eastAsia="黑体" w:cs="黑体"/>
                <w:color w:val="auto"/>
                <w:sz w:val="21"/>
                <w:szCs w:val="21"/>
                <w:highlight w:val="none"/>
                <w:lang w:val="zh-TW" w:eastAsia="zh-TW"/>
              </w:rPr>
              <w:t>1.1.2.6</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6F63B1DF">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监理人：</w:t>
            </w:r>
            <w:r>
              <w:rPr>
                <w:rFonts w:hint="eastAsia" w:ascii="黑体" w:hAnsi="黑体" w:eastAsia="黑体" w:cs="黑体"/>
                <w:color w:val="auto"/>
                <w:szCs w:val="21"/>
                <w:highlight w:val="none"/>
                <w:u w:val="single"/>
              </w:rPr>
              <w:t xml:space="preserve">                     </w:t>
            </w:r>
          </w:p>
          <w:p w14:paraId="6FA13A11">
            <w:pPr>
              <w:rPr>
                <w:rStyle w:val="35"/>
                <w:rFonts w:hint="eastAsia" w:ascii="黑体" w:hAnsi="黑体" w:eastAsia="黑体" w:cs="黑体"/>
                <w:color w:val="auto"/>
                <w:sz w:val="21"/>
                <w:szCs w:val="21"/>
                <w:highlight w:val="none"/>
                <w:lang w:val="zh-TW"/>
              </w:rPr>
            </w:pPr>
            <w:r>
              <w:rPr>
                <w:rStyle w:val="35"/>
                <w:rFonts w:hint="eastAsia" w:ascii="黑体" w:hAnsi="黑体" w:eastAsia="黑体" w:cs="黑体"/>
                <w:color w:val="auto"/>
                <w:sz w:val="21"/>
                <w:szCs w:val="21"/>
                <w:highlight w:val="none"/>
                <w:lang w:val="zh-TW" w:eastAsia="zh-TW"/>
              </w:rPr>
              <w:t xml:space="preserve">地 </w:t>
            </w:r>
            <w:r>
              <w:rPr>
                <w:rStyle w:val="35"/>
                <w:rFonts w:hint="eastAsia" w:ascii="黑体" w:hAnsi="黑体" w:eastAsia="黑体" w:cs="黑体"/>
                <w:color w:val="auto"/>
                <w:sz w:val="21"/>
                <w:szCs w:val="21"/>
                <w:highlight w:val="none"/>
                <w:lang w:val="zh-TW"/>
              </w:rPr>
              <w:t xml:space="preserve"> </w:t>
            </w:r>
            <w:r>
              <w:rPr>
                <w:rStyle w:val="35"/>
                <w:rFonts w:hint="eastAsia" w:ascii="黑体" w:hAnsi="黑体" w:eastAsia="黑体" w:cs="黑体"/>
                <w:color w:val="auto"/>
                <w:sz w:val="21"/>
                <w:szCs w:val="21"/>
                <w:highlight w:val="none"/>
                <w:lang w:val="zh-TW" w:eastAsia="zh-TW"/>
              </w:rPr>
              <w:t>址：</w:t>
            </w:r>
            <w:r>
              <w:rPr>
                <w:rFonts w:hint="eastAsia" w:ascii="黑体" w:hAnsi="黑体" w:eastAsia="黑体" w:cs="黑体"/>
                <w:color w:val="auto"/>
                <w:szCs w:val="21"/>
                <w:highlight w:val="none"/>
                <w:u w:val="single"/>
              </w:rPr>
              <w:t xml:space="preserve">                     </w:t>
            </w:r>
          </w:p>
          <w:p w14:paraId="5F8820D8">
            <w:pPr>
              <w:shd w:val="clear" w:color="auto" w:fill="auto"/>
              <w:rPr>
                <w:rFonts w:hint="eastAsia" w:ascii="黑体" w:hAnsi="黑体" w:eastAsia="黑体" w:cs="黑体"/>
                <w:color w:val="auto"/>
                <w:szCs w:val="21"/>
                <w:highlight w:val="none"/>
                <w:u w:val="single"/>
              </w:rPr>
            </w:pPr>
            <w:r>
              <w:rPr>
                <w:rStyle w:val="35"/>
                <w:rFonts w:hint="eastAsia" w:ascii="黑体" w:hAnsi="黑体" w:eastAsia="黑体" w:cs="黑体"/>
                <w:color w:val="auto"/>
                <w:sz w:val="21"/>
                <w:szCs w:val="21"/>
                <w:highlight w:val="none"/>
                <w:lang w:val="zh-TW" w:eastAsia="zh-TW"/>
              </w:rPr>
              <w:t>邮政编码：</w:t>
            </w:r>
            <w:r>
              <w:rPr>
                <w:rFonts w:hint="eastAsia" w:ascii="黑体" w:hAnsi="黑体" w:eastAsia="黑体" w:cs="黑体"/>
                <w:color w:val="auto"/>
                <w:szCs w:val="21"/>
                <w:highlight w:val="none"/>
                <w:u w:val="single"/>
              </w:rPr>
              <w:t xml:space="preserve">                    </w:t>
            </w:r>
          </w:p>
          <w:p w14:paraId="12AF8940">
            <w:pPr>
              <w:shd w:val="clear" w:color="auto" w:fill="auto"/>
              <w:rPr>
                <w:rFonts w:hint="eastAsia" w:ascii="黑体" w:hAnsi="黑体" w:eastAsia="黑体" w:cs="黑体"/>
                <w:color w:val="auto"/>
                <w:sz w:val="21"/>
                <w:szCs w:val="21"/>
                <w:highlight w:val="none"/>
              </w:rPr>
            </w:pPr>
            <w:r>
              <w:rPr>
                <w:rFonts w:hint="eastAsia" w:ascii="黑体" w:hAnsi="黑体" w:eastAsia="黑体" w:cs="黑体"/>
                <w:bCs/>
                <w:color w:val="auto"/>
                <w:sz w:val="21"/>
                <w:szCs w:val="21"/>
                <w:highlight w:val="none"/>
              </w:rPr>
              <w:t>监理人名称将在签订合同协议书后，由发包人书面通知承包人</w:t>
            </w:r>
            <w:r>
              <w:rPr>
                <w:rFonts w:hint="eastAsia" w:ascii="黑体" w:hAnsi="黑体" w:eastAsia="黑体" w:cs="黑体"/>
                <w:color w:val="auto"/>
                <w:sz w:val="21"/>
                <w:szCs w:val="21"/>
                <w:highlight w:val="none"/>
              </w:rPr>
              <w:t>。</w:t>
            </w:r>
          </w:p>
        </w:tc>
      </w:tr>
      <w:tr w14:paraId="1F7BB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53AB48CF">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rPr>
              <w:t>3</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2B7E1D50">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1.1.4.5</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350537A5">
            <w:pPr>
              <w:pStyle w:val="34"/>
              <w:shd w:val="clear" w:color="auto" w:fill="auto"/>
              <w:spacing w:before="0" w:line="240" w:lineRule="auto"/>
              <w:jc w:val="both"/>
              <w:rPr>
                <w:rFonts w:hint="eastAsia" w:ascii="黑体" w:hAnsi="黑体" w:eastAsia="黑体" w:cs="黑体"/>
                <w:color w:val="auto"/>
                <w:sz w:val="21"/>
                <w:szCs w:val="21"/>
                <w:highlight w:val="none"/>
              </w:rPr>
            </w:pPr>
            <w:r>
              <w:rPr>
                <w:rStyle w:val="35"/>
                <w:rFonts w:hint="eastAsia" w:ascii="黑体" w:hAnsi="黑体" w:eastAsia="黑体" w:cs="黑体"/>
                <w:color w:val="auto"/>
                <w:sz w:val="21"/>
                <w:szCs w:val="21"/>
                <w:highlight w:val="none"/>
                <w:lang w:val="zh-TW" w:eastAsia="zh-TW"/>
              </w:rPr>
              <w:t>缺陷责任期：自实际交工日期起计算</w:t>
            </w:r>
            <w:r>
              <w:rPr>
                <w:rStyle w:val="35"/>
                <w:rFonts w:hint="eastAsia" w:ascii="黑体" w:hAnsi="黑体" w:eastAsia="黑体" w:cs="黑体"/>
                <w:color w:val="auto"/>
                <w:sz w:val="21"/>
                <w:szCs w:val="21"/>
                <w:highlight w:val="none"/>
                <w:u w:val="single"/>
                <w:lang w:val="en-US" w:eastAsia="zh-CN"/>
              </w:rPr>
              <w:t>1</w:t>
            </w:r>
            <w:r>
              <w:rPr>
                <w:rStyle w:val="35"/>
                <w:rFonts w:hint="eastAsia" w:ascii="黑体" w:hAnsi="黑体" w:eastAsia="黑体" w:cs="黑体"/>
                <w:color w:val="auto"/>
                <w:sz w:val="21"/>
                <w:szCs w:val="21"/>
                <w:highlight w:val="none"/>
                <w:lang w:val="en-US" w:eastAsia="zh-CN"/>
              </w:rPr>
              <w:t>年</w:t>
            </w:r>
          </w:p>
        </w:tc>
      </w:tr>
      <w:tr w14:paraId="300C3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1340B01A">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rPr>
              <w:t>4</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3318C3EF">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1.6.3</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31A16F33">
            <w:pPr>
              <w:pStyle w:val="34"/>
              <w:shd w:val="clear" w:color="auto" w:fill="auto"/>
              <w:spacing w:before="0" w:line="240" w:lineRule="auto"/>
              <w:jc w:val="both"/>
              <w:rPr>
                <w:rFonts w:hint="eastAsia" w:ascii="黑体" w:hAnsi="黑体" w:eastAsia="黑体" w:cs="黑体"/>
                <w:color w:val="auto"/>
                <w:sz w:val="21"/>
                <w:szCs w:val="21"/>
                <w:highlight w:val="none"/>
              </w:rPr>
            </w:pPr>
            <w:r>
              <w:rPr>
                <w:rStyle w:val="35"/>
                <w:rFonts w:hint="eastAsia" w:ascii="黑体" w:hAnsi="黑体" w:eastAsia="黑体" w:cs="黑体"/>
                <w:color w:val="auto"/>
                <w:sz w:val="21"/>
                <w:szCs w:val="21"/>
                <w:highlight w:val="none"/>
                <w:lang w:val="zh-TW" w:eastAsia="zh-TW"/>
              </w:rPr>
              <w:t>图纸需要修改和补充的，应由监理人取得发包人同意后，在该工程或工程相应部位施工前14天签发图纸修改图给承包人</w:t>
            </w:r>
          </w:p>
        </w:tc>
      </w:tr>
      <w:tr w14:paraId="3C23A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tcBorders>
              <w:top w:val="single" w:color="auto" w:sz="4" w:space="0"/>
              <w:left w:val="single" w:color="auto" w:sz="4" w:space="0"/>
              <w:bottom w:val="single" w:color="auto" w:sz="4" w:space="0"/>
              <w:right w:val="single" w:color="auto" w:sz="4" w:space="0"/>
            </w:tcBorders>
            <w:noWrap w:val="0"/>
            <w:vAlign w:val="center"/>
          </w:tcPr>
          <w:p w14:paraId="72209880">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rPr>
              <w:t>5</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20C07F92">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3.1.1</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7835622E">
            <w:pPr>
              <w:pStyle w:val="34"/>
              <w:shd w:val="clear" w:color="auto" w:fill="auto"/>
              <w:spacing w:before="0" w:line="240" w:lineRule="auto"/>
              <w:jc w:val="both"/>
              <w:rPr>
                <w:rFonts w:hint="eastAsia" w:ascii="黑体" w:hAnsi="黑体" w:eastAsia="黑体" w:cs="黑体"/>
                <w:color w:val="auto"/>
                <w:sz w:val="21"/>
                <w:szCs w:val="21"/>
                <w:highlight w:val="none"/>
              </w:rPr>
            </w:pPr>
            <w:r>
              <w:rPr>
                <w:rStyle w:val="35"/>
                <w:rFonts w:hint="eastAsia" w:ascii="黑体" w:hAnsi="黑体" w:eastAsia="黑体" w:cs="黑体"/>
                <w:color w:val="auto"/>
                <w:sz w:val="21"/>
                <w:szCs w:val="21"/>
                <w:highlight w:val="none"/>
                <w:lang w:val="zh-TW" w:eastAsia="zh-TW"/>
              </w:rPr>
              <w:t>监理人在行使下列权力前需要经发包人事先批准：</w:t>
            </w:r>
          </w:p>
          <w:p w14:paraId="55CC3ECA">
            <w:pPr>
              <w:pStyle w:val="34"/>
              <w:shd w:val="clear" w:color="auto" w:fill="auto"/>
              <w:spacing w:before="0" w:line="240" w:lineRule="auto"/>
              <w:jc w:val="both"/>
              <w:rPr>
                <w:rFonts w:hint="eastAsia" w:ascii="黑体" w:hAnsi="黑体" w:eastAsia="黑体" w:cs="黑体"/>
                <w:color w:val="auto"/>
                <w:sz w:val="21"/>
                <w:szCs w:val="21"/>
                <w:highlight w:val="none"/>
              </w:rPr>
            </w:pPr>
            <w:r>
              <w:rPr>
                <w:rStyle w:val="35"/>
                <w:rFonts w:hint="eastAsia" w:ascii="黑体" w:hAnsi="黑体" w:eastAsia="黑体" w:cs="黑体"/>
                <w:color w:val="auto"/>
                <w:sz w:val="21"/>
                <w:szCs w:val="21"/>
                <w:highlight w:val="none"/>
              </w:rPr>
              <w:t>（6）</w:t>
            </w:r>
            <w:r>
              <w:rPr>
                <w:rStyle w:val="35"/>
                <w:rFonts w:hint="eastAsia" w:ascii="黑体" w:hAnsi="黑体" w:eastAsia="黑体" w:cs="黑体"/>
                <w:color w:val="auto"/>
                <w:sz w:val="21"/>
                <w:szCs w:val="21"/>
                <w:highlight w:val="none"/>
                <w:lang w:val="zh-TW" w:eastAsia="zh-TW"/>
              </w:rPr>
              <w:t>根据第</w:t>
            </w:r>
            <w:r>
              <w:rPr>
                <w:rStyle w:val="35"/>
                <w:rFonts w:hint="eastAsia" w:ascii="黑体" w:hAnsi="黑体" w:eastAsia="黑体" w:cs="黑体"/>
                <w:color w:val="auto"/>
                <w:sz w:val="21"/>
                <w:szCs w:val="21"/>
                <w:highlight w:val="none"/>
                <w:lang w:val="en-US" w:eastAsia="zh-CN"/>
              </w:rPr>
              <w:t>15.3</w:t>
            </w:r>
            <w:r>
              <w:rPr>
                <w:rStyle w:val="35"/>
                <w:rFonts w:hint="eastAsia" w:ascii="黑体" w:hAnsi="黑体" w:eastAsia="黑体" w:cs="黑体"/>
                <w:color w:val="auto"/>
                <w:sz w:val="21"/>
                <w:szCs w:val="21"/>
                <w:highlight w:val="none"/>
                <w:lang w:val="zh-TW" w:eastAsia="zh-TW"/>
              </w:rPr>
              <w:t>款发出的变更指示，</w:t>
            </w:r>
            <w:r>
              <w:rPr>
                <w:rFonts w:hint="eastAsia" w:ascii="黑体" w:hAnsi="黑体" w:eastAsia="黑体" w:cs="黑体"/>
                <w:color w:val="auto"/>
                <w:sz w:val="21"/>
                <w:szCs w:val="21"/>
                <w:highlight w:val="none"/>
                <w:lang w:val="en-US" w:eastAsia="zh-TW"/>
              </w:rPr>
              <w:t>其单项工程变更涉及至合同金额变化的均须得到发包人的批准</w:t>
            </w:r>
          </w:p>
        </w:tc>
      </w:tr>
      <w:tr w14:paraId="49870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411A200F">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rPr>
              <w:t>6</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435C0F58">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5.2.1</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474D83C4">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发包人是否提供材料或工程设备：</w:t>
            </w:r>
            <w:r>
              <w:rPr>
                <w:rFonts w:hint="eastAsia" w:ascii="黑体" w:hAnsi="黑体" w:eastAsia="黑体" w:cs="黑体"/>
                <w:b/>
                <w:color w:val="auto"/>
                <w:sz w:val="21"/>
                <w:szCs w:val="21"/>
                <w:highlight w:val="none"/>
                <w:u w:val="single"/>
                <w:lang w:val="en-US" w:eastAsia="zh-TW"/>
              </w:rPr>
              <w:t>否</w:t>
            </w:r>
          </w:p>
          <w:p w14:paraId="06788013">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CN"/>
              </w:rPr>
            </w:pPr>
            <w:r>
              <w:rPr>
                <w:rStyle w:val="35"/>
                <w:rFonts w:hint="eastAsia" w:ascii="黑体" w:hAnsi="黑体" w:eastAsia="黑体" w:cs="黑体"/>
                <w:color w:val="auto"/>
                <w:sz w:val="21"/>
                <w:szCs w:val="21"/>
                <w:highlight w:val="none"/>
                <w:lang w:val="zh-TW" w:eastAsia="zh-TW"/>
              </w:rPr>
              <w:t>如发包人负责提供部分材料或工程设备，相关规定如下：</w:t>
            </w:r>
            <w:r>
              <w:rPr>
                <w:rFonts w:hint="eastAsia" w:ascii="黑体" w:hAnsi="黑体" w:eastAsia="黑体" w:cs="黑体"/>
                <w:b/>
                <w:color w:val="auto"/>
                <w:sz w:val="21"/>
                <w:szCs w:val="21"/>
                <w:highlight w:val="none"/>
                <w:u w:val="single"/>
                <w:lang w:val="en-US" w:eastAsia="zh-TW"/>
              </w:rPr>
              <w:t>不适用</w:t>
            </w:r>
          </w:p>
        </w:tc>
      </w:tr>
      <w:tr w14:paraId="50394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6FD00859">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rPr>
              <w:t>7</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0DFD3184">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6.2</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1EAEE1EF">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发包人是否提供施工设备和临时设施：</w:t>
            </w:r>
            <w:r>
              <w:rPr>
                <w:rFonts w:hint="eastAsia" w:ascii="黑体" w:hAnsi="黑体" w:eastAsia="黑体" w:cs="黑体"/>
                <w:b/>
                <w:color w:val="auto"/>
                <w:sz w:val="21"/>
                <w:szCs w:val="21"/>
                <w:highlight w:val="none"/>
                <w:u w:val="single"/>
                <w:lang w:val="en-US" w:eastAsia="zh-TW"/>
              </w:rPr>
              <w:t>否</w:t>
            </w:r>
          </w:p>
          <w:p w14:paraId="09114F35">
            <w:pPr>
              <w:pStyle w:val="34"/>
              <w:shd w:val="clear" w:color="auto" w:fill="auto"/>
              <w:spacing w:before="0" w:line="240" w:lineRule="auto"/>
              <w:jc w:val="both"/>
              <w:rPr>
                <w:rFonts w:hint="eastAsia" w:ascii="黑体" w:hAnsi="黑体" w:eastAsia="黑体" w:cs="黑体"/>
                <w:color w:val="auto"/>
                <w:sz w:val="21"/>
                <w:szCs w:val="21"/>
                <w:highlight w:val="none"/>
              </w:rPr>
            </w:pPr>
            <w:r>
              <w:rPr>
                <w:rStyle w:val="35"/>
                <w:rFonts w:hint="eastAsia" w:ascii="黑体" w:hAnsi="黑体" w:eastAsia="黑体" w:cs="黑体"/>
                <w:color w:val="auto"/>
                <w:sz w:val="21"/>
                <w:szCs w:val="21"/>
                <w:highlight w:val="none"/>
                <w:lang w:val="zh-TW" w:eastAsia="zh-TW"/>
              </w:rPr>
              <w:t>如发包人负责提供部分施工设备和临时设施，相关规定如下：</w:t>
            </w:r>
            <w:r>
              <w:rPr>
                <w:rFonts w:hint="eastAsia" w:ascii="黑体" w:hAnsi="黑体" w:eastAsia="黑体" w:cs="黑体"/>
                <w:b/>
                <w:color w:val="auto"/>
                <w:sz w:val="21"/>
                <w:szCs w:val="21"/>
                <w:highlight w:val="none"/>
                <w:u w:val="single"/>
                <w:lang w:val="en-US" w:eastAsia="zh-TW"/>
              </w:rPr>
              <w:t>不适用</w:t>
            </w:r>
          </w:p>
        </w:tc>
      </w:tr>
      <w:tr w14:paraId="0CE21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7A1FAA2D">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rPr>
              <w:t>8</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2DCD5CE9">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8.1.1</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0AB4CB42">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发包人提供测</w:t>
            </w:r>
            <w:r>
              <w:rPr>
                <w:rStyle w:val="35"/>
                <w:rFonts w:hint="eastAsia" w:ascii="黑体" w:hAnsi="黑体" w:eastAsia="黑体" w:cs="黑体"/>
                <w:color w:val="auto"/>
                <w:sz w:val="21"/>
                <w:szCs w:val="21"/>
                <w:highlight w:val="none"/>
                <w:lang w:val="en-US" w:eastAsia="zh-CN"/>
              </w:rPr>
              <w:t>量</w:t>
            </w:r>
            <w:r>
              <w:rPr>
                <w:rStyle w:val="35"/>
                <w:rFonts w:hint="eastAsia" w:ascii="黑体" w:hAnsi="黑体" w:eastAsia="黑体" w:cs="黑体"/>
                <w:color w:val="auto"/>
                <w:sz w:val="21"/>
                <w:szCs w:val="21"/>
                <w:highlight w:val="none"/>
                <w:lang w:val="zh-TW" w:eastAsia="zh-TW"/>
              </w:rPr>
              <w:t>基准点、基准线和水准点及其书面资料的期限：</w:t>
            </w:r>
            <w:r>
              <w:rPr>
                <w:rFonts w:hint="eastAsia" w:ascii="黑体" w:hAnsi="黑体" w:eastAsia="黑体" w:cs="黑体"/>
                <w:b/>
                <w:color w:val="auto"/>
                <w:sz w:val="21"/>
                <w:szCs w:val="21"/>
                <w:highlight w:val="none"/>
                <w:u w:val="single"/>
                <w:lang w:val="en-US" w:eastAsia="zh-TW"/>
              </w:rPr>
              <w:t>发出开工通知后7天内</w:t>
            </w:r>
          </w:p>
          <w:p w14:paraId="44D172C8">
            <w:pPr>
              <w:pStyle w:val="34"/>
              <w:shd w:val="clear" w:color="auto" w:fill="auto"/>
              <w:spacing w:before="0" w:line="240" w:lineRule="auto"/>
              <w:jc w:val="both"/>
              <w:rPr>
                <w:rFonts w:hint="eastAsia" w:ascii="黑体" w:hAnsi="黑体" w:eastAsia="黑体" w:cs="黑体"/>
                <w:color w:val="auto"/>
                <w:sz w:val="21"/>
                <w:szCs w:val="21"/>
                <w:highlight w:val="none"/>
              </w:rPr>
            </w:pPr>
            <w:r>
              <w:rPr>
                <w:rStyle w:val="35"/>
                <w:rFonts w:hint="eastAsia" w:ascii="黑体" w:hAnsi="黑体" w:eastAsia="黑体" w:cs="黑体"/>
                <w:color w:val="auto"/>
                <w:sz w:val="21"/>
                <w:szCs w:val="21"/>
                <w:highlight w:val="none"/>
                <w:lang w:val="zh-TW" w:eastAsia="zh-TW"/>
              </w:rPr>
              <w:t>承包人将施工控制网资料报送监理人审批的期限：</w:t>
            </w:r>
            <w:r>
              <w:rPr>
                <w:rFonts w:hint="eastAsia" w:ascii="黑体" w:hAnsi="黑体" w:eastAsia="黑体" w:cs="黑体"/>
                <w:b/>
                <w:color w:val="auto"/>
                <w:sz w:val="21"/>
                <w:szCs w:val="21"/>
                <w:highlight w:val="none"/>
                <w:u w:val="single"/>
                <w:lang w:val="en-US" w:eastAsia="zh-TW"/>
              </w:rPr>
              <w:t>收到测量基准点、基准线和水准点及其书面资料后14天内</w:t>
            </w:r>
          </w:p>
        </w:tc>
      </w:tr>
      <w:tr w14:paraId="4FA18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7283F654">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rPr>
              <w:t>9</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47594FF5">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11.5（3）</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38E9AB9D">
            <w:pPr>
              <w:pStyle w:val="34"/>
              <w:shd w:val="clear" w:color="auto" w:fill="auto"/>
              <w:spacing w:before="0" w:line="240" w:lineRule="auto"/>
              <w:jc w:val="both"/>
              <w:rPr>
                <w:rFonts w:hint="eastAsia" w:ascii="黑体" w:hAnsi="黑体" w:eastAsia="黑体" w:cs="黑体"/>
                <w:color w:val="auto"/>
                <w:sz w:val="21"/>
                <w:szCs w:val="21"/>
                <w:highlight w:val="none"/>
              </w:rPr>
            </w:pPr>
            <w:r>
              <w:rPr>
                <w:rStyle w:val="35"/>
                <w:rFonts w:hint="eastAsia" w:ascii="黑体" w:hAnsi="黑体" w:eastAsia="黑体" w:cs="黑体"/>
                <w:color w:val="auto"/>
                <w:sz w:val="21"/>
                <w:szCs w:val="21"/>
                <w:highlight w:val="none"/>
                <w:lang w:val="zh-TW" w:eastAsia="zh-TW"/>
              </w:rPr>
              <w:t>逾期交工违约金：</w:t>
            </w:r>
            <w:r>
              <w:rPr>
                <w:rFonts w:hint="eastAsia" w:ascii="黑体" w:hAnsi="黑体" w:eastAsia="黑体" w:cs="黑体"/>
                <w:b/>
                <w:color w:val="auto"/>
                <w:sz w:val="21"/>
                <w:szCs w:val="21"/>
                <w:highlight w:val="none"/>
                <w:u w:val="single"/>
                <w:lang w:val="en-US" w:eastAsia="zh-CN"/>
              </w:rPr>
              <w:t>0.1%签约合同价</w:t>
            </w:r>
            <w:r>
              <w:rPr>
                <w:rStyle w:val="35"/>
                <w:rFonts w:hint="eastAsia" w:ascii="黑体" w:hAnsi="黑体" w:eastAsia="黑体" w:cs="黑体"/>
                <w:color w:val="auto"/>
                <w:sz w:val="21"/>
                <w:szCs w:val="21"/>
                <w:highlight w:val="none"/>
                <w:lang w:val="zh-TW" w:eastAsia="zh-TW"/>
              </w:rPr>
              <w:t>/天</w:t>
            </w:r>
          </w:p>
        </w:tc>
      </w:tr>
      <w:tr w14:paraId="14F09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0D1ED855">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rPr>
              <w:t>10</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677933EC">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11.5（3）</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708225E0">
            <w:pPr>
              <w:pStyle w:val="34"/>
              <w:shd w:val="clear" w:color="auto" w:fill="auto"/>
              <w:spacing w:before="0" w:line="240" w:lineRule="auto"/>
              <w:jc w:val="both"/>
              <w:rPr>
                <w:rFonts w:hint="eastAsia" w:ascii="黑体" w:hAnsi="黑体" w:eastAsia="黑体" w:cs="黑体"/>
                <w:color w:val="auto"/>
                <w:sz w:val="21"/>
                <w:szCs w:val="21"/>
                <w:highlight w:val="none"/>
              </w:rPr>
            </w:pPr>
            <w:r>
              <w:rPr>
                <w:rStyle w:val="35"/>
                <w:rFonts w:hint="eastAsia" w:ascii="黑体" w:hAnsi="黑体" w:eastAsia="黑体" w:cs="黑体"/>
                <w:color w:val="auto"/>
                <w:sz w:val="21"/>
                <w:szCs w:val="21"/>
                <w:highlight w:val="none"/>
                <w:lang w:val="zh-TW" w:eastAsia="zh-TW"/>
              </w:rPr>
              <w:t>逾期交工违约金限额：</w:t>
            </w:r>
            <w:r>
              <w:rPr>
                <w:rFonts w:hint="eastAsia" w:ascii="黑体" w:hAnsi="黑体" w:eastAsia="黑体" w:cs="黑体"/>
                <w:b/>
                <w:color w:val="auto"/>
                <w:sz w:val="21"/>
                <w:szCs w:val="21"/>
                <w:highlight w:val="none"/>
                <w:u w:val="single"/>
                <w:lang w:val="en-US" w:eastAsia="zh-CN"/>
              </w:rPr>
              <w:t>10</w:t>
            </w:r>
            <w:r>
              <w:rPr>
                <w:rStyle w:val="35"/>
                <w:rFonts w:hint="eastAsia" w:ascii="黑体" w:hAnsi="黑体" w:eastAsia="黑体" w:cs="黑体"/>
                <w:color w:val="auto"/>
                <w:sz w:val="21"/>
                <w:szCs w:val="21"/>
                <w:highlight w:val="none"/>
                <w:lang w:val="zh-TW" w:eastAsia="zh-TW"/>
              </w:rPr>
              <w:t>％签约合同价</w:t>
            </w:r>
          </w:p>
        </w:tc>
      </w:tr>
      <w:tr w14:paraId="51428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0AA7774E">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11</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6480635E">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11.6</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1CBEAA57">
            <w:pPr>
              <w:pStyle w:val="34"/>
              <w:shd w:val="clear" w:color="auto" w:fill="auto"/>
              <w:spacing w:before="0" w:line="240" w:lineRule="auto"/>
              <w:jc w:val="both"/>
              <w:rPr>
                <w:rFonts w:hint="eastAsia" w:ascii="黑体" w:hAnsi="黑体" w:eastAsia="黑体" w:cs="黑体"/>
                <w:color w:val="auto"/>
                <w:sz w:val="21"/>
                <w:szCs w:val="21"/>
                <w:highlight w:val="none"/>
              </w:rPr>
            </w:pPr>
            <w:r>
              <w:rPr>
                <w:rStyle w:val="35"/>
                <w:rFonts w:hint="eastAsia" w:ascii="黑体" w:hAnsi="黑体" w:eastAsia="黑体" w:cs="黑体"/>
                <w:color w:val="auto"/>
                <w:sz w:val="21"/>
                <w:szCs w:val="21"/>
                <w:highlight w:val="none"/>
                <w:lang w:val="zh-TW" w:eastAsia="zh-TW"/>
              </w:rPr>
              <w:t>提前交工的奖金：</w:t>
            </w:r>
            <w:r>
              <w:rPr>
                <w:rFonts w:hint="eastAsia" w:ascii="黑体" w:hAnsi="黑体" w:eastAsia="黑体" w:cs="黑体"/>
                <w:b/>
                <w:color w:val="auto"/>
                <w:sz w:val="21"/>
                <w:szCs w:val="21"/>
                <w:highlight w:val="none"/>
                <w:u w:val="single"/>
                <w:lang w:val="en-US" w:eastAsia="zh-CN"/>
              </w:rPr>
              <w:t>不适用</w:t>
            </w:r>
          </w:p>
        </w:tc>
      </w:tr>
      <w:tr w14:paraId="6EB1E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35BE2660">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12</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75E742F3">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11.6</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3420A285">
            <w:pPr>
              <w:pStyle w:val="34"/>
              <w:shd w:val="clear" w:color="auto" w:fill="auto"/>
              <w:spacing w:before="0" w:line="240" w:lineRule="auto"/>
              <w:jc w:val="both"/>
              <w:rPr>
                <w:rFonts w:hint="eastAsia" w:ascii="黑体" w:hAnsi="黑体" w:eastAsia="黑体" w:cs="黑体"/>
                <w:color w:val="auto"/>
                <w:sz w:val="21"/>
                <w:szCs w:val="21"/>
                <w:highlight w:val="none"/>
              </w:rPr>
            </w:pPr>
            <w:r>
              <w:rPr>
                <w:rStyle w:val="35"/>
                <w:rFonts w:hint="eastAsia" w:ascii="黑体" w:hAnsi="黑体" w:eastAsia="黑体" w:cs="黑体"/>
                <w:color w:val="auto"/>
                <w:sz w:val="21"/>
                <w:szCs w:val="21"/>
                <w:highlight w:val="none"/>
                <w:lang w:val="zh-TW" w:eastAsia="zh-TW"/>
              </w:rPr>
              <w:t>提前交工的奖金限额：</w:t>
            </w:r>
            <w:r>
              <w:rPr>
                <w:rFonts w:hint="eastAsia" w:ascii="黑体" w:hAnsi="黑体" w:eastAsia="黑体" w:cs="黑体"/>
                <w:b/>
                <w:color w:val="auto"/>
                <w:sz w:val="21"/>
                <w:szCs w:val="21"/>
                <w:highlight w:val="none"/>
                <w:u w:val="single"/>
                <w:lang w:val="en-US" w:eastAsia="zh-CN"/>
              </w:rPr>
              <w:t>不适用</w:t>
            </w:r>
          </w:p>
        </w:tc>
      </w:tr>
      <w:tr w14:paraId="2BE44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0ADAE784">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13</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6B59A81B">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15.5.2</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71787ABA">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CN"/>
              </w:rPr>
            </w:pPr>
            <w:r>
              <w:rPr>
                <w:rStyle w:val="35"/>
                <w:rFonts w:hint="eastAsia" w:ascii="黑体" w:hAnsi="黑体" w:eastAsia="黑体" w:cs="黑体"/>
                <w:color w:val="auto"/>
                <w:sz w:val="21"/>
                <w:szCs w:val="21"/>
                <w:highlight w:val="none"/>
                <w:lang w:val="zh-TW" w:eastAsia="zh-TW"/>
              </w:rPr>
              <w:t>承包人提出的合理化建议降低了合同价格或者提高了工程经济效益的</w:t>
            </w:r>
            <w:r>
              <w:rPr>
                <w:rStyle w:val="35"/>
                <w:rFonts w:hint="eastAsia" w:ascii="黑体" w:hAnsi="黑体" w:eastAsia="黑体" w:cs="黑体"/>
                <w:color w:val="auto"/>
                <w:sz w:val="21"/>
                <w:szCs w:val="21"/>
                <w:highlight w:val="none"/>
                <w:lang w:val="zh-TW" w:eastAsia="zh-CN"/>
              </w:rPr>
              <w:t>，</w:t>
            </w:r>
            <w:r>
              <w:rPr>
                <w:rStyle w:val="35"/>
                <w:rFonts w:hint="eastAsia" w:ascii="黑体" w:hAnsi="黑体" w:eastAsia="黑体" w:cs="黑体"/>
                <w:color w:val="auto"/>
                <w:sz w:val="21"/>
                <w:szCs w:val="21"/>
                <w:highlight w:val="none"/>
                <w:lang w:val="zh-TW" w:eastAsia="zh-TW"/>
              </w:rPr>
              <w:t>发包人按所节约成本的</w:t>
            </w:r>
            <w:r>
              <w:rPr>
                <w:rStyle w:val="35"/>
                <w:rFonts w:hint="eastAsia" w:ascii="黑体" w:hAnsi="黑体" w:eastAsia="黑体" w:cs="黑体"/>
                <w:color w:val="auto"/>
                <w:sz w:val="21"/>
                <w:szCs w:val="21"/>
                <w:highlight w:val="none"/>
                <w:u w:val="single"/>
                <w:lang w:val="zh-TW" w:eastAsia="zh-TW"/>
              </w:rPr>
              <w:t xml:space="preserve">   </w:t>
            </w:r>
            <w:r>
              <w:rPr>
                <w:rStyle w:val="35"/>
                <w:rFonts w:hint="eastAsia" w:ascii="黑体" w:hAnsi="黑体" w:eastAsia="黑体" w:cs="黑体"/>
                <w:color w:val="auto"/>
                <w:sz w:val="21"/>
                <w:szCs w:val="21"/>
                <w:highlight w:val="none"/>
                <w:lang w:val="zh-TW" w:eastAsia="zh-TW"/>
              </w:rPr>
              <w:t>％或增加收益的</w:t>
            </w:r>
            <w:r>
              <w:rPr>
                <w:rStyle w:val="35"/>
                <w:rFonts w:hint="eastAsia" w:ascii="黑体" w:hAnsi="黑体" w:eastAsia="黑体" w:cs="黑体"/>
                <w:color w:val="auto"/>
                <w:sz w:val="21"/>
                <w:szCs w:val="21"/>
                <w:highlight w:val="none"/>
                <w:u w:val="single"/>
                <w:lang w:val="zh-TW" w:eastAsia="zh-TW"/>
              </w:rPr>
              <w:t xml:space="preserve">   </w:t>
            </w:r>
            <w:r>
              <w:rPr>
                <w:rStyle w:val="35"/>
                <w:rFonts w:hint="eastAsia" w:ascii="黑体" w:hAnsi="黑体" w:eastAsia="黑体" w:cs="黑体"/>
                <w:color w:val="auto"/>
                <w:sz w:val="21"/>
                <w:szCs w:val="21"/>
                <w:highlight w:val="none"/>
                <w:lang w:val="zh-TW" w:eastAsia="zh-TW"/>
              </w:rPr>
              <w:t>％给予奖励</w:t>
            </w:r>
            <w:r>
              <w:rPr>
                <w:rStyle w:val="35"/>
                <w:rFonts w:hint="eastAsia" w:ascii="黑体" w:hAnsi="黑体" w:eastAsia="黑体" w:cs="黑体"/>
                <w:color w:val="auto"/>
                <w:sz w:val="21"/>
                <w:szCs w:val="21"/>
                <w:highlight w:val="none"/>
                <w:lang w:val="zh-TW" w:eastAsia="zh-CN"/>
              </w:rPr>
              <w:t>：</w:t>
            </w:r>
            <w:r>
              <w:rPr>
                <w:rFonts w:hint="eastAsia" w:ascii="黑体" w:hAnsi="黑体" w:eastAsia="黑体" w:cs="黑体"/>
                <w:b/>
                <w:color w:val="auto"/>
                <w:sz w:val="21"/>
                <w:szCs w:val="21"/>
                <w:highlight w:val="none"/>
                <w:u w:val="single"/>
                <w:lang w:val="en-US" w:eastAsia="zh-CN"/>
              </w:rPr>
              <w:t>不适用</w:t>
            </w:r>
          </w:p>
        </w:tc>
      </w:tr>
      <w:tr w14:paraId="28468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tcBorders>
              <w:top w:val="single" w:color="auto" w:sz="4" w:space="0"/>
              <w:left w:val="single" w:color="auto" w:sz="4" w:space="0"/>
              <w:bottom w:val="single" w:color="auto" w:sz="4" w:space="0"/>
              <w:right w:val="single" w:color="auto" w:sz="4" w:space="0"/>
            </w:tcBorders>
            <w:noWrap w:val="0"/>
            <w:vAlign w:val="center"/>
          </w:tcPr>
          <w:p w14:paraId="595C852C">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14</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73C83070">
            <w:pPr>
              <w:pStyle w:val="34"/>
              <w:shd w:val="clear" w:color="auto" w:fill="auto"/>
              <w:spacing w:before="0" w:line="240" w:lineRule="auto"/>
              <w:jc w:val="center"/>
              <w:rPr>
                <w:rFonts w:hint="eastAsia" w:ascii="黑体" w:hAnsi="黑体" w:eastAsia="黑体" w:cs="黑体"/>
                <w:color w:val="auto"/>
                <w:sz w:val="21"/>
                <w:szCs w:val="21"/>
                <w:highlight w:val="none"/>
              </w:rPr>
            </w:pPr>
            <w:r>
              <w:rPr>
                <w:rStyle w:val="35"/>
                <w:rFonts w:hint="eastAsia" w:ascii="黑体" w:hAnsi="黑体" w:eastAsia="黑体" w:cs="黑体"/>
                <w:color w:val="auto"/>
                <w:sz w:val="21"/>
                <w:szCs w:val="21"/>
                <w:highlight w:val="none"/>
              </w:rPr>
              <w:t>16.1</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32BC1FC7">
            <w:pPr>
              <w:shd w:val="clear" w:color="auto" w:fill="auto"/>
              <w:topLinePunct/>
              <w:spacing w:line="360" w:lineRule="atLeast"/>
              <w:rPr>
                <w:rFonts w:hint="eastAsia" w:ascii="黑体" w:hAnsi="黑体" w:eastAsia="黑体" w:cs="黑体"/>
                <w:b/>
                <w:color w:val="auto"/>
                <w:sz w:val="21"/>
                <w:szCs w:val="21"/>
                <w:highlight w:val="none"/>
              </w:rPr>
            </w:pPr>
            <w:r>
              <w:rPr>
                <w:rFonts w:hint="eastAsia" w:ascii="黑体" w:hAnsi="黑体" w:eastAsia="黑体" w:cs="黑体"/>
                <w:color w:val="auto"/>
                <w:sz w:val="21"/>
                <w:szCs w:val="21"/>
                <w:highlight w:val="none"/>
                <w:lang w:eastAsia="zh-CN"/>
              </w:rPr>
              <w:t>☑</w:t>
            </w:r>
            <w:r>
              <w:rPr>
                <w:rFonts w:hint="eastAsia" w:ascii="黑体" w:hAnsi="黑体" w:eastAsia="黑体" w:cs="黑体"/>
                <w:color w:val="auto"/>
                <w:sz w:val="21"/>
                <w:szCs w:val="21"/>
                <w:highlight w:val="none"/>
              </w:rPr>
              <w:t>合同期内不调价</w:t>
            </w:r>
          </w:p>
          <w:p w14:paraId="55527652">
            <w:pPr>
              <w:shd w:val="clear" w:color="auto" w:fill="auto"/>
              <w:topLinePunct/>
              <w:spacing w:line="360" w:lineRule="atLeast"/>
              <w:rPr>
                <w:rStyle w:val="35"/>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rPr>
              <w:t>□因物价波动引起的价格调整按照</w:t>
            </w:r>
            <w:r>
              <w:rPr>
                <w:rFonts w:hint="eastAsia" w:ascii="黑体" w:hAnsi="黑体" w:eastAsia="黑体" w:cs="黑体"/>
                <w:color w:val="auto"/>
                <w:sz w:val="21"/>
                <w:szCs w:val="21"/>
                <w:highlight w:val="none"/>
                <w:u w:val="single"/>
              </w:rPr>
              <w:t>第16.1.2项</w:t>
            </w:r>
            <w:r>
              <w:rPr>
                <w:rFonts w:hint="eastAsia" w:ascii="黑体" w:hAnsi="黑体" w:eastAsia="黑体" w:cs="黑体"/>
                <w:color w:val="auto"/>
                <w:sz w:val="21"/>
                <w:szCs w:val="21"/>
                <w:highlight w:val="none"/>
              </w:rPr>
              <w:t>约定的原则处理</w:t>
            </w:r>
          </w:p>
        </w:tc>
      </w:tr>
      <w:tr w14:paraId="4770E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2FDC728A">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15</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535D5E84">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17.2.1</w:t>
            </w:r>
            <w:r>
              <w:rPr>
                <w:rStyle w:val="35"/>
                <w:rFonts w:hint="eastAsia" w:ascii="黑体" w:hAnsi="黑体" w:eastAsia="黑体" w:cs="黑体"/>
                <w:color w:val="auto"/>
                <w:sz w:val="21"/>
                <w:szCs w:val="21"/>
                <w:highlight w:val="none"/>
                <w:lang w:val="zh-TW" w:eastAsia="zh-CN"/>
              </w:rPr>
              <w:t>(</w:t>
            </w:r>
            <w:r>
              <w:rPr>
                <w:rStyle w:val="35"/>
                <w:rFonts w:hint="eastAsia" w:ascii="黑体" w:hAnsi="黑体" w:eastAsia="黑体" w:cs="黑体"/>
                <w:color w:val="auto"/>
                <w:sz w:val="21"/>
                <w:szCs w:val="21"/>
                <w:highlight w:val="none"/>
                <w:lang w:val="zh-TW" w:eastAsia="zh-TW"/>
              </w:rPr>
              <w:t>1</w:t>
            </w:r>
            <w:r>
              <w:rPr>
                <w:rStyle w:val="35"/>
                <w:rFonts w:hint="eastAsia" w:ascii="黑体" w:hAnsi="黑体" w:eastAsia="黑体" w:cs="黑体"/>
                <w:color w:val="auto"/>
                <w:sz w:val="21"/>
                <w:szCs w:val="21"/>
                <w:highlight w:val="none"/>
                <w:lang w:val="zh-TW" w:eastAsia="zh-CN"/>
              </w:rPr>
              <w:t>)</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2EA4865E">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en-US" w:eastAsia="zh-CN"/>
              </w:rPr>
              <w:t>开工预付款金额：</w:t>
            </w:r>
            <w:r>
              <w:rPr>
                <w:rStyle w:val="35"/>
                <w:rFonts w:hint="eastAsia" w:ascii="黑体" w:hAnsi="黑体" w:eastAsia="黑体" w:cs="黑体"/>
                <w:b/>
                <w:bCs/>
                <w:color w:val="auto"/>
                <w:sz w:val="21"/>
                <w:szCs w:val="21"/>
                <w:highlight w:val="none"/>
                <w:u w:val="single"/>
                <w:lang w:val="en-US" w:eastAsia="zh-CN"/>
              </w:rPr>
              <w:t>不适用</w:t>
            </w:r>
          </w:p>
        </w:tc>
      </w:tr>
      <w:tr w14:paraId="387C9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6F64C8D9">
            <w:pPr>
              <w:shd w:val="clear" w:color="auto" w:fill="auto"/>
              <w:jc w:val="center"/>
              <w:rPr>
                <w:rStyle w:val="37"/>
                <w:rFonts w:hint="eastAsia" w:ascii="黑体" w:hAnsi="黑体" w:eastAsia="黑体" w:cs="黑体"/>
                <w:color w:val="auto"/>
                <w:sz w:val="21"/>
                <w:szCs w:val="21"/>
                <w:highlight w:val="none"/>
                <w:lang w:val="zh-TW" w:eastAsia="zh-TW"/>
              </w:rPr>
            </w:pPr>
            <w:r>
              <w:rPr>
                <w:rStyle w:val="37"/>
                <w:rFonts w:hint="eastAsia" w:ascii="黑体" w:hAnsi="黑体" w:eastAsia="黑体" w:cs="黑体"/>
                <w:color w:val="auto"/>
                <w:sz w:val="21"/>
                <w:szCs w:val="21"/>
                <w:highlight w:val="none"/>
              </w:rPr>
              <w:t>16</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3402F4C4">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17.2.1（2）</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779070C3">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材料、设备预付款比例：</w:t>
            </w:r>
            <w:r>
              <w:rPr>
                <w:rFonts w:hint="eastAsia" w:ascii="黑体" w:hAnsi="黑体" w:eastAsia="黑体" w:cs="黑体"/>
                <w:b/>
                <w:color w:val="auto"/>
                <w:sz w:val="21"/>
                <w:szCs w:val="21"/>
                <w:highlight w:val="none"/>
                <w:u w:val="single"/>
                <w:lang w:val="en-US" w:eastAsia="zh-CN"/>
              </w:rPr>
              <w:t>不适用</w:t>
            </w:r>
          </w:p>
        </w:tc>
      </w:tr>
      <w:tr w14:paraId="70B5E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1BFFCDAE">
            <w:pPr>
              <w:shd w:val="clear" w:color="auto" w:fill="auto"/>
              <w:jc w:val="center"/>
              <w:rPr>
                <w:rStyle w:val="37"/>
                <w:rFonts w:hint="eastAsia" w:ascii="黑体" w:hAnsi="黑体" w:eastAsia="黑体" w:cs="黑体"/>
                <w:color w:val="auto"/>
                <w:sz w:val="21"/>
                <w:szCs w:val="21"/>
                <w:highlight w:val="none"/>
                <w:lang w:val="zh-TW" w:eastAsia="zh-TW"/>
              </w:rPr>
            </w:pPr>
            <w:r>
              <w:rPr>
                <w:rStyle w:val="37"/>
                <w:rFonts w:hint="eastAsia" w:ascii="黑体" w:hAnsi="黑体" w:eastAsia="黑体" w:cs="黑体"/>
                <w:color w:val="auto"/>
                <w:sz w:val="21"/>
                <w:szCs w:val="21"/>
                <w:highlight w:val="none"/>
                <w:lang w:val="zh-TW" w:eastAsia="zh-TW"/>
              </w:rPr>
              <w:t>17</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421C6F34">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17.3.2</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17739BE3">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承包人在每个付款周期末向监理人提交进度付款申请单的份数：</w:t>
            </w:r>
            <w:r>
              <w:rPr>
                <w:rStyle w:val="35"/>
                <w:rFonts w:hint="eastAsia" w:ascii="黑体" w:hAnsi="黑体" w:eastAsia="黑体" w:cs="黑体"/>
                <w:color w:val="auto"/>
                <w:sz w:val="21"/>
                <w:szCs w:val="21"/>
                <w:highlight w:val="none"/>
                <w:u w:val="single"/>
                <w:lang w:val="zh-TW" w:eastAsia="zh-CN"/>
              </w:rPr>
              <w:t>6</w:t>
            </w:r>
            <w:r>
              <w:rPr>
                <w:rStyle w:val="35"/>
                <w:rFonts w:hint="eastAsia" w:ascii="黑体" w:hAnsi="黑体" w:eastAsia="黑体" w:cs="黑体"/>
                <w:color w:val="auto"/>
                <w:sz w:val="21"/>
                <w:szCs w:val="21"/>
                <w:highlight w:val="none"/>
                <w:lang w:val="zh-TW" w:eastAsia="zh-TW"/>
              </w:rPr>
              <w:t>份</w:t>
            </w:r>
            <w:r>
              <w:rPr>
                <w:rStyle w:val="35"/>
                <w:rFonts w:hint="eastAsia" w:ascii="黑体" w:hAnsi="黑体" w:eastAsia="黑体" w:cs="黑体"/>
                <w:color w:val="auto"/>
                <w:sz w:val="21"/>
                <w:szCs w:val="21"/>
                <w:highlight w:val="none"/>
                <w:lang w:val="zh-TW" w:eastAsia="zh-CN"/>
              </w:rPr>
              <w:t>（或根据实际需要确定）</w:t>
            </w:r>
          </w:p>
        </w:tc>
      </w:tr>
      <w:tr w14:paraId="43A00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7103CA51">
            <w:pPr>
              <w:shd w:val="clear" w:color="auto" w:fill="auto"/>
              <w:jc w:val="center"/>
              <w:rPr>
                <w:rStyle w:val="37"/>
                <w:rFonts w:hint="eastAsia" w:ascii="黑体" w:hAnsi="黑体" w:eastAsia="黑体" w:cs="黑体"/>
                <w:color w:val="auto"/>
                <w:sz w:val="21"/>
                <w:szCs w:val="21"/>
                <w:highlight w:val="none"/>
                <w:lang w:val="zh-TW" w:eastAsia="zh-TW"/>
              </w:rPr>
            </w:pPr>
            <w:r>
              <w:rPr>
                <w:rStyle w:val="37"/>
                <w:rFonts w:hint="eastAsia" w:ascii="黑体" w:hAnsi="黑体" w:eastAsia="黑体" w:cs="黑体"/>
                <w:color w:val="auto"/>
                <w:sz w:val="21"/>
                <w:szCs w:val="21"/>
                <w:highlight w:val="none"/>
                <w:lang w:val="zh-TW" w:eastAsia="zh-TW"/>
              </w:rPr>
              <w:t>18</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748728EE">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CN"/>
              </w:rPr>
            </w:pPr>
            <w:r>
              <w:rPr>
                <w:rStyle w:val="35"/>
                <w:rFonts w:hint="eastAsia" w:ascii="黑体" w:hAnsi="黑体" w:eastAsia="黑体" w:cs="黑体"/>
                <w:color w:val="auto"/>
                <w:sz w:val="21"/>
                <w:szCs w:val="21"/>
                <w:highlight w:val="none"/>
                <w:lang w:val="zh-TW" w:eastAsia="zh-TW"/>
              </w:rPr>
              <w:t>17.3.3</w:t>
            </w:r>
            <w:r>
              <w:rPr>
                <w:rStyle w:val="35"/>
                <w:rFonts w:hint="eastAsia" w:ascii="黑体" w:hAnsi="黑体" w:eastAsia="黑体" w:cs="黑体"/>
                <w:color w:val="auto"/>
                <w:sz w:val="21"/>
                <w:szCs w:val="21"/>
                <w:highlight w:val="none"/>
                <w:lang w:val="zh-TW" w:eastAsia="zh-CN"/>
              </w:rPr>
              <w:t>(</w:t>
            </w:r>
            <w:r>
              <w:rPr>
                <w:rStyle w:val="35"/>
                <w:rFonts w:hint="eastAsia" w:ascii="黑体" w:hAnsi="黑体" w:eastAsia="黑体" w:cs="黑体"/>
                <w:color w:val="auto"/>
                <w:sz w:val="21"/>
                <w:szCs w:val="21"/>
                <w:highlight w:val="none"/>
                <w:lang w:val="zh-TW" w:eastAsia="zh-TW"/>
              </w:rPr>
              <w:t>1</w:t>
            </w:r>
            <w:r>
              <w:rPr>
                <w:rStyle w:val="35"/>
                <w:rFonts w:hint="eastAsia" w:ascii="黑体" w:hAnsi="黑体" w:eastAsia="黑体" w:cs="黑体"/>
                <w:color w:val="auto"/>
                <w:sz w:val="21"/>
                <w:szCs w:val="21"/>
                <w:highlight w:val="none"/>
                <w:lang w:val="zh-TW" w:eastAsia="zh-CN"/>
              </w:rPr>
              <w:t>)</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781C521B">
            <w:pPr>
              <w:pStyle w:val="34"/>
              <w:shd w:val="clear" w:color="auto" w:fill="auto"/>
              <w:spacing w:before="0" w:line="240" w:lineRule="auto"/>
              <w:jc w:val="both"/>
              <w:rPr>
                <w:rStyle w:val="35"/>
                <w:rFonts w:hint="default" w:ascii="黑体" w:hAnsi="黑体" w:eastAsia="黑体" w:cs="黑体"/>
                <w:color w:val="auto"/>
                <w:sz w:val="21"/>
                <w:szCs w:val="21"/>
                <w:highlight w:val="none"/>
                <w:lang w:val="en-US" w:eastAsia="zh-TW"/>
              </w:rPr>
            </w:pPr>
            <w:r>
              <w:rPr>
                <w:rStyle w:val="35"/>
                <w:rFonts w:hint="eastAsia" w:ascii="黑体" w:hAnsi="黑体" w:eastAsia="黑体" w:cs="黑体"/>
                <w:color w:val="auto"/>
                <w:sz w:val="21"/>
                <w:szCs w:val="21"/>
                <w:highlight w:val="none"/>
                <w:lang w:val="en-US" w:eastAsia="zh-CN"/>
              </w:rPr>
              <w:t>进度付款证书最低限额</w:t>
            </w:r>
            <w:r>
              <w:rPr>
                <w:rStyle w:val="35"/>
                <w:rFonts w:hint="eastAsia" w:ascii="黑体" w:hAnsi="黑体" w:eastAsia="黑体" w:cs="黑体"/>
                <w:color w:val="auto"/>
                <w:sz w:val="21"/>
                <w:szCs w:val="21"/>
                <w:highlight w:val="none"/>
                <w:lang w:val="en-US" w:eastAsia="zh-CN"/>
              </w:rPr>
              <w:t>：</w:t>
            </w:r>
            <w:r>
              <w:rPr>
                <w:rStyle w:val="35"/>
                <w:rFonts w:hint="eastAsia" w:ascii="黑体" w:hAnsi="黑体" w:eastAsia="黑体" w:cs="黑体"/>
                <w:b/>
                <w:bCs/>
                <w:color w:val="auto"/>
                <w:sz w:val="21"/>
                <w:szCs w:val="21"/>
                <w:highlight w:val="none"/>
                <w:u w:val="single"/>
                <w:lang w:val="en-US" w:eastAsia="zh-CN"/>
              </w:rPr>
              <w:t>200万元</w:t>
            </w:r>
          </w:p>
        </w:tc>
      </w:tr>
      <w:tr w14:paraId="07B71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4AD9762A">
            <w:pPr>
              <w:shd w:val="clear" w:color="auto" w:fill="auto"/>
              <w:jc w:val="center"/>
              <w:rPr>
                <w:rStyle w:val="37"/>
                <w:rFonts w:hint="eastAsia" w:ascii="黑体" w:hAnsi="黑体" w:eastAsia="黑体" w:cs="黑体"/>
                <w:color w:val="auto"/>
                <w:sz w:val="21"/>
                <w:szCs w:val="21"/>
                <w:highlight w:val="none"/>
                <w:lang w:val="zh-TW" w:eastAsia="zh-TW"/>
              </w:rPr>
            </w:pPr>
            <w:r>
              <w:rPr>
                <w:rStyle w:val="37"/>
                <w:rFonts w:hint="eastAsia" w:ascii="黑体" w:hAnsi="黑体" w:eastAsia="黑体" w:cs="黑体"/>
                <w:color w:val="auto"/>
                <w:sz w:val="21"/>
                <w:szCs w:val="21"/>
                <w:highlight w:val="none"/>
                <w:lang w:val="zh-TW" w:eastAsia="zh-TW"/>
              </w:rPr>
              <w:t>19</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5F2433C5">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CN"/>
              </w:rPr>
            </w:pPr>
            <w:r>
              <w:rPr>
                <w:rStyle w:val="35"/>
                <w:rFonts w:hint="eastAsia" w:ascii="黑体" w:hAnsi="黑体" w:eastAsia="黑体" w:cs="黑体"/>
                <w:color w:val="auto"/>
                <w:sz w:val="21"/>
                <w:szCs w:val="21"/>
                <w:highlight w:val="none"/>
                <w:lang w:val="zh-TW" w:eastAsia="zh-TW"/>
              </w:rPr>
              <w:t>17.3.3</w:t>
            </w:r>
            <w:r>
              <w:rPr>
                <w:rStyle w:val="35"/>
                <w:rFonts w:hint="eastAsia" w:ascii="黑体" w:hAnsi="黑体" w:eastAsia="黑体" w:cs="黑体"/>
                <w:color w:val="auto"/>
                <w:sz w:val="21"/>
                <w:szCs w:val="21"/>
                <w:highlight w:val="none"/>
                <w:lang w:val="zh-TW" w:eastAsia="zh-CN"/>
              </w:rPr>
              <w:t>(</w:t>
            </w:r>
            <w:r>
              <w:rPr>
                <w:rStyle w:val="35"/>
                <w:rFonts w:hint="eastAsia" w:ascii="黑体" w:hAnsi="黑体" w:eastAsia="黑体" w:cs="黑体"/>
                <w:color w:val="auto"/>
                <w:sz w:val="21"/>
                <w:szCs w:val="21"/>
                <w:highlight w:val="none"/>
                <w:lang w:val="zh-TW" w:eastAsia="zh-TW"/>
              </w:rPr>
              <w:t>2</w:t>
            </w:r>
            <w:r>
              <w:rPr>
                <w:rStyle w:val="35"/>
                <w:rFonts w:hint="eastAsia" w:ascii="黑体" w:hAnsi="黑体" w:eastAsia="黑体" w:cs="黑体"/>
                <w:color w:val="auto"/>
                <w:sz w:val="21"/>
                <w:szCs w:val="21"/>
                <w:highlight w:val="none"/>
                <w:lang w:val="zh-TW" w:eastAsia="zh-CN"/>
              </w:rPr>
              <w:t>)</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43CA3074">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逾期付款违约金的利率：</w:t>
            </w:r>
            <w:r>
              <w:rPr>
                <w:rStyle w:val="35"/>
                <w:rFonts w:hint="eastAsia" w:ascii="黑体" w:hAnsi="黑体" w:eastAsia="黑体" w:cs="黑体"/>
                <w:b/>
                <w:bCs/>
                <w:color w:val="auto"/>
                <w:sz w:val="21"/>
                <w:szCs w:val="21"/>
                <w:highlight w:val="none"/>
                <w:lang w:val="zh-TW" w:eastAsia="zh-TW"/>
              </w:rPr>
              <w:t>中国人民银行短期贷款利率加手续费</w:t>
            </w:r>
          </w:p>
        </w:tc>
      </w:tr>
      <w:tr w14:paraId="28191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tcBorders>
              <w:top w:val="single" w:color="auto" w:sz="4" w:space="0"/>
              <w:left w:val="single" w:color="auto" w:sz="4" w:space="0"/>
              <w:bottom w:val="single" w:color="auto" w:sz="4" w:space="0"/>
              <w:right w:val="single" w:color="auto" w:sz="4" w:space="0"/>
            </w:tcBorders>
            <w:noWrap w:val="0"/>
            <w:vAlign w:val="center"/>
          </w:tcPr>
          <w:p w14:paraId="1F83F5B5">
            <w:pPr>
              <w:shd w:val="clear" w:color="auto" w:fill="auto"/>
              <w:jc w:val="center"/>
              <w:rPr>
                <w:rStyle w:val="37"/>
                <w:rFonts w:hint="eastAsia" w:ascii="黑体" w:hAnsi="黑体" w:eastAsia="黑体" w:cs="黑体"/>
                <w:color w:val="auto"/>
                <w:sz w:val="21"/>
                <w:szCs w:val="21"/>
                <w:highlight w:val="none"/>
                <w:lang w:val="zh-TW" w:eastAsia="zh-TW"/>
              </w:rPr>
            </w:pPr>
            <w:r>
              <w:rPr>
                <w:rStyle w:val="37"/>
                <w:rFonts w:hint="eastAsia" w:ascii="黑体" w:hAnsi="黑体" w:eastAsia="黑体" w:cs="黑体"/>
                <w:color w:val="auto"/>
                <w:sz w:val="21"/>
                <w:szCs w:val="21"/>
                <w:highlight w:val="none"/>
                <w:lang w:val="zh-TW" w:eastAsia="zh-TW"/>
              </w:rPr>
              <w:t>20</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4B328082">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17.4.1</w:t>
            </w:r>
          </w:p>
        </w:tc>
        <w:tc>
          <w:tcPr>
            <w:tcW w:w="7322" w:type="dxa"/>
            <w:tcBorders>
              <w:top w:val="single" w:color="auto" w:sz="4" w:space="0"/>
              <w:left w:val="single" w:color="auto" w:sz="4" w:space="0"/>
              <w:bottom w:val="single" w:color="auto" w:sz="4" w:space="0"/>
              <w:right w:val="single" w:color="auto" w:sz="4" w:space="0"/>
            </w:tcBorders>
            <w:noWrap w:val="0"/>
            <w:vAlign w:val="bottom"/>
          </w:tcPr>
          <w:p w14:paraId="22486D40">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质量保证金金额：</w:t>
            </w:r>
            <w:r>
              <w:rPr>
                <w:rStyle w:val="35"/>
                <w:rFonts w:hint="eastAsia" w:ascii="黑体" w:hAnsi="黑体" w:eastAsia="黑体" w:cs="黑体"/>
                <w:b/>
                <w:color w:val="auto"/>
                <w:sz w:val="21"/>
                <w:szCs w:val="21"/>
                <w:highlight w:val="none"/>
                <w:u w:val="single"/>
                <w:lang w:val="zh-TW" w:eastAsia="zh-CN"/>
              </w:rPr>
              <w:t>3</w:t>
            </w:r>
            <w:r>
              <w:rPr>
                <w:rStyle w:val="35"/>
                <w:rFonts w:hint="eastAsia" w:ascii="黑体" w:hAnsi="黑体" w:eastAsia="黑体" w:cs="黑体"/>
                <w:color w:val="auto"/>
                <w:sz w:val="21"/>
                <w:szCs w:val="21"/>
                <w:highlight w:val="none"/>
                <w:lang w:val="zh-TW" w:eastAsia="zh-TW"/>
              </w:rPr>
              <w:t>％合同价格。说明：1.如中标单位缴纳履约保证金（现金或转账），在项目竣工前，将不再扣除质量保证金。2.如中标单位递交履约保函，履约保函失效后，中标人将在项目交工后递交质量保证金（质量保证金形式可为：保函或现金、支票形式）或招标人在项目完工后从工程款中扣除质量保证金。</w:t>
            </w:r>
          </w:p>
          <w:p w14:paraId="387F12AA">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质量保证金是否计付利息：</w:t>
            </w:r>
          </w:p>
          <w:p w14:paraId="6E4F3679">
            <w:pPr>
              <w:pStyle w:val="34"/>
              <w:shd w:val="clear" w:color="auto" w:fill="auto"/>
              <w:spacing w:before="0" w:line="240" w:lineRule="auto"/>
              <w:ind w:left="500"/>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□是，利息的计算方式：</w:t>
            </w:r>
          </w:p>
          <w:p w14:paraId="7DEEA6E4">
            <w:pPr>
              <w:pStyle w:val="34"/>
              <w:shd w:val="clear" w:color="auto" w:fill="auto"/>
              <w:spacing w:before="0" w:line="240" w:lineRule="auto"/>
              <w:ind w:left="500"/>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CN"/>
              </w:rPr>
              <w:t>■</w:t>
            </w:r>
            <w:r>
              <w:rPr>
                <w:rStyle w:val="35"/>
                <w:rFonts w:hint="eastAsia" w:ascii="黑体" w:hAnsi="黑体" w:eastAsia="黑体" w:cs="黑体"/>
                <w:color w:val="auto"/>
                <w:sz w:val="21"/>
                <w:szCs w:val="21"/>
                <w:highlight w:val="none"/>
                <w:lang w:val="zh-TW" w:eastAsia="zh-TW"/>
              </w:rPr>
              <w:t>否</w:t>
            </w:r>
          </w:p>
        </w:tc>
      </w:tr>
      <w:tr w14:paraId="343D2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7E85C517">
            <w:pPr>
              <w:shd w:val="clear" w:color="auto" w:fill="auto"/>
              <w:jc w:val="center"/>
              <w:rPr>
                <w:rStyle w:val="37"/>
                <w:rFonts w:hint="eastAsia" w:ascii="黑体" w:hAnsi="黑体" w:eastAsia="黑体" w:cs="黑体"/>
                <w:color w:val="auto"/>
                <w:sz w:val="21"/>
                <w:szCs w:val="21"/>
                <w:highlight w:val="none"/>
                <w:lang w:val="zh-TW" w:eastAsia="zh-TW"/>
              </w:rPr>
            </w:pPr>
            <w:r>
              <w:rPr>
                <w:rStyle w:val="37"/>
                <w:rFonts w:hint="eastAsia" w:ascii="黑体" w:hAnsi="黑体" w:eastAsia="黑体" w:cs="黑体"/>
                <w:color w:val="auto"/>
                <w:sz w:val="21"/>
                <w:szCs w:val="21"/>
                <w:highlight w:val="none"/>
                <w:lang w:val="zh-TW" w:eastAsia="zh-TW"/>
              </w:rPr>
              <w:t>21</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17BEA7EC">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17.5.1（1）</w:t>
            </w:r>
          </w:p>
        </w:tc>
        <w:tc>
          <w:tcPr>
            <w:tcW w:w="7322" w:type="dxa"/>
            <w:tcBorders>
              <w:top w:val="single" w:color="auto" w:sz="4" w:space="0"/>
              <w:left w:val="single" w:color="auto" w:sz="4" w:space="0"/>
              <w:bottom w:val="single" w:color="auto" w:sz="4" w:space="0"/>
              <w:right w:val="single" w:color="auto" w:sz="4" w:space="0"/>
            </w:tcBorders>
            <w:noWrap w:val="0"/>
            <w:vAlign w:val="bottom"/>
          </w:tcPr>
          <w:p w14:paraId="5A572F33">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承包人向监理人提交交工付款申请单（包括相关证明材料）的份数：</w:t>
            </w:r>
            <w:r>
              <w:rPr>
                <w:rStyle w:val="35"/>
                <w:rFonts w:hint="eastAsia" w:ascii="黑体" w:hAnsi="黑体" w:eastAsia="黑体" w:cs="黑体"/>
                <w:b/>
                <w:color w:val="auto"/>
                <w:sz w:val="21"/>
                <w:szCs w:val="21"/>
                <w:highlight w:val="none"/>
                <w:u w:val="single"/>
                <w:lang w:val="zh-TW" w:eastAsia="zh-CN"/>
              </w:rPr>
              <w:t>6</w:t>
            </w:r>
            <w:r>
              <w:rPr>
                <w:rStyle w:val="35"/>
                <w:rFonts w:hint="eastAsia" w:ascii="黑体" w:hAnsi="黑体" w:eastAsia="黑体" w:cs="黑体"/>
                <w:b/>
                <w:color w:val="auto"/>
                <w:sz w:val="21"/>
                <w:szCs w:val="21"/>
                <w:highlight w:val="none"/>
                <w:u w:val="single"/>
                <w:lang w:val="zh-TW" w:eastAsia="zh-TW"/>
              </w:rPr>
              <w:t>份</w:t>
            </w:r>
            <w:r>
              <w:rPr>
                <w:rStyle w:val="35"/>
                <w:rFonts w:hint="eastAsia" w:ascii="黑体" w:hAnsi="黑体" w:eastAsia="黑体" w:cs="黑体"/>
                <w:color w:val="auto"/>
                <w:sz w:val="21"/>
                <w:szCs w:val="21"/>
                <w:highlight w:val="none"/>
                <w:lang w:val="zh-TW" w:eastAsia="zh-CN"/>
              </w:rPr>
              <w:t>（或根据实际需要确定）</w:t>
            </w:r>
          </w:p>
        </w:tc>
      </w:tr>
      <w:tr w14:paraId="73F10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211C206F">
            <w:pPr>
              <w:shd w:val="clear" w:color="auto" w:fill="auto"/>
              <w:jc w:val="center"/>
              <w:rPr>
                <w:rStyle w:val="37"/>
                <w:rFonts w:hint="eastAsia" w:ascii="黑体" w:hAnsi="黑体" w:eastAsia="黑体" w:cs="黑体"/>
                <w:color w:val="auto"/>
                <w:sz w:val="21"/>
                <w:szCs w:val="21"/>
                <w:highlight w:val="none"/>
                <w:lang w:val="zh-TW" w:eastAsia="zh-TW"/>
              </w:rPr>
            </w:pPr>
            <w:r>
              <w:rPr>
                <w:rStyle w:val="37"/>
                <w:rFonts w:hint="eastAsia" w:ascii="黑体" w:hAnsi="黑体" w:eastAsia="黑体" w:cs="黑体"/>
                <w:color w:val="auto"/>
                <w:sz w:val="21"/>
                <w:szCs w:val="21"/>
                <w:highlight w:val="none"/>
                <w:lang w:val="zh-TW" w:eastAsia="zh-TW"/>
              </w:rPr>
              <w:t>22</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38440CB5">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17.6.1（1）</w:t>
            </w:r>
          </w:p>
        </w:tc>
        <w:tc>
          <w:tcPr>
            <w:tcW w:w="7322" w:type="dxa"/>
            <w:tcBorders>
              <w:top w:val="single" w:color="auto" w:sz="4" w:space="0"/>
              <w:left w:val="single" w:color="auto" w:sz="4" w:space="0"/>
              <w:bottom w:val="single" w:color="auto" w:sz="4" w:space="0"/>
              <w:right w:val="single" w:color="auto" w:sz="4" w:space="0"/>
            </w:tcBorders>
            <w:noWrap w:val="0"/>
            <w:vAlign w:val="bottom"/>
          </w:tcPr>
          <w:p w14:paraId="0F6A1951">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承包人向监理人提交最终结清申请单（包括相关证明材料）的份数：份</w:t>
            </w:r>
            <w:r>
              <w:rPr>
                <w:rStyle w:val="35"/>
                <w:rFonts w:hint="eastAsia" w:ascii="黑体" w:hAnsi="黑体" w:eastAsia="黑体" w:cs="黑体"/>
                <w:b/>
                <w:color w:val="auto"/>
                <w:sz w:val="21"/>
                <w:szCs w:val="21"/>
                <w:highlight w:val="none"/>
                <w:u w:val="single"/>
                <w:lang w:val="zh-TW" w:eastAsia="zh-CN"/>
              </w:rPr>
              <w:t>6</w:t>
            </w:r>
            <w:r>
              <w:rPr>
                <w:rStyle w:val="35"/>
                <w:rFonts w:hint="eastAsia" w:ascii="黑体" w:hAnsi="黑体" w:eastAsia="黑体" w:cs="黑体"/>
                <w:b/>
                <w:color w:val="auto"/>
                <w:sz w:val="21"/>
                <w:szCs w:val="21"/>
                <w:highlight w:val="none"/>
                <w:u w:val="single"/>
                <w:lang w:val="zh-TW" w:eastAsia="zh-TW"/>
              </w:rPr>
              <w:t>份</w:t>
            </w:r>
            <w:r>
              <w:rPr>
                <w:rStyle w:val="35"/>
                <w:rFonts w:hint="eastAsia" w:ascii="黑体" w:hAnsi="黑体" w:eastAsia="黑体" w:cs="黑体"/>
                <w:color w:val="auto"/>
                <w:sz w:val="21"/>
                <w:szCs w:val="21"/>
                <w:highlight w:val="none"/>
                <w:lang w:val="zh-TW" w:eastAsia="zh-CN"/>
              </w:rPr>
              <w:t>（或根据实际需要确定）</w:t>
            </w:r>
          </w:p>
        </w:tc>
      </w:tr>
      <w:tr w14:paraId="7BC4A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3FF36FAA">
            <w:pPr>
              <w:shd w:val="clear" w:color="auto" w:fill="auto"/>
              <w:jc w:val="center"/>
              <w:rPr>
                <w:rStyle w:val="37"/>
                <w:rFonts w:hint="eastAsia" w:ascii="黑体" w:hAnsi="黑体" w:eastAsia="黑体" w:cs="黑体"/>
                <w:color w:val="auto"/>
                <w:sz w:val="21"/>
                <w:szCs w:val="21"/>
                <w:highlight w:val="none"/>
                <w:lang w:val="zh-TW" w:eastAsia="zh-TW"/>
              </w:rPr>
            </w:pPr>
            <w:r>
              <w:rPr>
                <w:rStyle w:val="37"/>
                <w:rFonts w:hint="eastAsia" w:ascii="黑体" w:hAnsi="黑体" w:eastAsia="黑体" w:cs="黑体"/>
                <w:color w:val="auto"/>
                <w:sz w:val="21"/>
                <w:szCs w:val="21"/>
                <w:highlight w:val="none"/>
                <w:lang w:val="zh-TW" w:eastAsia="zh-TW"/>
              </w:rPr>
              <w:t>23</w:t>
            </w:r>
          </w:p>
        </w:tc>
        <w:tc>
          <w:tcPr>
            <w:tcW w:w="1218" w:type="dxa"/>
            <w:tcBorders>
              <w:top w:val="single" w:color="auto" w:sz="4" w:space="0"/>
              <w:left w:val="single" w:color="auto" w:sz="4" w:space="0"/>
              <w:bottom w:val="single" w:color="auto" w:sz="4" w:space="0"/>
              <w:right w:val="single" w:color="auto" w:sz="4" w:space="0"/>
            </w:tcBorders>
            <w:noWrap w:val="0"/>
            <w:vAlign w:val="bottom"/>
          </w:tcPr>
          <w:p w14:paraId="2DDD39CD">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18.2（2）</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5EB36098">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竣工资料的份数：</w:t>
            </w:r>
            <w:r>
              <w:rPr>
                <w:rStyle w:val="35"/>
                <w:rFonts w:hint="eastAsia" w:ascii="黑体" w:hAnsi="黑体" w:eastAsia="黑体" w:cs="黑体"/>
                <w:b/>
                <w:color w:val="auto"/>
                <w:sz w:val="21"/>
                <w:szCs w:val="21"/>
                <w:highlight w:val="none"/>
                <w:u w:val="single"/>
                <w:lang w:val="en-US" w:eastAsia="zh-CN"/>
              </w:rPr>
              <w:t>2</w:t>
            </w:r>
            <w:r>
              <w:rPr>
                <w:rStyle w:val="35"/>
                <w:rFonts w:hint="eastAsia" w:ascii="黑体" w:hAnsi="黑体" w:eastAsia="黑体" w:cs="黑体"/>
                <w:b/>
                <w:color w:val="auto"/>
                <w:sz w:val="21"/>
                <w:szCs w:val="21"/>
                <w:highlight w:val="none"/>
                <w:u w:val="single"/>
                <w:lang w:val="zh-TW" w:eastAsia="zh-TW"/>
              </w:rPr>
              <w:t>份</w:t>
            </w:r>
            <w:r>
              <w:rPr>
                <w:rStyle w:val="35"/>
                <w:rFonts w:hint="eastAsia" w:ascii="黑体" w:hAnsi="黑体" w:eastAsia="黑体" w:cs="黑体"/>
                <w:color w:val="auto"/>
                <w:sz w:val="21"/>
                <w:szCs w:val="21"/>
                <w:highlight w:val="none"/>
                <w:lang w:val="zh-TW" w:eastAsia="zh-CN"/>
              </w:rPr>
              <w:t>（或根据实际需要确定）</w:t>
            </w:r>
          </w:p>
        </w:tc>
      </w:tr>
      <w:tr w14:paraId="557BE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tcBorders>
              <w:top w:val="single" w:color="auto" w:sz="4" w:space="0"/>
              <w:left w:val="single" w:color="auto" w:sz="4" w:space="0"/>
              <w:bottom w:val="single" w:color="auto" w:sz="4" w:space="0"/>
              <w:right w:val="single" w:color="auto" w:sz="4" w:space="0"/>
            </w:tcBorders>
            <w:noWrap w:val="0"/>
            <w:vAlign w:val="center"/>
          </w:tcPr>
          <w:p w14:paraId="6071B2A2">
            <w:pPr>
              <w:shd w:val="clear" w:color="auto" w:fill="auto"/>
              <w:jc w:val="center"/>
              <w:rPr>
                <w:rStyle w:val="37"/>
                <w:rFonts w:hint="eastAsia" w:ascii="黑体" w:hAnsi="黑体" w:eastAsia="黑体" w:cs="黑体"/>
                <w:color w:val="auto"/>
                <w:sz w:val="21"/>
                <w:szCs w:val="21"/>
                <w:highlight w:val="none"/>
                <w:lang w:val="zh-TW" w:eastAsia="zh-TW"/>
              </w:rPr>
            </w:pPr>
            <w:r>
              <w:rPr>
                <w:rStyle w:val="37"/>
                <w:rFonts w:hint="eastAsia" w:ascii="黑体" w:hAnsi="黑体" w:eastAsia="黑体" w:cs="黑体"/>
                <w:color w:val="auto"/>
                <w:sz w:val="21"/>
                <w:szCs w:val="21"/>
                <w:highlight w:val="none"/>
                <w:lang w:val="zh-TW" w:eastAsia="zh-TW"/>
              </w:rPr>
              <w:t>24</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4488ABA3">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18.5.1</w:t>
            </w:r>
          </w:p>
        </w:tc>
        <w:tc>
          <w:tcPr>
            <w:tcW w:w="7322" w:type="dxa"/>
            <w:tcBorders>
              <w:top w:val="single" w:color="auto" w:sz="4" w:space="0"/>
              <w:left w:val="single" w:color="auto" w:sz="4" w:space="0"/>
              <w:bottom w:val="single" w:color="auto" w:sz="4" w:space="0"/>
              <w:right w:val="single" w:color="auto" w:sz="4" w:space="0"/>
            </w:tcBorders>
            <w:noWrap w:val="0"/>
            <w:vAlign w:val="bottom"/>
          </w:tcPr>
          <w:p w14:paraId="1F4C0AF7">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CN"/>
              </w:rPr>
            </w:pPr>
            <w:r>
              <w:rPr>
                <w:rStyle w:val="35"/>
                <w:rFonts w:hint="eastAsia" w:ascii="黑体" w:hAnsi="黑体" w:eastAsia="黑体" w:cs="黑体"/>
                <w:color w:val="auto"/>
                <w:sz w:val="21"/>
                <w:szCs w:val="21"/>
                <w:highlight w:val="none"/>
                <w:lang w:val="zh-TW" w:eastAsia="zh-TW"/>
              </w:rPr>
              <w:t>单位工程或工程设备是否需投入施工期运行：</w:t>
            </w:r>
            <w:r>
              <w:rPr>
                <w:rFonts w:hint="eastAsia" w:ascii="黑体" w:hAnsi="黑体" w:eastAsia="黑体" w:cs="黑体"/>
                <w:b/>
                <w:color w:val="auto"/>
                <w:sz w:val="21"/>
                <w:szCs w:val="21"/>
                <w:highlight w:val="none"/>
                <w:u w:val="single"/>
                <w:lang w:val="en-US" w:eastAsia="zh-TW"/>
              </w:rPr>
              <w:t>否</w:t>
            </w:r>
          </w:p>
          <w:p w14:paraId="42C3EBEE">
            <w:pPr>
              <w:pStyle w:val="34"/>
              <w:shd w:val="clear" w:color="auto" w:fill="auto"/>
              <w:spacing w:before="0" w:line="240" w:lineRule="auto"/>
              <w:jc w:val="both"/>
              <w:rPr>
                <w:rStyle w:val="35"/>
                <w:rFonts w:hint="eastAsia" w:ascii="黑体" w:hAnsi="黑体" w:eastAsia="黑体" w:cs="黑体"/>
                <w:color w:val="auto"/>
                <w:sz w:val="21"/>
                <w:szCs w:val="21"/>
                <w:highlight w:val="none"/>
                <w:u w:val="single"/>
                <w:lang w:val="zh-TW" w:eastAsia="zh-TW"/>
              </w:rPr>
            </w:pPr>
            <w:r>
              <w:rPr>
                <w:rStyle w:val="35"/>
                <w:rFonts w:hint="eastAsia" w:ascii="黑体" w:hAnsi="黑体" w:eastAsia="黑体" w:cs="黑体"/>
                <w:color w:val="auto"/>
                <w:sz w:val="21"/>
                <w:szCs w:val="21"/>
                <w:highlight w:val="none"/>
                <w:lang w:val="zh-TW" w:eastAsia="zh-TW"/>
              </w:rPr>
              <w:t>如单位工程或工程设备需要进行施工期运行，需要施工期运行的单位工程或工程设备规定如下：</w:t>
            </w:r>
            <w:r>
              <w:rPr>
                <w:rFonts w:hint="eastAsia" w:ascii="黑体" w:hAnsi="黑体" w:eastAsia="黑体" w:cs="黑体"/>
                <w:b/>
                <w:color w:val="auto"/>
                <w:sz w:val="21"/>
                <w:szCs w:val="21"/>
                <w:highlight w:val="none"/>
                <w:u w:val="single"/>
                <w:lang w:val="en-US" w:eastAsia="zh-TW"/>
              </w:rPr>
              <w:t>不适用</w:t>
            </w:r>
          </w:p>
        </w:tc>
      </w:tr>
      <w:tr w14:paraId="71F7F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7DA4CBDD">
            <w:pPr>
              <w:shd w:val="clear" w:color="auto" w:fill="auto"/>
              <w:jc w:val="center"/>
              <w:rPr>
                <w:rStyle w:val="37"/>
                <w:rFonts w:hint="eastAsia" w:ascii="黑体" w:hAnsi="黑体" w:eastAsia="黑体" w:cs="黑体"/>
                <w:color w:val="auto"/>
                <w:sz w:val="21"/>
                <w:szCs w:val="21"/>
                <w:highlight w:val="none"/>
                <w:lang w:val="zh-TW" w:eastAsia="zh-TW"/>
              </w:rPr>
            </w:pPr>
            <w:r>
              <w:rPr>
                <w:rStyle w:val="37"/>
                <w:rFonts w:hint="eastAsia" w:ascii="黑体" w:hAnsi="黑体" w:eastAsia="黑体" w:cs="黑体"/>
                <w:color w:val="auto"/>
                <w:sz w:val="21"/>
                <w:szCs w:val="21"/>
                <w:highlight w:val="none"/>
              </w:rPr>
              <w:t>25</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1CE929BC">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18.6.1</w:t>
            </w:r>
          </w:p>
        </w:tc>
        <w:tc>
          <w:tcPr>
            <w:tcW w:w="7322" w:type="dxa"/>
            <w:tcBorders>
              <w:top w:val="single" w:color="auto" w:sz="4" w:space="0"/>
              <w:left w:val="single" w:color="auto" w:sz="4" w:space="0"/>
              <w:bottom w:val="single" w:color="auto" w:sz="4" w:space="0"/>
              <w:right w:val="single" w:color="auto" w:sz="4" w:space="0"/>
            </w:tcBorders>
            <w:noWrap w:val="0"/>
            <w:vAlign w:val="bottom"/>
          </w:tcPr>
          <w:p w14:paraId="6959EC55">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CN"/>
              </w:rPr>
            </w:pPr>
            <w:r>
              <w:rPr>
                <w:rStyle w:val="35"/>
                <w:rFonts w:hint="eastAsia" w:ascii="黑体" w:hAnsi="黑体" w:eastAsia="黑体" w:cs="黑体"/>
                <w:color w:val="auto"/>
                <w:sz w:val="21"/>
                <w:szCs w:val="21"/>
                <w:highlight w:val="none"/>
                <w:lang w:val="zh-TW" w:eastAsia="zh-TW"/>
              </w:rPr>
              <w:t>本工程及工程设备是否进行试运行：</w:t>
            </w:r>
            <w:r>
              <w:rPr>
                <w:rFonts w:hint="eastAsia" w:ascii="黑体" w:hAnsi="黑体" w:eastAsia="黑体" w:cs="黑体"/>
                <w:b/>
                <w:color w:val="auto"/>
                <w:sz w:val="21"/>
                <w:szCs w:val="21"/>
                <w:highlight w:val="none"/>
                <w:u w:val="single"/>
                <w:lang w:val="en-US" w:eastAsia="zh-TW"/>
              </w:rPr>
              <w:t>否</w:t>
            </w:r>
          </w:p>
          <w:p w14:paraId="7C409C80">
            <w:pPr>
              <w:pStyle w:val="34"/>
              <w:shd w:val="clear" w:color="auto" w:fill="auto"/>
              <w:spacing w:before="0" w:line="240" w:lineRule="auto"/>
              <w:jc w:val="both"/>
              <w:rPr>
                <w:rStyle w:val="35"/>
                <w:rFonts w:hint="eastAsia" w:ascii="黑体" w:hAnsi="黑体" w:eastAsia="黑体" w:cs="黑体"/>
                <w:color w:val="auto"/>
                <w:sz w:val="21"/>
                <w:szCs w:val="21"/>
                <w:highlight w:val="none"/>
                <w:u w:val="single"/>
                <w:lang w:val="zh-TW" w:eastAsia="zh-TW"/>
              </w:rPr>
            </w:pPr>
            <w:r>
              <w:rPr>
                <w:rStyle w:val="35"/>
                <w:rFonts w:hint="eastAsia" w:ascii="黑体" w:hAnsi="黑体" w:eastAsia="黑体" w:cs="黑体"/>
                <w:color w:val="auto"/>
                <w:sz w:val="21"/>
                <w:szCs w:val="21"/>
                <w:highlight w:val="none"/>
                <w:lang w:val="zh-TW" w:eastAsia="zh-TW"/>
              </w:rPr>
              <w:t>如本工程及工程设备需要进行试运行，试运行的具体规定如下：</w:t>
            </w:r>
            <w:r>
              <w:rPr>
                <w:rFonts w:hint="eastAsia" w:ascii="黑体" w:hAnsi="黑体" w:eastAsia="黑体" w:cs="黑体"/>
                <w:b/>
                <w:color w:val="auto"/>
                <w:sz w:val="21"/>
                <w:szCs w:val="21"/>
                <w:highlight w:val="none"/>
                <w:u w:val="single"/>
                <w:lang w:val="en-US" w:eastAsia="zh-TW"/>
              </w:rPr>
              <w:t>不适用</w:t>
            </w:r>
          </w:p>
        </w:tc>
      </w:tr>
      <w:tr w14:paraId="565A9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4614D4C5">
            <w:pPr>
              <w:shd w:val="clear" w:color="auto" w:fill="auto"/>
              <w:jc w:val="center"/>
              <w:rPr>
                <w:rStyle w:val="37"/>
                <w:rFonts w:hint="eastAsia" w:ascii="黑体" w:hAnsi="黑体" w:eastAsia="黑体" w:cs="黑体"/>
                <w:color w:val="auto"/>
                <w:sz w:val="21"/>
                <w:szCs w:val="21"/>
                <w:highlight w:val="none"/>
                <w:lang w:val="zh-TW" w:eastAsia="zh-TW"/>
              </w:rPr>
            </w:pPr>
            <w:r>
              <w:rPr>
                <w:rStyle w:val="37"/>
                <w:rFonts w:hint="eastAsia" w:ascii="黑体" w:hAnsi="黑体" w:eastAsia="黑体" w:cs="黑体"/>
                <w:color w:val="auto"/>
                <w:sz w:val="21"/>
                <w:szCs w:val="21"/>
                <w:highlight w:val="none"/>
              </w:rPr>
              <w:t>26</w:t>
            </w:r>
          </w:p>
        </w:tc>
        <w:tc>
          <w:tcPr>
            <w:tcW w:w="1218" w:type="dxa"/>
            <w:tcBorders>
              <w:top w:val="single" w:color="auto" w:sz="4" w:space="0"/>
              <w:left w:val="single" w:color="auto" w:sz="4" w:space="0"/>
              <w:bottom w:val="single" w:color="auto" w:sz="4" w:space="0"/>
              <w:right w:val="single" w:color="auto" w:sz="4" w:space="0"/>
            </w:tcBorders>
            <w:noWrap w:val="0"/>
            <w:vAlign w:val="bottom"/>
          </w:tcPr>
          <w:p w14:paraId="13622F51">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19.7（1）</w:t>
            </w:r>
          </w:p>
        </w:tc>
        <w:tc>
          <w:tcPr>
            <w:tcW w:w="7322" w:type="dxa"/>
            <w:tcBorders>
              <w:top w:val="single" w:color="auto" w:sz="4" w:space="0"/>
              <w:left w:val="single" w:color="auto" w:sz="4" w:space="0"/>
              <w:bottom w:val="single" w:color="auto" w:sz="4" w:space="0"/>
              <w:right w:val="single" w:color="auto" w:sz="4" w:space="0"/>
            </w:tcBorders>
            <w:noWrap w:val="0"/>
            <w:vAlign w:val="center"/>
          </w:tcPr>
          <w:p w14:paraId="7403567A">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保修期：自实际交工日期起计算</w:t>
            </w:r>
            <w:r>
              <w:rPr>
                <w:rStyle w:val="35"/>
                <w:rFonts w:hint="eastAsia" w:ascii="黑体" w:hAnsi="黑体" w:eastAsia="黑体" w:cs="黑体"/>
                <w:color w:val="auto"/>
                <w:sz w:val="21"/>
                <w:szCs w:val="21"/>
                <w:highlight w:val="none"/>
                <w:u w:val="single"/>
                <w:lang w:val="en-US" w:eastAsia="zh-CN"/>
              </w:rPr>
              <w:t>1</w:t>
            </w:r>
            <w:r>
              <w:rPr>
                <w:rStyle w:val="35"/>
                <w:rFonts w:hint="eastAsia" w:ascii="黑体" w:hAnsi="黑体" w:eastAsia="黑体" w:cs="黑体"/>
                <w:color w:val="auto"/>
                <w:sz w:val="21"/>
                <w:szCs w:val="21"/>
                <w:highlight w:val="none"/>
                <w:lang w:val="en-US" w:eastAsia="zh-CN"/>
              </w:rPr>
              <w:t>年</w:t>
            </w:r>
          </w:p>
        </w:tc>
      </w:tr>
      <w:tr w14:paraId="547F1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01" w:type="dxa"/>
            <w:tcBorders>
              <w:top w:val="single" w:color="auto" w:sz="4" w:space="0"/>
              <w:left w:val="single" w:color="auto" w:sz="4" w:space="0"/>
              <w:bottom w:val="single" w:color="auto" w:sz="4" w:space="0"/>
              <w:right w:val="single" w:color="auto" w:sz="4" w:space="0"/>
            </w:tcBorders>
            <w:noWrap w:val="0"/>
            <w:vAlign w:val="center"/>
          </w:tcPr>
          <w:p w14:paraId="7C5BE088">
            <w:pPr>
              <w:shd w:val="clear" w:color="auto" w:fill="auto"/>
              <w:jc w:val="center"/>
              <w:rPr>
                <w:rStyle w:val="37"/>
                <w:rFonts w:hint="eastAsia" w:ascii="黑体" w:hAnsi="黑体" w:eastAsia="黑体" w:cs="黑体"/>
                <w:color w:val="auto"/>
                <w:sz w:val="21"/>
                <w:szCs w:val="21"/>
                <w:highlight w:val="none"/>
                <w:lang w:val="zh-TW" w:eastAsia="zh-TW"/>
              </w:rPr>
            </w:pPr>
            <w:r>
              <w:rPr>
                <w:rStyle w:val="37"/>
                <w:rFonts w:hint="eastAsia" w:ascii="黑体" w:hAnsi="黑体" w:eastAsia="黑体" w:cs="黑体"/>
                <w:color w:val="auto"/>
                <w:sz w:val="21"/>
                <w:szCs w:val="21"/>
                <w:highlight w:val="none"/>
              </w:rPr>
              <w:t>27</w:t>
            </w:r>
          </w:p>
        </w:tc>
        <w:tc>
          <w:tcPr>
            <w:tcW w:w="1218" w:type="dxa"/>
            <w:tcBorders>
              <w:top w:val="single" w:color="auto" w:sz="4" w:space="0"/>
              <w:left w:val="single" w:color="auto" w:sz="4" w:space="0"/>
              <w:bottom w:val="single" w:color="auto" w:sz="4" w:space="0"/>
              <w:right w:val="single" w:color="auto" w:sz="4" w:space="0"/>
            </w:tcBorders>
            <w:noWrap w:val="0"/>
            <w:vAlign w:val="bottom"/>
          </w:tcPr>
          <w:p w14:paraId="16014ABC">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20.1</w:t>
            </w:r>
          </w:p>
        </w:tc>
        <w:tc>
          <w:tcPr>
            <w:tcW w:w="7322" w:type="dxa"/>
            <w:tcBorders>
              <w:top w:val="single" w:color="auto" w:sz="4" w:space="0"/>
              <w:left w:val="single" w:color="auto" w:sz="4" w:space="0"/>
              <w:bottom w:val="single" w:color="auto" w:sz="4" w:space="0"/>
              <w:right w:val="single" w:color="auto" w:sz="4" w:space="0"/>
            </w:tcBorders>
            <w:noWrap w:val="0"/>
            <w:vAlign w:val="bottom"/>
          </w:tcPr>
          <w:p w14:paraId="7BF78582">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CN"/>
              </w:rPr>
            </w:pPr>
            <w:r>
              <w:rPr>
                <w:rStyle w:val="35"/>
                <w:rFonts w:hint="eastAsia" w:ascii="黑体" w:hAnsi="黑体" w:eastAsia="黑体" w:cs="黑体"/>
                <w:color w:val="auto"/>
                <w:sz w:val="21"/>
                <w:szCs w:val="21"/>
                <w:highlight w:val="none"/>
                <w:lang w:val="zh-TW" w:eastAsia="zh-TW"/>
              </w:rPr>
              <w:t>建筑工程一切险的保险费率：</w:t>
            </w:r>
            <w:r>
              <w:rPr>
                <w:rFonts w:hint="eastAsia" w:ascii="黑体" w:hAnsi="黑体" w:eastAsia="黑体" w:cs="黑体"/>
                <w:b/>
                <w:bCs/>
                <w:i w:val="0"/>
                <w:iCs w:val="0"/>
                <w:color w:val="auto"/>
                <w:sz w:val="21"/>
                <w:szCs w:val="21"/>
                <w:highlight w:val="none"/>
                <w:u w:val="single"/>
                <w:lang w:val="en-US" w:eastAsia="zh-CN"/>
              </w:rPr>
              <w:t>3</w:t>
            </w:r>
            <w:r>
              <w:rPr>
                <w:rFonts w:hint="eastAsia" w:ascii="黑体" w:hAnsi="黑体" w:eastAsia="黑体" w:cs="黑体"/>
                <w:b/>
                <w:bCs/>
                <w:i w:val="0"/>
                <w:iCs w:val="0"/>
                <w:color w:val="auto"/>
                <w:sz w:val="21"/>
                <w:szCs w:val="21"/>
                <w:highlight w:val="none"/>
                <w:u w:val="single"/>
              </w:rPr>
              <w:t>‰</w:t>
            </w:r>
          </w:p>
        </w:tc>
      </w:tr>
      <w:tr w14:paraId="612F7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tcBorders>
              <w:top w:val="single" w:color="auto" w:sz="4" w:space="0"/>
              <w:left w:val="single" w:color="auto" w:sz="4" w:space="0"/>
              <w:bottom w:val="single" w:color="auto" w:sz="4" w:space="0"/>
              <w:right w:val="single" w:color="auto" w:sz="4" w:space="0"/>
            </w:tcBorders>
            <w:noWrap w:val="0"/>
            <w:vAlign w:val="center"/>
          </w:tcPr>
          <w:p w14:paraId="2645C4C7">
            <w:pPr>
              <w:shd w:val="clear" w:color="auto" w:fill="auto"/>
              <w:jc w:val="center"/>
              <w:rPr>
                <w:rStyle w:val="37"/>
                <w:rFonts w:hint="eastAsia" w:ascii="黑体" w:hAnsi="黑体" w:eastAsia="黑体" w:cs="黑体"/>
                <w:color w:val="auto"/>
                <w:sz w:val="21"/>
                <w:szCs w:val="21"/>
                <w:highlight w:val="none"/>
                <w:lang w:val="zh-TW" w:eastAsia="zh-TW"/>
              </w:rPr>
            </w:pPr>
            <w:r>
              <w:rPr>
                <w:rStyle w:val="37"/>
                <w:rFonts w:hint="eastAsia" w:ascii="黑体" w:hAnsi="黑体" w:eastAsia="黑体" w:cs="黑体"/>
                <w:color w:val="auto"/>
                <w:sz w:val="21"/>
                <w:szCs w:val="21"/>
                <w:highlight w:val="none"/>
              </w:rPr>
              <w:t>28</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1757778E">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20.4.2</w:t>
            </w:r>
          </w:p>
        </w:tc>
        <w:tc>
          <w:tcPr>
            <w:tcW w:w="7322" w:type="dxa"/>
            <w:tcBorders>
              <w:top w:val="single" w:color="auto" w:sz="4" w:space="0"/>
              <w:left w:val="single" w:color="auto" w:sz="4" w:space="0"/>
              <w:bottom w:val="single" w:color="auto" w:sz="4" w:space="0"/>
              <w:right w:val="single" w:color="auto" w:sz="4" w:space="0"/>
            </w:tcBorders>
            <w:noWrap w:val="0"/>
            <w:vAlign w:val="bottom"/>
          </w:tcPr>
          <w:p w14:paraId="3C84093C">
            <w:pPr>
              <w:pStyle w:val="34"/>
              <w:shd w:val="clear" w:color="auto" w:fill="auto"/>
              <w:spacing w:before="0" w:line="240" w:lineRule="auto"/>
              <w:jc w:val="both"/>
              <w:rPr>
                <w:rStyle w:val="35"/>
                <w:rFonts w:hint="eastAsia" w:ascii="黑体" w:hAnsi="黑体" w:eastAsia="黑体" w:cs="黑体"/>
                <w:color w:val="auto"/>
                <w:sz w:val="21"/>
                <w:szCs w:val="21"/>
                <w:highlight w:val="none"/>
                <w:lang w:eastAsia="zh-CN"/>
              </w:rPr>
            </w:pPr>
            <w:r>
              <w:rPr>
                <w:rFonts w:hint="eastAsia" w:ascii="黑体" w:hAnsi="黑体" w:eastAsia="黑体" w:cs="黑体"/>
                <w:color w:val="auto"/>
                <w:szCs w:val="21"/>
                <w:highlight w:val="none"/>
              </w:rPr>
              <w:t>第三方责任险的最低投保金额为</w:t>
            </w:r>
            <w:r>
              <w:rPr>
                <w:rFonts w:hint="eastAsia" w:ascii="黑体" w:hAnsi="黑体" w:eastAsia="黑体" w:cs="黑体"/>
                <w:b w:val="0"/>
                <w:bCs w:val="0"/>
                <w:color w:val="auto"/>
                <w:szCs w:val="21"/>
                <w:highlight w:val="none"/>
                <w:u w:val="single"/>
              </w:rPr>
              <w:t>100万元</w:t>
            </w:r>
            <w:r>
              <w:rPr>
                <w:rFonts w:hint="eastAsia" w:ascii="黑体" w:hAnsi="黑体" w:eastAsia="黑体" w:cs="黑体"/>
                <w:color w:val="auto"/>
                <w:szCs w:val="21"/>
                <w:highlight w:val="none"/>
              </w:rPr>
              <w:t>，事故次数不限（不计免赔额），保险费率</w:t>
            </w:r>
            <w:r>
              <w:rPr>
                <w:rFonts w:hint="eastAsia" w:ascii="黑体" w:hAnsi="黑体" w:eastAsia="黑体" w:cs="黑体"/>
                <w:b w:val="0"/>
                <w:bCs w:val="0"/>
                <w:color w:val="auto"/>
                <w:szCs w:val="21"/>
                <w:highlight w:val="none"/>
              </w:rPr>
              <w:t>为</w:t>
            </w:r>
            <w:r>
              <w:rPr>
                <w:rFonts w:hint="eastAsia" w:ascii="黑体" w:hAnsi="黑体" w:eastAsia="黑体" w:cs="黑体"/>
                <w:b w:val="0"/>
                <w:bCs w:val="0"/>
                <w:color w:val="auto"/>
                <w:szCs w:val="21"/>
                <w:highlight w:val="none"/>
                <w:u w:val="single"/>
              </w:rPr>
              <w:t>4‰</w:t>
            </w:r>
            <w:r>
              <w:rPr>
                <w:rFonts w:hint="eastAsia" w:ascii="黑体" w:hAnsi="黑体" w:eastAsia="黑体" w:cs="黑体"/>
                <w:b w:val="0"/>
                <w:bCs w:val="0"/>
                <w:color w:val="auto"/>
                <w:szCs w:val="21"/>
                <w:highlight w:val="none"/>
              </w:rPr>
              <w:t>。</w:t>
            </w:r>
          </w:p>
        </w:tc>
      </w:tr>
      <w:tr w14:paraId="48A4A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tcBorders>
              <w:top w:val="single" w:color="auto" w:sz="4" w:space="0"/>
              <w:left w:val="single" w:color="auto" w:sz="4" w:space="0"/>
              <w:bottom w:val="single" w:color="auto" w:sz="4" w:space="0"/>
              <w:right w:val="single" w:color="auto" w:sz="4" w:space="0"/>
            </w:tcBorders>
            <w:noWrap w:val="0"/>
            <w:vAlign w:val="center"/>
          </w:tcPr>
          <w:p w14:paraId="202A5E64">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rPr>
              <w:t>29</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2537F975">
            <w:pPr>
              <w:pStyle w:val="34"/>
              <w:shd w:val="clear" w:color="auto" w:fill="auto"/>
              <w:spacing w:before="0" w:line="240" w:lineRule="auto"/>
              <w:jc w:val="center"/>
              <w:rPr>
                <w:rStyle w:val="35"/>
                <w:rFonts w:hint="eastAsia" w:ascii="黑体" w:hAnsi="黑体" w:eastAsia="黑体" w:cs="黑体"/>
                <w:color w:val="auto"/>
                <w:sz w:val="21"/>
                <w:szCs w:val="21"/>
                <w:highlight w:val="none"/>
                <w:lang w:val="zh-TW" w:eastAsia="zh-TW"/>
              </w:rPr>
            </w:pPr>
            <w:r>
              <w:rPr>
                <w:rStyle w:val="35"/>
                <w:rFonts w:hint="eastAsia" w:ascii="黑体" w:hAnsi="黑体" w:eastAsia="黑体" w:cs="黑体"/>
                <w:color w:val="auto"/>
                <w:sz w:val="21"/>
                <w:szCs w:val="21"/>
                <w:highlight w:val="none"/>
                <w:lang w:val="zh-TW" w:eastAsia="zh-TW"/>
              </w:rPr>
              <w:t>24.1</w:t>
            </w:r>
          </w:p>
        </w:tc>
        <w:tc>
          <w:tcPr>
            <w:tcW w:w="7322" w:type="dxa"/>
            <w:tcBorders>
              <w:top w:val="single" w:color="auto" w:sz="4" w:space="0"/>
              <w:left w:val="single" w:color="auto" w:sz="4" w:space="0"/>
              <w:bottom w:val="single" w:color="auto" w:sz="4" w:space="0"/>
              <w:right w:val="single" w:color="auto" w:sz="4" w:space="0"/>
            </w:tcBorders>
            <w:noWrap w:val="0"/>
            <w:vAlign w:val="bottom"/>
          </w:tcPr>
          <w:p w14:paraId="1B27077E">
            <w:pPr>
              <w:pStyle w:val="34"/>
              <w:shd w:val="clear" w:color="auto" w:fill="auto"/>
              <w:spacing w:before="0" w:line="240" w:lineRule="auto"/>
              <w:jc w:val="both"/>
              <w:rPr>
                <w:rStyle w:val="35"/>
                <w:rFonts w:hint="eastAsia" w:ascii="黑体" w:hAnsi="黑体" w:eastAsia="黑体" w:cs="黑体"/>
                <w:color w:val="auto"/>
                <w:sz w:val="21"/>
                <w:szCs w:val="21"/>
                <w:highlight w:val="none"/>
                <w:lang w:val="en-US" w:eastAsia="zh-CN"/>
              </w:rPr>
            </w:pPr>
            <w:r>
              <w:rPr>
                <w:rStyle w:val="35"/>
                <w:rFonts w:hint="eastAsia" w:ascii="黑体" w:hAnsi="黑体" w:eastAsia="黑体" w:cs="黑体"/>
                <w:color w:val="auto"/>
                <w:sz w:val="21"/>
                <w:szCs w:val="21"/>
                <w:highlight w:val="none"/>
                <w:lang w:val="en-US" w:eastAsia="zh-CN"/>
              </w:rPr>
              <w:t>争议的最终解决方式：</w:t>
            </w:r>
            <w:r>
              <w:rPr>
                <w:rStyle w:val="35"/>
                <w:rFonts w:hint="eastAsia" w:ascii="黑体" w:hAnsi="黑体" w:eastAsia="黑体" w:cs="黑体"/>
                <w:b/>
                <w:color w:val="auto"/>
                <w:sz w:val="21"/>
                <w:szCs w:val="21"/>
                <w:highlight w:val="none"/>
                <w:u w:val="single"/>
                <w:lang w:val="en-US" w:eastAsia="zh-CN"/>
              </w:rPr>
              <w:t>诉讼</w:t>
            </w:r>
          </w:p>
          <w:p w14:paraId="0941ABAA">
            <w:pPr>
              <w:pStyle w:val="34"/>
              <w:shd w:val="clear" w:color="auto" w:fill="auto"/>
              <w:spacing w:before="0" w:line="240" w:lineRule="auto"/>
              <w:jc w:val="both"/>
              <w:rPr>
                <w:rStyle w:val="35"/>
                <w:rFonts w:hint="eastAsia" w:ascii="黑体" w:hAnsi="黑体" w:eastAsia="黑体" w:cs="黑体"/>
                <w:color w:val="auto"/>
                <w:sz w:val="21"/>
                <w:szCs w:val="21"/>
                <w:highlight w:val="none"/>
                <w:lang w:val="zh-TW" w:eastAsia="zh-TW"/>
              </w:rPr>
            </w:pPr>
            <w:r>
              <w:rPr>
                <w:rFonts w:hint="eastAsia" w:ascii="黑体" w:hAnsi="黑体" w:eastAsia="黑体" w:cs="黑体"/>
                <w:color w:val="auto"/>
                <w:sz w:val="21"/>
                <w:szCs w:val="21"/>
                <w:highlight w:val="none"/>
                <w:lang w:val="en-US" w:eastAsia="zh-CN"/>
              </w:rPr>
              <w:t>诉讼机关：</w:t>
            </w:r>
            <w:r>
              <w:rPr>
                <w:rFonts w:hint="eastAsia" w:ascii="黑体" w:hAnsi="黑体" w:eastAsia="黑体" w:cs="黑体"/>
                <w:b/>
                <w:color w:val="auto"/>
                <w:sz w:val="21"/>
                <w:szCs w:val="21"/>
                <w:highlight w:val="none"/>
                <w:u w:val="single"/>
                <w:lang w:val="en-US" w:eastAsia="zh-CN"/>
              </w:rPr>
              <w:t>呼伦贝尔市海拉尔区人民法院</w:t>
            </w:r>
          </w:p>
        </w:tc>
      </w:tr>
    </w:tbl>
    <w:p w14:paraId="2CBEE655">
      <w:pPr>
        <w:shd w:val="clear" w:color="auto" w:fill="auto"/>
        <w:spacing w:line="380" w:lineRule="atLeast"/>
        <w:jc w:val="left"/>
        <w:rPr>
          <w:rFonts w:eastAsia="黑体"/>
          <w:color w:val="auto"/>
          <w:sz w:val="20"/>
          <w:szCs w:val="20"/>
          <w:highlight w:val="none"/>
        </w:rPr>
      </w:pPr>
    </w:p>
    <w:p w14:paraId="49755AF4">
      <w:pPr>
        <w:pStyle w:val="2"/>
        <w:shd w:val="clear" w:color="auto" w:fill="auto"/>
        <w:spacing w:before="240" w:after="240" w:line="380" w:lineRule="atLeast"/>
        <w:jc w:val="center"/>
        <w:rPr>
          <w:rFonts w:eastAsia="黑体"/>
          <w:b w:val="0"/>
          <w:color w:val="auto"/>
          <w:sz w:val="32"/>
          <w:szCs w:val="32"/>
          <w:highlight w:val="none"/>
        </w:rPr>
        <w:sectPr>
          <w:headerReference r:id="rId20" w:type="default"/>
          <w:footerReference r:id="rId22" w:type="default"/>
          <w:headerReference r:id="rId21" w:type="even"/>
          <w:footerReference r:id="rId23" w:type="even"/>
          <w:footnotePr>
            <w:numFmt w:val="decimalEnclosedCircleChinese"/>
            <w:numRestart w:val="eachPage"/>
          </w:footnotePr>
          <w:pgSz w:w="11907" w:h="16840"/>
          <w:pgMar w:top="1588" w:right="1588" w:bottom="1474" w:left="1644" w:header="851" w:footer="851" w:gutter="0"/>
          <w:pgBorders>
            <w:top w:val="none" w:sz="0" w:space="0"/>
            <w:left w:val="none" w:sz="0" w:space="0"/>
            <w:bottom w:val="none" w:sz="0" w:space="0"/>
            <w:right w:val="none" w:sz="0" w:space="0"/>
          </w:pgBorders>
          <w:pgNumType w:fmt="numberInDash"/>
          <w:cols w:space="720" w:num="1"/>
          <w:docGrid w:linePitch="312" w:charSpace="0"/>
        </w:sectPr>
      </w:pPr>
      <w:bookmarkStart w:id="595" w:name="_Toc234833222"/>
      <w:bookmarkStart w:id="596" w:name="_Toc501257447"/>
    </w:p>
    <w:p w14:paraId="5A891714">
      <w:pPr>
        <w:pStyle w:val="2"/>
        <w:shd w:val="clear" w:color="auto" w:fill="auto"/>
        <w:spacing w:before="240" w:after="240" w:line="380" w:lineRule="atLeast"/>
        <w:jc w:val="center"/>
        <w:rPr>
          <w:rFonts w:eastAsia="黑体"/>
          <w:b w:val="0"/>
          <w:color w:val="auto"/>
          <w:sz w:val="32"/>
          <w:szCs w:val="32"/>
          <w:highlight w:val="none"/>
        </w:rPr>
      </w:pPr>
      <w:bookmarkStart w:id="597" w:name="_Toc23136"/>
      <w:r>
        <w:rPr>
          <w:rFonts w:eastAsia="黑体"/>
          <w:b/>
          <w:bCs w:val="0"/>
          <w:color w:val="auto"/>
          <w:sz w:val="32"/>
          <w:szCs w:val="32"/>
          <w:highlight w:val="none"/>
        </w:rPr>
        <w:t>项目专用合同条款</w:t>
      </w:r>
      <w:bookmarkEnd w:id="595"/>
      <w:bookmarkEnd w:id="596"/>
      <w:bookmarkEnd w:id="597"/>
    </w:p>
    <w:p w14:paraId="6E710F01">
      <w:pPr>
        <w:shd w:val="clear" w:color="auto" w:fill="auto"/>
        <w:rPr>
          <w:color w:val="auto"/>
          <w:highlight w:val="none"/>
        </w:rPr>
      </w:pPr>
    </w:p>
    <w:p w14:paraId="629BDEAA">
      <w:pPr>
        <w:pStyle w:val="9"/>
        <w:shd w:val="clear" w:color="auto" w:fill="auto"/>
        <w:snapToGrid w:val="0"/>
        <w:spacing w:after="0" w:line="400" w:lineRule="atLeast"/>
        <w:ind w:left="0" w:leftChars="0" w:firstLine="0" w:firstLineChars="0"/>
        <w:rPr>
          <w:rFonts w:hint="eastAsia" w:ascii="黑体" w:hAnsi="黑体" w:eastAsia="黑体" w:cs="黑体"/>
          <w:color w:val="auto"/>
          <w:sz w:val="24"/>
          <w:highlight w:val="none"/>
        </w:rPr>
      </w:pPr>
      <w:r>
        <w:rPr>
          <w:rFonts w:hint="eastAsia" w:ascii="黑体" w:hAnsi="黑体" w:eastAsia="黑体" w:cs="黑体"/>
          <w:color w:val="auto"/>
          <w:sz w:val="24"/>
          <w:highlight w:val="none"/>
        </w:rPr>
        <w:t>说明：本部分所列的项目专用合同条款是对“公路工程专用合同条款”中规定必须在项目专用合同条款中明确的内容的集中，招标人编制的“项目专用合同条款”不限于本部分所列内容。</w:t>
      </w:r>
    </w:p>
    <w:p w14:paraId="7A333734">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bookmarkStart w:id="598" w:name="_Toc31660574"/>
      <w:bookmarkStart w:id="599" w:name="_Toc29728395"/>
      <w:bookmarkStart w:id="600" w:name="_Toc247192623"/>
      <w:r>
        <w:rPr>
          <w:rFonts w:hint="eastAsia" w:ascii="黑体" w:hAnsi="黑体" w:eastAsia="黑体" w:cs="黑体"/>
          <w:b/>
          <w:color w:val="auto"/>
          <w:sz w:val="28"/>
          <w:szCs w:val="28"/>
          <w:highlight w:val="none"/>
        </w:rPr>
        <w:t>1. 一般约定</w:t>
      </w:r>
      <w:bookmarkEnd w:id="598"/>
      <w:bookmarkEnd w:id="599"/>
      <w:bookmarkEnd w:id="600"/>
    </w:p>
    <w:p w14:paraId="74D3CA5E">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01" w:name="_Toc247192624"/>
      <w:bookmarkStart w:id="602" w:name="_Toc31660575"/>
      <w:r>
        <w:rPr>
          <w:rFonts w:hint="eastAsia" w:ascii="黑体" w:hAnsi="黑体" w:eastAsia="黑体" w:cs="黑体"/>
          <w:b/>
          <w:color w:val="auto"/>
          <w:sz w:val="24"/>
          <w:highlight w:val="none"/>
        </w:rPr>
        <w:t>1.1  词语定义</w:t>
      </w:r>
      <w:bookmarkEnd w:id="601"/>
      <w:bookmarkEnd w:id="602"/>
    </w:p>
    <w:p w14:paraId="6BEC1F57">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kern w:val="0"/>
          <w:sz w:val="24"/>
          <w:highlight w:val="none"/>
        </w:rPr>
      </w:pPr>
      <w:r>
        <w:rPr>
          <w:rFonts w:hint="eastAsia" w:ascii="黑体" w:hAnsi="黑体" w:eastAsia="黑体" w:cs="黑体"/>
          <w:color w:val="auto"/>
          <w:kern w:val="0"/>
          <w:sz w:val="24"/>
          <w:highlight w:val="none"/>
        </w:rPr>
        <w:t xml:space="preserve">1.1.1.合同 </w:t>
      </w:r>
    </w:p>
    <w:p w14:paraId="1C169FEF">
      <w:pPr>
        <w:keepNext w:val="0"/>
        <w:keepLines w:val="0"/>
        <w:pageBreakBefore w:val="0"/>
        <w:widowControl w:val="0"/>
        <w:shd w:val="clear" w:color="auto" w:fill="auto"/>
        <w:kinsoku/>
        <w:wordWrap/>
        <w:overflowPunct/>
        <w:topLinePunct w:val="0"/>
        <w:autoSpaceDE w:val="0"/>
        <w:autoSpaceDN w:val="0"/>
        <w:bidi w:val="0"/>
        <w:adjustRightInd w:val="0"/>
        <w:snapToGrid/>
        <w:spacing w:line="360" w:lineRule="auto"/>
        <w:ind w:firstLine="480" w:firstLineChars="200"/>
        <w:jc w:val="left"/>
        <w:textAlignment w:val="auto"/>
        <w:rPr>
          <w:rFonts w:hint="eastAsia" w:ascii="黑体" w:hAnsi="黑体" w:eastAsia="黑体" w:cs="黑体"/>
          <w:color w:val="auto"/>
          <w:kern w:val="0"/>
          <w:sz w:val="24"/>
          <w:highlight w:val="none"/>
        </w:rPr>
      </w:pPr>
      <w:r>
        <w:rPr>
          <w:rFonts w:hint="eastAsia" w:ascii="黑体" w:hAnsi="黑体" w:eastAsia="黑体" w:cs="黑体"/>
          <w:color w:val="auto"/>
          <w:kern w:val="0"/>
          <w:sz w:val="24"/>
          <w:highlight w:val="none"/>
        </w:rPr>
        <w:t>1.1.1.7 图纸</w:t>
      </w:r>
    </w:p>
    <w:p w14:paraId="55045B60">
      <w:pPr>
        <w:keepNext w:val="0"/>
        <w:keepLines w:val="0"/>
        <w:pageBreakBefore w:val="0"/>
        <w:widowControl w:val="0"/>
        <w:shd w:val="clear" w:color="auto" w:fill="auto"/>
        <w:kinsoku/>
        <w:wordWrap/>
        <w:overflowPunct/>
        <w:topLinePunct w:val="0"/>
        <w:autoSpaceDE w:val="0"/>
        <w:autoSpaceDN w:val="0"/>
        <w:bidi w:val="0"/>
        <w:adjustRightInd w:val="0"/>
        <w:snapToGrid/>
        <w:spacing w:line="360" w:lineRule="auto"/>
        <w:ind w:firstLine="480" w:firstLineChars="200"/>
        <w:jc w:val="left"/>
        <w:textAlignment w:val="auto"/>
        <w:rPr>
          <w:rFonts w:hint="eastAsia" w:ascii="黑体" w:hAnsi="黑体" w:eastAsia="黑体" w:cs="黑体"/>
          <w:color w:val="auto"/>
          <w:kern w:val="0"/>
          <w:sz w:val="24"/>
          <w:highlight w:val="none"/>
        </w:rPr>
      </w:pPr>
      <w:r>
        <w:rPr>
          <w:rFonts w:hint="eastAsia" w:ascii="黑体" w:hAnsi="黑体" w:eastAsia="黑体" w:cs="黑体"/>
          <w:color w:val="auto"/>
          <w:sz w:val="24"/>
          <w:highlight w:val="none"/>
        </w:rPr>
        <w:t>通用合同条款</w:t>
      </w:r>
      <w:r>
        <w:rPr>
          <w:rFonts w:hint="eastAsia" w:ascii="黑体" w:hAnsi="黑体" w:eastAsia="黑体" w:cs="黑体"/>
          <w:color w:val="auto"/>
          <w:kern w:val="0"/>
          <w:sz w:val="24"/>
          <w:highlight w:val="none"/>
        </w:rPr>
        <w:t>1.1.1.7</w:t>
      </w:r>
      <w:r>
        <w:rPr>
          <w:rFonts w:hint="eastAsia" w:ascii="黑体" w:hAnsi="黑体" w:eastAsia="黑体" w:cs="黑体"/>
          <w:color w:val="auto"/>
          <w:sz w:val="24"/>
          <w:highlight w:val="none"/>
        </w:rPr>
        <w:t>本项细化为</w:t>
      </w:r>
      <w:r>
        <w:rPr>
          <w:rFonts w:hint="eastAsia" w:ascii="黑体" w:hAnsi="黑体" w:eastAsia="黑体" w:cs="黑体"/>
          <w:color w:val="auto"/>
          <w:kern w:val="0"/>
          <w:sz w:val="24"/>
          <w:highlight w:val="none"/>
        </w:rPr>
        <w:t>：</w:t>
      </w:r>
    </w:p>
    <w:p w14:paraId="2D564FB4">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b/>
          <w:color w:val="auto"/>
          <w:sz w:val="24"/>
          <w:highlight w:val="none"/>
        </w:rPr>
      </w:pPr>
      <w:r>
        <w:rPr>
          <w:rFonts w:hint="eastAsia" w:ascii="黑体" w:hAnsi="黑体" w:eastAsia="黑体" w:cs="黑体"/>
          <w:color w:val="auto"/>
          <w:kern w:val="0"/>
          <w:sz w:val="24"/>
          <w:highlight w:val="none"/>
        </w:rPr>
        <w:t>指承包人按本合同规定提供的全部施工设计图纸和可能附有的计算书和有关技术资料，以及由发包人和监理人批复的变更设计图纸和其他有关技术资料。</w:t>
      </w:r>
    </w:p>
    <w:p w14:paraId="7418F835">
      <w:pPr>
        <w:keepNext w:val="0"/>
        <w:keepLines w:val="0"/>
        <w:pageBreakBefore w:val="0"/>
        <w:widowControl w:val="0"/>
        <w:shd w:val="clear" w:color="auto" w:fill="auto"/>
        <w:kinsoku/>
        <w:wordWrap/>
        <w:overflowPunct/>
        <w:topLinePunct w:val="0"/>
        <w:bidi w:val="0"/>
        <w:snapToGrid/>
        <w:spacing w:line="360" w:lineRule="auto"/>
        <w:ind w:firstLine="472" w:firstLineChars="197"/>
        <w:textAlignment w:val="auto"/>
        <w:rPr>
          <w:rFonts w:hint="eastAsia" w:ascii="黑体" w:hAnsi="黑体" w:eastAsia="黑体" w:cs="黑体"/>
          <w:b/>
          <w:color w:val="auto"/>
          <w:sz w:val="24"/>
          <w:highlight w:val="none"/>
        </w:rPr>
      </w:pPr>
      <w:r>
        <w:rPr>
          <w:rFonts w:hint="eastAsia" w:ascii="黑体" w:hAnsi="黑体" w:eastAsia="黑体" w:cs="黑体"/>
          <w:color w:val="auto"/>
          <w:sz w:val="24"/>
          <w:highlight w:val="none"/>
        </w:rPr>
        <w:t>1.1.2  合同当事人和人员</w:t>
      </w:r>
    </w:p>
    <w:p w14:paraId="1083424B">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公路工程专用合同条款本项补充第1.1.2.9目：</w:t>
      </w:r>
    </w:p>
    <w:p w14:paraId="59DCDD41">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1.1.2.9  总监理工程师或驻地监理工程师：指由监理人委派常驻施工场地对合同履行实施管理的总监办或驻地办负责人。</w:t>
      </w:r>
    </w:p>
    <w:p w14:paraId="45EF29E8">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1.1.4  日期</w:t>
      </w:r>
    </w:p>
    <w:p w14:paraId="4D33B579">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通用合同条款本项补充第1.1.4.8目：</w:t>
      </w:r>
    </w:p>
    <w:p w14:paraId="1DB212DE">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1.1.4.8  月：根据公历从某一个月份中的任何一天开始至下一个月份相应日期的前一天截止的时间段。</w:t>
      </w:r>
    </w:p>
    <w:p w14:paraId="5E3F4B77">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03" w:name="_Toc31660576"/>
      <w:r>
        <w:rPr>
          <w:rFonts w:hint="eastAsia" w:ascii="黑体" w:hAnsi="黑体" w:eastAsia="黑体" w:cs="黑体"/>
          <w:b/>
          <w:color w:val="auto"/>
          <w:sz w:val="24"/>
          <w:highlight w:val="none"/>
        </w:rPr>
        <w:t>1.6  图纸和承包人文件</w:t>
      </w:r>
      <w:bookmarkEnd w:id="603"/>
    </w:p>
    <w:p w14:paraId="35E62013">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1.6.3  图纸的修改</w:t>
      </w:r>
    </w:p>
    <w:p w14:paraId="7F8A70E2">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本项细化为：</w:t>
      </w:r>
    </w:p>
    <w:p w14:paraId="76FB9A4D">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图纸需要修改和补充的，应由监理人取得发包人同意后，在该工程或工程相应部位施工前的7天内签发图纸修改图和补充图给承包人。承包人应按修改和补充后的图纸施工。</w:t>
      </w:r>
    </w:p>
    <w:p w14:paraId="09733432">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1.6.4  图纸的错误</w:t>
      </w:r>
    </w:p>
    <w:p w14:paraId="5DF1ACB0">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公路工程专用合同条款1.6.4本项补充细化为：</w:t>
      </w:r>
    </w:p>
    <w:p w14:paraId="75B965AE">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当承包人在查阅合同文件或在本合同工程实施过程中，发现有关的工程设计、技术规范、图纸或其他资料中的任何差错、遗漏或缺陷后，应及时通知监理人。监理人接到该通知后，应立即就此作出决定，并将决定报发包人，经发包人同意后，通知承包人实施。</w:t>
      </w:r>
    </w:p>
    <w:p w14:paraId="6C558880">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承包人在工程实施前，应充分理解设计意图，并对设计文件和现场地形、地物进行认真复核和测量，如发现问题，应及时上报，不得擅自施工，否则因此造成的一切损失和费用增加均由承包人负责。</w:t>
      </w:r>
    </w:p>
    <w:p w14:paraId="2BD9AA1D">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承包人应能发现设计文件的明显差错，因其未能发现或发现后未能及时书面通知监理人并报发包人而造成的任何损失，承包人应承担相应责任。</w:t>
      </w:r>
    </w:p>
    <w:p w14:paraId="1EA53F35">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承包人应对设计图纸中有关工程材料和设备的设计情况进行复核，若发现在施工图纸中有违规指定产品的情况，应及时通知监理人报发包人。</w:t>
      </w:r>
    </w:p>
    <w:p w14:paraId="0D6F9E92">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04" w:name="_Toc31660577"/>
      <w:r>
        <w:rPr>
          <w:rFonts w:hint="eastAsia" w:ascii="黑体" w:hAnsi="黑体" w:eastAsia="黑体" w:cs="黑体"/>
          <w:b/>
          <w:color w:val="auto"/>
          <w:sz w:val="24"/>
          <w:highlight w:val="none"/>
        </w:rPr>
        <w:t>1.7  联络</w:t>
      </w:r>
      <w:bookmarkEnd w:id="604"/>
    </w:p>
    <w:p w14:paraId="7A9010E2">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kern w:val="0"/>
          <w:sz w:val="24"/>
          <w:highlight w:val="none"/>
        </w:rPr>
      </w:pPr>
      <w:r>
        <w:rPr>
          <w:rFonts w:hint="eastAsia" w:ascii="黑体" w:hAnsi="黑体" w:eastAsia="黑体" w:cs="黑体"/>
          <w:color w:val="auto"/>
          <w:sz w:val="24"/>
          <w:highlight w:val="none"/>
        </w:rPr>
        <w:t>通用合同条款1.7.2项目约定为</w:t>
      </w:r>
      <w:r>
        <w:rPr>
          <w:rFonts w:hint="eastAsia" w:ascii="黑体" w:hAnsi="黑体" w:eastAsia="黑体" w:cs="黑体"/>
          <w:color w:val="auto"/>
          <w:kern w:val="0"/>
          <w:sz w:val="24"/>
          <w:highlight w:val="none"/>
        </w:rPr>
        <w:t>：</w:t>
      </w:r>
    </w:p>
    <w:p w14:paraId="5AD47CA0">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kern w:val="0"/>
          <w:sz w:val="24"/>
          <w:highlight w:val="none"/>
        </w:rPr>
      </w:pPr>
      <w:r>
        <w:rPr>
          <w:rFonts w:hint="eastAsia" w:ascii="黑体" w:hAnsi="黑体" w:eastAsia="黑体" w:cs="黑体"/>
          <w:color w:val="auto"/>
          <w:kern w:val="0"/>
          <w:sz w:val="24"/>
          <w:highlight w:val="none"/>
        </w:rPr>
        <w:t>1.7.2 第1.7.1项中的通知、批准、证明、证书、指示、要求、请求、同意、意见、确定和决定等来往函件，均应在函件发出24小时内送达指定地点和接收人，并办理签收手续。</w:t>
      </w:r>
    </w:p>
    <w:p w14:paraId="13F6BDC5">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bookmarkStart w:id="605" w:name="_Toc29728396"/>
      <w:bookmarkStart w:id="606" w:name="_Toc31660578"/>
      <w:r>
        <w:rPr>
          <w:rFonts w:hint="eastAsia" w:ascii="黑体" w:hAnsi="黑体" w:eastAsia="黑体" w:cs="黑体"/>
          <w:b/>
          <w:color w:val="auto"/>
          <w:sz w:val="28"/>
          <w:szCs w:val="28"/>
          <w:highlight w:val="none"/>
        </w:rPr>
        <w:t>2. 发包人义务</w:t>
      </w:r>
      <w:bookmarkEnd w:id="605"/>
      <w:bookmarkEnd w:id="606"/>
    </w:p>
    <w:p w14:paraId="0770E2AE">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07" w:name="_Toc31660579"/>
      <w:r>
        <w:rPr>
          <w:rFonts w:hint="eastAsia" w:ascii="黑体" w:hAnsi="黑体" w:eastAsia="黑体" w:cs="黑体"/>
          <w:b/>
          <w:color w:val="auto"/>
          <w:sz w:val="24"/>
          <w:highlight w:val="none"/>
        </w:rPr>
        <w:t>2.3  提供施工场地</w:t>
      </w:r>
      <w:bookmarkEnd w:id="607"/>
    </w:p>
    <w:p w14:paraId="0260630D">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公路工程专用合同条款本款补充：</w:t>
      </w:r>
    </w:p>
    <w:p w14:paraId="2F9C72D3">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承包人对施工场地内的地下管线和地下设施应自行进行调查，不论发包人是否提供有关资料，造成损害的均由承包人承担责任和赔偿损失。</w:t>
      </w:r>
    </w:p>
    <w:p w14:paraId="5A65AA11">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在接受发包人交付的永久性征地红线时，应同步对红线进行复核，并及时开挖清晰、易识别的红线边沟，保护直至工程交工。如遇永久性征地不足或超征，应立即以书面形式通知监理人，开工之后发现需要再次征地或因未保护好红线造成红线被侵占或产生纠纷而引起的重复征地（因发包人责任造成的除外），由承包人负责再次征地并承担由此产生的费用。</w:t>
      </w:r>
    </w:p>
    <w:p w14:paraId="2AAF1BF8">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如果发包人提供的取土用地不能满足承包人施工需要，为不影响施工进度，承包人应自行解决其他取土用地，发包人不会因此向承包人支付任何费用。承包人自行解决取土用地的行为应符合国家、省、市及当地有关部门的有关规定。</w:t>
      </w:r>
    </w:p>
    <w:p w14:paraId="117CEA76">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bookmarkStart w:id="608" w:name="_Toc29728397"/>
      <w:bookmarkStart w:id="609" w:name="_Toc31660580"/>
      <w:r>
        <w:rPr>
          <w:rFonts w:hint="eastAsia" w:ascii="黑体" w:hAnsi="黑体" w:eastAsia="黑体" w:cs="黑体"/>
          <w:b/>
          <w:color w:val="auto"/>
          <w:sz w:val="28"/>
          <w:szCs w:val="28"/>
          <w:highlight w:val="none"/>
        </w:rPr>
        <w:t>3. 监理人</w:t>
      </w:r>
      <w:bookmarkEnd w:id="608"/>
      <w:bookmarkEnd w:id="609"/>
    </w:p>
    <w:p w14:paraId="19BD6C37">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10" w:name="_Toc31660581"/>
      <w:bookmarkStart w:id="611" w:name="_Toc247192626"/>
      <w:r>
        <w:rPr>
          <w:rFonts w:hint="eastAsia" w:ascii="黑体" w:hAnsi="黑体" w:eastAsia="黑体" w:cs="黑体"/>
          <w:b/>
          <w:color w:val="auto"/>
          <w:sz w:val="24"/>
          <w:highlight w:val="none"/>
        </w:rPr>
        <w:t>3.1  监理人的职责和权力</w:t>
      </w:r>
      <w:bookmarkEnd w:id="610"/>
      <w:bookmarkEnd w:id="611"/>
    </w:p>
    <w:p w14:paraId="039E34B9">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b/>
          <w:color w:val="auto"/>
          <w:sz w:val="24"/>
          <w:highlight w:val="none"/>
        </w:rPr>
      </w:pPr>
      <w:r>
        <w:rPr>
          <w:rFonts w:hint="eastAsia" w:ascii="黑体" w:hAnsi="黑体" w:eastAsia="黑体" w:cs="黑体"/>
          <w:color w:val="auto"/>
          <w:sz w:val="24"/>
          <w:highlight w:val="none"/>
        </w:rPr>
        <w:t>公路工程专用合同条款</w:t>
      </w:r>
      <w:r>
        <w:rPr>
          <w:rFonts w:hint="eastAsia" w:ascii="黑体" w:hAnsi="黑体" w:eastAsia="黑体" w:cs="黑体"/>
          <w:color w:val="auto"/>
          <w:kern w:val="0"/>
          <w:sz w:val="24"/>
          <w:highlight w:val="none"/>
        </w:rPr>
        <w:t>第3.1.1项补充：</w:t>
      </w:r>
    </w:p>
    <w:p w14:paraId="7F1A67F4">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b/>
          <w:color w:val="auto"/>
          <w:sz w:val="24"/>
          <w:highlight w:val="none"/>
        </w:rPr>
      </w:pPr>
      <w:r>
        <w:rPr>
          <w:rFonts w:hint="eastAsia" w:ascii="黑体" w:hAnsi="黑体" w:eastAsia="黑体" w:cs="黑体"/>
          <w:color w:val="auto"/>
          <w:kern w:val="0"/>
          <w:sz w:val="24"/>
          <w:highlight w:val="none"/>
        </w:rPr>
        <w:t>（11）按10.1款批复或修改合同进度计划；</w:t>
      </w:r>
    </w:p>
    <w:p w14:paraId="498C6980">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kern w:val="0"/>
          <w:sz w:val="24"/>
          <w:highlight w:val="none"/>
        </w:rPr>
      </w:pPr>
      <w:r>
        <w:rPr>
          <w:rFonts w:hint="eastAsia" w:ascii="黑体" w:hAnsi="黑体" w:eastAsia="黑体" w:cs="黑体"/>
          <w:color w:val="auto"/>
          <w:kern w:val="0"/>
          <w:sz w:val="24"/>
          <w:highlight w:val="none"/>
        </w:rPr>
        <w:t>（12）按照第16.1款进行调价。</w:t>
      </w:r>
    </w:p>
    <w:p w14:paraId="183AC042">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kern w:val="0"/>
          <w:sz w:val="24"/>
          <w:highlight w:val="none"/>
        </w:rPr>
      </w:pPr>
      <w:r>
        <w:rPr>
          <w:rFonts w:hint="eastAsia" w:ascii="黑体" w:hAnsi="黑体" w:eastAsia="黑体" w:cs="黑体"/>
          <w:color w:val="auto"/>
          <w:sz w:val="24"/>
          <w:highlight w:val="none"/>
        </w:rPr>
        <w:t>通用合同条款3.1款补充3.1.4项和3.1.5项：</w:t>
      </w:r>
    </w:p>
    <w:p w14:paraId="21E0A438">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kern w:val="0"/>
          <w:sz w:val="24"/>
          <w:highlight w:val="none"/>
        </w:rPr>
      </w:pPr>
      <w:r>
        <w:rPr>
          <w:rFonts w:hint="eastAsia" w:ascii="黑体" w:hAnsi="黑体" w:eastAsia="黑体" w:cs="黑体"/>
          <w:color w:val="auto"/>
          <w:sz w:val="24"/>
          <w:highlight w:val="none"/>
        </w:rPr>
        <w:t>3.1.4  监理人的有关决定，都必须抄送发包人。发包人和承包人双方对工程施工的有关协议或决定，必须抄报监理人，以利于系统管理。在任何情况下，凡涉及工程变更、工程量增减、索赔、改变工期、改变技术标准、改变重大施工技术方案等一切与费用有关的监理人指令，均需先与发包人协商，发包人认可后方能生效。</w:t>
      </w:r>
    </w:p>
    <w:p w14:paraId="699C72EE">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3.1.5  本项目设置一级监理机构，即总监办。监理人由发包人独立招标选定，总监办负责本项目的“五控、两管、一协调”及安全文明施工和环境保护的监理工作。</w:t>
      </w:r>
    </w:p>
    <w:p w14:paraId="7997D37B">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12" w:name="_Toc31660582"/>
      <w:bookmarkStart w:id="613" w:name="_Toc247192627"/>
      <w:r>
        <w:rPr>
          <w:rFonts w:hint="eastAsia" w:ascii="黑体" w:hAnsi="黑体" w:eastAsia="黑体" w:cs="黑体"/>
          <w:b/>
          <w:color w:val="auto"/>
          <w:sz w:val="24"/>
          <w:highlight w:val="none"/>
        </w:rPr>
        <w:t>3.3  监理人员</w:t>
      </w:r>
      <w:bookmarkEnd w:id="612"/>
      <w:bookmarkEnd w:id="613"/>
    </w:p>
    <w:p w14:paraId="6FC7FEB3">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通用合同条款第3.3.1项补充：</w:t>
      </w:r>
    </w:p>
    <w:p w14:paraId="5C6F406C">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总监理工程师可任命其负责的总监办或驻地办中履行具体监理职责的各专业监理工程师，为其配备一定数量的测量与试验人员，旁站监理人员及行政管理人员，并报</w:t>
      </w:r>
      <w:r>
        <w:rPr>
          <w:rFonts w:hint="eastAsia" w:ascii="黑体" w:hAnsi="黑体" w:eastAsia="黑体" w:cs="黑体"/>
          <w:color w:val="auto"/>
          <w:sz w:val="24"/>
          <w:highlight w:val="none"/>
          <w:lang w:val="en-US" w:eastAsia="zh-CN"/>
        </w:rPr>
        <w:t>发包人</w:t>
      </w:r>
      <w:r>
        <w:rPr>
          <w:rFonts w:hint="eastAsia" w:ascii="黑体" w:hAnsi="黑体" w:eastAsia="黑体" w:cs="黑体"/>
          <w:color w:val="auto"/>
          <w:sz w:val="24"/>
          <w:highlight w:val="none"/>
        </w:rPr>
        <w:t>批准。总监理工程师应将上述各类人员的姓名、职责、分工和权限范围及时通知发包人和承包人。</w:t>
      </w:r>
    </w:p>
    <w:p w14:paraId="6B4643EA">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14" w:name="_Toc31660583"/>
      <w:bookmarkStart w:id="615" w:name="_Toc247192628"/>
      <w:r>
        <w:rPr>
          <w:rFonts w:hint="eastAsia" w:ascii="黑体" w:hAnsi="黑体" w:eastAsia="黑体" w:cs="黑体"/>
          <w:b/>
          <w:color w:val="auto"/>
          <w:sz w:val="24"/>
          <w:highlight w:val="none"/>
        </w:rPr>
        <w:t>3.4  监理人的指示</w:t>
      </w:r>
      <w:bookmarkEnd w:id="614"/>
      <w:bookmarkEnd w:id="615"/>
    </w:p>
    <w:p w14:paraId="71EA2200">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通用合同条款第3.4.4项细化为：</w:t>
      </w:r>
    </w:p>
    <w:p w14:paraId="6BA0706A">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监理人的专业监理工程师可在其授权范围内，按合同规定履行质量监理、进度监理、费用控制、安全与环保监理等职责，可以为此发出指示，这些指示均应视为是其所隶属的总监理工程师发出的。但如果这些指示有不当之处或受到承包人的书面质疑，发包人人可作出否定、变更或确认的进一步指示，承包人应予遵守。总监理工程师撤销某项任命时，应将撤销授权的决定及时通知承包人。</w:t>
      </w:r>
    </w:p>
    <w:p w14:paraId="59A3085E">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监理员（含试验员、档案管理员）无权向承包人发送任何指示，除非其不发出指示将对工程的施工质量、安全造成无可挽回的损失或不良影响。事后，监理人应对该监理员发出的指示进行确认，承包人应予遵守。</w:t>
      </w:r>
    </w:p>
    <w:p w14:paraId="26BC2EF1">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通用合同条款3.4补充第3.4.6项：</w:t>
      </w:r>
    </w:p>
    <w:p w14:paraId="71E77758">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3.4.6  监理人对承包人的监理过程必须通过书面指示的形式及时通知至承包人，并抄送发包人。书面指示的内容包括所有质量、工期、合同执行、违约等内容；书面指示的执行情况实行跟踪验证，由发出人或发出人指定的有关人员进行执行过程的跟踪，并将跟踪验证情况及时反馈到监理人及发包人。承包人不执行指示，将根据合同中的相关条款及发包人的管理办法进行处理。</w:t>
      </w:r>
    </w:p>
    <w:p w14:paraId="1666F943">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bookmarkStart w:id="616" w:name="_Toc247192629"/>
      <w:bookmarkStart w:id="617" w:name="_Toc29728398"/>
      <w:bookmarkStart w:id="618" w:name="_Toc31660584"/>
      <w:r>
        <w:rPr>
          <w:rFonts w:hint="eastAsia" w:ascii="黑体" w:hAnsi="黑体" w:eastAsia="黑体" w:cs="黑体"/>
          <w:b/>
          <w:color w:val="auto"/>
          <w:sz w:val="28"/>
          <w:szCs w:val="28"/>
          <w:highlight w:val="none"/>
        </w:rPr>
        <w:t>4. 承包人</w:t>
      </w:r>
      <w:bookmarkEnd w:id="616"/>
      <w:bookmarkEnd w:id="617"/>
      <w:bookmarkEnd w:id="618"/>
    </w:p>
    <w:p w14:paraId="5C21CA73">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19" w:name="_Toc247192630"/>
      <w:bookmarkStart w:id="620" w:name="_Toc31660585"/>
      <w:r>
        <w:rPr>
          <w:rFonts w:hint="eastAsia" w:ascii="黑体" w:hAnsi="黑体" w:eastAsia="黑体" w:cs="黑体"/>
          <w:b/>
          <w:color w:val="auto"/>
          <w:sz w:val="24"/>
          <w:highlight w:val="none"/>
        </w:rPr>
        <w:t>4.1  承包人的一般义务</w:t>
      </w:r>
      <w:bookmarkEnd w:id="619"/>
      <w:bookmarkEnd w:id="620"/>
    </w:p>
    <w:p w14:paraId="09454116">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第4.1.2项补充：</w:t>
      </w:r>
    </w:p>
    <w:p w14:paraId="5D47FB46">
      <w:pPr>
        <w:keepNext w:val="0"/>
        <w:keepLines w:val="0"/>
        <w:pageBreakBefore w:val="0"/>
        <w:widowControl w:val="0"/>
        <w:shd w:val="clear" w:color="auto" w:fill="auto"/>
        <w:kinsoku/>
        <w:wordWrap/>
        <w:overflowPunct/>
        <w:topLinePunct w:val="0"/>
        <w:bidi w:val="0"/>
        <w:snapToGrid/>
        <w:spacing w:line="360" w:lineRule="auto"/>
        <w:ind w:firstLine="482" w:firstLineChars="200"/>
        <w:textAlignment w:val="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国家和内蒙古自治区根据现行税法和有关部门现行规定就本合同项下向承包人征收的所有税金及其他应交纳的所有费用均由承包人摊入各工程子目的单价中，不再单独报价。由于政策性调整税费及税种，导致费用增加，发包人不另行支付。</w:t>
      </w:r>
    </w:p>
    <w:p w14:paraId="2D0901F8">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4.1.10  其他义务</w:t>
      </w:r>
    </w:p>
    <w:p w14:paraId="6728F87E">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公路工程专用合同条款4.1.10第（1）目补充：</w:t>
      </w:r>
    </w:p>
    <w:p w14:paraId="3DC02FA0">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图纸所示临时占地数量仅供承包人参考，承包人应自行考察现场实际情况进行报价。</w:t>
      </w:r>
    </w:p>
    <w:p w14:paraId="728B6CB8">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公路工程专用合同条款4.1.10第（2）目细化为：</w:t>
      </w:r>
    </w:p>
    <w:p w14:paraId="04326A7E">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承包人应承担并支付为获得本合同工程所需的石料、砂、砾石、黏土或其他当地材料等所发生的料场使用费及其他开支或补偿费。发包人应尽可能协助承包人办理料场租用手续及解决使用过程中的有关问题；发包人协助办理的成功与否，不免除根据合同文件规定的承包人的一切责任。</w:t>
      </w:r>
    </w:p>
    <w:p w14:paraId="0E10DDB0">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公路工程专用合同条款4.1.10第（3）目补充：</w:t>
      </w:r>
    </w:p>
    <w:p w14:paraId="09A34A12">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发包人对工程款使用情况进行监督检查时，承包人应当积极配合，不得阻挠和拒绝。</w:t>
      </w:r>
    </w:p>
    <w:p w14:paraId="68FCB778">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公路工程专用合同条款4.1.10第</w:t>
      </w:r>
      <w:r>
        <w:rPr>
          <w:rFonts w:hint="eastAsia" w:ascii="黑体" w:hAnsi="黑体" w:eastAsia="黑体" w:cs="黑体"/>
          <w:color w:val="auto"/>
          <w:kern w:val="0"/>
          <w:sz w:val="24"/>
          <w:highlight w:val="none"/>
        </w:rPr>
        <w:t>（6）目约定为：</w:t>
      </w:r>
    </w:p>
    <w:p w14:paraId="32A528B2">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（6）承包人应履行的其他义务：</w:t>
      </w:r>
    </w:p>
    <w:p w14:paraId="0EF4DE89">
      <w:pPr>
        <w:spacing w:line="360" w:lineRule="auto"/>
        <w:ind w:firstLine="480" w:firstLineChars="200"/>
        <w:rPr>
          <w:rFonts w:hint="eastAsia" w:ascii="黑体" w:hAnsi="黑体" w:eastAsia="黑体" w:cs="黑体"/>
          <w:color w:val="auto"/>
          <w:sz w:val="24"/>
          <w:highlight w:val="none"/>
          <w:lang w:val="en-US" w:eastAsia="zh-CN"/>
        </w:rPr>
      </w:pPr>
      <w:r>
        <w:rPr>
          <w:rFonts w:hint="eastAsia" w:ascii="黑体" w:hAnsi="黑体" w:eastAsia="黑体" w:cs="黑体"/>
          <w:color w:val="auto"/>
          <w:sz w:val="24"/>
          <w:highlight w:val="none"/>
        </w:rPr>
        <w:t xml:space="preserve">① </w:t>
      </w:r>
      <w:r>
        <w:rPr>
          <w:rFonts w:hint="eastAsia" w:ascii="黑体" w:hAnsi="黑体" w:eastAsia="黑体" w:cs="黑体"/>
          <w:color w:val="auto"/>
          <w:sz w:val="24"/>
          <w:highlight w:val="none"/>
          <w:lang w:val="en-US" w:eastAsia="zh-CN"/>
        </w:rPr>
        <w:t>本项目建设过程将全面推行“标准化管理”，执行《内蒙古自治区高等级公路建设施工标准化指南》（内交发﹝2016﹞683 号）、《关于开展高速公路施工标准化活动的</w:t>
      </w:r>
    </w:p>
    <w:p w14:paraId="7C5A667E">
      <w:p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lang w:val="en-US" w:eastAsia="zh-CN"/>
        </w:rPr>
        <w:t>通知》（交公路发﹝2011﹞70 号）以及交通运输部公路局 2012 年 11 月颁布的《高速公路施工标准化技术指南》，全力打造“阳光工程”和“精品工程”，承包人的驻地、预拌场（站）建设、现场工艺控制以及文明施工必须执行发包人的招标文件（含补充技术内蒙古自治区公路工程标准施工招标文件（2020 年版）规范）和管理办法的相关规定。承包人应无条件配合发包人共同实现这一目标，与此相 关的费用承包人应列入工程量清单 100 章中。</w:t>
      </w:r>
    </w:p>
    <w:p w14:paraId="0A5FF74A">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②承包人应根据合同及工程要求，配备满足该项目施工管理的项目经理班子。项目经理班子在组织施工时要科学管理，文明施工；要抓人员培训，抓质量、计划、进度，对工程质量终身负责。</w:t>
      </w:r>
    </w:p>
    <w:p w14:paraId="191A0A37">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③承包人必须建立针对本工程项目的施工质量保证体系，做到“横向到边、纵向到底、控制有效”，在施工过程中必须认真执行自检、互检、工序交接检验制度，切实做好隐蔽工程的检查工作，所有隐蔽工程必须保留实时影像资料。</w:t>
      </w:r>
    </w:p>
    <w:p w14:paraId="48020C0E">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④根据合同的各项规定，承包人应精心组织施工，按时完成本项工程及其缺陷的修复。为此，承包人应提供所需的全部的监督管理、劳务、材料、设备、施工装备和其他物品。</w:t>
      </w:r>
    </w:p>
    <w:p w14:paraId="1050033E">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⑤承包人应接受质量监督机构对其工程施工质量的监督与检查，凡工程质量不合格的工程不验收、不支付，并应自费拆除重建。</w:t>
      </w:r>
    </w:p>
    <w:p w14:paraId="4C608E7F">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⑥承包人应对本工程项目雇用的劳务、运输、供料等委托单位或个人的经济往来全权负责。在工程结束后撤出现场前均应结算清楚，否则，承包人与委托单位之间发生的经济纠纷，应由承包人承担一切经济和法律责任。</w:t>
      </w:r>
    </w:p>
    <w:p w14:paraId="58B2C682">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⑦承包人应按施工图纸要求或监理人指示完成各项预埋工作，所发生的费用按合同条款有关规定执行。</w:t>
      </w:r>
    </w:p>
    <w:p w14:paraId="0FE9F3EF">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⑧</w:t>
      </w:r>
      <w:r>
        <w:rPr>
          <w:rFonts w:hint="eastAsia" w:ascii="黑体" w:hAnsi="黑体" w:eastAsia="黑体" w:cs="黑体"/>
          <w:color w:val="auto"/>
          <w:sz w:val="24"/>
          <w:highlight w:val="none"/>
          <w:lang w:val="en-US" w:eastAsia="zh-CN"/>
        </w:rPr>
        <w:t>本项目公路建设全过程中要认真贯彻落实节能减排的建设新理念。</w:t>
      </w:r>
    </w:p>
    <w:p w14:paraId="3CDA9AF6">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承包人应严格依据国家和交通运输部的有关规定，对使用于本项目的机械设备的技术先进性、能耗水平和经济效益进行综合评估，严禁超过规定能源限制指标的机械设备应用于本项目施工。</w:t>
      </w:r>
    </w:p>
    <w:p w14:paraId="5ADF97F2">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加强替代能源技术在交通基础设施建设中的应用。承包人在条件许可情况下应优先使用太阳能、风能等新能源，减少化石燃料及煤炭的消耗，机械设备优先采用清洁能源，努力推广新能源在本行业中的应用。</w:t>
      </w:r>
    </w:p>
    <w:p w14:paraId="332D9F1F">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⑨与本工程项目相关的审计和稽察，承包人应高度重视并委派专人积极予以配合，对审计和稽察的有关意见承包人应无条件地及时整改。</w:t>
      </w:r>
    </w:p>
    <w:p w14:paraId="4CA2DCD2">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⑩与本工程有关的相关单位对本项目的各种检查和视察活动，承包人有义务予以积极配合开展各项工作。</w:t>
      </w:r>
    </w:p>
    <w:p w14:paraId="696C8CE4">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⑾本工程项目有关的各类统计报表和汇报材料包括项目后评价报告，承包人有义务配合发包人做好编制工作并提供相应的资料。</w:t>
      </w:r>
    </w:p>
    <w:p w14:paraId="4376D1C4">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21" w:name="_Toc31660586"/>
      <w:bookmarkStart w:id="622" w:name="_Toc247192631"/>
      <w:r>
        <w:rPr>
          <w:rFonts w:hint="eastAsia" w:ascii="黑体" w:hAnsi="黑体" w:eastAsia="黑体" w:cs="黑体"/>
          <w:b/>
          <w:color w:val="auto"/>
          <w:sz w:val="24"/>
          <w:highlight w:val="none"/>
        </w:rPr>
        <w:t>4.2  履约担保</w:t>
      </w:r>
      <w:bookmarkEnd w:id="621"/>
      <w:bookmarkEnd w:id="622"/>
    </w:p>
    <w:p w14:paraId="431FE921">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本款细化为：</w:t>
      </w:r>
    </w:p>
    <w:p w14:paraId="6495BB81">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4.2.2  如果承包人履约担保全部采用现金方式（或银行保函加现金方式）递交，在项目实施过程中当工作量完成50%时，发包人可视情况返还承包人的部分现金履约担保（最多不超过履约担保的50%），但承包人必须用等额的履约银行保函替代。在承包人按照合同要求实施和完成本合同工程之前，银行履约保函一直有效。在发出交工证书后，发包人不应对本担保再提出任何索赔要求。在上述交工证书发出后的28天内，发包人扣除应予扣除的款项后，剩余担保应退还给承包人。</w:t>
      </w:r>
    </w:p>
    <w:p w14:paraId="2E98218E">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23" w:name="_Toc247192632"/>
      <w:bookmarkStart w:id="624" w:name="_Toc31660587"/>
      <w:r>
        <w:rPr>
          <w:rFonts w:hint="eastAsia" w:ascii="黑体" w:hAnsi="黑体" w:eastAsia="黑体" w:cs="黑体"/>
          <w:b/>
          <w:color w:val="auto"/>
          <w:sz w:val="24"/>
          <w:highlight w:val="none"/>
        </w:rPr>
        <w:t>4.5  承包人项目经理</w:t>
      </w:r>
      <w:bookmarkEnd w:id="623"/>
      <w:bookmarkEnd w:id="624"/>
    </w:p>
    <w:p w14:paraId="1F098842">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本款补充第4.5.5项：</w:t>
      </w:r>
    </w:p>
    <w:p w14:paraId="5D53D2AF">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4.5.5  承包人项目经理在本合同期内严禁兼任另一个项目某个标段的项目经理，否则按第22.1款处理。</w:t>
      </w:r>
    </w:p>
    <w:p w14:paraId="4D44BE5C">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25" w:name="_Toc31660588"/>
      <w:r>
        <w:rPr>
          <w:rFonts w:hint="eastAsia" w:ascii="黑体" w:hAnsi="黑体" w:eastAsia="黑体" w:cs="黑体"/>
          <w:b/>
          <w:color w:val="auto"/>
          <w:sz w:val="24"/>
          <w:highlight w:val="none"/>
        </w:rPr>
        <w:t>4.6  承包人人员的管理</w:t>
      </w:r>
      <w:bookmarkEnd w:id="625"/>
    </w:p>
    <w:p w14:paraId="11F1B66D">
      <w:pPr>
        <w:keepNext w:val="0"/>
        <w:keepLines w:val="0"/>
        <w:pageBreakBefore w:val="0"/>
        <w:widowControl w:val="0"/>
        <w:shd w:val="clear" w:color="auto" w:fill="auto"/>
        <w:kinsoku/>
        <w:wordWrap/>
        <w:overflowPunct/>
        <w:topLinePunct w:val="0"/>
        <w:bidi w:val="0"/>
        <w:snapToGrid/>
        <w:spacing w:line="360" w:lineRule="auto"/>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项目专用合同条款第4.6.3项细化为：</w:t>
      </w:r>
    </w:p>
    <w:p w14:paraId="713FDE4E">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可替换人员的情形包括：</w:t>
      </w:r>
    </w:p>
    <w:p w14:paraId="26A3B51E">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（1）因患病等身体原因无法坚持施工现场管理工作的；</w:t>
      </w:r>
    </w:p>
    <w:p w14:paraId="2263229E">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（2）退休或离开本单位的；</w:t>
      </w:r>
    </w:p>
    <w:p w14:paraId="7266F153">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（3）本人所承担的专业业务已完成的；</w:t>
      </w:r>
    </w:p>
    <w:p w14:paraId="00BB5D5F">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（4）非施工单位原因工程项目不能如期开复工，停工时间达三个月以上的；</w:t>
      </w:r>
    </w:p>
    <w:p w14:paraId="50372C65">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（5）因违法违规受到处罚不能继续担任施工现场管理工作的；</w:t>
      </w:r>
    </w:p>
    <w:p w14:paraId="42F18C7B">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（6）其他具有正当变更理由的情形。</w:t>
      </w:r>
    </w:p>
    <w:p w14:paraId="7564626F">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26" w:name="_Toc31660589"/>
      <w:r>
        <w:rPr>
          <w:rFonts w:hint="eastAsia" w:ascii="黑体" w:hAnsi="黑体" w:eastAsia="黑体" w:cs="黑体"/>
          <w:b/>
          <w:color w:val="auto"/>
          <w:sz w:val="24"/>
          <w:highlight w:val="none"/>
        </w:rPr>
        <w:t>4.8  保障承包人人员的合法权益</w:t>
      </w:r>
      <w:bookmarkEnd w:id="626"/>
    </w:p>
    <w:p w14:paraId="18D59686">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补充4.8.7民工管理</w:t>
      </w:r>
    </w:p>
    <w:p w14:paraId="2746D15A">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4.8.7.1  承包人自行组织民工队伍进场务工的，必须按现行国家有关规定签订临时用工合同，并将合同副本报监理人及发包人备案。</w:t>
      </w:r>
    </w:p>
    <w:p w14:paraId="4CA71441">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4.8.7.2  农民工身份确认</w:t>
      </w:r>
    </w:p>
    <w:p w14:paraId="5E5B3880">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对无民工身份证明在项目有务工事实的，项目发包人及监理将不认同其民工身份，不纳入管理范畴；同时，按无民工身份证明在项目有务工事实的实际务工人员500元/人•天对承包人进行违约处罚。</w:t>
      </w:r>
    </w:p>
    <w:p w14:paraId="450B975C">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民工进场后，承包人和劳务公司应及时向民工颁发含有民工姓名、性别、年龄、照片、家庭住址、身份证号码、工种、进出场时间等信息并加盖承包人项目部和劳务公司公章的民工身份证明。</w:t>
      </w:r>
    </w:p>
    <w:p w14:paraId="092B0E01">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承包人必须确定专人进行民工管理，建立民工管理档案，并就民工流动、工资发放等相关情况包括工资支付清单复印件，每月25日，报监理人备案。</w:t>
      </w:r>
    </w:p>
    <w:p w14:paraId="3EBE03C0">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4.8.7.3  岗前教育、食宿、安全、医疗卫生、劳动保护及保险</w:t>
      </w:r>
    </w:p>
    <w:p w14:paraId="5B7ABFF9">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民工到项目后，在务工前，承包人必须就项目基本情况、安全管理、民工管理、质量控制、地方风俗、宗教信仰、相关政策及法律法规等内容，组织每位民工参加不少于2天的岗前教育和培训，并做好相关文字、声像资料的收集工作。</w:t>
      </w:r>
    </w:p>
    <w:p w14:paraId="3FDE44EF">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（2）承包人应负责按照发包人要求为民工安排食宿，提供各种必须的生活设施，并应采取合理的卫生防护和安全措施，以保护民工的健康和安全。</w:t>
      </w:r>
    </w:p>
    <w:p w14:paraId="05C373EF">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对生病的民工，承包人要妥善给予治疗，并不得安排其带病务工。</w:t>
      </w:r>
    </w:p>
    <w:p w14:paraId="5C392863">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（3）承包人必须负责民工的人身安全，并按照国家相关法律法规的规定，提供适宜的劳动保护。</w:t>
      </w:r>
    </w:p>
    <w:p w14:paraId="51747D69">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（4）在工程实施过程中，承包人必须保证每一位在场的民工均投保人身意外伤害险，否则视为违约并课以违约金，违约金标准为1000元/人•次。</w:t>
      </w:r>
    </w:p>
    <w:p w14:paraId="1A29A753">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4.8.7.4  监理人负责对民工合法权益进行监督管理。</w:t>
      </w:r>
    </w:p>
    <w:p w14:paraId="22E0F555">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4.8.7.5  民工合同纠纷处理</w:t>
      </w:r>
    </w:p>
    <w:p w14:paraId="202ADA2F">
      <w:pPr>
        <w:keepNext w:val="0"/>
        <w:keepLines w:val="0"/>
        <w:pageBreakBefore w:val="0"/>
        <w:widowControl w:val="0"/>
        <w:shd w:val="clear" w:color="auto" w:fill="auto"/>
        <w:kinsoku/>
        <w:wordWrap/>
        <w:overflowPunct/>
        <w:topLinePunct w:val="0"/>
        <w:bidi w:val="0"/>
        <w:snapToGrid/>
        <w:spacing w:line="360" w:lineRule="auto"/>
        <w:ind w:firstLine="482" w:firstLineChars="200"/>
        <w:textAlignment w:val="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承包人依据与劳务公司签订的协议或与民工签订的合同，从承包人开设的民工工资（劳务费）专用账户按期足额支付农民工工资款。如承包人不及时支付农民工工资款，造成扰民、影响社会稳定及合同纠纷，承包人必须承担相应责任，经发包人核实后无误后，发包人有权代为支付其拖欠的民工工资，从应付给承包人的工程款中扣除相应款项，并按招标文件中的规定，将对施工单位进行处罚。如承包人未与劳务公司或与民工签订合同的，经发包人核实事实存在，发包人也将按上述规定执行。</w:t>
      </w:r>
    </w:p>
    <w:p w14:paraId="321D85C6">
      <w:pPr>
        <w:pStyle w:val="51"/>
        <w:keepNext w:val="0"/>
        <w:keepLines w:val="0"/>
        <w:pageBreakBefore w:val="0"/>
        <w:widowControl w:val="0"/>
        <w:numPr>
          <w:ilvl w:val="0"/>
          <w:numId w:val="0"/>
        </w:numPr>
        <w:tabs>
          <w:tab w:val="left" w:pos="1499"/>
        </w:tabs>
        <w:kinsoku/>
        <w:wordWrap/>
        <w:overflowPunct/>
        <w:topLinePunct w:val="0"/>
        <w:autoSpaceDE/>
        <w:autoSpaceDN/>
        <w:bidi w:val="0"/>
        <w:adjustRightInd/>
        <w:snapToGrid/>
        <w:spacing w:line="360" w:lineRule="auto"/>
        <w:ind w:leftChars="0" w:right="0" w:rightChars="0" w:firstLine="482" w:firstLineChars="200"/>
        <w:jc w:val="left"/>
        <w:textAlignment w:val="auto"/>
        <w:rPr>
          <w:rFonts w:hint="eastAsia" w:ascii="黑体" w:hAnsi="黑体" w:eastAsia="黑体" w:cs="黑体"/>
          <w:b/>
          <w:color w:val="auto"/>
          <w:sz w:val="24"/>
          <w:szCs w:val="24"/>
          <w:highlight w:val="none"/>
        </w:rPr>
      </w:pPr>
      <w:bookmarkStart w:id="627" w:name="_Toc31660590"/>
      <w:r>
        <w:rPr>
          <w:rFonts w:hint="eastAsia" w:ascii="黑体" w:hAnsi="黑体" w:eastAsia="黑体" w:cs="黑体"/>
          <w:b/>
          <w:color w:val="auto"/>
          <w:sz w:val="24"/>
          <w:szCs w:val="24"/>
          <w:highlight w:val="none"/>
          <w:lang w:val="en-US" w:eastAsia="zh-CN"/>
        </w:rPr>
        <w:t xml:space="preserve">4.8.7.6 </w:t>
      </w:r>
      <w:r>
        <w:rPr>
          <w:rFonts w:hint="eastAsia" w:ascii="黑体" w:hAnsi="黑体" w:eastAsia="黑体" w:cs="黑体"/>
          <w:b/>
          <w:color w:val="auto"/>
          <w:sz w:val="24"/>
          <w:szCs w:val="24"/>
          <w:highlight w:val="none"/>
        </w:rPr>
        <w:t>农民工工资支付</w:t>
      </w:r>
    </w:p>
    <w:p w14:paraId="6D8E4220">
      <w:pPr>
        <w:keepNext w:val="0"/>
        <w:keepLines w:val="0"/>
        <w:pageBreakBefore w:val="0"/>
        <w:widowControl w:val="0"/>
        <w:kinsoku/>
        <w:wordWrap/>
        <w:overflowPunct/>
        <w:topLinePunct w:val="0"/>
        <w:autoSpaceDE/>
        <w:autoSpaceDN/>
        <w:bidi w:val="0"/>
        <w:adjustRightInd/>
        <w:snapToGrid/>
        <w:spacing w:line="430" w:lineRule="exact"/>
        <w:ind w:firstLine="482" w:firstLineChars="200"/>
        <w:textAlignment w:val="auto"/>
        <w:rPr>
          <w:rFonts w:hint="eastAsia" w:ascii="Arial" w:hAnsi="Arial" w:eastAsia="黑体" w:cs="Arial"/>
          <w:b/>
          <w:color w:val="auto"/>
          <w:sz w:val="24"/>
          <w:highlight w:val="none"/>
        </w:rPr>
      </w:pPr>
      <w:r>
        <w:rPr>
          <w:rFonts w:hint="eastAsia" w:ascii="Arial" w:hAnsi="Arial" w:eastAsia="黑体" w:cs="Arial"/>
          <w:b/>
          <w:color w:val="auto"/>
          <w:sz w:val="24"/>
          <w:highlight w:val="none"/>
        </w:rPr>
        <w:t>农牧民工工资支付应按照</w:t>
      </w:r>
      <w:r>
        <w:rPr>
          <w:rFonts w:hint="eastAsia" w:ascii="Arial" w:hAnsi="Arial" w:eastAsia="黑体" w:cs="Arial"/>
          <w:b/>
          <w:color w:val="auto"/>
          <w:sz w:val="24"/>
          <w:highlight w:val="none"/>
          <w:lang w:eastAsia="zh-CN"/>
        </w:rPr>
        <w:t>国务院</w:t>
      </w:r>
      <w:r>
        <w:rPr>
          <w:rFonts w:hint="eastAsia" w:ascii="Arial" w:hAnsi="Arial" w:eastAsia="黑体" w:cs="Arial"/>
          <w:b/>
          <w:color w:val="auto"/>
          <w:sz w:val="24"/>
          <w:highlight w:val="none"/>
        </w:rPr>
        <w:t>《保障农民工工资支付条例》(国务院令第724号)</w:t>
      </w:r>
      <w:r>
        <w:rPr>
          <w:rFonts w:hint="eastAsia" w:ascii="Arial" w:hAnsi="Arial" w:eastAsia="黑体" w:cs="Arial"/>
          <w:b/>
          <w:color w:val="auto"/>
          <w:sz w:val="24"/>
          <w:highlight w:val="none"/>
          <w:lang w:eastAsia="zh-CN"/>
        </w:rPr>
        <w:t>及</w:t>
      </w:r>
      <w:r>
        <w:rPr>
          <w:rFonts w:hint="eastAsia" w:ascii="Arial" w:hAnsi="Arial" w:eastAsia="黑体" w:cs="Arial"/>
          <w:b/>
          <w:color w:val="auto"/>
          <w:sz w:val="24"/>
          <w:highlight w:val="none"/>
        </w:rPr>
        <w:t>内蒙古自治区交通运输厅关于印发《内蒙古自治区公路工程农牧民工工资支付管理办法》的通知（内交发〔2020〕6 号）</w:t>
      </w:r>
      <w:r>
        <w:rPr>
          <w:rFonts w:hint="eastAsia" w:ascii="Arial" w:hAnsi="Arial" w:eastAsia="黑体" w:cs="Arial"/>
          <w:b/>
          <w:color w:val="auto"/>
          <w:sz w:val="24"/>
          <w:highlight w:val="none"/>
          <w:lang w:val="en-US" w:eastAsia="zh-CN"/>
        </w:rPr>
        <w:t>和</w:t>
      </w:r>
      <w:r>
        <w:rPr>
          <w:rFonts w:hint="eastAsia" w:ascii="Arial" w:hAnsi="Arial" w:eastAsia="黑体" w:cs="Arial"/>
          <w:b/>
          <w:color w:val="auto"/>
          <w:sz w:val="24"/>
          <w:highlight w:val="none"/>
        </w:rPr>
        <w:t>《内蒙古自治区工程</w:t>
      </w:r>
      <w:r>
        <w:rPr>
          <w:rFonts w:hint="eastAsia" w:ascii="Arial" w:hAnsi="Arial" w:eastAsia="黑体" w:cs="Arial"/>
          <w:b/>
          <w:color w:val="auto"/>
          <w:sz w:val="24"/>
          <w:highlight w:val="none"/>
          <w:lang w:val="en-US" w:eastAsia="zh-CN"/>
        </w:rPr>
        <w:t>建设领域</w:t>
      </w:r>
      <w:r>
        <w:rPr>
          <w:rFonts w:hint="eastAsia" w:ascii="Arial" w:hAnsi="Arial" w:eastAsia="黑体" w:cs="Arial"/>
          <w:b/>
          <w:color w:val="auto"/>
          <w:sz w:val="24"/>
          <w:highlight w:val="none"/>
        </w:rPr>
        <w:t>农牧民工工资</w:t>
      </w:r>
      <w:r>
        <w:rPr>
          <w:rFonts w:hint="eastAsia" w:ascii="Arial" w:hAnsi="Arial" w:eastAsia="黑体" w:cs="Arial"/>
          <w:b/>
          <w:color w:val="auto"/>
          <w:sz w:val="24"/>
          <w:highlight w:val="none"/>
          <w:lang w:val="en-US" w:eastAsia="zh-CN"/>
        </w:rPr>
        <w:t>专用账户管理实施细则</w:t>
      </w:r>
      <w:r>
        <w:rPr>
          <w:rFonts w:hint="eastAsia" w:ascii="Arial" w:hAnsi="Arial" w:eastAsia="黑体" w:cs="Arial"/>
          <w:b/>
          <w:color w:val="auto"/>
          <w:sz w:val="24"/>
          <w:highlight w:val="none"/>
        </w:rPr>
        <w:t>》的通知</w:t>
      </w:r>
      <w:r>
        <w:rPr>
          <w:rFonts w:hint="eastAsia" w:ascii="Arial" w:hAnsi="Arial" w:eastAsia="黑体" w:cs="Arial"/>
          <w:b/>
          <w:color w:val="auto"/>
          <w:sz w:val="24"/>
          <w:highlight w:val="none"/>
          <w:lang w:eastAsia="zh-CN"/>
        </w:rPr>
        <w:t>（</w:t>
      </w:r>
      <w:r>
        <w:rPr>
          <w:rFonts w:hint="eastAsia" w:ascii="Arial" w:hAnsi="Arial" w:eastAsia="黑体" w:cs="Arial"/>
          <w:b/>
          <w:color w:val="auto"/>
          <w:sz w:val="24"/>
          <w:highlight w:val="none"/>
          <w:lang w:val="en-US" w:eastAsia="zh-CN"/>
        </w:rPr>
        <w:t>内人社发【2022】92号</w:t>
      </w:r>
      <w:r>
        <w:rPr>
          <w:rFonts w:hint="eastAsia" w:ascii="Arial" w:hAnsi="Arial" w:eastAsia="黑体" w:cs="Arial"/>
          <w:b/>
          <w:color w:val="auto"/>
          <w:sz w:val="24"/>
          <w:highlight w:val="none"/>
          <w:lang w:eastAsia="zh-CN"/>
        </w:rPr>
        <w:t>）、</w:t>
      </w:r>
      <w:r>
        <w:rPr>
          <w:rFonts w:hint="eastAsia" w:ascii="Arial" w:hAnsi="Arial" w:eastAsia="黑体" w:cs="Arial"/>
          <w:b/>
          <w:color w:val="auto"/>
          <w:sz w:val="24"/>
          <w:highlight w:val="none"/>
        </w:rPr>
        <w:t>《内蒙古自治区工程</w:t>
      </w:r>
      <w:r>
        <w:rPr>
          <w:rFonts w:hint="eastAsia" w:ascii="Arial" w:hAnsi="Arial" w:eastAsia="黑体" w:cs="Arial"/>
          <w:b/>
          <w:color w:val="auto"/>
          <w:sz w:val="24"/>
          <w:highlight w:val="none"/>
          <w:lang w:val="en-US" w:eastAsia="zh-CN"/>
        </w:rPr>
        <w:t>建设领域</w:t>
      </w:r>
      <w:r>
        <w:rPr>
          <w:rFonts w:hint="eastAsia" w:ascii="Arial" w:hAnsi="Arial" w:eastAsia="黑体" w:cs="Arial"/>
          <w:b/>
          <w:color w:val="auto"/>
          <w:sz w:val="24"/>
          <w:highlight w:val="none"/>
        </w:rPr>
        <w:t>农牧民工工资</w:t>
      </w:r>
      <w:r>
        <w:rPr>
          <w:rFonts w:hint="eastAsia" w:ascii="Arial" w:hAnsi="Arial" w:eastAsia="黑体" w:cs="Arial"/>
          <w:b/>
          <w:color w:val="auto"/>
          <w:sz w:val="24"/>
          <w:highlight w:val="none"/>
          <w:lang w:val="en-US" w:eastAsia="zh-CN"/>
        </w:rPr>
        <w:t>保证金管理实施细则</w:t>
      </w:r>
      <w:r>
        <w:rPr>
          <w:rFonts w:hint="eastAsia" w:ascii="Arial" w:hAnsi="Arial" w:eastAsia="黑体" w:cs="Arial"/>
          <w:b/>
          <w:color w:val="auto"/>
          <w:sz w:val="24"/>
          <w:highlight w:val="none"/>
        </w:rPr>
        <w:t>》的通知</w:t>
      </w:r>
      <w:r>
        <w:rPr>
          <w:rFonts w:hint="eastAsia" w:ascii="Arial" w:hAnsi="Arial" w:eastAsia="黑体" w:cs="Arial"/>
          <w:b/>
          <w:color w:val="auto"/>
          <w:sz w:val="24"/>
          <w:highlight w:val="none"/>
          <w:lang w:eastAsia="zh-CN"/>
        </w:rPr>
        <w:t>（</w:t>
      </w:r>
      <w:r>
        <w:rPr>
          <w:rFonts w:hint="eastAsia" w:ascii="Arial" w:hAnsi="Arial" w:eastAsia="黑体" w:cs="Arial"/>
          <w:b/>
          <w:color w:val="auto"/>
          <w:sz w:val="24"/>
          <w:highlight w:val="none"/>
          <w:lang w:val="en-US" w:eastAsia="zh-CN"/>
        </w:rPr>
        <w:t>内人社发【2022】93号</w:t>
      </w:r>
      <w:r>
        <w:rPr>
          <w:rFonts w:hint="eastAsia" w:ascii="Arial" w:hAnsi="Arial" w:eastAsia="黑体" w:cs="Arial"/>
          <w:b/>
          <w:color w:val="auto"/>
          <w:sz w:val="24"/>
          <w:highlight w:val="none"/>
          <w:lang w:eastAsia="zh-CN"/>
        </w:rPr>
        <w:t>）等</w:t>
      </w:r>
      <w:r>
        <w:rPr>
          <w:rFonts w:hint="eastAsia" w:ascii="Arial" w:hAnsi="Arial" w:eastAsia="黑体" w:cs="Arial"/>
          <w:b/>
          <w:color w:val="auto"/>
          <w:sz w:val="24"/>
          <w:highlight w:val="none"/>
        </w:rPr>
        <w:t>相关规定执行。</w:t>
      </w:r>
    </w:p>
    <w:p w14:paraId="1E3316A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4.8.7.</w:t>
      </w:r>
      <w:r>
        <w:rPr>
          <w:rFonts w:hint="eastAsia" w:ascii="黑体" w:hAnsi="黑体" w:eastAsia="黑体" w:cs="黑体"/>
          <w:b/>
          <w:color w:val="auto"/>
          <w:sz w:val="24"/>
          <w:highlight w:val="none"/>
          <w:lang w:val="en-US" w:eastAsia="zh-CN"/>
        </w:rPr>
        <w:t>7</w:t>
      </w:r>
      <w:r>
        <w:rPr>
          <w:rFonts w:hint="eastAsia" w:ascii="黑体" w:hAnsi="黑体" w:eastAsia="黑体" w:cs="黑体"/>
          <w:b/>
          <w:color w:val="auto"/>
          <w:sz w:val="24"/>
          <w:highlight w:val="none"/>
        </w:rPr>
        <w:t xml:space="preserve"> 农民工工资保证金</w:t>
      </w:r>
    </w:p>
    <w:p w14:paraId="7A1C9443">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r>
        <w:rPr>
          <w:rFonts w:hint="eastAsia" w:ascii="黑体" w:hAnsi="黑体" w:eastAsia="黑体" w:cs="黑体"/>
          <w:b/>
          <w:color w:val="auto"/>
          <w:sz w:val="24"/>
          <w:highlight w:val="none"/>
        </w:rPr>
        <w:t>农民工工资保证金缴存方式、计提、返还及动用按照中华人民共和国交通运输部关于印发《交通运输部关于公路水运工程建设领域保障农民工工资支付的意见》和内蒙古自治区交通运输厅关于印发《内蒙古自治区公路工程农牧民工工资支付管理办法》的通知</w:t>
      </w:r>
      <w:r>
        <w:rPr>
          <w:rFonts w:hint="eastAsia" w:ascii="Arial" w:hAnsi="Arial" w:eastAsia="黑体" w:cs="Arial"/>
          <w:b/>
          <w:color w:val="auto"/>
          <w:sz w:val="24"/>
          <w:highlight w:val="none"/>
        </w:rPr>
        <w:t>（内交发〔2020〕6 号）</w:t>
      </w:r>
      <w:r>
        <w:rPr>
          <w:rFonts w:hint="eastAsia" w:ascii="Arial" w:hAnsi="Arial" w:eastAsia="黑体" w:cs="Arial"/>
          <w:b/>
          <w:color w:val="auto"/>
          <w:sz w:val="24"/>
          <w:highlight w:val="none"/>
          <w:lang w:val="en-US" w:eastAsia="zh-CN"/>
        </w:rPr>
        <w:t>和</w:t>
      </w:r>
      <w:r>
        <w:rPr>
          <w:rFonts w:hint="eastAsia" w:ascii="Arial" w:hAnsi="Arial" w:eastAsia="黑体" w:cs="Arial"/>
          <w:b/>
          <w:color w:val="auto"/>
          <w:sz w:val="24"/>
          <w:highlight w:val="none"/>
        </w:rPr>
        <w:t>《内蒙古自治区工程</w:t>
      </w:r>
      <w:r>
        <w:rPr>
          <w:rFonts w:hint="eastAsia" w:ascii="Arial" w:hAnsi="Arial" w:eastAsia="黑体" w:cs="Arial"/>
          <w:b/>
          <w:color w:val="auto"/>
          <w:sz w:val="24"/>
          <w:highlight w:val="none"/>
          <w:lang w:val="en-US" w:eastAsia="zh-CN"/>
        </w:rPr>
        <w:t>建设领域</w:t>
      </w:r>
      <w:r>
        <w:rPr>
          <w:rFonts w:hint="eastAsia" w:ascii="Arial" w:hAnsi="Arial" w:eastAsia="黑体" w:cs="Arial"/>
          <w:b/>
          <w:color w:val="auto"/>
          <w:sz w:val="24"/>
          <w:highlight w:val="none"/>
        </w:rPr>
        <w:t>农牧民工工资</w:t>
      </w:r>
      <w:r>
        <w:rPr>
          <w:rFonts w:hint="eastAsia" w:ascii="Arial" w:hAnsi="Arial" w:eastAsia="黑体" w:cs="Arial"/>
          <w:b/>
          <w:color w:val="auto"/>
          <w:sz w:val="24"/>
          <w:highlight w:val="none"/>
          <w:lang w:val="en-US" w:eastAsia="zh-CN"/>
        </w:rPr>
        <w:t>专用账户管理实施细则</w:t>
      </w:r>
      <w:r>
        <w:rPr>
          <w:rFonts w:hint="eastAsia" w:ascii="Arial" w:hAnsi="Arial" w:eastAsia="黑体" w:cs="Arial"/>
          <w:b/>
          <w:color w:val="auto"/>
          <w:sz w:val="24"/>
          <w:highlight w:val="none"/>
        </w:rPr>
        <w:t>》的通知</w:t>
      </w:r>
      <w:r>
        <w:rPr>
          <w:rFonts w:hint="eastAsia" w:ascii="Arial" w:hAnsi="Arial" w:eastAsia="黑体" w:cs="Arial"/>
          <w:b/>
          <w:color w:val="auto"/>
          <w:sz w:val="24"/>
          <w:highlight w:val="none"/>
          <w:lang w:eastAsia="zh-CN"/>
        </w:rPr>
        <w:t>（</w:t>
      </w:r>
      <w:r>
        <w:rPr>
          <w:rFonts w:hint="eastAsia" w:ascii="Arial" w:hAnsi="Arial" w:eastAsia="黑体" w:cs="Arial"/>
          <w:b/>
          <w:color w:val="auto"/>
          <w:sz w:val="24"/>
          <w:highlight w:val="none"/>
          <w:lang w:val="en-US" w:eastAsia="zh-CN"/>
        </w:rPr>
        <w:t>内人社发【2022】92号</w:t>
      </w:r>
      <w:r>
        <w:rPr>
          <w:rFonts w:hint="eastAsia" w:ascii="Arial" w:hAnsi="Arial" w:eastAsia="黑体" w:cs="Arial"/>
          <w:b/>
          <w:color w:val="auto"/>
          <w:sz w:val="24"/>
          <w:highlight w:val="none"/>
          <w:lang w:eastAsia="zh-CN"/>
        </w:rPr>
        <w:t>）、</w:t>
      </w:r>
      <w:r>
        <w:rPr>
          <w:rFonts w:hint="eastAsia" w:ascii="Arial" w:hAnsi="Arial" w:eastAsia="黑体" w:cs="Arial"/>
          <w:b/>
          <w:color w:val="auto"/>
          <w:sz w:val="24"/>
          <w:highlight w:val="none"/>
        </w:rPr>
        <w:t>《内蒙古自治区工程</w:t>
      </w:r>
      <w:r>
        <w:rPr>
          <w:rFonts w:hint="eastAsia" w:ascii="Arial" w:hAnsi="Arial" w:eastAsia="黑体" w:cs="Arial"/>
          <w:b/>
          <w:color w:val="auto"/>
          <w:sz w:val="24"/>
          <w:highlight w:val="none"/>
          <w:lang w:val="en-US" w:eastAsia="zh-CN"/>
        </w:rPr>
        <w:t>建设领域</w:t>
      </w:r>
      <w:r>
        <w:rPr>
          <w:rFonts w:hint="eastAsia" w:ascii="Arial" w:hAnsi="Arial" w:eastAsia="黑体" w:cs="Arial"/>
          <w:b/>
          <w:color w:val="auto"/>
          <w:sz w:val="24"/>
          <w:highlight w:val="none"/>
        </w:rPr>
        <w:t>农牧民工工资</w:t>
      </w:r>
      <w:r>
        <w:rPr>
          <w:rFonts w:hint="eastAsia" w:ascii="Arial" w:hAnsi="Arial" w:eastAsia="黑体" w:cs="Arial"/>
          <w:b/>
          <w:color w:val="auto"/>
          <w:sz w:val="24"/>
          <w:highlight w:val="none"/>
          <w:lang w:val="en-US" w:eastAsia="zh-CN"/>
        </w:rPr>
        <w:t>保证金管理实施细则</w:t>
      </w:r>
      <w:r>
        <w:rPr>
          <w:rFonts w:hint="eastAsia" w:ascii="Arial" w:hAnsi="Arial" w:eastAsia="黑体" w:cs="Arial"/>
          <w:b/>
          <w:color w:val="auto"/>
          <w:sz w:val="24"/>
          <w:highlight w:val="none"/>
        </w:rPr>
        <w:t>》的通知</w:t>
      </w:r>
      <w:r>
        <w:rPr>
          <w:rFonts w:hint="eastAsia" w:ascii="Arial" w:hAnsi="Arial" w:eastAsia="黑体" w:cs="Arial"/>
          <w:b/>
          <w:color w:val="auto"/>
          <w:sz w:val="24"/>
          <w:highlight w:val="none"/>
          <w:lang w:eastAsia="zh-CN"/>
        </w:rPr>
        <w:t>（</w:t>
      </w:r>
      <w:r>
        <w:rPr>
          <w:rFonts w:hint="eastAsia" w:ascii="Arial" w:hAnsi="Arial" w:eastAsia="黑体" w:cs="Arial"/>
          <w:b/>
          <w:color w:val="auto"/>
          <w:sz w:val="24"/>
          <w:highlight w:val="none"/>
          <w:lang w:val="en-US" w:eastAsia="zh-CN"/>
        </w:rPr>
        <w:t>内人社发【2022】93号</w:t>
      </w:r>
      <w:r>
        <w:rPr>
          <w:rFonts w:hint="eastAsia" w:ascii="Arial" w:hAnsi="Arial" w:eastAsia="黑体" w:cs="Arial"/>
          <w:b/>
          <w:color w:val="auto"/>
          <w:sz w:val="24"/>
          <w:highlight w:val="none"/>
          <w:lang w:eastAsia="zh-CN"/>
        </w:rPr>
        <w:t>）</w:t>
      </w:r>
      <w:r>
        <w:rPr>
          <w:rFonts w:hint="eastAsia" w:ascii="Arial" w:hAnsi="Arial" w:eastAsia="黑体" w:cs="Arial"/>
          <w:b/>
          <w:color w:val="auto"/>
          <w:sz w:val="24"/>
          <w:highlight w:val="none"/>
          <w:lang w:val="en-US" w:eastAsia="zh-CN"/>
        </w:rPr>
        <w:t>等</w:t>
      </w:r>
      <w:r>
        <w:rPr>
          <w:rFonts w:hint="eastAsia" w:ascii="黑体" w:hAnsi="黑体" w:eastAsia="黑体" w:cs="黑体"/>
          <w:b/>
          <w:color w:val="auto"/>
          <w:sz w:val="24"/>
          <w:highlight w:val="none"/>
        </w:rPr>
        <w:t>相关规定执行。</w:t>
      </w:r>
    </w:p>
    <w:p w14:paraId="5286BB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4.9  工程价款应专款专用</w:t>
      </w:r>
    </w:p>
    <w:p w14:paraId="38291A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本款细化为：</w:t>
      </w:r>
    </w:p>
    <w:p w14:paraId="0C92BF69">
      <w:pPr>
        <w:spacing w:line="360" w:lineRule="auto"/>
        <w:ind w:firstLine="480" w:firstLineChars="200"/>
        <w:rPr>
          <w:rFonts w:hint="eastAsia" w:ascii="黑体" w:hAnsi="黑体" w:eastAsia="黑体" w:cs="黑体"/>
          <w:b/>
          <w:color w:val="auto"/>
          <w:sz w:val="24"/>
          <w:highlight w:val="none"/>
        </w:rPr>
      </w:pPr>
      <w:r>
        <w:rPr>
          <w:rFonts w:hint="eastAsia" w:ascii="黑体" w:hAnsi="黑体" w:eastAsia="黑体" w:cs="黑体"/>
          <w:color w:val="auto"/>
          <w:sz w:val="24"/>
          <w:highlight w:val="none"/>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为确保发包人支付的工程进度款均为本工程的专款专用资金，避免转移或用于其他工程和保证民工工资的正常发放，承包人的任何支付均须发包人审批，直至项目竣工决算。发包人有权不定期对承包人工程资金使用情况进行检查，发现问题及时责令承包人限期改正，否则，将终止月支付，直至承包人改正为止。</w:t>
      </w:r>
    </w:p>
    <w:p w14:paraId="2AE8B2BB">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r>
        <w:rPr>
          <w:rFonts w:hint="eastAsia" w:ascii="黑体" w:hAnsi="黑体" w:eastAsia="黑体" w:cs="黑体"/>
          <w:b/>
          <w:color w:val="auto"/>
          <w:sz w:val="24"/>
          <w:highlight w:val="none"/>
        </w:rPr>
        <w:t>4.11  不利物质条件</w:t>
      </w:r>
      <w:bookmarkEnd w:id="627"/>
    </w:p>
    <w:p w14:paraId="5CC38E54">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4.11.3  可预见的不利物质条件</w:t>
      </w:r>
    </w:p>
    <w:p w14:paraId="2AE11E3A">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本项补充第（3）目：</w:t>
      </w:r>
    </w:p>
    <w:p w14:paraId="48E8551D">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如发生紧急情况，承包人认为将造成人员伤亡，或危及本工程或邻近的财产需立即采取行动，在这种情况下，即使没有监理人具体指令，承包人也应及时采取合理而恰当的措施，事后24小时内应报告监理人和发包人。</w:t>
      </w:r>
    </w:p>
    <w:p w14:paraId="74AA0E3C">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bookmarkStart w:id="628" w:name="_Toc29728399"/>
      <w:bookmarkStart w:id="629" w:name="_Toc31660591"/>
      <w:r>
        <w:rPr>
          <w:rFonts w:hint="eastAsia" w:ascii="黑体" w:hAnsi="黑体" w:eastAsia="黑体" w:cs="黑体"/>
          <w:b/>
          <w:color w:val="auto"/>
          <w:sz w:val="28"/>
          <w:szCs w:val="28"/>
          <w:highlight w:val="none"/>
        </w:rPr>
        <w:t>5. 材料和工程设备</w:t>
      </w:r>
      <w:bookmarkEnd w:id="628"/>
      <w:bookmarkEnd w:id="629"/>
    </w:p>
    <w:p w14:paraId="449C96AB">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30" w:name="_Toc31660592"/>
      <w:r>
        <w:rPr>
          <w:rFonts w:hint="eastAsia" w:ascii="黑体" w:hAnsi="黑体" w:eastAsia="黑体" w:cs="黑体"/>
          <w:b/>
          <w:color w:val="auto"/>
          <w:sz w:val="24"/>
          <w:highlight w:val="none"/>
        </w:rPr>
        <w:t>5.1  承包人提供的材料和工程设备</w:t>
      </w:r>
      <w:bookmarkEnd w:id="630"/>
    </w:p>
    <w:p w14:paraId="1EC72947">
      <w:pPr>
        <w:keepNext w:val="0"/>
        <w:keepLines w:val="0"/>
        <w:pageBreakBefore w:val="0"/>
        <w:widowControl w:val="0"/>
        <w:shd w:val="clear" w:color="auto" w:fill="auto"/>
        <w:kinsoku/>
        <w:wordWrap/>
        <w:overflowPunct/>
        <w:topLinePunct w:val="0"/>
        <w:bidi w:val="0"/>
        <w:snapToGrid/>
        <w:spacing w:line="360" w:lineRule="auto"/>
        <w:ind w:firstLine="470" w:firstLineChars="196"/>
        <w:textAlignment w:val="auto"/>
        <w:rPr>
          <w:rFonts w:hint="eastAsia" w:ascii="黑体" w:hAnsi="黑体" w:eastAsia="黑体" w:cs="黑体"/>
          <w:color w:val="auto"/>
          <w:sz w:val="24"/>
          <w:highlight w:val="none"/>
        </w:rPr>
      </w:pPr>
      <w:bookmarkStart w:id="631" w:name="_Toc247192633"/>
      <w:r>
        <w:rPr>
          <w:rFonts w:hint="eastAsia" w:ascii="黑体" w:hAnsi="黑体" w:eastAsia="黑体" w:cs="黑体"/>
          <w:color w:val="auto"/>
          <w:sz w:val="24"/>
          <w:highlight w:val="none"/>
        </w:rPr>
        <w:t>本款补充第5.1.4项：</w:t>
      </w:r>
    </w:p>
    <w:p w14:paraId="6253EE37">
      <w:pPr>
        <w:spacing w:line="384" w:lineRule="auto"/>
        <w:ind w:firstLine="472" w:firstLineChars="196"/>
        <w:rPr>
          <w:rFonts w:hint="eastAsia" w:ascii="黑体" w:hAnsi="黑体" w:eastAsia="黑体" w:cs="黑体"/>
          <w:b/>
          <w:color w:val="auto"/>
          <w:sz w:val="24"/>
          <w:highlight w:val="none"/>
        </w:rPr>
      </w:pPr>
      <w:r>
        <w:rPr>
          <w:rFonts w:hint="eastAsia" w:ascii="黑体" w:hAnsi="黑体" w:eastAsia="黑体" w:cs="黑体"/>
          <w:b/>
          <w:color w:val="auto"/>
          <w:sz w:val="24"/>
          <w:highlight w:val="none"/>
        </w:rPr>
        <w:t>5.1.4  为保证本合同工程的质量，对于钢材、水泥、碎石、沥青等主要材料，承包人应按技术规范要求自主选择具有相应资质、供货经历和足够财务能力的供应商，承包人应将供应商名单及有关材料报送监理人及发包人备案后，方可签订供货合同，并应按有关规定对产品进行检验验收。承包人应将产品质量合格证书和进场质量检验合格证书送监理人审查。承包人应承担产品的质量和价格风险。</w:t>
      </w:r>
    </w:p>
    <w:p w14:paraId="55FEA7E7">
      <w:pPr>
        <w:keepNext w:val="0"/>
        <w:keepLines w:val="0"/>
        <w:pageBreakBefore w:val="0"/>
        <w:widowControl w:val="0"/>
        <w:shd w:val="clear" w:color="auto" w:fill="auto"/>
        <w:kinsoku/>
        <w:wordWrap/>
        <w:overflowPunct/>
        <w:topLinePunct w:val="0"/>
        <w:bidi w:val="0"/>
        <w:snapToGrid/>
        <w:spacing w:line="360" w:lineRule="auto"/>
        <w:ind w:firstLine="472" w:firstLineChars="196"/>
        <w:textAlignment w:val="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根据《关于推进交通产品认证工作的意见》（交体法发〔2007〕738号），为保证本工程的质量，道路交通安全设施产品（道路交通标志、波形梁钢护拦、反光膜、轮廓标等）等材料或产品必须经国家认监委认可的有认证资格的认证单位进行产品认证，认证单位不得与承包人存在关联关系且必须经监理人及发包人认可。进场后要按有关规定进行检验验收。经监理人鉴定质量不合格并令其清除出场的材料，其费用均应由承包人自行负责。</w:t>
      </w:r>
    </w:p>
    <w:p w14:paraId="45BDB3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color w:val="auto"/>
          <w:sz w:val="28"/>
          <w:szCs w:val="28"/>
          <w:highlight w:val="none"/>
        </w:rPr>
      </w:pPr>
      <w:bookmarkStart w:id="632" w:name="_Toc152045656"/>
      <w:bookmarkStart w:id="633" w:name="_Toc144974624"/>
      <w:bookmarkStart w:id="634" w:name="_Toc179632674"/>
      <w:bookmarkStart w:id="635" w:name="_Toc152042434"/>
      <w:bookmarkStart w:id="636" w:name="_Toc152042436"/>
      <w:bookmarkStart w:id="637" w:name="_Toc144974626"/>
      <w:bookmarkStart w:id="638" w:name="_Toc152045658"/>
      <w:bookmarkStart w:id="639" w:name="_Toc179632676"/>
      <w:bookmarkStart w:id="640" w:name="_Toc31660593"/>
      <w:bookmarkStart w:id="641" w:name="_Toc29728400"/>
      <w:r>
        <w:rPr>
          <w:rFonts w:hint="eastAsia" w:ascii="黑体" w:hAnsi="黑体" w:eastAsia="黑体" w:cs="黑体"/>
          <w:b/>
          <w:color w:val="auto"/>
          <w:sz w:val="28"/>
          <w:szCs w:val="28"/>
          <w:highlight w:val="none"/>
        </w:rPr>
        <w:t>6. 施工设备和临时设施</w:t>
      </w:r>
      <w:bookmarkEnd w:id="632"/>
      <w:bookmarkEnd w:id="633"/>
      <w:bookmarkEnd w:id="634"/>
      <w:bookmarkEnd w:id="635"/>
    </w:p>
    <w:p w14:paraId="219505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6.2 发包人提供的施工设备和临时设施</w:t>
      </w:r>
      <w:bookmarkEnd w:id="636"/>
      <w:bookmarkEnd w:id="637"/>
      <w:bookmarkEnd w:id="638"/>
      <w:bookmarkEnd w:id="639"/>
    </w:p>
    <w:p w14:paraId="7F32F42D">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黑体" w:hAnsi="黑体" w:eastAsia="黑体" w:cs="黑体"/>
          <w:color w:val="auto"/>
          <w:kern w:val="0"/>
          <w:sz w:val="24"/>
          <w:highlight w:val="none"/>
        </w:rPr>
      </w:pPr>
      <w:r>
        <w:rPr>
          <w:rFonts w:hint="eastAsia" w:ascii="黑体" w:hAnsi="黑体" w:eastAsia="黑体" w:cs="黑体"/>
          <w:color w:val="auto"/>
          <w:kern w:val="0"/>
          <w:sz w:val="24"/>
          <w:highlight w:val="none"/>
        </w:rPr>
        <w:t>本款约定为：</w:t>
      </w:r>
    </w:p>
    <w:p w14:paraId="3AC5FD13">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outlineLvl w:val="3"/>
        <w:rPr>
          <w:rFonts w:hint="eastAsia" w:ascii="黑体" w:hAnsi="黑体" w:eastAsia="黑体" w:cs="黑体"/>
          <w:b/>
          <w:color w:val="auto"/>
          <w:sz w:val="28"/>
          <w:szCs w:val="28"/>
          <w:highlight w:val="none"/>
        </w:rPr>
      </w:pPr>
      <w:r>
        <w:rPr>
          <w:rFonts w:hint="eastAsia" w:ascii="黑体" w:hAnsi="黑体" w:eastAsia="黑体" w:cs="黑体"/>
          <w:color w:val="auto"/>
          <w:kern w:val="0"/>
          <w:sz w:val="24"/>
          <w:highlight w:val="none"/>
        </w:rPr>
        <w:t>发包人不提供施工设备和临时设施。</w:t>
      </w:r>
    </w:p>
    <w:p w14:paraId="4C3B0D0E">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8. 测量放线</w:t>
      </w:r>
      <w:bookmarkEnd w:id="631"/>
      <w:bookmarkEnd w:id="640"/>
      <w:bookmarkEnd w:id="641"/>
    </w:p>
    <w:p w14:paraId="621E4493">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42" w:name="_Toc31660594"/>
      <w:bookmarkStart w:id="643" w:name="_Toc247192634"/>
      <w:r>
        <w:rPr>
          <w:rFonts w:hint="eastAsia" w:ascii="黑体" w:hAnsi="黑体" w:eastAsia="黑体" w:cs="黑体"/>
          <w:b/>
          <w:color w:val="auto"/>
          <w:sz w:val="24"/>
          <w:highlight w:val="none"/>
        </w:rPr>
        <w:t>8.3  基准资料错误的责任</w:t>
      </w:r>
      <w:bookmarkEnd w:id="642"/>
      <w:bookmarkEnd w:id="643"/>
    </w:p>
    <w:p w14:paraId="41E5D425">
      <w:pPr>
        <w:spacing w:line="360" w:lineRule="auto"/>
        <w:ind w:firstLine="470" w:firstLineChars="196"/>
        <w:rPr>
          <w:rFonts w:hint="eastAsia" w:ascii="黑体" w:hAnsi="黑体" w:eastAsia="黑体" w:cs="黑体"/>
          <w:color w:val="auto"/>
          <w:sz w:val="24"/>
          <w:highlight w:val="none"/>
        </w:rPr>
      </w:pPr>
      <w:bookmarkStart w:id="644" w:name="_Toc247192635"/>
      <w:bookmarkStart w:id="645" w:name="_Toc31660595"/>
      <w:bookmarkStart w:id="646" w:name="_Toc29728401"/>
      <w:r>
        <w:rPr>
          <w:rFonts w:hint="eastAsia" w:ascii="黑体" w:hAnsi="黑体" w:eastAsia="黑体" w:cs="黑体"/>
          <w:color w:val="auto"/>
          <w:sz w:val="24"/>
          <w:highlight w:val="none"/>
        </w:rPr>
        <w:t>本款约定为：</w:t>
      </w:r>
    </w:p>
    <w:p w14:paraId="6DA252B1">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承包人发现发包人提供的上述基准资料存在明显错误或疏忽而未及时告知监理人或发包人，导致工程损失的，由此增加的费用由承包人承担，工期亦不予顺延。</w:t>
      </w:r>
    </w:p>
    <w:p w14:paraId="0B387645">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9. 施工安全、治安保卫和环境保护</w:t>
      </w:r>
      <w:bookmarkEnd w:id="644"/>
      <w:bookmarkEnd w:id="645"/>
      <w:bookmarkEnd w:id="646"/>
    </w:p>
    <w:p w14:paraId="2AEE1190">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47" w:name="_Toc31660596"/>
      <w:bookmarkStart w:id="648" w:name="_Toc247192636"/>
      <w:r>
        <w:rPr>
          <w:rFonts w:hint="eastAsia" w:ascii="黑体" w:hAnsi="黑体" w:eastAsia="黑体" w:cs="黑体"/>
          <w:b/>
          <w:color w:val="auto"/>
          <w:sz w:val="24"/>
          <w:highlight w:val="none"/>
        </w:rPr>
        <w:t>9.2  承包人的施工安全责任</w:t>
      </w:r>
      <w:bookmarkEnd w:id="647"/>
    </w:p>
    <w:p w14:paraId="602C79BA">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第9.2.5项细化为：</w:t>
      </w:r>
    </w:p>
    <w:p w14:paraId="0E427D55">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7DC28E64">
      <w:pPr>
        <w:keepNext w:val="0"/>
        <w:keepLines w:val="0"/>
        <w:pageBreakBefore w:val="0"/>
        <w:widowControl w:val="0"/>
        <w:shd w:val="clear" w:color="auto" w:fill="auto"/>
        <w:kinsoku/>
        <w:wordWrap/>
        <w:overflowPunct/>
        <w:topLinePunct w:val="0"/>
        <w:bidi w:val="0"/>
        <w:snapToGrid/>
        <w:spacing w:line="360" w:lineRule="auto"/>
        <w:ind w:firstLine="602" w:firstLineChars="250"/>
        <w:textAlignment w:val="auto"/>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u w:val="single"/>
        </w:rPr>
        <w:t>为确保将安全施工措施落到实处，发包人按《公路水运工程安全生产监督管理办法》（交通部2017年第25号令）以及《关于印发&lt;企业安全生产费用提取和使用管理办法&gt;的通知》（财企〔2012〕16号）要求设置安全生产费，该项费用按发包人公布的最高投标限价的1.5％计。该项费用必须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3.5款商定或确定。承包人必须严格按招标文件《技术规范》的要求执行。</w:t>
      </w:r>
    </w:p>
    <w:p w14:paraId="092689BD">
      <w:pPr>
        <w:keepNext w:val="0"/>
        <w:keepLines w:val="0"/>
        <w:pageBreakBefore w:val="0"/>
        <w:widowControl w:val="0"/>
        <w:shd w:val="clear" w:color="auto" w:fill="auto"/>
        <w:kinsoku/>
        <w:wordWrap/>
        <w:overflowPunct/>
        <w:topLinePunct w:val="0"/>
        <w:bidi w:val="0"/>
        <w:snapToGrid/>
        <w:spacing w:line="360" w:lineRule="auto"/>
        <w:ind w:firstLine="600" w:firstLineChars="250"/>
        <w:textAlignment w:val="auto"/>
        <w:rPr>
          <w:rFonts w:hint="eastAsia" w:ascii="黑体" w:hAnsi="黑体" w:eastAsia="黑体" w:cs="黑体"/>
          <w:b/>
          <w:color w:val="auto"/>
          <w:sz w:val="24"/>
          <w:highlight w:val="none"/>
          <w:u w:val="single"/>
        </w:rPr>
      </w:pPr>
      <w:r>
        <w:rPr>
          <w:rFonts w:hint="eastAsia" w:ascii="黑体" w:hAnsi="黑体" w:eastAsia="黑体" w:cs="黑体"/>
          <w:color w:val="auto"/>
          <w:sz w:val="24"/>
          <w:highlight w:val="none"/>
        </w:rPr>
        <w:t>安全施工措施落实应充分考虑施工中（如开挖安全措施、安全标识、警示标识、围护设施等）的安全措施。</w:t>
      </w:r>
    </w:p>
    <w:p w14:paraId="0B65CEF7">
      <w:pPr>
        <w:spacing w:line="360" w:lineRule="auto"/>
        <w:ind w:firstLine="470" w:firstLineChars="196"/>
        <w:rPr>
          <w:rFonts w:hint="eastAsia" w:ascii="黑体" w:hAnsi="黑体" w:eastAsia="黑体" w:cs="黑体"/>
          <w:color w:val="auto"/>
          <w:sz w:val="24"/>
          <w:highlight w:val="none"/>
        </w:rPr>
      </w:pPr>
      <w:r>
        <w:rPr>
          <w:rFonts w:hint="eastAsia" w:ascii="黑体" w:hAnsi="黑体" w:eastAsia="黑体" w:cs="黑体"/>
          <w:color w:val="auto"/>
          <w:sz w:val="24"/>
          <w:highlight w:val="none"/>
        </w:rPr>
        <w:t>第9.3.3项细化为：</w:t>
      </w:r>
    </w:p>
    <w:p w14:paraId="07BF5926">
      <w:pPr>
        <w:spacing w:line="360" w:lineRule="auto"/>
        <w:ind w:firstLine="470" w:firstLineChars="196"/>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在工程开工后，编制施工场地治安管理计划和突发治安事件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167C0B64">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49" w:name="_Toc31660597"/>
      <w:r>
        <w:rPr>
          <w:rFonts w:hint="eastAsia" w:ascii="黑体" w:hAnsi="黑体" w:eastAsia="黑体" w:cs="黑体"/>
          <w:b/>
          <w:color w:val="auto"/>
          <w:sz w:val="24"/>
          <w:highlight w:val="none"/>
        </w:rPr>
        <w:t>9.4  环境保护</w:t>
      </w:r>
      <w:bookmarkEnd w:id="648"/>
      <w:bookmarkEnd w:id="649"/>
    </w:p>
    <w:p w14:paraId="56827BEC">
      <w:pPr>
        <w:keepNext w:val="0"/>
        <w:keepLines w:val="0"/>
        <w:pageBreakBefore w:val="0"/>
        <w:widowControl w:val="0"/>
        <w:shd w:val="clear" w:color="auto" w:fill="auto"/>
        <w:kinsoku/>
        <w:wordWrap/>
        <w:overflowPunct/>
        <w:topLinePunct w:val="0"/>
        <w:bidi w:val="0"/>
        <w:snapToGrid/>
        <w:spacing w:line="360" w:lineRule="auto"/>
        <w:ind w:firstLine="470" w:firstLineChars="196"/>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本款补充第9.4.12项：</w:t>
      </w:r>
    </w:p>
    <w:p w14:paraId="676BAC9D">
      <w:pPr>
        <w:keepNext w:val="0"/>
        <w:keepLines w:val="0"/>
        <w:pageBreakBefore w:val="0"/>
        <w:widowControl w:val="0"/>
        <w:shd w:val="clear" w:color="auto" w:fill="auto"/>
        <w:kinsoku/>
        <w:wordWrap/>
        <w:overflowPunct/>
        <w:topLinePunct w:val="0"/>
        <w:bidi w:val="0"/>
        <w:snapToGrid/>
        <w:spacing w:line="360" w:lineRule="auto"/>
        <w:ind w:firstLine="42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9.4.12  承包人应按照可持续发展的目标，在本项目建设之前和期间制定长期、中期、短期环境目标，采取切实措施，减少水土流失，保护环境、节约资源。项目管理机构中应设专职或兼职人员负责环境保护工作，对施工过程环保工作的监督，环保措施的实施，环境监测的数据、资料的汇总负责。由于承包人的原因，导致环境的破坏、水土流失等情况，承包人应承担由此引起的一切责任。</w:t>
      </w:r>
    </w:p>
    <w:p w14:paraId="59898252">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bookmarkStart w:id="650" w:name="_Toc247192637"/>
      <w:bookmarkStart w:id="651" w:name="_Toc29728402"/>
      <w:bookmarkStart w:id="652" w:name="_Toc31660598"/>
      <w:r>
        <w:rPr>
          <w:rFonts w:hint="eastAsia" w:ascii="黑体" w:hAnsi="黑体" w:eastAsia="黑体" w:cs="黑体"/>
          <w:b/>
          <w:color w:val="auto"/>
          <w:sz w:val="28"/>
          <w:szCs w:val="28"/>
          <w:highlight w:val="none"/>
        </w:rPr>
        <w:t>10. 进度计划</w:t>
      </w:r>
      <w:bookmarkEnd w:id="650"/>
      <w:bookmarkEnd w:id="651"/>
      <w:bookmarkEnd w:id="652"/>
    </w:p>
    <w:p w14:paraId="20C4E858">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53" w:name="_Toc247192638"/>
      <w:bookmarkStart w:id="654" w:name="_Toc31660599"/>
      <w:r>
        <w:rPr>
          <w:rFonts w:hint="eastAsia" w:ascii="黑体" w:hAnsi="黑体" w:eastAsia="黑体" w:cs="黑体"/>
          <w:b/>
          <w:color w:val="auto"/>
          <w:sz w:val="24"/>
          <w:highlight w:val="none"/>
        </w:rPr>
        <w:t>10.1  合同进度计划</w:t>
      </w:r>
      <w:bookmarkEnd w:id="653"/>
      <w:bookmarkEnd w:id="654"/>
    </w:p>
    <w:p w14:paraId="5108F584">
      <w:pPr>
        <w:keepNext w:val="0"/>
        <w:keepLines w:val="0"/>
        <w:pageBreakBefore w:val="0"/>
        <w:widowControl w:val="0"/>
        <w:shd w:val="clear" w:color="auto" w:fill="auto"/>
        <w:kinsoku/>
        <w:wordWrap/>
        <w:overflowPunct/>
        <w:topLinePunct w:val="0"/>
        <w:bidi w:val="0"/>
        <w:snapToGrid/>
        <w:spacing w:line="360" w:lineRule="auto"/>
        <w:ind w:firstLine="470" w:firstLineChars="196"/>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w:t>
      </w:r>
    </w:p>
    <w:p w14:paraId="4F62DD4E">
      <w:pPr>
        <w:keepNext w:val="0"/>
        <w:keepLines w:val="0"/>
        <w:pageBreakBefore w:val="0"/>
        <w:widowControl w:val="0"/>
        <w:shd w:val="clear" w:color="auto" w:fill="auto"/>
        <w:kinsoku/>
        <w:wordWrap/>
        <w:overflowPunct/>
        <w:topLinePunct w:val="0"/>
        <w:bidi w:val="0"/>
        <w:snapToGrid/>
        <w:spacing w:line="360" w:lineRule="auto"/>
        <w:ind w:firstLine="48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承包人编制的施工方案，应遵照“粗活细做、细活精做、精益求精”的要求，根据工程项目特点和设计要求进行编制，包括（但不限于）：</w:t>
      </w:r>
    </w:p>
    <w:p w14:paraId="106062E1">
      <w:pPr>
        <w:keepNext w:val="0"/>
        <w:keepLines w:val="0"/>
        <w:pageBreakBefore w:val="0"/>
        <w:widowControl w:val="0"/>
        <w:shd w:val="clear" w:color="auto" w:fill="auto"/>
        <w:kinsoku/>
        <w:wordWrap/>
        <w:overflowPunct/>
        <w:topLinePunct w:val="0"/>
        <w:bidi w:val="0"/>
        <w:snapToGrid/>
        <w:spacing w:line="360" w:lineRule="auto"/>
        <w:ind w:firstLine="48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（1）原材料质量控制措施，路面各结构层施工质量保证措施；</w:t>
      </w:r>
    </w:p>
    <w:p w14:paraId="3A46A17F">
      <w:pPr>
        <w:keepNext w:val="0"/>
        <w:keepLines w:val="0"/>
        <w:pageBreakBefore w:val="0"/>
        <w:widowControl w:val="0"/>
        <w:shd w:val="clear" w:color="auto" w:fill="auto"/>
        <w:kinsoku/>
        <w:wordWrap/>
        <w:overflowPunct/>
        <w:topLinePunct w:val="0"/>
        <w:bidi w:val="0"/>
        <w:snapToGrid/>
        <w:spacing w:line="360" w:lineRule="auto"/>
        <w:ind w:firstLine="48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（2）低温气候条件下，确保施工进度与质量的有效措施；</w:t>
      </w:r>
    </w:p>
    <w:p w14:paraId="75667995">
      <w:pPr>
        <w:keepNext w:val="0"/>
        <w:keepLines w:val="0"/>
        <w:pageBreakBefore w:val="0"/>
        <w:widowControl w:val="0"/>
        <w:shd w:val="clear" w:color="auto" w:fill="auto"/>
        <w:kinsoku/>
        <w:wordWrap/>
        <w:overflowPunct/>
        <w:topLinePunct w:val="0"/>
        <w:bidi w:val="0"/>
        <w:snapToGrid/>
        <w:spacing w:line="360" w:lineRule="auto"/>
        <w:ind w:firstLine="48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（3）环保、水保措施（防尘、防噪音等）；</w:t>
      </w:r>
    </w:p>
    <w:p w14:paraId="30D85972">
      <w:pPr>
        <w:keepNext w:val="0"/>
        <w:keepLines w:val="0"/>
        <w:pageBreakBefore w:val="0"/>
        <w:widowControl w:val="0"/>
        <w:shd w:val="clear" w:color="auto" w:fill="auto"/>
        <w:kinsoku/>
        <w:wordWrap/>
        <w:overflowPunct/>
        <w:topLinePunct w:val="0"/>
        <w:bidi w:val="0"/>
        <w:snapToGrid/>
        <w:spacing w:line="360" w:lineRule="auto"/>
        <w:ind w:firstLine="48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（4）文明施工、安全生产措施；</w:t>
      </w:r>
    </w:p>
    <w:p w14:paraId="0A944C55">
      <w:pPr>
        <w:keepNext w:val="0"/>
        <w:keepLines w:val="0"/>
        <w:pageBreakBefore w:val="0"/>
        <w:widowControl w:val="0"/>
        <w:shd w:val="clear" w:color="auto" w:fill="auto"/>
        <w:kinsoku/>
        <w:wordWrap/>
        <w:overflowPunct/>
        <w:topLinePunct w:val="0"/>
        <w:bidi w:val="0"/>
        <w:snapToGrid/>
        <w:spacing w:line="360" w:lineRule="auto"/>
        <w:ind w:firstLine="48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（5）施工生产、生活用电（水）的保障措施；</w:t>
      </w:r>
    </w:p>
    <w:p w14:paraId="024983D4">
      <w:pPr>
        <w:keepNext w:val="0"/>
        <w:keepLines w:val="0"/>
        <w:pageBreakBefore w:val="0"/>
        <w:widowControl w:val="0"/>
        <w:shd w:val="clear" w:color="auto" w:fill="auto"/>
        <w:kinsoku/>
        <w:wordWrap/>
        <w:overflowPunct/>
        <w:topLinePunct w:val="0"/>
        <w:bidi w:val="0"/>
        <w:snapToGrid/>
        <w:spacing w:line="360" w:lineRule="auto"/>
        <w:ind w:firstLine="48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（6）满足本标段及相邻标段施工的通行便道保通措施；</w:t>
      </w:r>
    </w:p>
    <w:p w14:paraId="6CAAEAEE">
      <w:pPr>
        <w:keepNext w:val="0"/>
        <w:keepLines w:val="0"/>
        <w:pageBreakBefore w:val="0"/>
        <w:widowControl w:val="0"/>
        <w:shd w:val="clear" w:color="auto" w:fill="auto"/>
        <w:kinsoku/>
        <w:wordWrap/>
        <w:overflowPunct/>
        <w:topLinePunct w:val="0"/>
        <w:bidi w:val="0"/>
        <w:snapToGrid/>
        <w:spacing w:line="360" w:lineRule="auto"/>
        <w:ind w:firstLine="48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（7）满足发包人精细化管理工作需要的通讯、网络、办公软件等保障措施；</w:t>
      </w:r>
    </w:p>
    <w:p w14:paraId="0BBBAD36">
      <w:pPr>
        <w:keepNext w:val="0"/>
        <w:keepLines w:val="0"/>
        <w:pageBreakBefore w:val="0"/>
        <w:widowControl w:val="0"/>
        <w:shd w:val="clear" w:color="auto" w:fill="auto"/>
        <w:kinsoku/>
        <w:wordWrap/>
        <w:overflowPunct/>
        <w:topLinePunct w:val="0"/>
        <w:bidi w:val="0"/>
        <w:snapToGrid/>
        <w:spacing w:line="360" w:lineRule="auto"/>
        <w:ind w:firstLine="48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（8）安全生产应急救援预案；</w:t>
      </w:r>
    </w:p>
    <w:p w14:paraId="672354D4">
      <w:pPr>
        <w:keepNext w:val="0"/>
        <w:keepLines w:val="0"/>
        <w:pageBreakBefore w:val="0"/>
        <w:widowControl w:val="0"/>
        <w:shd w:val="clear" w:color="auto" w:fill="auto"/>
        <w:kinsoku/>
        <w:wordWrap/>
        <w:overflowPunct/>
        <w:topLinePunct w:val="0"/>
        <w:bidi w:val="0"/>
        <w:snapToGrid/>
        <w:spacing w:line="360" w:lineRule="auto"/>
        <w:ind w:firstLine="48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（9）重点、难点工程专项施工技术方案。</w:t>
      </w:r>
    </w:p>
    <w:p w14:paraId="12E4F995">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bookmarkStart w:id="655" w:name="_Toc247192639"/>
      <w:bookmarkStart w:id="656" w:name="_Toc31660600"/>
      <w:bookmarkStart w:id="657" w:name="_Toc29728403"/>
      <w:r>
        <w:rPr>
          <w:rFonts w:hint="eastAsia" w:ascii="黑体" w:hAnsi="黑体" w:eastAsia="黑体" w:cs="黑体"/>
          <w:b/>
          <w:color w:val="auto"/>
          <w:sz w:val="28"/>
          <w:szCs w:val="28"/>
          <w:highlight w:val="none"/>
        </w:rPr>
        <w:t>11. 开工和交工</w:t>
      </w:r>
      <w:bookmarkEnd w:id="655"/>
      <w:bookmarkEnd w:id="656"/>
      <w:bookmarkEnd w:id="657"/>
    </w:p>
    <w:p w14:paraId="7344780D">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58" w:name="_Toc247192640"/>
      <w:bookmarkStart w:id="659" w:name="_Toc31660601"/>
      <w:r>
        <w:rPr>
          <w:rFonts w:hint="eastAsia" w:ascii="黑体" w:hAnsi="黑体" w:eastAsia="黑体" w:cs="黑体"/>
          <w:b/>
          <w:color w:val="auto"/>
          <w:sz w:val="24"/>
          <w:highlight w:val="none"/>
        </w:rPr>
        <w:t>11.4  异常恶劣的气候条件</w:t>
      </w:r>
      <w:bookmarkEnd w:id="658"/>
      <w:bookmarkEnd w:id="659"/>
    </w:p>
    <w:p w14:paraId="0CCEBAB5">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w:t>
      </w:r>
    </w:p>
    <w:p w14:paraId="58295A41">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bookmarkStart w:id="660" w:name="_Toc247192641"/>
      <w:r>
        <w:rPr>
          <w:rFonts w:hint="eastAsia" w:ascii="黑体" w:hAnsi="黑体" w:eastAsia="黑体" w:cs="黑体"/>
          <w:color w:val="auto"/>
          <w:sz w:val="24"/>
          <w:highlight w:val="none"/>
        </w:rPr>
        <w:t>异常恶劣的气候条件的范围：</w:t>
      </w:r>
    </w:p>
    <w:p w14:paraId="2ADA32BB">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（1）异常恶劣的气候条件，是指发生六级（含六级）以上地震、龙卷风、工地受淹以及不利的降水等引起延误的情况。</w:t>
      </w:r>
    </w:p>
    <w:p w14:paraId="7A2D1753">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（2）不利降水的衡量标准为：</w:t>
      </w:r>
    </w:p>
    <w:p w14:paraId="4EE38EC2">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a．按自治区气象部门统计的项目所在地降水资料，取最近30年的平均降水天数为标准。</w:t>
      </w:r>
    </w:p>
    <w:p w14:paraId="5E8F9945">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b．按项目所在地实际统计的年降水天数与（a）所指的年降水天数之差，每年计算一次。</w:t>
      </w:r>
    </w:p>
    <w:p w14:paraId="2FD82227">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异常恶劣气候的时间，监理人将根据承包人的申请和提交的证明予以评定，但在评定时还将考虑按同等标准，用施工期限内其他月份异常良好的气候的时间予以抵补。异常气候在每个月对工程进度影响的评定，应在整个合同期内予以累计。</w:t>
      </w:r>
    </w:p>
    <w:p w14:paraId="59EA4BAE">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（4）若恶劣气候只是对局部工程有影响，承包人应采取合同措施予以弥补，而不能推迟工程的总工期。</w:t>
      </w:r>
    </w:p>
    <w:p w14:paraId="7B940080">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61" w:name="_Toc31660602"/>
      <w:r>
        <w:rPr>
          <w:rFonts w:hint="eastAsia" w:ascii="黑体" w:hAnsi="黑体" w:eastAsia="黑体" w:cs="黑体"/>
          <w:b/>
          <w:color w:val="auto"/>
          <w:sz w:val="24"/>
          <w:highlight w:val="none"/>
        </w:rPr>
        <w:t>11.5  承包人的工期延误</w:t>
      </w:r>
      <w:bookmarkEnd w:id="660"/>
      <w:bookmarkEnd w:id="661"/>
    </w:p>
    <w:p w14:paraId="71B8F09F">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本款（2）项补充：</w:t>
      </w:r>
    </w:p>
    <w:p w14:paraId="2F6691DF">
      <w:pPr>
        <w:spacing w:line="348"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当承包人因自身原因造成连续两个月的实际进度不足进度计划的70%（包括各分项工程）时，且承包人在接到监理人通知后的3天内，未能采取加快工程进度的措施，致使实际工程进度进一步滞后，或承包人虽采取了一些措施，仍无明显改观时，监理人应立即通知发包人。发包人在向承包人发出书面警告通知7天后，发包人可按第22.1款终止对承包人的雇用，也可将本合同工程的一部分工作交由其他承包人或发包人批准的其他分包人完成。该部分工作内容按如下方式确定单价：“以交通运输部现行的概预算编制办法、预算定额、机械台班费用定额及内蒙古有关补充规定，以及招标时采用的材料单价、取费标准、批复预算编制原则计算得出的预算单价乘以原承包人的中标价格降幅，作为新的单价”。原承包人在扣除其承担的税金后按进度以新单价全额支付给承建该工程的施工企业。</w:t>
      </w:r>
    </w:p>
    <w:p w14:paraId="12AF3024">
      <w:pPr>
        <w:spacing w:line="348"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以上除解除合同外均不影响合同总价，且在不解除本合同规定的原承包人责任和义务的同时，原承包人应承担因此所增加的一切费用。若原承包人未能及时按规定以新单价支付分割工程的计量款，发包人有权代扣代付。</w:t>
      </w:r>
    </w:p>
    <w:p w14:paraId="1D5D3C40">
      <w:pPr>
        <w:spacing w:line="372"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本款（3）项补充：</w:t>
      </w:r>
    </w:p>
    <w:p w14:paraId="45EA56D0">
      <w:pPr>
        <w:spacing w:line="372"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此外，承包人还必须承担本款所指“其他承包人”和（或）“其他分包人”的进退场费用、修建临时设施的费用以及赔偿由此而造成后续施工影响的相应标段承包人未按期开工的损失费。</w:t>
      </w:r>
    </w:p>
    <w:p w14:paraId="51C0FB71">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62" w:name="_Toc31660603"/>
      <w:r>
        <w:rPr>
          <w:rFonts w:hint="eastAsia" w:ascii="黑体" w:hAnsi="黑体" w:eastAsia="黑体" w:cs="黑体"/>
          <w:b/>
          <w:color w:val="auto"/>
          <w:sz w:val="24"/>
          <w:highlight w:val="none"/>
        </w:rPr>
        <w:t>11.8  工期延长的审批</w:t>
      </w:r>
      <w:bookmarkEnd w:id="662"/>
    </w:p>
    <w:p w14:paraId="4ACED675">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（1）必须是非承包人自身的原因造成的工程延误，监理人才可考虑是否受理承包人的延期申请；</w:t>
      </w:r>
    </w:p>
    <w:p w14:paraId="52AE469E">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（2）若只是分部分项工程受影响，承包人应采取补救措施加以弥补，而不应考虑推迟工程项目的总工期；</w:t>
      </w:r>
    </w:p>
    <w:p w14:paraId="3C7DE5A4">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（3）监理人经审查同意延长工期的应当报发包人批准。</w:t>
      </w:r>
    </w:p>
    <w:p w14:paraId="59FABDEB">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bookmarkStart w:id="663" w:name="_Toc29728404"/>
      <w:bookmarkStart w:id="664" w:name="_Toc31660604"/>
      <w:bookmarkStart w:id="665" w:name="_Toc247192642"/>
      <w:r>
        <w:rPr>
          <w:rFonts w:hint="eastAsia" w:ascii="黑体" w:hAnsi="黑体" w:eastAsia="黑体" w:cs="黑体"/>
          <w:b/>
          <w:color w:val="auto"/>
          <w:sz w:val="28"/>
          <w:szCs w:val="28"/>
          <w:highlight w:val="none"/>
        </w:rPr>
        <w:t>12. 暂停施工</w:t>
      </w:r>
      <w:bookmarkEnd w:id="663"/>
      <w:bookmarkEnd w:id="664"/>
      <w:bookmarkEnd w:id="665"/>
    </w:p>
    <w:p w14:paraId="7748F4E3">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66" w:name="_Toc31660605"/>
      <w:bookmarkStart w:id="667" w:name="_Toc247192643"/>
      <w:r>
        <w:rPr>
          <w:rFonts w:hint="eastAsia" w:ascii="黑体" w:hAnsi="黑体" w:eastAsia="黑体" w:cs="黑体"/>
          <w:b/>
          <w:color w:val="auto"/>
          <w:sz w:val="24"/>
          <w:highlight w:val="none"/>
        </w:rPr>
        <w:t>12.1  承包人暂停施工的责任</w:t>
      </w:r>
      <w:bookmarkEnd w:id="666"/>
      <w:bookmarkEnd w:id="667"/>
    </w:p>
    <w:p w14:paraId="34C288B4">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公路工程专用合同条款本款第（6）项细化为：</w:t>
      </w:r>
    </w:p>
    <w:p w14:paraId="4AA8D87C">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（6）由承包人承担的其他暂停施工：</w:t>
      </w:r>
    </w:p>
    <w:p w14:paraId="3A236B76">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① 由于工程质量不合格，虽经返工，仍不能保证工程质量而导致的停工整顿；</w:t>
      </w:r>
    </w:p>
    <w:p w14:paraId="0556C583">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② 由于工程进度不平衡或管理不善，虽经监理人多次提示而无明显改进，所导致的停工整顿；</w:t>
      </w:r>
    </w:p>
    <w:p w14:paraId="28DF337A">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③ 由于进驻现场的主要人员、重要设备与合同不符，而导致的停工；</w:t>
      </w:r>
    </w:p>
    <w:p w14:paraId="09C99730">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④ 高速公路运营过程中因发生重大交通事故或因管理或各种警卫任务导致的必要停工；</w:t>
      </w:r>
    </w:p>
    <w:p w14:paraId="75A14D6D">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⑤ 为迎接政府相关部门检查、评比或配合重大政治活动而引起的暂停施工。</w:t>
      </w:r>
    </w:p>
    <w:p w14:paraId="595FDDF5">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bookmarkStart w:id="668" w:name="_Toc29728405"/>
      <w:bookmarkStart w:id="669" w:name="_Toc31660606"/>
      <w:r>
        <w:rPr>
          <w:rFonts w:hint="eastAsia" w:ascii="黑体" w:hAnsi="黑体" w:eastAsia="黑体" w:cs="黑体"/>
          <w:b/>
          <w:color w:val="auto"/>
          <w:sz w:val="28"/>
          <w:szCs w:val="28"/>
          <w:highlight w:val="none"/>
        </w:rPr>
        <w:t>13. 工程质量</w:t>
      </w:r>
      <w:bookmarkEnd w:id="668"/>
      <w:bookmarkEnd w:id="669"/>
    </w:p>
    <w:p w14:paraId="685636EE">
      <w:pPr>
        <w:spacing w:line="480" w:lineRule="auto"/>
        <w:rPr>
          <w:rFonts w:hint="eastAsia" w:ascii="黑体" w:hAnsi="黑体" w:eastAsia="黑体" w:cs="黑体"/>
          <w:b/>
          <w:color w:val="auto"/>
          <w:sz w:val="24"/>
          <w:highlight w:val="none"/>
        </w:rPr>
      </w:pPr>
      <w:bookmarkStart w:id="670" w:name="_Toc31660607"/>
      <w:r>
        <w:rPr>
          <w:rFonts w:hint="eastAsia" w:ascii="黑体" w:hAnsi="黑体" w:eastAsia="黑体" w:cs="黑体"/>
          <w:b/>
          <w:color w:val="auto"/>
          <w:sz w:val="24"/>
          <w:highlight w:val="none"/>
        </w:rPr>
        <w:t>13.4 监理人的质量检查</w:t>
      </w:r>
    </w:p>
    <w:p w14:paraId="5C05E68D">
      <w:pPr>
        <w:spacing w:line="372" w:lineRule="auto"/>
        <w:ind w:firstLine="480" w:firstLineChars="200"/>
        <w:rPr>
          <w:rFonts w:hint="eastAsia" w:ascii="黑体" w:hAnsi="黑体" w:eastAsia="黑体" w:cs="黑体"/>
          <w:b/>
          <w:color w:val="auto"/>
          <w:sz w:val="24"/>
          <w:highlight w:val="none"/>
        </w:rPr>
      </w:pPr>
      <w:r>
        <w:rPr>
          <w:rFonts w:hint="eastAsia" w:ascii="黑体" w:hAnsi="黑体" w:eastAsia="黑体" w:cs="黑体"/>
          <w:color w:val="auto"/>
          <w:sz w:val="24"/>
          <w:highlight w:val="none"/>
        </w:rPr>
        <w:t>监理人经过发包人批准之后可以将材料或工程设备的检查和检验委托给一家独立的有质量检验认证资格的检验单位。该独立检验单位的检验结果应视为监理人完成的。监理人应将这种委托的通知书不少于7天前交给承包人。</w:t>
      </w:r>
    </w:p>
    <w:p w14:paraId="31EC7F70">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r>
        <w:rPr>
          <w:rFonts w:hint="eastAsia" w:ascii="黑体" w:hAnsi="黑体" w:eastAsia="黑体" w:cs="黑体"/>
          <w:b/>
          <w:color w:val="auto"/>
          <w:sz w:val="24"/>
          <w:highlight w:val="none"/>
        </w:rPr>
        <w:t>13.5  工程隐蔽部位覆盖前的检查</w:t>
      </w:r>
      <w:bookmarkEnd w:id="670"/>
    </w:p>
    <w:p w14:paraId="5A9B6D1B">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13.5.1 通知监理人检查</w:t>
      </w:r>
    </w:p>
    <w:p w14:paraId="39EA2180">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补充：</w:t>
      </w:r>
    </w:p>
    <w:p w14:paraId="6B78B0E6">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承包人对隐蔽工程经自检确认具备覆盖条件时，提前24小时通知监理工程师进行现场检查。</w:t>
      </w:r>
    </w:p>
    <w:p w14:paraId="33DF64A5">
      <w:pPr>
        <w:pStyle w:val="52"/>
        <w:spacing w:line="360" w:lineRule="auto"/>
        <w:jc w:val="both"/>
        <w:rPr>
          <w:rFonts w:hint="eastAsia"/>
          <w:color w:val="auto"/>
          <w:highlight w:val="none"/>
        </w:rPr>
      </w:pPr>
      <w:bookmarkStart w:id="671" w:name="_Toc247192644"/>
      <w:bookmarkStart w:id="672" w:name="_Toc29728406"/>
      <w:bookmarkStart w:id="673" w:name="_Toc31660608"/>
      <w:r>
        <w:rPr>
          <w:rFonts w:hint="eastAsia" w:ascii="黑体" w:hAnsi="黑体" w:eastAsia="黑体" w:cs="黑体"/>
          <w:color w:val="auto"/>
          <w:sz w:val="28"/>
          <w:szCs w:val="28"/>
          <w:highlight w:val="none"/>
        </w:rPr>
        <w:t>14.试验和检验</w:t>
      </w:r>
    </w:p>
    <w:p w14:paraId="7FCC6813">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补充：</w:t>
      </w:r>
    </w:p>
    <w:p w14:paraId="4C006DAD">
      <w:pPr>
        <w:spacing w:line="360" w:lineRule="auto"/>
        <w:ind w:firstLine="460" w:firstLineChars="200"/>
        <w:rPr>
          <w:rFonts w:hint="default" w:ascii="黑体" w:hAnsi="黑体" w:eastAsia="黑体" w:cs="黑体"/>
          <w:color w:val="auto"/>
          <w:sz w:val="23"/>
          <w:szCs w:val="23"/>
          <w:highlight w:val="none"/>
          <w:lang w:val="en-US" w:eastAsia="zh-CN"/>
        </w:rPr>
      </w:pPr>
      <w:r>
        <w:rPr>
          <w:rFonts w:hint="eastAsia" w:ascii="黑体" w:hAnsi="黑体" w:eastAsia="黑体" w:cs="黑体"/>
          <w:color w:val="auto"/>
          <w:sz w:val="23"/>
          <w:szCs w:val="23"/>
          <w:highlight w:val="none"/>
          <w:lang w:val="en-US" w:eastAsia="zh-CN"/>
        </w:rPr>
        <w:t>14.5试验室</w:t>
      </w:r>
    </w:p>
    <w:p w14:paraId="41943D3D">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r>
        <w:rPr>
          <w:rFonts w:hint="eastAsia" w:ascii="黑体" w:hAnsi="黑体" w:eastAsia="黑体" w:cs="黑体"/>
          <w:color w:val="auto"/>
          <w:sz w:val="23"/>
          <w:szCs w:val="23"/>
          <w:highlight w:val="none"/>
          <w:lang w:val="en-US" w:eastAsia="zh-CN"/>
        </w:rPr>
        <w:t xml:space="preserve"> 承包人可以自行设立工地试验室，应具有相应的《公路水运试验检测机构等级证书》；或承包人应委托具有相应资格的第三方试验检测机构进行试验。监理工地试验室、施工工地试验室和竣（交）工试验检测单位在同一公路工程项目标段中不得同时接受建设、监理、施工等多方的质量检测委托。</w:t>
      </w:r>
    </w:p>
    <w:p w14:paraId="20561686">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15. 变更</w:t>
      </w:r>
      <w:bookmarkEnd w:id="671"/>
      <w:bookmarkEnd w:id="672"/>
      <w:bookmarkEnd w:id="673"/>
    </w:p>
    <w:p w14:paraId="2FBBD79B">
      <w:pPr>
        <w:spacing w:line="480" w:lineRule="auto"/>
        <w:rPr>
          <w:rFonts w:hint="eastAsia" w:ascii="黑体" w:hAnsi="黑体" w:eastAsia="黑体" w:cs="黑体"/>
          <w:b/>
          <w:color w:val="auto"/>
          <w:sz w:val="24"/>
          <w:highlight w:val="none"/>
        </w:rPr>
      </w:pPr>
      <w:bookmarkStart w:id="674" w:name="_Toc247192645"/>
      <w:bookmarkStart w:id="675" w:name="_Toc31660609"/>
      <w:r>
        <w:rPr>
          <w:rFonts w:hint="eastAsia" w:ascii="黑体" w:hAnsi="黑体" w:eastAsia="黑体" w:cs="黑体"/>
          <w:b/>
          <w:color w:val="auto"/>
          <w:sz w:val="24"/>
          <w:highlight w:val="none"/>
        </w:rPr>
        <w:t>15.4  变更的估价原则</w:t>
      </w:r>
      <w:bookmarkEnd w:id="674"/>
    </w:p>
    <w:p w14:paraId="5C58C269">
      <w:pPr>
        <w:spacing w:line="348"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本款细化为：</w:t>
      </w:r>
    </w:p>
    <w:p w14:paraId="133345D1">
      <w:pPr>
        <w:spacing w:line="348"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因变更引起的价格调整按照本款约定处理：</w:t>
      </w:r>
    </w:p>
    <w:p w14:paraId="748BFCF9">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15.4.1 如果取消某项工作，则该项工作的总额价不予以支付；</w:t>
      </w:r>
    </w:p>
    <w:p w14:paraId="798E5334">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15.4.2 已标价工程量清单中有适用于变更工作的子目的，采用该子目的单价。</w:t>
      </w:r>
    </w:p>
    <w:p w14:paraId="74EAE787">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15.4.3 已标价工程量清单中无适用于变更工作的子目，但有类似子目的，可在合理范围内参照类似子目的单价，由监理人按第3.5款商定或确定变更工作的单价。</w:t>
      </w:r>
    </w:p>
    <w:p w14:paraId="7D252404">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15.4.4 若在本标段的上述情况中均不能确定变更工作子目的单价时，可采用相邻标段已标价工程量清单中适用于变更工作子目的单价（若有两个相邻标段，则采用两个相邻标段已标价工程量清单中适用于变更工作子目的平均单价），由监理人按第3.5款商定或确定。</w:t>
      </w:r>
    </w:p>
    <w:p w14:paraId="62259023">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15.4.5 若本项目所有标段已标价工程量清单中均无适用于变更工作的子目，则以交通运输部现行的概预算编制办法、预算定额、机械台班费用定额及内蒙古有关补充规定，以及招标时采用材料单价、取费标准、标段预算编制原则计算得出的预算单价乘以本标段的中标价格降幅（有效合同价与标段全预算对比），作为该变更工作子目的单价，由监理人按第3.5款商定或确定。</w:t>
      </w:r>
    </w:p>
    <w:p w14:paraId="4DE0BA45">
      <w:pPr>
        <w:spacing w:line="360" w:lineRule="auto"/>
        <w:ind w:firstLine="480" w:firstLineChars="200"/>
        <w:rPr>
          <w:rFonts w:hint="eastAsia" w:ascii="黑体" w:hAnsi="黑体" w:eastAsia="黑体" w:cs="黑体"/>
          <w:b/>
          <w:color w:val="auto"/>
          <w:sz w:val="24"/>
          <w:highlight w:val="none"/>
        </w:rPr>
      </w:pPr>
      <w:r>
        <w:rPr>
          <w:rFonts w:hint="eastAsia" w:ascii="黑体" w:hAnsi="黑体" w:eastAsia="黑体" w:cs="黑体"/>
          <w:color w:val="auto"/>
          <w:sz w:val="24"/>
          <w:highlight w:val="none"/>
        </w:rPr>
        <w:t>15.4.6 如果本工程的变更指示是因承包人过错、承包人违反合同或承包人责任造成的，则这种违约引起的任何额外费用应由承包人承担。</w:t>
      </w:r>
    </w:p>
    <w:p w14:paraId="0FC49DF3">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r>
        <w:rPr>
          <w:rFonts w:hint="eastAsia" w:ascii="黑体" w:hAnsi="黑体" w:eastAsia="黑体" w:cs="黑体"/>
          <w:b/>
          <w:color w:val="auto"/>
          <w:sz w:val="24"/>
          <w:highlight w:val="none"/>
        </w:rPr>
        <w:t>15.7  计日工</w:t>
      </w:r>
      <w:bookmarkEnd w:id="675"/>
    </w:p>
    <w:p w14:paraId="79C371B7">
      <w:pPr>
        <w:keepNext w:val="0"/>
        <w:keepLines w:val="0"/>
        <w:pageBreakBefore w:val="0"/>
        <w:widowControl w:val="0"/>
        <w:shd w:val="clear" w:color="auto" w:fill="auto"/>
        <w:kinsoku/>
        <w:wordWrap/>
        <w:overflowPunct/>
        <w:topLinePunct w:val="0"/>
        <w:bidi w:val="0"/>
        <w:snapToGrid/>
        <w:spacing w:line="360" w:lineRule="auto"/>
        <w:ind w:firstLine="470" w:firstLineChars="196"/>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不适用，删除本款内容。</w:t>
      </w:r>
    </w:p>
    <w:p w14:paraId="01C72C38">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bookmarkStart w:id="676" w:name="_Toc29728407"/>
      <w:bookmarkStart w:id="677" w:name="_Toc247192647"/>
      <w:bookmarkStart w:id="678" w:name="_Toc31660610"/>
      <w:r>
        <w:rPr>
          <w:rFonts w:hint="eastAsia" w:ascii="黑体" w:hAnsi="黑体" w:eastAsia="黑体" w:cs="黑体"/>
          <w:b/>
          <w:color w:val="auto"/>
          <w:sz w:val="28"/>
          <w:szCs w:val="28"/>
          <w:highlight w:val="none"/>
        </w:rPr>
        <w:t>16. 价格调整</w:t>
      </w:r>
      <w:bookmarkEnd w:id="676"/>
      <w:bookmarkEnd w:id="677"/>
      <w:bookmarkEnd w:id="678"/>
    </w:p>
    <w:p w14:paraId="10D88CFE">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79" w:name="_Toc31660611"/>
      <w:bookmarkStart w:id="680" w:name="_Toc247192648"/>
      <w:r>
        <w:rPr>
          <w:rFonts w:hint="eastAsia" w:ascii="黑体" w:hAnsi="黑体" w:eastAsia="黑体" w:cs="黑体"/>
          <w:b/>
          <w:color w:val="auto"/>
          <w:sz w:val="24"/>
          <w:highlight w:val="none"/>
        </w:rPr>
        <w:t>16.1  物价波动引起的价格调整</w:t>
      </w:r>
      <w:bookmarkEnd w:id="679"/>
      <w:bookmarkEnd w:id="680"/>
    </w:p>
    <w:p w14:paraId="2234788A">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本款约定见“项目专用合同条款数据表”内容。</w:t>
      </w:r>
    </w:p>
    <w:p w14:paraId="6BD59F0F">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bookmarkStart w:id="681" w:name="_Toc29728408"/>
      <w:bookmarkStart w:id="682" w:name="_Toc31660612"/>
      <w:bookmarkStart w:id="683" w:name="_Toc247192649"/>
      <w:r>
        <w:rPr>
          <w:rFonts w:hint="eastAsia" w:ascii="黑体" w:hAnsi="黑体" w:eastAsia="黑体" w:cs="黑体"/>
          <w:b/>
          <w:color w:val="auto"/>
          <w:sz w:val="28"/>
          <w:szCs w:val="28"/>
          <w:highlight w:val="none"/>
        </w:rPr>
        <w:t>17. 计量与支付</w:t>
      </w:r>
      <w:bookmarkEnd w:id="681"/>
      <w:bookmarkEnd w:id="682"/>
      <w:bookmarkEnd w:id="683"/>
    </w:p>
    <w:p w14:paraId="7CC71E3B">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84" w:name="_Toc247192650"/>
      <w:bookmarkStart w:id="685" w:name="_Toc31660613"/>
      <w:r>
        <w:rPr>
          <w:rFonts w:hint="eastAsia" w:ascii="黑体" w:hAnsi="黑体" w:eastAsia="黑体" w:cs="黑体"/>
          <w:b/>
          <w:color w:val="auto"/>
          <w:sz w:val="24"/>
          <w:highlight w:val="none"/>
        </w:rPr>
        <w:t>17.1  计量</w:t>
      </w:r>
      <w:bookmarkEnd w:id="684"/>
      <w:bookmarkEnd w:id="685"/>
    </w:p>
    <w:p w14:paraId="257DDCB8">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17.1.3  计量周期</w:t>
      </w:r>
    </w:p>
    <w:p w14:paraId="5CE05336">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第17.1.3项约定：</w:t>
      </w:r>
    </w:p>
    <w:p w14:paraId="7CE3CF05">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计量周期末指每月25日。</w:t>
      </w:r>
    </w:p>
    <w:p w14:paraId="4046CC84">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17.1.4  单价子目的计量</w:t>
      </w:r>
    </w:p>
    <w:p w14:paraId="55C71740">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本项补充：</w:t>
      </w:r>
    </w:p>
    <w:p w14:paraId="49A0F767">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8）如果承包人对监理人计量复核结果不予同意，应在7天之内向监理人提出申辩，监理人收到此申辩后，应会同承包人复查对记录和图纸的计量审核，或予确认，或予修改。如果承包人不参加此复查，则应认为监理人复查核实结果是正确的。</w:t>
      </w:r>
    </w:p>
    <w:p w14:paraId="32C28989">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bookmarkStart w:id="686" w:name="_Toc31660614"/>
      <w:bookmarkStart w:id="687" w:name="_Toc29728409"/>
      <w:bookmarkStart w:id="688" w:name="_Toc247192651"/>
      <w:r>
        <w:rPr>
          <w:rFonts w:hint="eastAsia" w:ascii="黑体" w:hAnsi="黑体" w:eastAsia="黑体" w:cs="黑体"/>
          <w:b/>
          <w:color w:val="auto"/>
          <w:sz w:val="28"/>
          <w:szCs w:val="28"/>
          <w:highlight w:val="none"/>
        </w:rPr>
        <w:t>18. 交工验收</w:t>
      </w:r>
      <w:bookmarkEnd w:id="686"/>
      <w:bookmarkEnd w:id="687"/>
      <w:bookmarkEnd w:id="688"/>
    </w:p>
    <w:p w14:paraId="76E39456">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89" w:name="_Toc247192652"/>
      <w:bookmarkStart w:id="690" w:name="_Toc31660615"/>
      <w:r>
        <w:rPr>
          <w:rFonts w:hint="eastAsia" w:ascii="黑体" w:hAnsi="黑体" w:eastAsia="黑体" w:cs="黑体"/>
          <w:b/>
          <w:color w:val="auto"/>
          <w:sz w:val="24"/>
          <w:highlight w:val="none"/>
        </w:rPr>
        <w:t>18.3  验收</w:t>
      </w:r>
      <w:bookmarkEnd w:id="689"/>
      <w:bookmarkEnd w:id="690"/>
    </w:p>
    <w:p w14:paraId="7BD1405E">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本款补充第18.3.8项：</w:t>
      </w:r>
    </w:p>
    <w:p w14:paraId="60E68A0E">
      <w:pPr>
        <w:spacing w:line="360" w:lineRule="auto"/>
        <w:ind w:left="480"/>
        <w:rPr>
          <w:rFonts w:hint="eastAsia" w:ascii="黑体" w:hAnsi="黑体" w:eastAsia="黑体" w:cs="黑体"/>
          <w:color w:val="auto"/>
          <w:sz w:val="24"/>
          <w:highlight w:val="none"/>
        </w:rPr>
      </w:pPr>
      <w:r>
        <w:rPr>
          <w:rFonts w:hint="eastAsia" w:ascii="黑体" w:hAnsi="黑体" w:eastAsia="黑体" w:cs="黑体"/>
          <w:color w:val="auto"/>
          <w:sz w:val="24"/>
          <w:highlight w:val="none"/>
        </w:rPr>
        <w:t>竣工验收</w:t>
      </w:r>
    </w:p>
    <w:p w14:paraId="2B3E3355">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当建设项目工程符合《公路工程竣（交）工验收办法》《内蒙古自治区国省干线公路养护管理办法（试行）》（内交发[2023]677号）的竣工验收条件后，发包人应按照项目管理权限及时向交通主管部门申请验收。</w:t>
      </w:r>
    </w:p>
    <w:p w14:paraId="0148584D">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竣工验收由上级主管部门主持，竣工验收委员会负责对工程实体质量及建设情况进行全面检查。按交通部规定的办法对工程质量进行评分，对各参建单位进行综合评价，对建设项目进行综合评价，确定工程质量和建设项目等级，形成工程竣工验收鉴定书。</w:t>
      </w:r>
    </w:p>
    <w:p w14:paraId="077DCE4E">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691" w:name="_Toc247192653"/>
      <w:bookmarkStart w:id="692" w:name="_Toc31660616"/>
      <w:r>
        <w:rPr>
          <w:rFonts w:hint="eastAsia" w:ascii="黑体" w:hAnsi="黑体" w:eastAsia="黑体" w:cs="黑体"/>
          <w:b/>
          <w:color w:val="auto"/>
          <w:sz w:val="24"/>
          <w:highlight w:val="none"/>
        </w:rPr>
        <w:t>18.5  施工期运行</w:t>
      </w:r>
      <w:bookmarkEnd w:id="691"/>
      <w:bookmarkEnd w:id="692"/>
    </w:p>
    <w:p w14:paraId="0F2ACC42">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outlineLvl w:val="4"/>
        <w:rPr>
          <w:rFonts w:hint="eastAsia" w:ascii="黑体" w:hAnsi="黑体" w:eastAsia="黑体" w:cs="黑体"/>
          <w:color w:val="auto"/>
          <w:sz w:val="24"/>
          <w:highlight w:val="none"/>
        </w:rPr>
      </w:pPr>
      <w:bookmarkStart w:id="693" w:name="_Toc31660617"/>
      <w:bookmarkStart w:id="694" w:name="_Toc247192654"/>
      <w:r>
        <w:rPr>
          <w:rFonts w:hint="eastAsia" w:ascii="黑体" w:hAnsi="黑体" w:eastAsia="黑体" w:cs="黑体"/>
          <w:color w:val="auto"/>
          <w:sz w:val="24"/>
          <w:highlight w:val="none"/>
        </w:rPr>
        <w:t>不适用，删除本款内容。</w:t>
      </w:r>
    </w:p>
    <w:p w14:paraId="0166F071">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r>
        <w:rPr>
          <w:rFonts w:hint="eastAsia" w:ascii="黑体" w:hAnsi="黑体" w:eastAsia="黑体" w:cs="黑体"/>
          <w:b/>
          <w:color w:val="auto"/>
          <w:sz w:val="24"/>
          <w:highlight w:val="none"/>
        </w:rPr>
        <w:t>18.6  试运行</w:t>
      </w:r>
      <w:bookmarkEnd w:id="693"/>
      <w:bookmarkEnd w:id="694"/>
    </w:p>
    <w:p w14:paraId="57BE74D0">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outlineLvl w:val="4"/>
        <w:rPr>
          <w:rFonts w:hint="eastAsia" w:ascii="黑体" w:hAnsi="黑体" w:eastAsia="黑体" w:cs="黑体"/>
          <w:color w:val="auto"/>
          <w:sz w:val="24"/>
          <w:highlight w:val="none"/>
        </w:rPr>
      </w:pPr>
      <w:bookmarkStart w:id="695" w:name="_Toc247192655"/>
      <w:bookmarkStart w:id="696" w:name="_Toc31660618"/>
      <w:r>
        <w:rPr>
          <w:rFonts w:hint="eastAsia" w:ascii="黑体" w:hAnsi="黑体" w:eastAsia="黑体" w:cs="黑体"/>
          <w:color w:val="auto"/>
          <w:sz w:val="24"/>
          <w:highlight w:val="none"/>
        </w:rPr>
        <w:t>不适用，删除本款内容。</w:t>
      </w:r>
    </w:p>
    <w:p w14:paraId="2EF81AC9">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r>
        <w:rPr>
          <w:rFonts w:hint="eastAsia" w:ascii="黑体" w:hAnsi="黑体" w:eastAsia="黑体" w:cs="黑体"/>
          <w:b/>
          <w:color w:val="auto"/>
          <w:sz w:val="24"/>
          <w:highlight w:val="none"/>
        </w:rPr>
        <w:t>18.9  竣工文件</w:t>
      </w:r>
      <w:bookmarkEnd w:id="695"/>
      <w:bookmarkEnd w:id="696"/>
    </w:p>
    <w:p w14:paraId="641EE4A0">
      <w:pPr>
        <w:keepNext w:val="0"/>
        <w:keepLines w:val="0"/>
        <w:pageBreakBefore w:val="0"/>
        <w:widowControl w:val="0"/>
        <w:shd w:val="clear" w:color="auto" w:fill="auto"/>
        <w:kinsoku/>
        <w:wordWrap/>
        <w:overflowPunct/>
        <w:topLinePunct w:val="0"/>
        <w:bidi w:val="0"/>
        <w:snapToGrid/>
        <w:spacing w:line="360" w:lineRule="auto"/>
        <w:ind w:firstLine="470" w:firstLineChars="196"/>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本款细化为：</w:t>
      </w:r>
    </w:p>
    <w:p w14:paraId="2DD74D42">
      <w:pPr>
        <w:spacing w:line="408"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按照《公路工程竣（交）工验收办法》和《公路工程竣（交）工验收办法实施细则》交公路发〔2010〕65号规定的内容和要求编制竣工图表和施工文件，承包人还必须按交通部交财发〔2000〕207号《交通基本建设项目竣工决算报告编制办法》的规定和要求编制（由该承包人实施的部分）竣工决算一式六套，提交监理人审核，费用由承包人承担。承包人在建设过程中应同步收集、整理交竣工资料，对隐蔽工程和重复部位的施工应按照发包人的要求保留施工照片、影像资料、电子文档。所有施工资料应按照案卷归档要求将全部资料统一装订组卷，编排档案和总目录，或者按照发包人或上级主管部门制定的《竣工文件编制办法》进行档案管理。整个施工过程中所涉及到的交、竣工资料的整理、制作所发生的一切费用已包含在合同报价中，发包人不再另行支付。</w:t>
      </w:r>
      <w:r>
        <w:rPr>
          <w:rFonts w:hint="eastAsia" w:ascii="黑体" w:hAnsi="黑体" w:eastAsia="黑体" w:cs="黑体"/>
          <w:b/>
          <w:color w:val="auto"/>
          <w:sz w:val="24"/>
          <w:highlight w:val="none"/>
        </w:rPr>
        <w:t>竣工资料编制按项目实施过程中发包人转发或下发的有关文件和办法执行</w:t>
      </w:r>
      <w:r>
        <w:rPr>
          <w:rFonts w:hint="eastAsia" w:ascii="黑体" w:hAnsi="黑体" w:eastAsia="黑体" w:cs="黑体"/>
          <w:color w:val="auto"/>
          <w:sz w:val="24"/>
          <w:highlight w:val="none"/>
        </w:rPr>
        <w:t>。</w:t>
      </w:r>
    </w:p>
    <w:p w14:paraId="13F22E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color w:val="auto"/>
          <w:sz w:val="28"/>
          <w:szCs w:val="28"/>
          <w:highlight w:val="none"/>
        </w:rPr>
      </w:pPr>
      <w:bookmarkStart w:id="697" w:name="_Toc247192656"/>
      <w:bookmarkStart w:id="698" w:name="_Toc31660619"/>
      <w:bookmarkStart w:id="699" w:name="_Toc29728411"/>
      <w:bookmarkStart w:id="700" w:name="_Toc247192658"/>
      <w:bookmarkStart w:id="701" w:name="OLE_LINK6"/>
      <w:r>
        <w:rPr>
          <w:rFonts w:hint="eastAsia" w:ascii="黑体" w:hAnsi="黑体" w:eastAsia="黑体" w:cs="黑体"/>
          <w:b/>
          <w:color w:val="auto"/>
          <w:sz w:val="28"/>
          <w:szCs w:val="28"/>
          <w:highlight w:val="none"/>
        </w:rPr>
        <w:t>19.缺陷责任和保修责任</w:t>
      </w:r>
      <w:bookmarkEnd w:id="697"/>
    </w:p>
    <w:p w14:paraId="68BD35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color w:val="auto"/>
          <w:sz w:val="24"/>
          <w:highlight w:val="none"/>
        </w:rPr>
      </w:pPr>
      <w:bookmarkStart w:id="702" w:name="_Toc247192657"/>
      <w:r>
        <w:rPr>
          <w:rFonts w:hint="eastAsia" w:ascii="黑体" w:hAnsi="黑体" w:eastAsia="黑体" w:cs="黑体"/>
          <w:b/>
          <w:color w:val="auto"/>
          <w:sz w:val="24"/>
          <w:highlight w:val="none"/>
        </w:rPr>
        <w:t>19.4  进一步试验和试运行</w:t>
      </w:r>
      <w:bookmarkEnd w:id="702"/>
    </w:p>
    <w:p w14:paraId="0E36090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outlineLvl w:val="3"/>
        <w:rPr>
          <w:rFonts w:hint="eastAsia" w:ascii="黑体" w:hAnsi="黑体" w:eastAsia="黑体" w:cs="黑体"/>
          <w:b/>
          <w:color w:val="auto"/>
          <w:sz w:val="28"/>
          <w:szCs w:val="28"/>
          <w:highlight w:val="none"/>
        </w:rPr>
      </w:pPr>
      <w:r>
        <w:rPr>
          <w:rFonts w:hint="eastAsia" w:ascii="黑体" w:hAnsi="黑体" w:eastAsia="黑体" w:cs="黑体"/>
          <w:color w:val="auto"/>
          <w:sz w:val="24"/>
          <w:highlight w:val="none"/>
        </w:rPr>
        <w:t>不适用，删除本款内容。</w:t>
      </w:r>
    </w:p>
    <w:p w14:paraId="7A242AF3">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21. 不可抗力</w:t>
      </w:r>
      <w:bookmarkEnd w:id="698"/>
      <w:bookmarkEnd w:id="699"/>
      <w:bookmarkEnd w:id="700"/>
    </w:p>
    <w:bookmarkEnd w:id="701"/>
    <w:p w14:paraId="6B566E79">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703" w:name="_Toc247192659"/>
      <w:bookmarkStart w:id="704" w:name="_Toc31660620"/>
      <w:r>
        <w:rPr>
          <w:rFonts w:hint="eastAsia" w:ascii="黑体" w:hAnsi="黑体" w:eastAsia="黑体" w:cs="黑体"/>
          <w:b/>
          <w:color w:val="auto"/>
          <w:sz w:val="24"/>
          <w:highlight w:val="none"/>
        </w:rPr>
        <w:t>21.1  不可抗力的确认</w:t>
      </w:r>
      <w:bookmarkEnd w:id="703"/>
      <w:bookmarkEnd w:id="704"/>
    </w:p>
    <w:p w14:paraId="4A9D8129">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21.1.1  （6）不可抗力的其他情形：</w:t>
      </w:r>
      <w:r>
        <w:rPr>
          <w:rFonts w:hint="eastAsia" w:ascii="黑体" w:hAnsi="黑体" w:eastAsia="黑体" w:cs="黑体"/>
          <w:b/>
          <w:color w:val="auto"/>
          <w:sz w:val="24"/>
          <w:highlight w:val="none"/>
          <w:u w:val="single"/>
        </w:rPr>
        <w:t>政府禁令</w:t>
      </w:r>
      <w:r>
        <w:rPr>
          <w:rFonts w:hint="eastAsia" w:ascii="黑体" w:hAnsi="黑体" w:eastAsia="黑体" w:cs="黑体"/>
          <w:color w:val="auto"/>
          <w:sz w:val="24"/>
          <w:highlight w:val="none"/>
        </w:rPr>
        <w:t>。</w:t>
      </w:r>
    </w:p>
    <w:p w14:paraId="7DC01455">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bookmarkStart w:id="705" w:name="_Toc31660621"/>
      <w:bookmarkStart w:id="706" w:name="_Toc29728412"/>
      <w:r>
        <w:rPr>
          <w:rFonts w:hint="eastAsia" w:ascii="黑体" w:hAnsi="黑体" w:eastAsia="黑体" w:cs="黑体"/>
          <w:b/>
          <w:color w:val="auto"/>
          <w:sz w:val="28"/>
          <w:szCs w:val="28"/>
          <w:highlight w:val="none"/>
        </w:rPr>
        <w:t>22.违约</w:t>
      </w:r>
      <w:bookmarkEnd w:id="705"/>
      <w:bookmarkEnd w:id="706"/>
    </w:p>
    <w:p w14:paraId="530A381C">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707" w:name="_Toc31660622"/>
      <w:r>
        <w:rPr>
          <w:rFonts w:hint="eastAsia" w:ascii="黑体" w:hAnsi="黑体" w:eastAsia="黑体" w:cs="黑体"/>
          <w:b/>
          <w:color w:val="auto"/>
          <w:sz w:val="24"/>
          <w:highlight w:val="none"/>
        </w:rPr>
        <w:t>22.1  承包人的违约</w:t>
      </w:r>
      <w:bookmarkEnd w:id="707"/>
    </w:p>
    <w:p w14:paraId="02135EC0">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22.1.1 承包人违约的情形</w:t>
      </w:r>
    </w:p>
    <w:p w14:paraId="1271BEC2">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本项（10）目细化为：</w:t>
      </w:r>
    </w:p>
    <w:p w14:paraId="719134BA">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（10）承包人以各种理由减少或降低合同约定的工程质量、工程内容，拖延施工工期，并因此造成重大或者特大质量和安全事故，或者造成工期延误的；</w:t>
      </w:r>
    </w:p>
    <w:p w14:paraId="1107CBBA">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（11）承包人不签订劳动用工合同、非法使用农民工的，或者拖延和克扣农民工工资的；</w:t>
      </w:r>
    </w:p>
    <w:p w14:paraId="50315584">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（12）承包人允许其他单位或者个人以承包人名义承揽工程的；</w:t>
      </w:r>
    </w:p>
    <w:p w14:paraId="35EAB2FD">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（13）承包人不按合同约定履行义务的其他情况。</w:t>
      </w:r>
    </w:p>
    <w:p w14:paraId="1977C7FF">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22.1.2  对承包人违约的处理</w:t>
      </w:r>
    </w:p>
    <w:p w14:paraId="6DB5533B">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本项细化为：</w:t>
      </w:r>
    </w:p>
    <w:p w14:paraId="6959DFD2">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当承包人发生第22.1.1项约定的违约情况时，发包人有权向承包人课以违约金，没收违法所得，将其违约行为上报交通主管部门，作为不良记录纳入公路建设市场信用信息管理系统，直至不准进入自治区公路建设市场。具体约定如下：</w:t>
      </w:r>
    </w:p>
    <w:p w14:paraId="42F0EA53">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若发生22.1.1（1）目约定的违约情况时，责令其纠正，没收违法所得；同时视情况课以工程合同价款5‰以上10‰以下的违约金，将其违约行为上报交通主管部门，作为不良记录纳入公路建设市场信用信息管理系统，直至不准进入自治区公路建设市场。</w:t>
      </w:r>
    </w:p>
    <w:p w14:paraId="27E4CA0B">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2）若发生22.1.1（2）目约定的违约情况时，课以违约金约定为：关键设备10万元/台（套），其它设备1～3万元/台（套），临时设施1万元/台（套），关键材料2～10万元；同时，可责令承包人限期将已撤离的施工设备、临时设施、材料或工程设备重新进场。</w:t>
      </w:r>
    </w:p>
    <w:p w14:paraId="25DE8817">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（3）若发生22.1.1（3）目约定的违约情况时，课以10万元违约金；同时，发包人可另行委托其他单位代为清理，所发生的费用从应支付给承包人的任何款项中扣除。</w:t>
      </w:r>
    </w:p>
    <w:p w14:paraId="37E57E01">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（4）若发生22.1.1（4）目约定的违约情况时，课以8万元违约金；同时可按第11.5款规定办理。</w:t>
      </w:r>
    </w:p>
    <w:p w14:paraId="425962A2">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（5）若发生22.1.1（5）目约定的违约情况时，课以10万元违约金；同时，发包人可另行委托其他单位代为修复，所发生的费用从应支付给承包人的任何款项中扣除。</w:t>
      </w:r>
    </w:p>
    <w:p w14:paraId="21C51071">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6）若发生22.1.1（6）目约定的违约情况时，发包人可以接管本工程，终止承包人在本合同项下的承包，但不因此解除合同规定的承包人的任何义务和责任，发包人可自行或雇用其他承包人完成该工程，由此产生的一切费用由承包人承担；同时发包人将承包人的违约行为上报省级交通主管部门，作为不良记录纳入公路建设市场信用信息管理系统。</w:t>
      </w:r>
    </w:p>
    <w:p w14:paraId="26FA4D85">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（7）若发生22.1.1（7）目约定的违约情况时，课以10万元违约金，并责令其纠正。</w:t>
      </w:r>
    </w:p>
    <w:p w14:paraId="1589675F">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（8）若发生22.1.1（8）目约定的违约情况时，责令其纠正，同时课以违约金约定为：</w:t>
      </w:r>
    </w:p>
    <w:p w14:paraId="47DED5F3">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a.项目经理或项目总工10万元/人次，其他主要管理人员、技术骨干5万元/人次；</w:t>
      </w:r>
    </w:p>
    <w:p w14:paraId="5A5EE3AF">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b.关键设备不到位10万元/台（套），其它设备1～3万元/台（套）；</w:t>
      </w:r>
    </w:p>
    <w:p w14:paraId="2C5FF741">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c.未经发包人或监理工程师批准，项目经理或项目总工擅自离开工地1万元/天，其它主要理人员5千元/天。</w:t>
      </w:r>
    </w:p>
    <w:p w14:paraId="5B5BD6D7">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（9）若发生22.1.1（9）目约定的违约情况时，视情节轻重，课以5～10万元违约金，并责令其纠正；</w:t>
      </w:r>
    </w:p>
    <w:p w14:paraId="251043C3">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10）若发生22.1.1（10）目约定的违约情况时，除按合同规定课以违约金外，还将其违约行为上报交通主管部门，作为不良记录纳入公路建设市场信用信息管理系统，同时取消其二年至五年内参加依法必须进行招标项目的投标资格并予公告。</w:t>
      </w:r>
    </w:p>
    <w:p w14:paraId="5843EADF">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11）若发生22.1.1（11）目约定的违约情况时，责令其纠正。拒不纠正的，发包人有权采取强制措施进行处理，并将有关情况上报交通主管部门和地方劳动保障部门，情节严重的在一定期限内限制或取消其参加依法必须进行招标项目的投标资格并予公告。</w:t>
      </w:r>
    </w:p>
    <w:p w14:paraId="15CE91D1">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（12）若发生22.1.1（12）目约定的违约情况时，没收违法所得，课以工程合同价款2%以上4%以下的罚款；同时视情况向资质管理部门提出降低资质等级、吊销资质证书等建议。</w:t>
      </w:r>
    </w:p>
    <w:p w14:paraId="7BE34357">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（13）若发生22.1.1（13）目约定的违约情况时，视情况而定，参照法律、法规及合同规定给予相应处罚。</w:t>
      </w:r>
      <w:bookmarkStart w:id="708" w:name="_Toc247192662"/>
    </w:p>
    <w:p w14:paraId="4EF62132">
      <w:pPr>
        <w:spacing w:line="480" w:lineRule="auto"/>
        <w:rPr>
          <w:rFonts w:hint="eastAsia" w:ascii="黑体" w:hAnsi="黑体" w:eastAsia="黑体" w:cs="黑体"/>
          <w:b/>
          <w:color w:val="auto"/>
          <w:sz w:val="24"/>
          <w:highlight w:val="none"/>
        </w:rPr>
      </w:pPr>
      <w:bookmarkStart w:id="709" w:name="_Toc29728413"/>
      <w:bookmarkStart w:id="710" w:name="_Toc31660623"/>
      <w:r>
        <w:rPr>
          <w:rFonts w:hint="eastAsia" w:ascii="黑体" w:hAnsi="黑体" w:eastAsia="黑体" w:cs="黑体"/>
          <w:b/>
          <w:color w:val="auto"/>
          <w:sz w:val="24"/>
          <w:highlight w:val="none"/>
        </w:rPr>
        <w:t>22.2发包人违约</w:t>
      </w:r>
    </w:p>
    <w:p w14:paraId="66460409">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本项补充为：</w:t>
      </w:r>
    </w:p>
    <w:p w14:paraId="379D845C">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r>
        <w:rPr>
          <w:rFonts w:hint="eastAsia" w:ascii="黑体" w:hAnsi="黑体" w:eastAsia="黑体" w:cs="黑体"/>
          <w:color w:val="auto"/>
          <w:sz w:val="24"/>
          <w:highlight w:val="none"/>
        </w:rPr>
        <w:t>22.2.2发包人无正当理由不按时返还履约保证金、质量保证金或农民工工资保证金</w:t>
      </w:r>
      <w:r>
        <w:rPr>
          <w:rFonts w:hint="eastAsia" w:ascii="黑体" w:hAnsi="黑体" w:eastAsia="黑体" w:cs="黑体"/>
          <w:color w:val="auto"/>
          <w:sz w:val="24"/>
          <w:highlight w:val="none"/>
          <w:lang w:eastAsia="zh-CN"/>
        </w:rPr>
        <w:t>。</w:t>
      </w:r>
    </w:p>
    <w:p w14:paraId="28EF018D">
      <w:pPr>
        <w:keepNext w:val="0"/>
        <w:keepLines w:val="0"/>
        <w:pageBreakBefore w:val="0"/>
        <w:widowControl w:val="0"/>
        <w:shd w:val="clear" w:color="auto" w:fill="auto"/>
        <w:kinsoku/>
        <w:wordWrap/>
        <w:overflowPunct/>
        <w:topLinePunct w:val="0"/>
        <w:bidi w:val="0"/>
        <w:snapToGrid/>
        <w:spacing w:before="163" w:beforeLines="50" w:line="360" w:lineRule="auto"/>
        <w:textAlignment w:val="auto"/>
        <w:outlineLvl w:val="3"/>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25. 其他</w:t>
      </w:r>
      <w:bookmarkEnd w:id="708"/>
      <w:bookmarkEnd w:id="709"/>
      <w:bookmarkEnd w:id="710"/>
    </w:p>
    <w:p w14:paraId="5A2901F4">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711" w:name="_Toc247192663"/>
      <w:bookmarkStart w:id="712" w:name="_Toc31660624"/>
      <w:r>
        <w:rPr>
          <w:rFonts w:hint="eastAsia" w:ascii="黑体" w:hAnsi="黑体" w:eastAsia="黑体" w:cs="黑体"/>
          <w:b/>
          <w:color w:val="auto"/>
          <w:sz w:val="24"/>
          <w:highlight w:val="none"/>
        </w:rPr>
        <w:t xml:space="preserve">25.1  </w:t>
      </w:r>
      <w:bookmarkEnd w:id="711"/>
      <w:r>
        <w:rPr>
          <w:rFonts w:hint="eastAsia" w:ascii="黑体" w:hAnsi="黑体" w:eastAsia="黑体" w:cs="黑体"/>
          <w:b/>
          <w:color w:val="auto"/>
          <w:sz w:val="24"/>
          <w:highlight w:val="none"/>
        </w:rPr>
        <w:t>相关税费</w:t>
      </w:r>
      <w:bookmarkEnd w:id="712"/>
    </w:p>
    <w:p w14:paraId="7473635B">
      <w:pPr>
        <w:keepNext w:val="0"/>
        <w:keepLines w:val="0"/>
        <w:pageBreakBefore w:val="0"/>
        <w:widowControl w:val="0"/>
        <w:shd w:val="clear" w:color="auto" w:fill="auto"/>
        <w:kinsoku/>
        <w:wordWrap/>
        <w:overflowPunct/>
        <w:topLinePunct w:val="0"/>
        <w:bidi w:val="0"/>
        <w:snapToGrid/>
        <w:spacing w:line="360" w:lineRule="auto"/>
        <w:ind w:firstLine="470" w:firstLineChars="196"/>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按国家规定的一般计税方法计算。</w:t>
      </w:r>
    </w:p>
    <w:p w14:paraId="59DC20D8">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713" w:name="_Toc247192664"/>
      <w:bookmarkStart w:id="714" w:name="_Toc31660625"/>
      <w:r>
        <w:rPr>
          <w:rFonts w:hint="eastAsia" w:ascii="黑体" w:hAnsi="黑体" w:eastAsia="黑体" w:cs="黑体"/>
          <w:b/>
          <w:color w:val="auto"/>
          <w:sz w:val="24"/>
          <w:highlight w:val="none"/>
        </w:rPr>
        <w:t>25.2  分阶段施工计划的调整</w:t>
      </w:r>
      <w:bookmarkEnd w:id="713"/>
      <w:bookmarkEnd w:id="714"/>
    </w:p>
    <w:p w14:paraId="0F1013B8">
      <w:pPr>
        <w:spacing w:line="360" w:lineRule="auto"/>
        <w:ind w:firstLine="480" w:firstLineChars="200"/>
        <w:rPr>
          <w:rFonts w:hint="eastAsia" w:ascii="黑体" w:hAnsi="黑体" w:eastAsia="黑体" w:cs="黑体"/>
          <w:color w:val="auto"/>
          <w:sz w:val="24"/>
          <w:highlight w:val="none"/>
        </w:rPr>
      </w:pPr>
      <w:bookmarkStart w:id="715" w:name="_Toc247192665"/>
      <w:bookmarkStart w:id="716" w:name="_Toc31660626"/>
      <w:r>
        <w:rPr>
          <w:rFonts w:hint="eastAsia" w:ascii="黑体" w:hAnsi="黑体" w:eastAsia="黑体" w:cs="黑体"/>
          <w:color w:val="auto"/>
          <w:sz w:val="24"/>
          <w:highlight w:val="none"/>
        </w:rPr>
        <w:t>在合同总工期不变的前提下，发包人根据工程实际情况或认为有必要的任何其他理由而对工程分阶段工期所进行的调整，承包人应无条件地服从，由此而可能引起工程费用投入的变化将不另考虑。</w:t>
      </w:r>
    </w:p>
    <w:p w14:paraId="3C0DDF0A">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r>
        <w:rPr>
          <w:rFonts w:hint="eastAsia" w:ascii="黑体" w:hAnsi="黑体" w:eastAsia="黑体" w:cs="黑体"/>
          <w:b/>
          <w:color w:val="auto"/>
          <w:sz w:val="24"/>
          <w:highlight w:val="none"/>
        </w:rPr>
        <w:t>25.3  现场作业和施工方法</w:t>
      </w:r>
      <w:bookmarkEnd w:id="715"/>
      <w:bookmarkEnd w:id="716"/>
    </w:p>
    <w:p w14:paraId="4533E25B">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25.3.1凡是本标段内与已建公路、通讯缆线、供水、输油、输气管道、军用设施、居民住宅区、文物古迹等有交叉、干扰的地段，承包人应在不干扰公路正常运营以及注意保护地下管线、不干扰附近居民正常生活、不破坏文物古迹等的前提下合理安排施工组织计划，采取有效措施保证施工安全，在现场设置施工和安全标志，并在必要时疏导现有交通流。承包人应将跨公路的行车干扰费、安全费等一切协调费综合考虑到投标报价中，发包人不另行支付。如因承包人采取的措施不力，影响公路、通讯缆线、供水、输油、输气管道等正常安全运营、居民的正常生活而给其他部门或个人造成的一切损失，或由上述原因造成本工程工期的拖延或施工费用的增加，均由承包人自行负责，发包人不负任何责任。</w:t>
      </w:r>
    </w:p>
    <w:p w14:paraId="109695DD">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25.3.2 凡是工程项目内与其他在建工程有互扰的地段，承包人应做好与其他施工单位的协调工作；凡是工程项目内地形复杂、场地狭窄的地段，承包人应按照施工要求制定完善的施工组织计划，确保施工的安全和质量。承包人应对上述所有工作负责，发包人将根据承包人的要求给予适当协助。</w:t>
      </w:r>
    </w:p>
    <w:p w14:paraId="038E86B2">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25.3.3 施工过程采取保通措施、交通安全保护措施以及环保措施和文明施工措施作为承包人应有责任和义务，其费用已包含在承包人工程量清单的相关报价中。若承包人所采取的措施不能满足工程保通、交通安全和环境保护的需要，发包人有权指令其进一步采取补救或纠正措施，承包人应承担由于其措施不当所造成的一切后果及费用。</w:t>
      </w:r>
    </w:p>
    <w:p w14:paraId="17BE0885">
      <w:pPr>
        <w:spacing w:line="336"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25.3.4 投标人中标后应加强工程施工现场管理，确保安全生产和文明施工。应按照招标文件规定和监理人的指示做好驻地建设，达到实用、卫生、消防、环保、美观的标准。承包人驻地建设的有关费用以总额的形式列入投标报价的相应子目中。</w:t>
      </w:r>
    </w:p>
    <w:p w14:paraId="1FB0173B">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25.3.5 整个施工过程中，承包人必须确保施工便道满足本标段及相邻标段的施工需要，确保本标段及相邻标段外购材料、设备调遣等机械设备的畅通无阻，否则发包人或监理工程师有权予以处罚。</w:t>
      </w:r>
    </w:p>
    <w:p w14:paraId="6ABA2B89">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717" w:name="_Toc247192667"/>
      <w:bookmarkStart w:id="718" w:name="_Toc31660627"/>
      <w:r>
        <w:rPr>
          <w:rFonts w:hint="eastAsia" w:ascii="黑体" w:hAnsi="黑体" w:eastAsia="黑体" w:cs="黑体"/>
          <w:b/>
          <w:color w:val="auto"/>
          <w:sz w:val="24"/>
          <w:highlight w:val="none"/>
        </w:rPr>
        <w:t>25.4  与其他承包人的配合</w:t>
      </w:r>
      <w:bookmarkEnd w:id="717"/>
      <w:bookmarkEnd w:id="718"/>
    </w:p>
    <w:p w14:paraId="45726508">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承包人应妥善处理好与其他工程承包人的关系，发生交叉施工时，应相互配合，友好协作，并无条件服从发包人统一协调，相关费用均含在报价中。</w:t>
      </w:r>
    </w:p>
    <w:p w14:paraId="6FFE92DF">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719" w:name="_Toc247192668"/>
      <w:bookmarkStart w:id="720" w:name="_Toc31660628"/>
      <w:r>
        <w:rPr>
          <w:rFonts w:hint="eastAsia" w:ascii="黑体" w:hAnsi="黑体" w:eastAsia="黑体" w:cs="黑体"/>
          <w:b/>
          <w:color w:val="auto"/>
          <w:sz w:val="24"/>
          <w:highlight w:val="none"/>
        </w:rPr>
        <w:t>25.5  试验配合</w:t>
      </w:r>
      <w:bookmarkEnd w:id="719"/>
      <w:bookmarkEnd w:id="720"/>
    </w:p>
    <w:p w14:paraId="4B4957FD">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bookmarkStart w:id="721" w:name="_Toc247192669"/>
      <w:r>
        <w:rPr>
          <w:rFonts w:hint="eastAsia" w:ascii="黑体" w:hAnsi="黑体" w:eastAsia="黑体" w:cs="黑体"/>
          <w:color w:val="auto"/>
          <w:sz w:val="24"/>
          <w:highlight w:val="none"/>
        </w:rPr>
        <w:t>在合同实施期间，发包人有权免费使用承包人的试验室，承包人应积极配合不得拒绝，并承担相应费用，也不得对因此可能发生的人工、机械闲置损失向发包人提出补偿要求；否则，视为承包人违约，发包人有权对承包人进行处罚。</w:t>
      </w:r>
    </w:p>
    <w:p w14:paraId="1CFA0548">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722" w:name="_Toc31660629"/>
      <w:r>
        <w:rPr>
          <w:rFonts w:hint="eastAsia" w:ascii="黑体" w:hAnsi="黑体" w:eastAsia="黑体" w:cs="黑体"/>
          <w:b/>
          <w:color w:val="auto"/>
          <w:sz w:val="24"/>
          <w:highlight w:val="none"/>
        </w:rPr>
        <w:t>25.6  办公设施</w:t>
      </w:r>
      <w:bookmarkEnd w:id="721"/>
      <w:bookmarkEnd w:id="722"/>
    </w:p>
    <w:p w14:paraId="77B0683E">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为保证工程资料质量，提高工作效率，实现发包人精细化管理目标，使发包人、监理人、承包人各方信息实时共享和交流，承包人应配备性能良好的办公、通讯和网络设备等，并采用经发包人同意、使之完全兼容的项目管理软件。</w:t>
      </w:r>
    </w:p>
    <w:p w14:paraId="5585CB82">
      <w:pPr>
        <w:keepNext w:val="0"/>
        <w:keepLines w:val="0"/>
        <w:pageBreakBefore w:val="0"/>
        <w:widowControl w:val="0"/>
        <w:shd w:val="clear" w:color="auto" w:fill="auto"/>
        <w:kinsoku/>
        <w:wordWrap/>
        <w:overflowPunct/>
        <w:topLinePunct w:val="0"/>
        <w:bidi w:val="0"/>
        <w:snapToGrid/>
        <w:spacing w:line="360" w:lineRule="auto"/>
        <w:textAlignment w:val="auto"/>
        <w:outlineLvl w:val="4"/>
        <w:rPr>
          <w:rFonts w:hint="eastAsia" w:ascii="黑体" w:hAnsi="黑体" w:eastAsia="黑体" w:cs="黑体"/>
          <w:b/>
          <w:color w:val="auto"/>
          <w:sz w:val="24"/>
          <w:highlight w:val="none"/>
        </w:rPr>
      </w:pPr>
      <w:bookmarkStart w:id="723" w:name="_Toc31660630"/>
      <w:r>
        <w:rPr>
          <w:rFonts w:hint="eastAsia" w:ascii="黑体" w:hAnsi="黑体" w:eastAsia="黑体" w:cs="黑体"/>
          <w:b/>
          <w:color w:val="auto"/>
          <w:sz w:val="24"/>
          <w:highlight w:val="none"/>
        </w:rPr>
        <w:t>25.7  未能明确的规定</w:t>
      </w:r>
      <w:bookmarkEnd w:id="723"/>
    </w:p>
    <w:p w14:paraId="72C8356A">
      <w:pPr>
        <w:keepNext w:val="0"/>
        <w:keepLines w:val="0"/>
        <w:pageBreakBefore w:val="0"/>
        <w:widowControl w:val="0"/>
        <w:shd w:val="clear" w:color="auto" w:fill="auto"/>
        <w:kinsoku/>
        <w:wordWrap/>
        <w:overflowPunct/>
        <w:topLinePunct w:val="0"/>
        <w:bidi w:val="0"/>
        <w:snapToGrid/>
        <w:spacing w:line="360" w:lineRule="auto"/>
        <w:ind w:firstLine="480" w:firstLineChars="20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本合同未能明确的有关规定，如质量管理、计划管理、计量与支付管理、变更管理、材料管理、廉政建设、消防安全、驻地建设、水资源管理等，按发包人转发或下发的项目管理办法、制度的相关规定执行。</w:t>
      </w:r>
    </w:p>
    <w:p w14:paraId="1B395B84">
      <w:pPr>
        <w:shd w:val="clear" w:color="auto" w:fill="auto"/>
        <w:spacing w:line="380" w:lineRule="atLeast"/>
        <w:rPr>
          <w:rFonts w:eastAsia="黑体"/>
          <w:color w:val="auto"/>
          <w:sz w:val="20"/>
          <w:szCs w:val="20"/>
          <w:highlight w:val="none"/>
        </w:rPr>
      </w:pPr>
      <w:r>
        <w:rPr>
          <w:rFonts w:eastAsia="黑体"/>
          <w:color w:val="auto"/>
          <w:sz w:val="24"/>
          <w:highlight w:val="none"/>
        </w:rPr>
        <w:br w:type="page"/>
      </w:r>
    </w:p>
    <w:p w14:paraId="1A1F9106">
      <w:pPr>
        <w:pStyle w:val="3"/>
        <w:bidi w:val="0"/>
        <w:rPr>
          <w:rFonts w:eastAsia="黑体"/>
          <w:b w:val="0"/>
          <w:color w:val="auto"/>
          <w:szCs w:val="42"/>
          <w:highlight w:val="none"/>
        </w:rPr>
      </w:pPr>
      <w:bookmarkStart w:id="724" w:name="_Toc501257457"/>
      <w:bookmarkStart w:id="725" w:name="_Toc21998"/>
      <w:bookmarkStart w:id="726" w:name="_Toc234833230"/>
      <w:r>
        <w:rPr>
          <w:highlight w:val="none"/>
        </w:rPr>
        <w:t>第三节  合同附件格式</w:t>
      </w:r>
      <w:bookmarkEnd w:id="724"/>
      <w:bookmarkEnd w:id="725"/>
      <w:bookmarkEnd w:id="726"/>
    </w:p>
    <w:p w14:paraId="43F12F8B">
      <w:pPr>
        <w:shd w:val="clear" w:color="auto" w:fill="auto"/>
        <w:spacing w:line="440" w:lineRule="exact"/>
        <w:rPr>
          <w:rFonts w:hint="eastAsia" w:ascii="黑体" w:hAnsi="黑体" w:eastAsia="黑体" w:cs="黑体"/>
          <w:b/>
          <w:bCs/>
          <w:color w:val="auto"/>
          <w:sz w:val="24"/>
          <w:szCs w:val="24"/>
          <w:highlight w:val="none"/>
        </w:rPr>
      </w:pPr>
      <w:r>
        <w:rPr>
          <w:rFonts w:eastAsia="黑体"/>
          <w:b/>
          <w:bCs/>
          <w:color w:val="auto"/>
          <w:sz w:val="20"/>
          <w:szCs w:val="20"/>
          <w:highlight w:val="none"/>
        </w:rPr>
        <w:t xml:space="preserve"> </w:t>
      </w:r>
      <w:bookmarkStart w:id="727" w:name="_Toc501257458"/>
      <w:bookmarkStart w:id="728" w:name="_Toc234833231"/>
      <w:r>
        <w:rPr>
          <w:rFonts w:hint="eastAsia" w:ascii="黑体" w:hAnsi="黑体" w:eastAsia="黑体" w:cs="黑体"/>
          <w:b/>
          <w:bCs/>
          <w:color w:val="auto"/>
          <w:sz w:val="24"/>
          <w:szCs w:val="24"/>
          <w:highlight w:val="none"/>
        </w:rPr>
        <w:t>附件一</w:t>
      </w:r>
      <w:r>
        <w:rPr>
          <w:rFonts w:hint="eastAsia" w:ascii="黑体" w:hAnsi="黑体" w:eastAsia="黑体" w:cs="黑体"/>
          <w:b/>
          <w:bCs/>
          <w:color w:val="auto"/>
          <w:sz w:val="24"/>
          <w:szCs w:val="24"/>
          <w:highlight w:val="none"/>
          <w:lang w:eastAsia="zh-CN"/>
        </w:rPr>
        <w:t xml:space="preserve"> </w:t>
      </w:r>
      <w:r>
        <w:rPr>
          <w:rFonts w:hint="eastAsia" w:ascii="黑体" w:hAnsi="黑体" w:eastAsia="黑体" w:cs="黑体"/>
          <w:b/>
          <w:bCs/>
          <w:color w:val="auto"/>
          <w:sz w:val="24"/>
          <w:szCs w:val="24"/>
          <w:highlight w:val="none"/>
        </w:rPr>
        <w:t>合同协议书</w:t>
      </w:r>
      <w:bookmarkEnd w:id="727"/>
      <w:bookmarkEnd w:id="728"/>
    </w:p>
    <w:p w14:paraId="7DF0BDC7">
      <w:pPr>
        <w:shd w:val="clear" w:color="auto" w:fill="auto"/>
        <w:spacing w:line="440" w:lineRule="exact"/>
        <w:jc w:val="center"/>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合 同 协 议 书</w:t>
      </w:r>
    </w:p>
    <w:p w14:paraId="04077B92">
      <w:pPr>
        <w:shd w:val="clear" w:color="auto" w:fill="auto"/>
        <w:spacing w:line="440" w:lineRule="exact"/>
        <w:ind w:firstLine="482" w:firstLineChars="200"/>
        <w:rPr>
          <w:rFonts w:hint="eastAsia" w:ascii="黑体" w:hAnsi="黑体" w:eastAsia="黑体" w:cs="黑体"/>
          <w:b/>
          <w:bCs/>
          <w:color w:val="auto"/>
          <w:sz w:val="24"/>
          <w:highlight w:val="none"/>
          <w:u w:val="single"/>
        </w:rPr>
      </w:pPr>
    </w:p>
    <w:p w14:paraId="2BC3B656">
      <w:pPr>
        <w:shd w:val="clear" w:color="auto" w:fill="auto"/>
        <w:spacing w:line="440" w:lineRule="exac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（发包人名称，以下简称“发包人”）为实施</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（项目名称），已接受</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（承包人名称，以下简称“承包人”）对该项目</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标段施工的投标。发包人和承包人共同达成如下协议。</w:t>
      </w:r>
    </w:p>
    <w:p w14:paraId="325FFE8A">
      <w:pPr>
        <w:shd w:val="clear" w:color="auto" w:fill="auto"/>
        <w:spacing w:line="440" w:lineRule="exac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1. 第</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标段由K</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至K</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，长约</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km，公路等级为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，设计速度为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路面，有</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立交</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处；特大桥</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座，计长</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m；大中桥</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座，计长</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m；隧道</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座，计长</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m以及其他构造物工程等。</w:t>
      </w:r>
    </w:p>
    <w:p w14:paraId="5B291039">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2. 下列文件应视为构成合同文件的组成部分：</w:t>
      </w:r>
    </w:p>
    <w:p w14:paraId="0F5138F2">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（1）本协议书及各种合同附件（含评标期间和合同谈判过程中的澄清文件和补充资料）；</w:t>
      </w:r>
    </w:p>
    <w:p w14:paraId="2D26B616">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（2）中标通知书；</w:t>
      </w:r>
    </w:p>
    <w:p w14:paraId="61390CC1">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（3）投标函及投标函附录；</w:t>
      </w:r>
    </w:p>
    <w:p w14:paraId="70E5A6B3">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（4）项目专用合同条款；</w:t>
      </w:r>
    </w:p>
    <w:p w14:paraId="47A32C9E">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（5）公路工程专用合同条款；</w:t>
      </w:r>
    </w:p>
    <w:p w14:paraId="4156CFED">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（6）通用合同条款；</w:t>
      </w:r>
    </w:p>
    <w:p w14:paraId="7B7429D5">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（7）工程量清单计量规则；</w:t>
      </w:r>
    </w:p>
    <w:p w14:paraId="2676028B">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（8）技术规范；</w:t>
      </w:r>
    </w:p>
    <w:p w14:paraId="77C992C1">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（9）图纸；</w:t>
      </w:r>
    </w:p>
    <w:p w14:paraId="12A93ECD">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（10）已标价工程量清单；</w:t>
      </w:r>
    </w:p>
    <w:p w14:paraId="652F7727">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（11）承包人有关人员、设备投入的承诺及投标文件中的施工组织设计；</w:t>
      </w:r>
    </w:p>
    <w:p w14:paraId="5EC7DD36">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（12）其他合同文件。</w:t>
      </w:r>
    </w:p>
    <w:p w14:paraId="01D21A57">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上述合同文件互相补充和解释。如果合同文件之间存在矛盾或不一致之处，以上述文件的排列顺序在先者为准。</w:t>
      </w:r>
    </w:p>
    <w:p w14:paraId="43C6D9FC">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3. 根据工程量清单所列的预计数量和单价或总额价计算的签约合同价：人民币（大写）________元（¥________）。</w:t>
      </w:r>
    </w:p>
    <w:p w14:paraId="44223053">
      <w:pPr>
        <w:shd w:val="clear" w:color="auto" w:fill="auto"/>
        <w:spacing w:line="440" w:lineRule="exact"/>
        <w:ind w:right="34" w:rightChars="16" w:firstLine="616" w:firstLineChars="257"/>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rPr>
        <w:t>4. 承包人项目经理：</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。承包人项目总工：</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w:t>
      </w:r>
    </w:p>
    <w:p w14:paraId="72F8C7DE">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5. 工程质量符合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标准。工程安全目标：</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w:t>
      </w:r>
    </w:p>
    <w:p w14:paraId="6DC8F48F">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6. 承包人承诺按合同约定承担工程的实施、完成及缺陷修复。</w:t>
      </w:r>
    </w:p>
    <w:p w14:paraId="0AFB1F94">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7. 发包人承诺按合同约定的条件、时间和方式向承包人支付合同价款。</w:t>
      </w:r>
    </w:p>
    <w:p w14:paraId="75E6AD29">
      <w:pPr>
        <w:shd w:val="clear" w:color="auto" w:fill="auto"/>
        <w:spacing w:line="440" w:lineRule="exact"/>
        <w:ind w:right="34" w:rightChars="16"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8. 承包人应按照监理人指示开工，工期为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日历天。</w:t>
      </w:r>
    </w:p>
    <w:p w14:paraId="1A95A06E">
      <w:pPr>
        <w:shd w:val="clear" w:color="auto" w:fill="auto"/>
        <w:spacing w:line="440" w:lineRule="exac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9. 本协议书在承包人提供履约保证金后，由双方法定代表人或其委托代理人签署并加盖单位章后生效。全部工程完工后经交工验收合格、缺陷责任期满签发缺陷责任终止证书后失效。</w:t>
      </w:r>
    </w:p>
    <w:p w14:paraId="2BAD1118">
      <w:pPr>
        <w:shd w:val="clear" w:color="auto" w:fill="auto"/>
        <w:spacing w:line="440" w:lineRule="exac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10. 本协议书正本二份、副本____份，合同双方各执正本一份，副本____份，当正本与副本的内容不一致时，以正本为准。</w:t>
      </w:r>
    </w:p>
    <w:p w14:paraId="33B66ECB">
      <w:pPr>
        <w:shd w:val="clear" w:color="auto" w:fill="auto"/>
        <w:spacing w:line="440" w:lineRule="exac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11. 合同未尽事宜，双方另行签订补充协议。补充协议是合同的组成部分。</w:t>
      </w:r>
    </w:p>
    <w:p w14:paraId="6199A1BD">
      <w:pPr>
        <w:shd w:val="clear" w:color="auto" w:fill="auto"/>
        <w:spacing w:line="440" w:lineRule="exact"/>
        <w:rPr>
          <w:rFonts w:hint="eastAsia" w:ascii="黑体" w:hAnsi="黑体" w:eastAsia="黑体" w:cs="黑体"/>
          <w:color w:val="auto"/>
          <w:sz w:val="24"/>
          <w:highlight w:val="none"/>
        </w:rPr>
      </w:pPr>
    </w:p>
    <w:p w14:paraId="53E75A8D">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发包人：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（盖单位章）     承包人：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（盖单位章）</w:t>
      </w:r>
    </w:p>
    <w:p w14:paraId="2EE9EA5E">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法定代表人或其委托代理人：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（签字）  法定代表人或其委托代理人：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（签字）</w:t>
      </w:r>
    </w:p>
    <w:p w14:paraId="5CA41155">
      <w:pPr>
        <w:shd w:val="clear" w:color="auto" w:fill="auto"/>
        <w:spacing w:line="440" w:lineRule="exact"/>
        <w:ind w:firstLine="840" w:firstLineChars="350"/>
        <w:rPr>
          <w:rFonts w:hint="eastAsia"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日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p>
    <w:p w14:paraId="7BB4F002">
      <w:pPr>
        <w:shd w:val="clear" w:color="auto" w:fill="auto"/>
        <w:spacing w:line="440" w:lineRule="exact"/>
        <w:rPr>
          <w:color w:val="auto"/>
          <w:sz w:val="24"/>
          <w:highlight w:val="none"/>
        </w:rPr>
      </w:pPr>
    </w:p>
    <w:p w14:paraId="1B7D342F">
      <w:pPr>
        <w:pStyle w:val="2"/>
        <w:shd w:val="clear" w:color="auto" w:fill="auto"/>
        <w:spacing w:before="0" w:after="0" w:line="380" w:lineRule="atLeast"/>
        <w:rPr>
          <w:rFonts w:eastAsia="黑体"/>
          <w:color w:val="auto"/>
          <w:sz w:val="24"/>
          <w:highlight w:val="none"/>
        </w:rPr>
      </w:pPr>
    </w:p>
    <w:p w14:paraId="1607CD3A">
      <w:pPr>
        <w:spacing w:line="360" w:lineRule="auto"/>
        <w:ind w:firstLine="480" w:firstLineChars="200"/>
        <w:rPr>
          <w:rFonts w:hint="eastAsia" w:ascii="黑体" w:hAnsi="黑体" w:eastAsia="黑体" w:cs="黑体"/>
          <w:color w:val="auto"/>
          <w:sz w:val="24"/>
          <w:highlight w:val="none"/>
        </w:rPr>
      </w:pPr>
    </w:p>
    <w:p w14:paraId="4CB57423">
      <w:pPr>
        <w:spacing w:line="360" w:lineRule="auto"/>
        <w:ind w:firstLine="480" w:firstLineChars="200"/>
        <w:rPr>
          <w:rFonts w:hint="eastAsia" w:ascii="黑体" w:hAnsi="黑体" w:eastAsia="黑体" w:cs="黑体"/>
          <w:color w:val="auto"/>
          <w:sz w:val="24"/>
          <w:highlight w:val="none"/>
        </w:rPr>
      </w:pPr>
    </w:p>
    <w:p w14:paraId="5FCBCD41">
      <w:pPr>
        <w:spacing w:line="360" w:lineRule="auto"/>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合同签订地点：</w:t>
      </w:r>
      <w:r>
        <w:rPr>
          <w:rFonts w:hint="eastAsia" w:ascii="黑体" w:hAnsi="黑体" w:eastAsia="黑体" w:cs="黑体"/>
          <w:b/>
          <w:color w:val="auto"/>
          <w:sz w:val="24"/>
          <w:highlight w:val="none"/>
          <w:u w:val="single"/>
        </w:rPr>
        <w:t xml:space="preserve">                      </w:t>
      </w:r>
    </w:p>
    <w:p w14:paraId="3DAF4D48">
      <w:pPr>
        <w:pStyle w:val="2"/>
        <w:shd w:val="clear" w:color="auto" w:fill="auto"/>
        <w:spacing w:before="0" w:after="0" w:line="380" w:lineRule="atLeast"/>
        <w:jc w:val="both"/>
        <w:rPr>
          <w:rFonts w:hint="eastAsia" w:ascii="黑体" w:hAnsi="黑体" w:eastAsia="黑体" w:cs="黑体"/>
          <w:b/>
          <w:bCs w:val="0"/>
          <w:color w:val="auto"/>
          <w:sz w:val="24"/>
          <w:szCs w:val="24"/>
          <w:highlight w:val="none"/>
        </w:rPr>
      </w:pPr>
      <w:r>
        <w:rPr>
          <w:rFonts w:eastAsia="黑体"/>
          <w:color w:val="auto"/>
          <w:sz w:val="24"/>
          <w:highlight w:val="none"/>
        </w:rPr>
        <w:br w:type="page"/>
      </w:r>
      <w:bookmarkStart w:id="729" w:name="_Toc501257459"/>
      <w:bookmarkStart w:id="730" w:name="_Toc4293"/>
      <w:bookmarkStart w:id="731" w:name="_Toc234833232"/>
      <w:r>
        <w:rPr>
          <w:rFonts w:hint="eastAsia" w:ascii="黑体" w:hAnsi="黑体" w:eastAsia="黑体" w:cs="黑体"/>
          <w:b/>
          <w:bCs w:val="0"/>
          <w:color w:val="auto"/>
          <w:sz w:val="24"/>
          <w:szCs w:val="24"/>
          <w:highlight w:val="none"/>
        </w:rPr>
        <w:t>附件二</w:t>
      </w:r>
      <w:r>
        <w:rPr>
          <w:rFonts w:hint="eastAsia" w:ascii="黑体" w:hAnsi="黑体" w:eastAsia="黑体" w:cs="黑体"/>
          <w:b/>
          <w:bCs w:val="0"/>
          <w:color w:val="auto"/>
          <w:sz w:val="24"/>
          <w:szCs w:val="24"/>
          <w:highlight w:val="none"/>
          <w:lang w:eastAsia="zh-CN"/>
        </w:rPr>
        <w:t xml:space="preserve"> </w:t>
      </w:r>
      <w:r>
        <w:rPr>
          <w:rFonts w:hint="eastAsia" w:ascii="黑体" w:hAnsi="黑体" w:eastAsia="黑体" w:cs="黑体"/>
          <w:b/>
          <w:bCs w:val="0"/>
          <w:color w:val="auto"/>
          <w:sz w:val="24"/>
          <w:szCs w:val="24"/>
          <w:highlight w:val="none"/>
        </w:rPr>
        <w:t>廉政合同</w:t>
      </w:r>
      <w:bookmarkEnd w:id="729"/>
      <w:bookmarkEnd w:id="730"/>
      <w:bookmarkEnd w:id="731"/>
    </w:p>
    <w:p w14:paraId="3A9E8A83">
      <w:pPr>
        <w:shd w:val="clear" w:color="auto" w:fill="auto"/>
        <w:spacing w:line="440" w:lineRule="exact"/>
        <w:jc w:val="center"/>
        <w:rPr>
          <w:rFonts w:hint="eastAsia" w:ascii="黑体" w:hAnsi="黑体" w:eastAsia="黑体" w:cs="黑体"/>
          <w:b/>
          <w:bCs w:val="0"/>
          <w:color w:val="auto"/>
          <w:sz w:val="28"/>
          <w:szCs w:val="28"/>
          <w:highlight w:val="none"/>
        </w:rPr>
      </w:pPr>
      <w:r>
        <w:rPr>
          <w:rFonts w:hint="eastAsia" w:ascii="黑体" w:hAnsi="黑体" w:eastAsia="黑体" w:cs="黑体"/>
          <w:b/>
          <w:bCs w:val="0"/>
          <w:color w:val="auto"/>
          <w:sz w:val="28"/>
          <w:szCs w:val="28"/>
          <w:highlight w:val="none"/>
        </w:rPr>
        <w:t>廉 政 合 同</w:t>
      </w:r>
    </w:p>
    <w:p w14:paraId="31C0C3CA">
      <w:pPr>
        <w:shd w:val="clear" w:color="auto" w:fill="auto"/>
        <w:spacing w:line="400" w:lineRule="atLeast"/>
        <w:rPr>
          <w:rFonts w:hint="eastAsia" w:ascii="黑体" w:hAnsi="黑体" w:eastAsia="黑体" w:cs="黑体"/>
          <w:b/>
          <w:color w:val="auto"/>
          <w:spacing w:val="30"/>
          <w:sz w:val="24"/>
          <w:highlight w:val="none"/>
        </w:rPr>
      </w:pPr>
    </w:p>
    <w:p w14:paraId="39CF1322">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（项目名称）的项目法人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（项目法人名称，以下简称“发包人”）与该项目</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标段的施工单位</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（施工单位名称，以下简称“承包人”），特订立如下合同。</w:t>
      </w:r>
    </w:p>
    <w:p w14:paraId="395A31DC">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1. 发包人和承包人双方的权利和义务</w:t>
      </w:r>
    </w:p>
    <w:p w14:paraId="7AB9B6DA">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（1）严格遵守党的政策规定和国家有关法律法规及交通运输部的有关规定。</w:t>
      </w:r>
    </w:p>
    <w:p w14:paraId="3BD817B7">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（2）严格执行</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标段施工合同文件，自觉按合同办事。</w:t>
      </w:r>
    </w:p>
    <w:p w14:paraId="2D4EA6A9">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（3）双方的业务活动坚持公开、公正、诚信、透明的原则（法律认定的商业秘密和合同文件另有规定除外），不得损害国家和集体利益，不得违反工程建设管理规章制度。</w:t>
      </w:r>
    </w:p>
    <w:p w14:paraId="02EDFB28">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（4）建立健全廉政制度，开展廉政教育，设立廉政告示牌，公布举报电话，监督并认真查处违法违纪行为。</w:t>
      </w:r>
    </w:p>
    <w:p w14:paraId="614100DA">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（5）发现对方在业务活动中有违反廉政规定的行为，有及时提醒对方纠正的权利和义务。</w:t>
      </w:r>
    </w:p>
    <w:p w14:paraId="30A8EC55">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（6）发现对方严重违反本合同义务条款的行为，有向其上级有关部门举报、建议给予处理并要求告知处理结果的权利。</w:t>
      </w:r>
    </w:p>
    <w:p w14:paraId="3EBADEF1">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2. 发包人的义务</w:t>
      </w:r>
    </w:p>
    <w:p w14:paraId="0F4CA67E">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（1）发包人及其工作人员不得索要或接受承包人的礼金、有价证券和贵重物品，不得让承包人报销任何应由发包人或发包人工作人员个人支付的费用等。</w:t>
      </w:r>
    </w:p>
    <w:p w14:paraId="0C70DDE4">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（2）发包人工作人员不得参加承包人安排的超标准宴请和娱乐活动；不得接受承包人提供的通信工具、交通工具和高档办公用品等。</w:t>
      </w:r>
    </w:p>
    <w:p w14:paraId="5F079C04">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（3）发包人及其工作人员不得要求或者接受承包人为其住房装修、婚丧嫁娶活动、配偶子女的工作安排以及出国出境、旅游等提供方便等。</w:t>
      </w:r>
    </w:p>
    <w:p w14:paraId="60069CED">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（4）发包人工作人员及其配偶、子女不得从事与发包人工程有关的材料设备供应、工程分包、劳务等经济活动等。</w:t>
      </w:r>
    </w:p>
    <w:p w14:paraId="1E3BEF62">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（5）发包人及其工作人员不得以任何理由向承包人推荐分包单位或推销材料，不得要求承包人购买合同规定外的材料和设备。</w:t>
      </w:r>
    </w:p>
    <w:p w14:paraId="141B5FE7">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（6）发包人工作人员要秉公办事，不准营私舞弊，不准利用职权从事各种个人有偿中介活动和安排个人施工队伍。</w:t>
      </w:r>
    </w:p>
    <w:p w14:paraId="306F419C">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3. 承包人的义务</w:t>
      </w:r>
    </w:p>
    <w:p w14:paraId="37D3D935">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（1）承包人不得以任何理由向发包人及其工作人员行贿或馈赠礼金、有价证券、贵重礼品。</w:t>
      </w:r>
    </w:p>
    <w:p w14:paraId="1D9AFCDF">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（2）承包人不得以任何名义为发包人及其工作人员报销应由发包人单位或个人支付的任何费用。</w:t>
      </w:r>
    </w:p>
    <w:p w14:paraId="0CB8895C">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（3）承包人不得以任何理由安排发包人工作人员参加超标准宴请及娱乐活动。</w:t>
      </w:r>
    </w:p>
    <w:p w14:paraId="799A21FA">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（4）承包人不得为发包人单位和个人购置或提供通信工具、交通工具和高档办公用品等。</w:t>
      </w:r>
    </w:p>
    <w:p w14:paraId="7AC55534">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4. 违约责任</w:t>
      </w:r>
    </w:p>
    <w:p w14:paraId="73165389">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（1）发包人及其工作人员违反本合同第1、2条，按管理权限，依据有关规定给予党纪、政纪或组织处理；涉嫌犯罪的，移交司法机关追究刑事责任；给承包人单位造成经济损失的，应予以赔偿。</w:t>
      </w:r>
    </w:p>
    <w:p w14:paraId="7FF56EC8">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p>
    <w:p w14:paraId="14F9D6A9">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5. 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57BB9833">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6. 本合同有效期为发包人和承包人签署之日起至该工程项目竣工验收后止。</w:t>
      </w:r>
    </w:p>
    <w:p w14:paraId="424BE708">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7. 本合同作为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标段施工合同的附件，与工程施工合同具有同等的法律效力，经合同双方签署后立即生效。</w:t>
      </w:r>
    </w:p>
    <w:p w14:paraId="2415339D">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rPr>
        <w:t>8. 本合同一式四份，由发包人和承包人各执一份，送交发包人和承包人的监督单位各一份。</w:t>
      </w:r>
    </w:p>
    <w:p w14:paraId="77169656">
      <w:pPr>
        <w:shd w:val="clear" w:color="auto" w:fill="auto"/>
        <w:spacing w:line="400" w:lineRule="atLeast"/>
        <w:rPr>
          <w:rFonts w:hint="eastAsia" w:ascii="黑体" w:hAnsi="黑体" w:eastAsia="黑体" w:cs="黑体"/>
          <w:color w:val="auto"/>
          <w:sz w:val="24"/>
          <w:highlight w:val="none"/>
        </w:rPr>
      </w:pPr>
    </w:p>
    <w:p w14:paraId="0EB21BBD">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发包人：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（盖单位章）     承包人：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（盖单位章）</w:t>
      </w:r>
    </w:p>
    <w:p w14:paraId="2BEAC391">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法定代表人或其委托代理人：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（签字）  法定代表人或其委托代理人：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（签字）</w:t>
      </w:r>
    </w:p>
    <w:p w14:paraId="1FF9416E">
      <w:pPr>
        <w:shd w:val="clear" w:color="auto" w:fill="auto"/>
        <w:spacing w:line="440" w:lineRule="exact"/>
        <w:ind w:firstLine="840" w:firstLineChars="350"/>
        <w:rPr>
          <w:rFonts w:hint="eastAsia"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日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p>
    <w:p w14:paraId="59D36DF8">
      <w:pPr>
        <w:shd w:val="clear" w:color="auto" w:fill="auto"/>
        <w:spacing w:line="440" w:lineRule="exact"/>
        <w:ind w:firstLine="360" w:firstLineChars="150"/>
        <w:rPr>
          <w:rFonts w:hint="eastAsia" w:ascii="黑体" w:hAnsi="黑体" w:eastAsia="黑体" w:cs="黑体"/>
          <w:color w:val="auto"/>
          <w:sz w:val="24"/>
          <w:highlight w:val="none"/>
        </w:rPr>
      </w:pPr>
    </w:p>
    <w:p w14:paraId="554FB36C">
      <w:pPr>
        <w:shd w:val="clear" w:color="auto" w:fill="auto"/>
        <w:spacing w:line="400" w:lineRule="atLeast"/>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rPr>
        <w:t>发包人监督单位：</w:t>
      </w:r>
      <w:r>
        <w:rPr>
          <w:rFonts w:hint="eastAsia" w:ascii="黑体" w:hAnsi="黑体" w:eastAsia="黑体" w:cs="黑体"/>
          <w:color w:val="auto"/>
          <w:sz w:val="24"/>
          <w:highlight w:val="none"/>
          <w:u w:val="single"/>
        </w:rPr>
        <w:t>（全称）（盖单位章）</w:t>
      </w:r>
      <w:r>
        <w:rPr>
          <w:rFonts w:hint="eastAsia" w:ascii="黑体" w:hAnsi="黑体" w:eastAsia="黑体" w:cs="黑体"/>
          <w:color w:val="auto"/>
          <w:sz w:val="24"/>
          <w:highlight w:val="none"/>
        </w:rPr>
        <w:t xml:space="preserve">     承包人监督单位：</w:t>
      </w:r>
      <w:r>
        <w:rPr>
          <w:rFonts w:hint="eastAsia" w:ascii="黑体" w:hAnsi="黑体" w:eastAsia="黑体" w:cs="黑体"/>
          <w:color w:val="auto"/>
          <w:sz w:val="24"/>
          <w:highlight w:val="none"/>
          <w:u w:val="single"/>
        </w:rPr>
        <w:t>（全称）（盖单位章）</w:t>
      </w:r>
    </w:p>
    <w:p w14:paraId="435FC314">
      <w:pPr>
        <w:shd w:val="clear" w:color="auto" w:fill="auto"/>
        <w:spacing w:line="400" w:lineRule="atLeast"/>
        <w:rPr>
          <w:rFonts w:hint="eastAsia" w:ascii="黑体" w:hAnsi="黑体" w:eastAsia="黑体" w:cs="黑体"/>
          <w:color w:val="auto"/>
          <w:sz w:val="24"/>
          <w:highlight w:val="none"/>
        </w:rPr>
      </w:pPr>
    </w:p>
    <w:p w14:paraId="66FADC2F">
      <w:pPr>
        <w:pStyle w:val="2"/>
        <w:shd w:val="clear" w:color="auto" w:fill="auto"/>
        <w:spacing w:before="0" w:after="0" w:line="380" w:lineRule="atLeast"/>
        <w:jc w:val="both"/>
        <w:rPr>
          <w:rFonts w:hint="eastAsia" w:ascii="黑体" w:hAnsi="黑体" w:eastAsia="黑体" w:cs="黑体"/>
          <w:b/>
          <w:bCs w:val="0"/>
          <w:color w:val="auto"/>
          <w:sz w:val="24"/>
          <w:szCs w:val="24"/>
          <w:highlight w:val="none"/>
        </w:rPr>
      </w:pPr>
      <w:r>
        <w:rPr>
          <w:color w:val="auto"/>
          <w:sz w:val="24"/>
          <w:highlight w:val="none"/>
        </w:rPr>
        <w:br w:type="page"/>
      </w:r>
      <w:bookmarkStart w:id="732" w:name="_Toc501257460"/>
      <w:bookmarkStart w:id="733" w:name="_Toc234833233"/>
      <w:bookmarkStart w:id="734" w:name="_Toc30507"/>
      <w:r>
        <w:rPr>
          <w:rFonts w:hint="eastAsia" w:ascii="黑体" w:hAnsi="黑体" w:eastAsia="黑体" w:cs="黑体"/>
          <w:b/>
          <w:bCs w:val="0"/>
          <w:color w:val="auto"/>
          <w:sz w:val="24"/>
          <w:szCs w:val="24"/>
          <w:highlight w:val="none"/>
        </w:rPr>
        <w:t>附件三</w:t>
      </w:r>
      <w:r>
        <w:rPr>
          <w:rFonts w:hint="eastAsia" w:ascii="黑体" w:hAnsi="黑体" w:eastAsia="黑体" w:cs="黑体"/>
          <w:b/>
          <w:bCs w:val="0"/>
          <w:color w:val="auto"/>
          <w:sz w:val="24"/>
          <w:szCs w:val="24"/>
          <w:highlight w:val="none"/>
          <w:lang w:eastAsia="zh-CN"/>
        </w:rPr>
        <w:t xml:space="preserve"> </w:t>
      </w:r>
      <w:r>
        <w:rPr>
          <w:rFonts w:hint="eastAsia" w:ascii="黑体" w:hAnsi="黑体" w:eastAsia="黑体" w:cs="黑体"/>
          <w:b/>
          <w:bCs w:val="0"/>
          <w:color w:val="auto"/>
          <w:sz w:val="24"/>
          <w:szCs w:val="24"/>
          <w:highlight w:val="none"/>
        </w:rPr>
        <w:t>安全生产合同</w:t>
      </w:r>
      <w:bookmarkEnd w:id="732"/>
      <w:bookmarkEnd w:id="733"/>
      <w:bookmarkEnd w:id="734"/>
    </w:p>
    <w:p w14:paraId="75F1A9C3">
      <w:pPr>
        <w:shd w:val="clear" w:color="auto" w:fill="auto"/>
        <w:spacing w:line="390" w:lineRule="atLeast"/>
        <w:jc w:val="center"/>
        <w:rPr>
          <w:rFonts w:hint="eastAsia" w:ascii="黑体" w:hAnsi="黑体" w:eastAsia="黑体" w:cs="黑体"/>
          <w:b/>
          <w:bCs w:val="0"/>
          <w:color w:val="auto"/>
          <w:sz w:val="28"/>
          <w:szCs w:val="28"/>
          <w:highlight w:val="none"/>
        </w:rPr>
      </w:pPr>
      <w:r>
        <w:rPr>
          <w:rFonts w:hint="eastAsia" w:ascii="黑体" w:hAnsi="黑体" w:eastAsia="黑体" w:cs="黑体"/>
          <w:b/>
          <w:bCs w:val="0"/>
          <w:color w:val="auto"/>
          <w:sz w:val="28"/>
          <w:szCs w:val="28"/>
          <w:highlight w:val="none"/>
        </w:rPr>
        <w:t>安全生产合同</w:t>
      </w:r>
    </w:p>
    <w:p w14:paraId="259BDCF9">
      <w:pPr>
        <w:shd w:val="clear" w:color="auto" w:fill="auto"/>
        <w:spacing w:line="390" w:lineRule="atLeast"/>
        <w:rPr>
          <w:rFonts w:hint="eastAsia" w:ascii="黑体" w:hAnsi="黑体" w:eastAsia="黑体" w:cs="黑体"/>
          <w:b/>
          <w:color w:val="auto"/>
          <w:sz w:val="24"/>
          <w:highlight w:val="none"/>
        </w:rPr>
      </w:pPr>
    </w:p>
    <w:p w14:paraId="30AD4A6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为在</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标段施工合同的实施过程中创造安全、高效的施工环境，切实搞好本项目的安全管理工作，本项目发包人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（发包人名称，以下简称“发包人”）与承包人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（承包人名称，以下简称“承包人”）特此签订安全生产合同。</w:t>
      </w:r>
    </w:p>
    <w:p w14:paraId="105C422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1.发包人职责</w:t>
      </w:r>
    </w:p>
    <w:p w14:paraId="38E7659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（1）严格遵守国家有关安全生产的法律法规，认真执行工程承包合同中的有关安全要求。</w:t>
      </w:r>
    </w:p>
    <w:p w14:paraId="6EE5444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（2）按照“安全第一、预防为主、综合治理”和坚持“管生产必须管安全”的原则进行安全生产管理，做到生产与安全工作同时计划、布置、检查、总结和评比。</w:t>
      </w:r>
    </w:p>
    <w:p w14:paraId="367DCA2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（3）重要的安全设施必须坚持与主体工程“三同时”的原则，即：同时设计、审批，同时施工，同时验收，投入使用。</w:t>
      </w:r>
    </w:p>
    <w:p w14:paraId="1498EA0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（4）定期召开安全生产调度会，及时传达中央及地方有关安全生产的精神。</w:t>
      </w:r>
    </w:p>
    <w:p w14:paraId="132BCC3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（5）组织对承包人施工现场进行安全生产检查，监督承包人及时处理发现的各种安全隐患。</w:t>
      </w:r>
    </w:p>
    <w:p w14:paraId="7B5432E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2.承包人职责</w:t>
      </w:r>
    </w:p>
    <w:p w14:paraId="4CBE977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p>
    <w:p w14:paraId="252CBE6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5925DE2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0D767AC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（4）承包人在任何时候都应采取各种合理的预防措施，防止其员工发生任何违法、违禁、暴力或妨碍治安的行为。</w:t>
      </w:r>
    </w:p>
    <w:p w14:paraId="30F210F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4922A9D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45D707A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（7）操作人员上岗，必须按规定穿戴防护用品。施工负责人和安全检查员应随时检查劳动防护用品的穿戴情况，不按规定穿戴防护用品的人员不得上岗。</w:t>
      </w:r>
    </w:p>
    <w:p w14:paraId="11E0845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（8）所有施工机具设备和高空作业的设备均应定期检查，并有安全员的签字记录，保证其经常处于完好状态；不合格的机具、设备和劳动保护用品严禁使用。</w:t>
      </w:r>
    </w:p>
    <w:p w14:paraId="54D991F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（9）施工中采用新技术、新工艺、新设备、新材料时，必须制定相应的安全技术措施，施工现场必须具有相关的安全标志牌。</w:t>
      </w:r>
    </w:p>
    <w:p w14:paraId="6B5D3C4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7AF0D68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（11）安全生产费用按照</w:t>
      </w:r>
      <w:bookmarkStart w:id="735" w:name="_Toc187470650"/>
      <w:r>
        <w:rPr>
          <w:rFonts w:hint="eastAsia" w:ascii="黑体" w:hAnsi="黑体" w:eastAsia="黑体" w:cs="黑体"/>
          <w:color w:val="auto"/>
          <w:sz w:val="24"/>
          <w:highlight w:val="none"/>
        </w:rPr>
        <w:t>《公路水运工程安全生产监督管理办法</w:t>
      </w:r>
      <w:bookmarkEnd w:id="735"/>
      <w:r>
        <w:rPr>
          <w:rFonts w:hint="eastAsia" w:ascii="黑体" w:hAnsi="黑体" w:eastAsia="黑体" w:cs="黑体"/>
          <w:color w:val="auto"/>
          <w:sz w:val="24"/>
          <w:highlight w:val="none"/>
        </w:rPr>
        <w:t>》的相关规定使用和管理。</w:t>
      </w:r>
    </w:p>
    <w:p w14:paraId="5AFCE51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3.违约责任</w:t>
      </w:r>
    </w:p>
    <w:p w14:paraId="516A705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如因发包人或承包人违约造成安全事故，将依法追究责任。</w:t>
      </w:r>
    </w:p>
    <w:p w14:paraId="040BFDE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4. 本合同由双方法定代表人或其授权的代理人签署并加盖单位章后生效，全部工程竣工验收后失效。</w:t>
      </w:r>
    </w:p>
    <w:p w14:paraId="366F4E1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616" w:firstLineChars="257"/>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5. 本合同正本二份、副本____份，合同双方各执正本一份，副本____份，当正本与副本的内容不一致时，以正本为准。</w:t>
      </w:r>
    </w:p>
    <w:p w14:paraId="347FB267">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highlight w:val="none"/>
        </w:rPr>
      </w:pPr>
    </w:p>
    <w:p w14:paraId="0733A971">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发包人：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（盖单位章）     承包人：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（盖单位章）</w:t>
      </w:r>
    </w:p>
    <w:p w14:paraId="480EA344">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rPr>
        <w:t>法定代表人或其委托代理人：</w:t>
      </w:r>
      <w:r>
        <w:rPr>
          <w:rFonts w:hint="eastAsia" w:ascii="黑体" w:hAnsi="黑体" w:eastAsia="黑体" w:cs="黑体"/>
          <w:color w:val="auto"/>
          <w:sz w:val="24"/>
          <w:highlight w:val="none"/>
          <w:u w:val="single"/>
        </w:rPr>
        <w:t xml:space="preserve">  </w:t>
      </w:r>
      <w:r>
        <w:rPr>
          <w:rFonts w:hint="eastAsia" w:ascii="黑体" w:hAnsi="黑体" w:eastAsia="黑体" w:cs="黑体"/>
          <w:i/>
          <w:color w:val="auto"/>
          <w:sz w:val="24"/>
          <w:highlight w:val="none"/>
        </w:rPr>
        <w:t>（</w:t>
      </w:r>
      <w:r>
        <w:rPr>
          <w:rFonts w:hint="eastAsia" w:ascii="黑体" w:hAnsi="黑体" w:eastAsia="黑体" w:cs="黑体"/>
          <w:color w:val="auto"/>
          <w:sz w:val="24"/>
          <w:highlight w:val="none"/>
        </w:rPr>
        <w:t>签字）  法定代表人或其委托代理人：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（签字）</w:t>
      </w:r>
    </w:p>
    <w:p w14:paraId="0B52448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840" w:firstLineChars="350"/>
        <w:textAlignment w:val="auto"/>
        <w:rPr>
          <w:rFonts w:hint="eastAsia"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日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p>
    <w:p w14:paraId="5E33E9F6">
      <w:pPr>
        <w:pStyle w:val="2"/>
        <w:pageBreakBefore w:val="0"/>
        <w:widowControl w:val="0"/>
        <w:shd w:val="clear" w:color="auto" w:fill="auto"/>
        <w:kinsoku/>
        <w:wordWrap/>
        <w:overflowPunct/>
        <w:topLinePunct w:val="0"/>
        <w:autoSpaceDE/>
        <w:autoSpaceDN/>
        <w:bidi w:val="0"/>
        <w:adjustRightInd/>
        <w:snapToGrid/>
        <w:spacing w:before="0" w:after="0" w:line="360" w:lineRule="auto"/>
        <w:jc w:val="both"/>
        <w:textAlignment w:val="auto"/>
        <w:rPr>
          <w:rFonts w:hint="eastAsia" w:ascii="黑体" w:hAnsi="黑体" w:eastAsia="黑体" w:cs="黑体"/>
          <w:b w:val="0"/>
          <w:color w:val="auto"/>
          <w:sz w:val="24"/>
          <w:szCs w:val="24"/>
          <w:highlight w:val="none"/>
        </w:rPr>
      </w:pPr>
      <w:r>
        <w:rPr>
          <w:rFonts w:eastAsia="黑体"/>
          <w:color w:val="auto"/>
          <w:sz w:val="24"/>
          <w:highlight w:val="none"/>
        </w:rPr>
        <w:br w:type="page"/>
      </w:r>
      <w:bookmarkStart w:id="736" w:name="_Toc501257461"/>
      <w:bookmarkStart w:id="737" w:name="_Toc24804"/>
      <w:bookmarkStart w:id="738" w:name="_Toc234833234"/>
      <w:r>
        <w:rPr>
          <w:rFonts w:hint="eastAsia" w:ascii="黑体" w:hAnsi="黑体" w:eastAsia="黑体" w:cs="黑体"/>
          <w:b/>
          <w:bCs w:val="0"/>
          <w:color w:val="auto"/>
          <w:sz w:val="24"/>
          <w:szCs w:val="24"/>
          <w:highlight w:val="none"/>
        </w:rPr>
        <w:t>附件四</w:t>
      </w:r>
      <w:r>
        <w:rPr>
          <w:rFonts w:hint="eastAsia" w:ascii="黑体" w:hAnsi="黑体" w:eastAsia="黑体" w:cs="黑体"/>
          <w:b/>
          <w:bCs w:val="0"/>
          <w:color w:val="auto"/>
          <w:sz w:val="24"/>
          <w:szCs w:val="24"/>
          <w:highlight w:val="none"/>
          <w:lang w:eastAsia="zh-CN"/>
        </w:rPr>
        <w:t xml:space="preserve"> </w:t>
      </w:r>
      <w:r>
        <w:rPr>
          <w:rFonts w:hint="eastAsia" w:ascii="黑体" w:hAnsi="黑体" w:eastAsia="黑体" w:cs="黑体"/>
          <w:b/>
          <w:bCs w:val="0"/>
          <w:color w:val="auto"/>
          <w:sz w:val="24"/>
          <w:szCs w:val="24"/>
          <w:highlight w:val="none"/>
        </w:rPr>
        <w:t xml:space="preserve">其他管理和技术人员最低要求 </w:t>
      </w:r>
      <w:r>
        <w:rPr>
          <w:rFonts w:hint="eastAsia" w:ascii="黑体" w:hAnsi="黑体" w:eastAsia="黑体" w:cs="黑体"/>
          <w:b/>
          <w:bCs w:val="0"/>
          <w:color w:val="auto"/>
          <w:kern w:val="2"/>
          <w:sz w:val="24"/>
          <w:szCs w:val="24"/>
          <w:highlight w:val="none"/>
          <w:vertAlign w:val="superscript"/>
        </w:rPr>
        <w:footnoteReference w:id="8"/>
      </w:r>
      <w:bookmarkEnd w:id="736"/>
      <w:bookmarkEnd w:id="737"/>
      <w:bookmarkEnd w:id="738"/>
    </w:p>
    <w:p w14:paraId="67FA4C04">
      <w:pPr>
        <w:spacing w:line="360" w:lineRule="auto"/>
        <w:jc w:val="center"/>
        <w:rPr>
          <w:rFonts w:hint="eastAsia" w:ascii="黑体" w:hAnsi="黑体" w:eastAsia="黑体" w:cs="黑体"/>
          <w:b/>
          <w:bCs/>
          <w:color w:val="auto"/>
          <w:sz w:val="24"/>
          <w:highlight w:val="none"/>
        </w:rPr>
      </w:pPr>
      <w:r>
        <w:rPr>
          <w:rFonts w:hint="eastAsia" w:ascii="黑体" w:hAnsi="黑体" w:eastAsia="黑体" w:cs="黑体"/>
          <w:color w:val="auto"/>
          <w:szCs w:val="21"/>
          <w:highlight w:val="none"/>
        </w:rPr>
        <w:t>（本格式编排在招标文件中，投标时不需填写，也不需纳入投标文件中）</w:t>
      </w:r>
    </w:p>
    <w:tbl>
      <w:tblPr>
        <w:tblStyle w:val="22"/>
        <w:tblW w:w="928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41"/>
        <w:gridCol w:w="1215"/>
        <w:gridCol w:w="6530"/>
      </w:tblGrid>
      <w:tr w14:paraId="2C07EA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541" w:type="dxa"/>
            <w:noWrap w:val="0"/>
            <w:vAlign w:val="center"/>
          </w:tcPr>
          <w:p w14:paraId="71491431">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人员</w:t>
            </w:r>
          </w:p>
        </w:tc>
        <w:tc>
          <w:tcPr>
            <w:tcW w:w="1215" w:type="dxa"/>
            <w:noWrap w:val="0"/>
            <w:vAlign w:val="center"/>
          </w:tcPr>
          <w:p w14:paraId="590AFC2A">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数量</w:t>
            </w:r>
          </w:p>
        </w:tc>
        <w:tc>
          <w:tcPr>
            <w:tcW w:w="6530" w:type="dxa"/>
            <w:noWrap w:val="0"/>
            <w:vAlign w:val="center"/>
          </w:tcPr>
          <w:p w14:paraId="4F6FA037">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资格要求</w:t>
            </w:r>
          </w:p>
        </w:tc>
      </w:tr>
      <w:tr w14:paraId="0A03EB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541" w:type="dxa"/>
            <w:noWrap w:val="0"/>
            <w:vAlign w:val="center"/>
          </w:tcPr>
          <w:p w14:paraId="45C36BBA">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路基、</w:t>
            </w:r>
            <w:r>
              <w:rPr>
                <w:rFonts w:hint="eastAsia" w:ascii="黑体" w:hAnsi="黑体" w:eastAsia="黑体" w:cs="黑体"/>
                <w:color w:val="auto"/>
                <w:szCs w:val="21"/>
                <w:highlight w:val="none"/>
              </w:rPr>
              <w:t>路面工程师</w:t>
            </w:r>
            <w:r>
              <w:rPr>
                <w:rFonts w:hint="eastAsia" w:ascii="黑体" w:hAnsi="黑体" w:eastAsia="黑体" w:cs="黑体"/>
                <w:color w:val="auto"/>
                <w:szCs w:val="21"/>
                <w:highlight w:val="none"/>
                <w:lang w:eastAsia="zh-CN"/>
              </w:rPr>
              <w:t>（</w:t>
            </w:r>
            <w:r>
              <w:rPr>
                <w:rFonts w:hint="eastAsia" w:ascii="黑体" w:hAnsi="黑体" w:eastAsia="黑体" w:cs="黑体"/>
                <w:color w:val="auto"/>
                <w:szCs w:val="21"/>
                <w:highlight w:val="none"/>
                <w:lang w:val="en-US" w:eastAsia="zh-CN"/>
              </w:rPr>
              <w:t>三标段、五标段需提供</w:t>
            </w:r>
            <w:r>
              <w:rPr>
                <w:rFonts w:hint="eastAsia" w:ascii="黑体" w:hAnsi="黑体" w:eastAsia="黑体" w:cs="黑体"/>
                <w:color w:val="auto"/>
                <w:szCs w:val="21"/>
                <w:highlight w:val="none"/>
                <w:lang w:eastAsia="zh-CN"/>
              </w:rPr>
              <w:t>）</w:t>
            </w:r>
          </w:p>
        </w:tc>
        <w:tc>
          <w:tcPr>
            <w:tcW w:w="1215" w:type="dxa"/>
            <w:noWrap w:val="0"/>
            <w:vAlign w:val="center"/>
          </w:tcPr>
          <w:p w14:paraId="4B42A342">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val="en-US" w:eastAsia="zh-CN"/>
              </w:rPr>
              <w:t>1</w:t>
            </w:r>
          </w:p>
        </w:tc>
        <w:tc>
          <w:tcPr>
            <w:tcW w:w="6530" w:type="dxa"/>
            <w:noWrap w:val="0"/>
            <w:vAlign w:val="center"/>
          </w:tcPr>
          <w:p w14:paraId="77D11F7F">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路桥相关专业工程师及以上资格。</w:t>
            </w:r>
          </w:p>
        </w:tc>
      </w:tr>
      <w:tr w14:paraId="042FAE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541" w:type="dxa"/>
            <w:noWrap w:val="0"/>
            <w:vAlign w:val="center"/>
          </w:tcPr>
          <w:p w14:paraId="27BAA28B">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试验检测</w:t>
            </w:r>
          </w:p>
          <w:p w14:paraId="6064CB50">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工程师</w:t>
            </w:r>
          </w:p>
        </w:tc>
        <w:tc>
          <w:tcPr>
            <w:tcW w:w="1215" w:type="dxa"/>
            <w:noWrap w:val="0"/>
            <w:vAlign w:val="center"/>
          </w:tcPr>
          <w:p w14:paraId="21E8587C">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val="en-US" w:eastAsia="zh-CN"/>
              </w:rPr>
              <w:t>1</w:t>
            </w:r>
          </w:p>
        </w:tc>
        <w:tc>
          <w:tcPr>
            <w:tcW w:w="6530" w:type="dxa"/>
            <w:noWrap w:val="0"/>
            <w:vAlign w:val="center"/>
          </w:tcPr>
          <w:p w14:paraId="6592B330">
            <w:pP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相关专业工程师及以上资格，持有交通运输部安全与质量监督管理司（原交通运输部工程质量监督局、交通运输部基本建设质量监督总站）颁发的试验检测工程师证书</w:t>
            </w:r>
            <w:r>
              <w:rPr>
                <w:rFonts w:hint="eastAsia" w:ascii="黑体" w:hAnsi="黑体" w:eastAsia="黑体" w:cs="黑体"/>
                <w:color w:val="auto"/>
                <w:szCs w:val="21"/>
                <w:highlight w:val="none"/>
                <w:lang w:eastAsia="zh-CN"/>
              </w:rPr>
              <w:t>。</w:t>
            </w:r>
            <w:r>
              <w:rPr>
                <w:rFonts w:hint="eastAsia" w:ascii="黑体" w:hAnsi="黑体" w:eastAsia="黑体" w:cs="黑体"/>
                <w:b/>
                <w:bCs/>
                <w:color w:val="auto"/>
                <w:szCs w:val="21"/>
                <w:highlight w:val="none"/>
                <w:lang w:eastAsia="zh-CN"/>
              </w:rPr>
              <w:t>（</w:t>
            </w:r>
            <w:r>
              <w:rPr>
                <w:rFonts w:hint="eastAsia" w:ascii="黑体" w:hAnsi="黑体" w:eastAsia="黑体" w:cs="黑体"/>
                <w:b/>
                <w:bCs/>
                <w:color w:val="auto"/>
                <w:szCs w:val="21"/>
                <w:highlight w:val="none"/>
                <w:u w:val="single"/>
                <w:lang w:val="en-US" w:eastAsia="zh-CN"/>
              </w:rPr>
              <w:t>同时具有（公路）科目中材料、公路、桥梁3个专业，取得道路专业的视为同时具有材料、公路2个专业”</w:t>
            </w:r>
            <w:r>
              <w:rPr>
                <w:rFonts w:hint="eastAsia" w:ascii="黑体" w:hAnsi="黑体" w:eastAsia="黑体" w:cs="黑体"/>
                <w:b/>
                <w:bCs/>
                <w:color w:val="auto"/>
                <w:szCs w:val="21"/>
                <w:highlight w:val="none"/>
                <w:lang w:eastAsia="zh-CN"/>
              </w:rPr>
              <w:t>）</w:t>
            </w:r>
          </w:p>
        </w:tc>
      </w:tr>
      <w:tr w14:paraId="04E254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541" w:type="dxa"/>
            <w:noWrap w:val="0"/>
            <w:vAlign w:val="center"/>
          </w:tcPr>
          <w:p w14:paraId="73AB6943">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安全负责人</w:t>
            </w:r>
          </w:p>
        </w:tc>
        <w:tc>
          <w:tcPr>
            <w:tcW w:w="1215" w:type="dxa"/>
            <w:noWrap w:val="0"/>
            <w:vAlign w:val="center"/>
          </w:tcPr>
          <w:p w14:paraId="38F816D1">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w:t>
            </w:r>
          </w:p>
        </w:tc>
        <w:tc>
          <w:tcPr>
            <w:tcW w:w="6530" w:type="dxa"/>
            <w:noWrap w:val="0"/>
            <w:vAlign w:val="center"/>
          </w:tcPr>
          <w:p w14:paraId="0AFC4F5D">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工程师及以上职称，取得省级交通运输主管部门核发的行业类别代码</w:t>
            </w:r>
          </w:p>
          <w:p w14:paraId="405606A3">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为 G（公路工程）的 C 类安全生产考核合格证书，且在有效期内。 </w:t>
            </w:r>
          </w:p>
        </w:tc>
      </w:tr>
      <w:tr w14:paraId="21D506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541" w:type="dxa"/>
            <w:noWrap w:val="0"/>
            <w:vAlign w:val="center"/>
          </w:tcPr>
          <w:p w14:paraId="6D2FCDBB">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质检工程师</w:t>
            </w:r>
          </w:p>
        </w:tc>
        <w:tc>
          <w:tcPr>
            <w:tcW w:w="1215" w:type="dxa"/>
            <w:noWrap w:val="0"/>
            <w:vAlign w:val="center"/>
          </w:tcPr>
          <w:p w14:paraId="7F6BD331">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val="en-US" w:eastAsia="zh-CN"/>
              </w:rPr>
              <w:t>1</w:t>
            </w:r>
          </w:p>
        </w:tc>
        <w:tc>
          <w:tcPr>
            <w:tcW w:w="6530" w:type="dxa"/>
            <w:noWrap w:val="0"/>
            <w:vAlign w:val="center"/>
          </w:tcPr>
          <w:p w14:paraId="544CD4AB">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路桥相关专业工程师及以上资格。</w:t>
            </w:r>
          </w:p>
        </w:tc>
      </w:tr>
      <w:tr w14:paraId="295C26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1541" w:type="dxa"/>
            <w:noWrap w:val="0"/>
            <w:vAlign w:val="center"/>
          </w:tcPr>
          <w:p w14:paraId="7C21E41F">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测量工程师</w:t>
            </w:r>
          </w:p>
        </w:tc>
        <w:tc>
          <w:tcPr>
            <w:tcW w:w="1215" w:type="dxa"/>
            <w:noWrap w:val="0"/>
            <w:vAlign w:val="center"/>
          </w:tcPr>
          <w:p w14:paraId="43274ABD">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val="en-US" w:eastAsia="zh-CN"/>
              </w:rPr>
              <w:t>1</w:t>
            </w:r>
          </w:p>
        </w:tc>
        <w:tc>
          <w:tcPr>
            <w:tcW w:w="6530" w:type="dxa"/>
            <w:noWrap w:val="0"/>
            <w:vAlign w:val="center"/>
          </w:tcPr>
          <w:p w14:paraId="799CE73B">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路桥相关专业工程师及以上资格。</w:t>
            </w:r>
          </w:p>
        </w:tc>
      </w:tr>
      <w:tr w14:paraId="4C2B58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541" w:type="dxa"/>
            <w:noWrap w:val="0"/>
            <w:vAlign w:val="center"/>
          </w:tcPr>
          <w:p w14:paraId="69E4CA2B">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计划计量</w:t>
            </w:r>
          </w:p>
          <w:p w14:paraId="4C32A748">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工程师</w:t>
            </w:r>
          </w:p>
        </w:tc>
        <w:tc>
          <w:tcPr>
            <w:tcW w:w="1215" w:type="dxa"/>
            <w:noWrap w:val="0"/>
            <w:vAlign w:val="center"/>
          </w:tcPr>
          <w:p w14:paraId="57208F4E">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w:t>
            </w:r>
          </w:p>
        </w:tc>
        <w:tc>
          <w:tcPr>
            <w:tcW w:w="6530" w:type="dxa"/>
            <w:noWrap w:val="0"/>
            <w:vAlign w:val="center"/>
          </w:tcPr>
          <w:p w14:paraId="703AB65B">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路桥相关专业工程师及以上资格，持有公路工程乙级及以上或交通运输工程二级及以上造价工程师资格证书，能熟练运用办公及造价软件。</w:t>
            </w:r>
          </w:p>
        </w:tc>
      </w:tr>
      <w:tr w14:paraId="002B2D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541" w:type="dxa"/>
            <w:noWrap w:val="0"/>
            <w:vAlign w:val="center"/>
          </w:tcPr>
          <w:p w14:paraId="25956D7D">
            <w:pPr>
              <w:adjustRightInd w:val="0"/>
              <w:snapToGrid w:val="0"/>
              <w:jc w:val="center"/>
              <w:rPr>
                <w:rFonts w:hint="eastAsia" w:ascii="黑体" w:hAnsi="黑体" w:eastAsia="黑体" w:cs="黑体"/>
                <w:color w:val="auto"/>
                <w:highlight w:val="none"/>
              </w:rPr>
            </w:pPr>
            <w:r>
              <w:rPr>
                <w:rFonts w:hint="eastAsia" w:ascii="黑体" w:hAnsi="黑体" w:eastAsia="黑体" w:cs="黑体"/>
                <w:color w:val="auto"/>
                <w:highlight w:val="none"/>
              </w:rPr>
              <w:t>交通安全设</w:t>
            </w:r>
          </w:p>
          <w:p w14:paraId="4048B8CB">
            <w:pPr>
              <w:adjustRightInd w:val="0"/>
              <w:snapToGrid w:val="0"/>
              <w:jc w:val="center"/>
              <w:rPr>
                <w:rFonts w:hint="eastAsia" w:ascii="黑体" w:hAnsi="黑体" w:eastAsia="黑体" w:cs="黑体"/>
                <w:color w:val="auto"/>
                <w:kern w:val="2"/>
                <w:sz w:val="21"/>
                <w:szCs w:val="24"/>
                <w:highlight w:val="none"/>
                <w:lang w:val="en-US" w:eastAsia="zh-CN" w:bidi="ar-SA"/>
              </w:rPr>
            </w:pPr>
            <w:r>
              <w:rPr>
                <w:rFonts w:hint="eastAsia" w:ascii="黑体" w:hAnsi="黑体" w:eastAsia="黑体" w:cs="黑体"/>
                <w:color w:val="auto"/>
                <w:highlight w:val="none"/>
              </w:rPr>
              <w:t>施工程师</w:t>
            </w:r>
          </w:p>
        </w:tc>
        <w:tc>
          <w:tcPr>
            <w:tcW w:w="1215" w:type="dxa"/>
            <w:noWrap w:val="0"/>
            <w:vAlign w:val="center"/>
          </w:tcPr>
          <w:p w14:paraId="4E580357">
            <w:pPr>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lang w:val="en-US" w:eastAsia="zh-CN"/>
              </w:rPr>
              <w:t>1</w:t>
            </w:r>
          </w:p>
        </w:tc>
        <w:tc>
          <w:tcPr>
            <w:tcW w:w="6530" w:type="dxa"/>
            <w:noWrap w:val="0"/>
            <w:vAlign w:val="center"/>
          </w:tcPr>
          <w:p w14:paraId="1B45E79E">
            <w:pPr>
              <w:adjustRightInd w:val="0"/>
              <w:snapToGrid w:val="0"/>
              <w:spacing w:line="280" w:lineRule="exact"/>
              <w:jc w:val="both"/>
              <w:rPr>
                <w:rFonts w:hint="eastAsia" w:ascii="黑体" w:hAnsi="黑体" w:eastAsia="黑体" w:cs="黑体"/>
                <w:color w:val="auto"/>
                <w:kern w:val="2"/>
                <w:sz w:val="21"/>
                <w:szCs w:val="24"/>
                <w:highlight w:val="none"/>
                <w:lang w:val="en-US" w:eastAsia="zh-CN" w:bidi="ar-SA"/>
              </w:rPr>
            </w:pPr>
            <w:r>
              <w:rPr>
                <w:rFonts w:hint="eastAsia" w:ascii="黑体" w:hAnsi="黑体" w:eastAsia="黑体" w:cs="黑体"/>
                <w:color w:val="auto"/>
                <w:highlight w:val="none"/>
              </w:rPr>
              <w:t xml:space="preserve">相关专业工程师及以上技术职称。 </w:t>
            </w:r>
          </w:p>
        </w:tc>
      </w:tr>
      <w:tr w14:paraId="55D3A8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541" w:type="dxa"/>
            <w:noWrap w:val="0"/>
            <w:vAlign w:val="center"/>
          </w:tcPr>
          <w:p w14:paraId="67CED9BE">
            <w:pPr>
              <w:adjustRightInd w:val="0"/>
              <w:snapToGrid w:val="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财务负责人</w:t>
            </w:r>
          </w:p>
        </w:tc>
        <w:tc>
          <w:tcPr>
            <w:tcW w:w="1215" w:type="dxa"/>
            <w:noWrap w:val="0"/>
            <w:vAlign w:val="center"/>
          </w:tcPr>
          <w:p w14:paraId="54295698">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w:t>
            </w:r>
          </w:p>
        </w:tc>
        <w:tc>
          <w:tcPr>
            <w:tcW w:w="6530" w:type="dxa"/>
            <w:noWrap w:val="0"/>
            <w:vAlign w:val="center"/>
          </w:tcPr>
          <w:p w14:paraId="1849B77A">
            <w:pPr>
              <w:spacing w:line="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助理会计师及以上职称。</w:t>
            </w:r>
          </w:p>
        </w:tc>
      </w:tr>
      <w:tr w14:paraId="1E8CC5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1541" w:type="dxa"/>
            <w:noWrap w:val="0"/>
            <w:vAlign w:val="center"/>
          </w:tcPr>
          <w:p w14:paraId="427168FE">
            <w:pPr>
              <w:widowControl/>
              <w:spacing w:line="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专职安全员</w:t>
            </w:r>
          </w:p>
        </w:tc>
        <w:tc>
          <w:tcPr>
            <w:tcW w:w="1215" w:type="dxa"/>
            <w:noWrap w:val="0"/>
            <w:vAlign w:val="center"/>
          </w:tcPr>
          <w:p w14:paraId="1FF28B6F">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val="en-US" w:eastAsia="zh-CN"/>
              </w:rPr>
              <w:t>1</w:t>
            </w:r>
          </w:p>
        </w:tc>
        <w:tc>
          <w:tcPr>
            <w:tcW w:w="6530" w:type="dxa"/>
            <w:noWrap w:val="0"/>
            <w:vAlign w:val="center"/>
          </w:tcPr>
          <w:p w14:paraId="00FF96B0">
            <w:pPr>
              <w:widowControl/>
              <w:spacing w:line="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取得省级交通运输主管部门核发的行业类别代码为G（公路工程）的C类安全生产考核合格证书，且在有效期内。</w:t>
            </w:r>
          </w:p>
        </w:tc>
      </w:tr>
      <w:tr w14:paraId="284EC2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1541" w:type="dxa"/>
            <w:noWrap w:val="0"/>
            <w:vAlign w:val="center"/>
          </w:tcPr>
          <w:p w14:paraId="58E463D8">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档案管理</w:t>
            </w:r>
          </w:p>
          <w:p w14:paraId="77256D7D">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负责人</w:t>
            </w:r>
          </w:p>
        </w:tc>
        <w:tc>
          <w:tcPr>
            <w:tcW w:w="1215" w:type="dxa"/>
            <w:noWrap w:val="0"/>
            <w:vAlign w:val="center"/>
          </w:tcPr>
          <w:p w14:paraId="0C24E9F5">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val="en-US" w:eastAsia="zh-CN"/>
              </w:rPr>
              <w:t>1</w:t>
            </w:r>
          </w:p>
        </w:tc>
        <w:tc>
          <w:tcPr>
            <w:tcW w:w="6530" w:type="dxa"/>
            <w:noWrap w:val="0"/>
            <w:vAlign w:val="center"/>
          </w:tcPr>
          <w:p w14:paraId="413397E6">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相关专业初级及以上资格，能熟练操作计算机、使用办公软件。</w:t>
            </w:r>
          </w:p>
        </w:tc>
      </w:tr>
      <w:tr w14:paraId="724E26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1541" w:type="dxa"/>
            <w:noWrap w:val="0"/>
            <w:vAlign w:val="center"/>
          </w:tcPr>
          <w:p w14:paraId="485E2294">
            <w:pPr>
              <w:adjustRightInd w:val="0"/>
              <w:snapToGrid w:val="0"/>
              <w:jc w:val="center"/>
              <w:rPr>
                <w:rFonts w:hint="eastAsia" w:ascii="黑体" w:hAnsi="黑体" w:eastAsia="黑体" w:cs="黑体"/>
                <w:color w:val="auto"/>
                <w:szCs w:val="21"/>
                <w:highlight w:val="none"/>
              </w:rPr>
            </w:pPr>
            <w:r>
              <w:rPr>
                <w:rFonts w:hint="eastAsia" w:ascii="黑体" w:hAnsi="黑体" w:eastAsia="黑体" w:cs="黑体"/>
                <w:color w:val="auto"/>
                <w:highlight w:val="none"/>
              </w:rPr>
              <w:t>试验员</w:t>
            </w:r>
          </w:p>
        </w:tc>
        <w:tc>
          <w:tcPr>
            <w:tcW w:w="1215" w:type="dxa"/>
            <w:noWrap w:val="0"/>
            <w:vAlign w:val="center"/>
          </w:tcPr>
          <w:p w14:paraId="5592A58F">
            <w:pPr>
              <w:jc w:val="center"/>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1</w:t>
            </w:r>
          </w:p>
        </w:tc>
        <w:tc>
          <w:tcPr>
            <w:tcW w:w="6530" w:type="dxa"/>
            <w:noWrap w:val="0"/>
            <w:vAlign w:val="center"/>
          </w:tcPr>
          <w:p w14:paraId="4E824FCF">
            <w:pPr>
              <w:adjustRightInd w:val="0"/>
              <w:snapToGrid w:val="0"/>
              <w:spacing w:line="280" w:lineRule="exact"/>
              <w:jc w:val="left"/>
              <w:rPr>
                <w:rFonts w:hint="eastAsia" w:ascii="黑体" w:hAnsi="黑体" w:eastAsia="黑体" w:cs="黑体"/>
                <w:color w:val="auto"/>
                <w:szCs w:val="21"/>
                <w:highlight w:val="none"/>
                <w:lang w:eastAsia="zh-CN"/>
              </w:rPr>
            </w:pPr>
            <w:r>
              <w:rPr>
                <w:rFonts w:hint="eastAsia" w:ascii="黑体" w:hAnsi="黑体" w:eastAsia="黑体" w:cs="黑体"/>
                <w:color w:val="auto"/>
                <w:highlight w:val="none"/>
              </w:rPr>
              <w:t>相关专业初级或以上职称，持有省级及以上交通运输主管部门颁发的试验检测员资格证及以上执业资格证书</w:t>
            </w:r>
            <w:r>
              <w:rPr>
                <w:rFonts w:hint="eastAsia" w:ascii="黑体" w:hAnsi="黑体" w:eastAsia="黑体" w:cs="黑体"/>
                <w:color w:val="auto"/>
                <w:highlight w:val="none"/>
                <w:lang w:eastAsia="zh-CN"/>
              </w:rPr>
              <w:t>。</w:t>
            </w:r>
          </w:p>
        </w:tc>
      </w:tr>
    </w:tbl>
    <w:p w14:paraId="4A3ED925">
      <w:pPr>
        <w:rPr>
          <w:rFonts w:hint="eastAsia" w:ascii="黑体" w:hAnsi="黑体" w:eastAsia="黑体" w:cs="黑体"/>
          <w:b/>
          <w:color w:val="auto"/>
          <w:sz w:val="21"/>
          <w:szCs w:val="21"/>
          <w:highlight w:val="none"/>
        </w:rPr>
      </w:pPr>
      <w:r>
        <w:rPr>
          <w:rFonts w:hint="eastAsia" w:ascii="黑体" w:hAnsi="黑体" w:eastAsia="黑体" w:cs="黑体"/>
          <w:color w:val="auto"/>
          <w:sz w:val="21"/>
          <w:szCs w:val="21"/>
          <w:highlight w:val="none"/>
        </w:rPr>
        <w:t>注：</w:t>
      </w:r>
      <w:r>
        <w:rPr>
          <w:rFonts w:hint="eastAsia" w:ascii="黑体" w:hAnsi="黑体" w:eastAsia="黑体" w:cs="黑体"/>
          <w:b/>
          <w:color w:val="auto"/>
          <w:sz w:val="21"/>
          <w:szCs w:val="21"/>
          <w:highlight w:val="none"/>
        </w:rPr>
        <w:t>1、其他管理和技术人员的具体人选由招标人和中标人在合同谈判阶段确定，且经招标人审批后作为派驻本标段的项目管理机构主要人员，不允许擅自更换</w:t>
      </w:r>
      <w:r>
        <w:rPr>
          <w:rFonts w:hint="eastAsia" w:ascii="黑体" w:hAnsi="黑体" w:eastAsia="黑体" w:cs="黑体"/>
          <w:b/>
          <w:color w:val="auto"/>
          <w:sz w:val="21"/>
          <w:szCs w:val="21"/>
          <w:highlight w:val="none"/>
          <w:lang w:eastAsia="zh-CN"/>
        </w:rPr>
        <w:t>，</w:t>
      </w:r>
      <w:r>
        <w:rPr>
          <w:rFonts w:hint="eastAsia" w:ascii="黑体" w:hAnsi="黑体" w:eastAsia="黑体" w:cs="黑体"/>
          <w:b/>
          <w:color w:val="auto"/>
          <w:sz w:val="21"/>
          <w:szCs w:val="21"/>
          <w:highlight w:val="none"/>
        </w:rPr>
        <w:t>并提供投标人所属社保机构出具的其他主要管理人员和技术人员202</w:t>
      </w:r>
      <w:r>
        <w:rPr>
          <w:rFonts w:hint="eastAsia" w:ascii="黑体" w:hAnsi="黑体" w:eastAsia="黑体" w:cs="黑体"/>
          <w:b/>
          <w:color w:val="auto"/>
          <w:sz w:val="21"/>
          <w:szCs w:val="21"/>
          <w:highlight w:val="none"/>
          <w:lang w:val="en-US" w:eastAsia="zh-CN"/>
        </w:rPr>
        <w:t>5</w:t>
      </w:r>
      <w:r>
        <w:rPr>
          <w:rFonts w:hint="eastAsia" w:ascii="黑体" w:hAnsi="黑体" w:eastAsia="黑体" w:cs="黑体"/>
          <w:b/>
          <w:color w:val="auto"/>
          <w:sz w:val="21"/>
          <w:szCs w:val="21"/>
          <w:highlight w:val="none"/>
        </w:rPr>
        <w:t>年1月至今连续 3个月及以上的社保缴费证明（并加盖缴费证明专用章）或其他能够证明参加社保的有效证明材料。招标人根据实际情况，有权要求投标人增加相应管理岗位的人员数量。</w:t>
      </w:r>
    </w:p>
    <w:p w14:paraId="4BD59077">
      <w:pPr>
        <w:rPr>
          <w:rFonts w:hint="eastAsia" w:ascii="黑体" w:hAnsi="黑体" w:eastAsia="黑体" w:cs="黑体"/>
          <w:b/>
          <w:color w:val="auto"/>
          <w:sz w:val="21"/>
          <w:szCs w:val="21"/>
          <w:highlight w:val="none"/>
        </w:rPr>
      </w:pPr>
      <w:r>
        <w:rPr>
          <w:rFonts w:hint="eastAsia" w:ascii="黑体" w:hAnsi="黑体" w:eastAsia="黑体" w:cs="黑体"/>
          <w:b/>
          <w:color w:val="auto"/>
          <w:sz w:val="21"/>
          <w:szCs w:val="21"/>
          <w:highlight w:val="none"/>
        </w:rPr>
        <w:t xml:space="preserve"> </w:t>
      </w:r>
      <w:r>
        <w:rPr>
          <w:rFonts w:hint="eastAsia" w:ascii="黑体" w:hAnsi="黑体" w:eastAsia="黑体" w:cs="黑体"/>
          <w:b/>
          <w:bCs w:val="0"/>
          <w:color w:val="auto"/>
          <w:sz w:val="21"/>
          <w:szCs w:val="21"/>
          <w:highlight w:val="none"/>
        </w:rPr>
        <w:t xml:space="preserve">   2、</w:t>
      </w:r>
      <w:r>
        <w:rPr>
          <w:rFonts w:hint="eastAsia" w:ascii="黑体" w:hAnsi="黑体" w:eastAsia="黑体" w:cs="黑体"/>
          <w:b/>
          <w:bCs w:val="0"/>
          <w:color w:val="auto"/>
          <w:szCs w:val="21"/>
          <w:highlight w:val="none"/>
        </w:rPr>
        <w:t>表中人员必须为承包人自有人员，</w:t>
      </w:r>
      <w:r>
        <w:rPr>
          <w:rFonts w:hint="eastAsia" w:ascii="黑体" w:hAnsi="黑体" w:eastAsia="黑体" w:cs="黑体"/>
          <w:b/>
          <w:bCs w:val="0"/>
          <w:color w:val="auto"/>
          <w:sz w:val="21"/>
          <w:szCs w:val="21"/>
          <w:highlight w:val="none"/>
        </w:rPr>
        <w:t>表中人员不得兼职。</w:t>
      </w:r>
    </w:p>
    <w:p w14:paraId="55DF6061">
      <w:pPr>
        <w:ind w:firstLine="422" w:firstLineChars="200"/>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3、《公路水运工程安全生产监督管理办法》第 21 条规定：施工现场应当按照 5000 万元施工合同额配备一名的比例配备专职安全生产管理人员，不足 5000 万元的至少配备一名。中标人应根据上述规定，在发出中标通知书之前，以实际预中标价为准提供相应数量的专职安全生产管理人员，经招标人审批后作为派驻相应标段的项目管理机构主要人员且不允许更换。</w:t>
      </w:r>
    </w:p>
    <w:p w14:paraId="7AB6C983">
      <w:pPr>
        <w:pStyle w:val="8"/>
        <w:rPr>
          <w:rFonts w:hint="default" w:eastAsia="黑体"/>
          <w:color w:val="auto"/>
          <w:highlight w:val="none"/>
          <w:lang w:val="en-US" w:eastAsia="zh-CN"/>
        </w:rPr>
      </w:pPr>
      <w:r>
        <w:rPr>
          <w:rFonts w:hint="eastAsia" w:ascii="黑体" w:hAnsi="黑体" w:eastAsia="黑体" w:cs="黑体"/>
          <w:b/>
          <w:color w:val="auto"/>
          <w:szCs w:val="21"/>
          <w:highlight w:val="none"/>
          <w:lang w:val="en-US" w:eastAsia="zh-CN"/>
        </w:rPr>
        <w:t xml:space="preserve">   4、若招标文件中其他管理和技术人员最低要求不能满足施工要求，招标人可随时要求中标人增加相关主要人员，中标人必须无条件的服从。</w:t>
      </w:r>
    </w:p>
    <w:p w14:paraId="2D8E6F6B">
      <w:pPr>
        <w:shd w:val="clear" w:color="auto" w:fill="auto"/>
        <w:adjustRightInd w:val="0"/>
        <w:snapToGrid w:val="0"/>
        <w:spacing w:line="400" w:lineRule="atLeast"/>
        <w:rPr>
          <w:rFonts w:hint="eastAsia" w:ascii="黑体" w:hAnsi="黑体" w:eastAsia="黑体" w:cs="黑体"/>
          <w:color w:val="auto"/>
          <w:sz w:val="24"/>
          <w:highlight w:val="none"/>
        </w:rPr>
      </w:pPr>
    </w:p>
    <w:p w14:paraId="1750772D">
      <w:pPr>
        <w:pStyle w:val="2"/>
        <w:shd w:val="clear" w:color="auto" w:fill="auto"/>
        <w:spacing w:before="0" w:after="0" w:line="380" w:lineRule="atLeast"/>
        <w:jc w:val="both"/>
        <w:rPr>
          <w:rFonts w:hint="eastAsia" w:eastAsia="黑体"/>
          <w:b w:val="0"/>
          <w:color w:val="auto"/>
          <w:sz w:val="24"/>
          <w:szCs w:val="24"/>
          <w:highlight w:val="none"/>
        </w:rPr>
      </w:pPr>
      <w:r>
        <w:rPr>
          <w:rFonts w:hint="eastAsia" w:ascii="黑体" w:hAnsi="黑体" w:eastAsia="黑体" w:cs="黑体"/>
          <w:color w:val="auto"/>
          <w:sz w:val="24"/>
          <w:highlight w:val="none"/>
        </w:rPr>
        <w:br w:type="page"/>
      </w:r>
      <w:bookmarkStart w:id="739" w:name="_Toc234833235"/>
      <w:bookmarkStart w:id="740" w:name="_Toc501257462"/>
      <w:bookmarkStart w:id="741" w:name="_Toc26604"/>
      <w:r>
        <w:rPr>
          <w:rFonts w:eastAsia="黑体"/>
          <w:b/>
          <w:bCs w:val="0"/>
          <w:color w:val="auto"/>
          <w:sz w:val="24"/>
          <w:szCs w:val="24"/>
          <w:highlight w:val="none"/>
        </w:rPr>
        <w:t>附件五</w:t>
      </w:r>
      <w:r>
        <w:rPr>
          <w:rFonts w:hint="eastAsia" w:eastAsia="黑体"/>
          <w:b/>
          <w:bCs w:val="0"/>
          <w:color w:val="auto"/>
          <w:sz w:val="24"/>
          <w:szCs w:val="24"/>
          <w:highlight w:val="none"/>
          <w:lang w:eastAsia="zh-CN"/>
        </w:rPr>
        <w:t xml:space="preserve"> </w:t>
      </w:r>
      <w:r>
        <w:rPr>
          <w:rFonts w:eastAsia="黑体"/>
          <w:b/>
          <w:bCs w:val="0"/>
          <w:color w:val="auto"/>
          <w:sz w:val="24"/>
          <w:szCs w:val="24"/>
          <w:highlight w:val="none"/>
        </w:rPr>
        <w:t>主要机械设备和试验检测设备最低要求</w:t>
      </w:r>
      <w:r>
        <w:rPr>
          <w:b/>
          <w:bCs w:val="0"/>
          <w:color w:val="auto"/>
          <w:sz w:val="24"/>
          <w:szCs w:val="24"/>
          <w:highlight w:val="none"/>
          <w:vertAlign w:val="superscript"/>
        </w:rPr>
        <w:footnoteReference w:id="9"/>
      </w:r>
      <w:bookmarkEnd w:id="739"/>
      <w:bookmarkEnd w:id="740"/>
      <w:bookmarkEnd w:id="741"/>
    </w:p>
    <w:tbl>
      <w:tblPr>
        <w:tblStyle w:val="22"/>
        <w:tblW w:w="9223" w:type="dxa"/>
        <w:tblInd w:w="-22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344"/>
        <w:gridCol w:w="114"/>
        <w:gridCol w:w="3327"/>
        <w:gridCol w:w="1114"/>
        <w:gridCol w:w="1324"/>
      </w:tblGrid>
      <w:tr w14:paraId="149226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458" w:type="dxa"/>
            <w:gridSpan w:val="2"/>
            <w:noWrap w:val="0"/>
            <w:vAlign w:val="center"/>
          </w:tcPr>
          <w:p w14:paraId="64381F3C">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设备名称</w:t>
            </w:r>
          </w:p>
        </w:tc>
        <w:tc>
          <w:tcPr>
            <w:tcW w:w="3327" w:type="dxa"/>
            <w:noWrap w:val="0"/>
            <w:vAlign w:val="center"/>
          </w:tcPr>
          <w:p w14:paraId="3D12DDA1">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规格、功率及容量</w:t>
            </w:r>
          </w:p>
        </w:tc>
        <w:tc>
          <w:tcPr>
            <w:tcW w:w="1114" w:type="dxa"/>
            <w:noWrap w:val="0"/>
            <w:vAlign w:val="center"/>
          </w:tcPr>
          <w:p w14:paraId="4406518B">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单位</w:t>
            </w:r>
          </w:p>
        </w:tc>
        <w:tc>
          <w:tcPr>
            <w:tcW w:w="1324" w:type="dxa"/>
            <w:noWrap w:val="0"/>
            <w:vAlign w:val="center"/>
          </w:tcPr>
          <w:p w14:paraId="2B47C066">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最低数量要求</w:t>
            </w:r>
          </w:p>
        </w:tc>
      </w:tr>
      <w:tr w14:paraId="22992B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9223" w:type="dxa"/>
            <w:gridSpan w:val="5"/>
            <w:noWrap w:val="0"/>
            <w:vAlign w:val="center"/>
          </w:tcPr>
          <w:p w14:paraId="5367B20E">
            <w:pPr>
              <w:jc w:val="both"/>
              <w:rPr>
                <w:rFonts w:hint="eastAsia" w:ascii="黑体" w:hAnsi="黑体" w:eastAsia="黑体" w:cs="黑体"/>
                <w:sz w:val="24"/>
                <w:szCs w:val="24"/>
                <w:highlight w:val="none"/>
              </w:rPr>
            </w:pPr>
            <w:r>
              <w:rPr>
                <w:rFonts w:hint="eastAsia" w:ascii="黑体" w:hAnsi="黑体" w:eastAsia="黑体" w:cs="黑体"/>
                <w:b/>
                <w:bCs/>
                <w:sz w:val="24"/>
                <w:szCs w:val="24"/>
                <w:highlight w:val="none"/>
                <w:lang w:val="en-US" w:eastAsia="zh-CN"/>
              </w:rPr>
              <w:t>一、路基施工设备</w:t>
            </w:r>
          </w:p>
        </w:tc>
      </w:tr>
      <w:tr w14:paraId="4AD858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458" w:type="dxa"/>
            <w:gridSpan w:val="2"/>
            <w:noWrap w:val="0"/>
            <w:vAlign w:val="center"/>
          </w:tcPr>
          <w:p w14:paraId="58DE2376">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推土机</w:t>
            </w:r>
          </w:p>
        </w:tc>
        <w:tc>
          <w:tcPr>
            <w:tcW w:w="3327" w:type="dxa"/>
            <w:noWrap w:val="0"/>
            <w:vAlign w:val="center"/>
          </w:tcPr>
          <w:p w14:paraId="2231C12D">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135KW 及以上</w:t>
            </w:r>
          </w:p>
        </w:tc>
        <w:tc>
          <w:tcPr>
            <w:tcW w:w="1114" w:type="dxa"/>
            <w:noWrap w:val="0"/>
            <w:vAlign w:val="center"/>
          </w:tcPr>
          <w:p w14:paraId="553F8617">
            <w:pPr>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台</w:t>
            </w:r>
          </w:p>
        </w:tc>
        <w:tc>
          <w:tcPr>
            <w:tcW w:w="1324" w:type="dxa"/>
            <w:noWrap w:val="0"/>
            <w:vAlign w:val="center"/>
          </w:tcPr>
          <w:p w14:paraId="5ED7BB7B">
            <w:pPr>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1</w:t>
            </w:r>
          </w:p>
        </w:tc>
      </w:tr>
      <w:tr w14:paraId="029CC7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458" w:type="dxa"/>
            <w:gridSpan w:val="2"/>
            <w:noWrap w:val="0"/>
            <w:vAlign w:val="center"/>
          </w:tcPr>
          <w:p w14:paraId="11EAF5AB">
            <w:pPr>
              <w:snapToGrid w:val="0"/>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sz w:val="24"/>
                <w:szCs w:val="24"/>
                <w:highlight w:val="none"/>
              </w:rPr>
              <w:t>装载机</w:t>
            </w:r>
          </w:p>
        </w:tc>
        <w:tc>
          <w:tcPr>
            <w:tcW w:w="3327" w:type="dxa"/>
            <w:noWrap w:val="0"/>
            <w:vAlign w:val="center"/>
          </w:tcPr>
          <w:p w14:paraId="2BE0D9AC">
            <w:pPr>
              <w:jc w:val="center"/>
              <w:rPr>
                <w:rFonts w:hint="eastAsia" w:ascii="黑体" w:hAnsi="黑体" w:eastAsia="黑体" w:cs="黑体"/>
                <w:kern w:val="2"/>
                <w:sz w:val="24"/>
                <w:szCs w:val="24"/>
                <w:highlight w:val="none"/>
                <w:lang w:val="en-US" w:eastAsia="zh-CN" w:bidi="ar-SA"/>
              </w:rPr>
            </w:pPr>
          </w:p>
        </w:tc>
        <w:tc>
          <w:tcPr>
            <w:tcW w:w="1114" w:type="dxa"/>
            <w:noWrap w:val="0"/>
            <w:vAlign w:val="center"/>
          </w:tcPr>
          <w:p w14:paraId="2AFA78C1">
            <w:pPr>
              <w:snapToGrid w:val="0"/>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sz w:val="24"/>
                <w:szCs w:val="24"/>
                <w:highlight w:val="none"/>
              </w:rPr>
              <w:t>台</w:t>
            </w:r>
          </w:p>
        </w:tc>
        <w:tc>
          <w:tcPr>
            <w:tcW w:w="1324" w:type="dxa"/>
            <w:noWrap w:val="0"/>
            <w:vAlign w:val="center"/>
          </w:tcPr>
          <w:p w14:paraId="3314FE90">
            <w:pPr>
              <w:snapToGrid w:val="0"/>
              <w:jc w:val="center"/>
              <w:rPr>
                <w:rFonts w:hint="default" w:ascii="黑体" w:hAnsi="黑体" w:eastAsia="黑体" w:cs="黑体"/>
                <w:kern w:val="2"/>
                <w:sz w:val="24"/>
                <w:szCs w:val="24"/>
                <w:highlight w:val="none"/>
                <w:lang w:val="en-US" w:eastAsia="zh-CN" w:bidi="ar-SA"/>
              </w:rPr>
            </w:pPr>
            <w:r>
              <w:rPr>
                <w:rFonts w:hint="eastAsia" w:ascii="黑体" w:hAnsi="黑体" w:eastAsia="黑体" w:cs="黑体"/>
                <w:kern w:val="2"/>
                <w:sz w:val="24"/>
                <w:szCs w:val="24"/>
                <w:highlight w:val="none"/>
                <w:lang w:val="en-US" w:eastAsia="zh-CN" w:bidi="ar-SA"/>
              </w:rPr>
              <w:t>1</w:t>
            </w:r>
          </w:p>
        </w:tc>
      </w:tr>
      <w:tr w14:paraId="3FF7F6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458" w:type="dxa"/>
            <w:gridSpan w:val="2"/>
            <w:noWrap w:val="0"/>
            <w:vAlign w:val="center"/>
          </w:tcPr>
          <w:p w14:paraId="462D9932">
            <w:pPr>
              <w:snapToGrid w:val="0"/>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sz w:val="24"/>
                <w:szCs w:val="24"/>
                <w:highlight w:val="none"/>
              </w:rPr>
              <w:t>挖掘机</w:t>
            </w:r>
          </w:p>
        </w:tc>
        <w:tc>
          <w:tcPr>
            <w:tcW w:w="3327" w:type="dxa"/>
            <w:noWrap w:val="0"/>
            <w:vAlign w:val="center"/>
          </w:tcPr>
          <w:p w14:paraId="710EAF54">
            <w:pPr>
              <w:jc w:val="center"/>
              <w:rPr>
                <w:rFonts w:hint="eastAsia" w:ascii="黑体" w:hAnsi="黑体" w:eastAsia="黑体" w:cs="黑体"/>
                <w:kern w:val="2"/>
                <w:sz w:val="24"/>
                <w:szCs w:val="24"/>
                <w:highlight w:val="none"/>
                <w:lang w:val="en-US" w:eastAsia="zh-CN" w:bidi="ar-SA"/>
              </w:rPr>
            </w:pPr>
          </w:p>
        </w:tc>
        <w:tc>
          <w:tcPr>
            <w:tcW w:w="1114" w:type="dxa"/>
            <w:noWrap w:val="0"/>
            <w:vAlign w:val="center"/>
          </w:tcPr>
          <w:p w14:paraId="6E774C8D">
            <w:pPr>
              <w:snapToGrid w:val="0"/>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sz w:val="24"/>
                <w:szCs w:val="24"/>
                <w:highlight w:val="none"/>
              </w:rPr>
              <w:t>台</w:t>
            </w:r>
          </w:p>
        </w:tc>
        <w:tc>
          <w:tcPr>
            <w:tcW w:w="1324" w:type="dxa"/>
            <w:noWrap w:val="0"/>
            <w:vAlign w:val="center"/>
          </w:tcPr>
          <w:p w14:paraId="3AACCF28">
            <w:pPr>
              <w:snapToGrid w:val="0"/>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sz w:val="24"/>
                <w:szCs w:val="24"/>
                <w:highlight w:val="none"/>
                <w:lang w:val="en-US" w:eastAsia="zh-CN"/>
              </w:rPr>
              <w:t>1</w:t>
            </w:r>
          </w:p>
        </w:tc>
      </w:tr>
      <w:tr w14:paraId="467C4F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458" w:type="dxa"/>
            <w:gridSpan w:val="2"/>
            <w:noWrap w:val="0"/>
            <w:vAlign w:val="center"/>
          </w:tcPr>
          <w:p w14:paraId="24107D8F">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 xml:space="preserve">平地机 </w:t>
            </w:r>
          </w:p>
        </w:tc>
        <w:tc>
          <w:tcPr>
            <w:tcW w:w="3327" w:type="dxa"/>
            <w:noWrap w:val="0"/>
            <w:vAlign w:val="center"/>
          </w:tcPr>
          <w:p w14:paraId="2BE79A80">
            <w:pPr>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sz w:val="24"/>
                <w:szCs w:val="24"/>
                <w:highlight w:val="none"/>
                <w:lang w:val="en-US" w:eastAsia="zh-CN"/>
              </w:rPr>
              <w:t>120Kw 以上</w:t>
            </w:r>
          </w:p>
        </w:tc>
        <w:tc>
          <w:tcPr>
            <w:tcW w:w="1114" w:type="dxa"/>
            <w:noWrap w:val="0"/>
            <w:vAlign w:val="center"/>
          </w:tcPr>
          <w:p w14:paraId="0FF9A588">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台</w:t>
            </w:r>
          </w:p>
        </w:tc>
        <w:tc>
          <w:tcPr>
            <w:tcW w:w="1324" w:type="dxa"/>
            <w:noWrap w:val="0"/>
            <w:vAlign w:val="center"/>
          </w:tcPr>
          <w:p w14:paraId="445DC2FA">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1</w:t>
            </w:r>
          </w:p>
        </w:tc>
      </w:tr>
      <w:tr w14:paraId="1A3459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458" w:type="dxa"/>
            <w:gridSpan w:val="2"/>
            <w:noWrap w:val="0"/>
            <w:vAlign w:val="center"/>
          </w:tcPr>
          <w:p w14:paraId="27B8C544">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振动压路机</w:t>
            </w:r>
          </w:p>
        </w:tc>
        <w:tc>
          <w:tcPr>
            <w:tcW w:w="3327" w:type="dxa"/>
            <w:noWrap w:val="0"/>
            <w:vAlign w:val="center"/>
          </w:tcPr>
          <w:p w14:paraId="377BC3FA">
            <w:pPr>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15t 及以上</w:t>
            </w:r>
          </w:p>
        </w:tc>
        <w:tc>
          <w:tcPr>
            <w:tcW w:w="1114" w:type="dxa"/>
            <w:noWrap w:val="0"/>
            <w:vAlign w:val="center"/>
          </w:tcPr>
          <w:p w14:paraId="4051A1A3">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台</w:t>
            </w:r>
          </w:p>
        </w:tc>
        <w:tc>
          <w:tcPr>
            <w:tcW w:w="1324" w:type="dxa"/>
            <w:noWrap w:val="0"/>
            <w:vAlign w:val="center"/>
          </w:tcPr>
          <w:p w14:paraId="39DEF505">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1</w:t>
            </w:r>
          </w:p>
        </w:tc>
      </w:tr>
      <w:tr w14:paraId="046F88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458" w:type="dxa"/>
            <w:gridSpan w:val="2"/>
            <w:noWrap w:val="0"/>
            <w:vAlign w:val="center"/>
          </w:tcPr>
          <w:p w14:paraId="6158B0D1">
            <w:pPr>
              <w:snapToGrid w:val="0"/>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sz w:val="24"/>
                <w:szCs w:val="24"/>
                <w:highlight w:val="none"/>
              </w:rPr>
              <w:t>洒水车</w:t>
            </w:r>
          </w:p>
        </w:tc>
        <w:tc>
          <w:tcPr>
            <w:tcW w:w="3327" w:type="dxa"/>
            <w:noWrap w:val="0"/>
            <w:vAlign w:val="center"/>
          </w:tcPr>
          <w:p w14:paraId="3FF0F9F5">
            <w:pPr>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sz w:val="24"/>
                <w:szCs w:val="24"/>
                <w:highlight w:val="none"/>
              </w:rPr>
              <w:t>自吸自喷，8000L</w:t>
            </w:r>
          </w:p>
        </w:tc>
        <w:tc>
          <w:tcPr>
            <w:tcW w:w="1114" w:type="dxa"/>
            <w:noWrap w:val="0"/>
            <w:vAlign w:val="center"/>
          </w:tcPr>
          <w:p w14:paraId="3528205F">
            <w:pPr>
              <w:snapToGrid w:val="0"/>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sz w:val="24"/>
                <w:szCs w:val="24"/>
                <w:highlight w:val="none"/>
              </w:rPr>
              <w:t>辆</w:t>
            </w:r>
          </w:p>
        </w:tc>
        <w:tc>
          <w:tcPr>
            <w:tcW w:w="1324" w:type="dxa"/>
            <w:noWrap w:val="0"/>
            <w:vAlign w:val="center"/>
          </w:tcPr>
          <w:p w14:paraId="379191B7">
            <w:pPr>
              <w:snapToGrid w:val="0"/>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sz w:val="24"/>
                <w:szCs w:val="24"/>
                <w:highlight w:val="none"/>
              </w:rPr>
              <w:t>1</w:t>
            </w:r>
          </w:p>
        </w:tc>
      </w:tr>
      <w:tr w14:paraId="1F97C9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458" w:type="dxa"/>
            <w:gridSpan w:val="2"/>
            <w:noWrap w:val="0"/>
            <w:vAlign w:val="center"/>
          </w:tcPr>
          <w:p w14:paraId="32054E6E">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自卸汽车</w:t>
            </w:r>
          </w:p>
        </w:tc>
        <w:tc>
          <w:tcPr>
            <w:tcW w:w="3327" w:type="dxa"/>
            <w:noWrap w:val="0"/>
            <w:vAlign w:val="center"/>
          </w:tcPr>
          <w:p w14:paraId="477604A8">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20t以上</w:t>
            </w:r>
          </w:p>
        </w:tc>
        <w:tc>
          <w:tcPr>
            <w:tcW w:w="1114" w:type="dxa"/>
            <w:noWrap w:val="0"/>
            <w:vAlign w:val="center"/>
          </w:tcPr>
          <w:p w14:paraId="306617B7">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辆</w:t>
            </w:r>
          </w:p>
        </w:tc>
        <w:tc>
          <w:tcPr>
            <w:tcW w:w="1324" w:type="dxa"/>
            <w:noWrap w:val="0"/>
            <w:vAlign w:val="center"/>
          </w:tcPr>
          <w:p w14:paraId="61E84265">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2</w:t>
            </w:r>
          </w:p>
        </w:tc>
      </w:tr>
      <w:tr w14:paraId="2ED0D1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785" w:type="dxa"/>
            <w:gridSpan w:val="3"/>
            <w:noWrap w:val="0"/>
            <w:vAlign w:val="center"/>
          </w:tcPr>
          <w:p w14:paraId="6B8B8712">
            <w:pPr>
              <w:rPr>
                <w:rFonts w:hint="eastAsia" w:ascii="黑体" w:hAnsi="黑体" w:eastAsia="黑体" w:cs="黑体"/>
                <w:sz w:val="24"/>
                <w:szCs w:val="24"/>
                <w:highlight w:val="none"/>
              </w:rPr>
            </w:pPr>
            <w:r>
              <w:rPr>
                <w:rFonts w:hint="eastAsia" w:ascii="黑体" w:hAnsi="黑体" w:eastAsia="黑体" w:cs="黑体"/>
                <w:b/>
                <w:sz w:val="24"/>
                <w:szCs w:val="24"/>
                <w:highlight w:val="none"/>
                <w:lang w:val="en-US" w:eastAsia="zh-CN"/>
              </w:rPr>
              <w:t>二</w:t>
            </w:r>
            <w:r>
              <w:rPr>
                <w:rFonts w:hint="eastAsia" w:ascii="黑体" w:hAnsi="黑体" w:eastAsia="黑体" w:cs="黑体"/>
                <w:b/>
                <w:sz w:val="24"/>
                <w:szCs w:val="24"/>
                <w:highlight w:val="none"/>
              </w:rPr>
              <w:t>、路面施工机械设备</w:t>
            </w:r>
          </w:p>
        </w:tc>
        <w:tc>
          <w:tcPr>
            <w:tcW w:w="1114" w:type="dxa"/>
            <w:noWrap w:val="0"/>
            <w:vAlign w:val="center"/>
          </w:tcPr>
          <w:p w14:paraId="2FCC11B1">
            <w:pPr>
              <w:jc w:val="center"/>
              <w:rPr>
                <w:rFonts w:hint="eastAsia" w:ascii="黑体" w:hAnsi="黑体" w:eastAsia="黑体" w:cs="黑体"/>
                <w:sz w:val="24"/>
                <w:szCs w:val="24"/>
                <w:highlight w:val="none"/>
              </w:rPr>
            </w:pPr>
          </w:p>
        </w:tc>
        <w:tc>
          <w:tcPr>
            <w:tcW w:w="1324" w:type="dxa"/>
            <w:noWrap w:val="0"/>
            <w:vAlign w:val="center"/>
          </w:tcPr>
          <w:p w14:paraId="1AFB75A2">
            <w:pPr>
              <w:jc w:val="center"/>
              <w:rPr>
                <w:rFonts w:hint="eastAsia" w:ascii="黑体" w:hAnsi="黑体" w:eastAsia="黑体" w:cs="黑体"/>
                <w:sz w:val="24"/>
                <w:szCs w:val="24"/>
                <w:highlight w:val="none"/>
              </w:rPr>
            </w:pPr>
          </w:p>
        </w:tc>
      </w:tr>
      <w:tr w14:paraId="203676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0BDBEEEF">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稳定土拌和设备</w:t>
            </w:r>
          </w:p>
        </w:tc>
        <w:tc>
          <w:tcPr>
            <w:tcW w:w="3327" w:type="dxa"/>
            <w:noWrap w:val="0"/>
            <w:vAlign w:val="center"/>
          </w:tcPr>
          <w:p w14:paraId="27C1AE48">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500t/h带自动计量设备</w:t>
            </w:r>
          </w:p>
        </w:tc>
        <w:tc>
          <w:tcPr>
            <w:tcW w:w="1114" w:type="dxa"/>
            <w:noWrap w:val="0"/>
            <w:vAlign w:val="center"/>
          </w:tcPr>
          <w:p w14:paraId="1161B5F1">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台</w:t>
            </w:r>
          </w:p>
        </w:tc>
        <w:tc>
          <w:tcPr>
            <w:tcW w:w="1324" w:type="dxa"/>
            <w:noWrap w:val="0"/>
            <w:vAlign w:val="center"/>
          </w:tcPr>
          <w:p w14:paraId="61A5DF54">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0E4DA1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4D9526DF">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稳定土摊铺机</w:t>
            </w:r>
          </w:p>
        </w:tc>
        <w:tc>
          <w:tcPr>
            <w:tcW w:w="3327" w:type="dxa"/>
            <w:noWrap w:val="0"/>
            <w:vAlign w:val="center"/>
          </w:tcPr>
          <w:p w14:paraId="16FC7CF4">
            <w:pPr>
              <w:jc w:val="center"/>
              <w:rPr>
                <w:rFonts w:hint="eastAsia" w:ascii="黑体" w:hAnsi="黑体" w:eastAsia="黑体" w:cs="黑体"/>
                <w:sz w:val="24"/>
                <w:szCs w:val="24"/>
                <w:highlight w:val="none"/>
              </w:rPr>
            </w:pPr>
          </w:p>
        </w:tc>
        <w:tc>
          <w:tcPr>
            <w:tcW w:w="1114" w:type="dxa"/>
            <w:noWrap w:val="0"/>
            <w:vAlign w:val="center"/>
          </w:tcPr>
          <w:p w14:paraId="722C768F">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台</w:t>
            </w:r>
          </w:p>
        </w:tc>
        <w:tc>
          <w:tcPr>
            <w:tcW w:w="1324" w:type="dxa"/>
            <w:noWrap w:val="0"/>
            <w:vAlign w:val="center"/>
          </w:tcPr>
          <w:p w14:paraId="1C5BBA03">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48833F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38F42EB0">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W2000铣刨机</w:t>
            </w:r>
          </w:p>
        </w:tc>
        <w:tc>
          <w:tcPr>
            <w:tcW w:w="3327" w:type="dxa"/>
            <w:noWrap w:val="0"/>
            <w:vAlign w:val="center"/>
          </w:tcPr>
          <w:p w14:paraId="39C5733B">
            <w:pPr>
              <w:jc w:val="center"/>
              <w:rPr>
                <w:rFonts w:hint="eastAsia" w:ascii="黑体" w:hAnsi="黑体" w:eastAsia="黑体" w:cs="黑体"/>
                <w:sz w:val="24"/>
                <w:szCs w:val="24"/>
                <w:highlight w:val="none"/>
              </w:rPr>
            </w:pPr>
          </w:p>
        </w:tc>
        <w:tc>
          <w:tcPr>
            <w:tcW w:w="1114" w:type="dxa"/>
            <w:noWrap w:val="0"/>
            <w:vAlign w:val="center"/>
          </w:tcPr>
          <w:p w14:paraId="2C6E4B75">
            <w:pPr>
              <w:snapToGrid w:val="0"/>
              <w:jc w:val="center"/>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台</w:t>
            </w:r>
          </w:p>
        </w:tc>
        <w:tc>
          <w:tcPr>
            <w:tcW w:w="1324" w:type="dxa"/>
            <w:noWrap w:val="0"/>
            <w:vAlign w:val="center"/>
          </w:tcPr>
          <w:p w14:paraId="12AF0CEF">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1</w:t>
            </w:r>
          </w:p>
        </w:tc>
      </w:tr>
      <w:tr w14:paraId="01545D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53157035">
            <w:pPr>
              <w:jc w:val="center"/>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rPr>
              <w:t>双钢轮压路机</w:t>
            </w:r>
          </w:p>
        </w:tc>
        <w:tc>
          <w:tcPr>
            <w:tcW w:w="3327" w:type="dxa"/>
            <w:noWrap w:val="0"/>
            <w:vAlign w:val="center"/>
          </w:tcPr>
          <w:p w14:paraId="0B049428">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DD110及以上</w:t>
            </w:r>
          </w:p>
        </w:tc>
        <w:tc>
          <w:tcPr>
            <w:tcW w:w="1114" w:type="dxa"/>
            <w:noWrap w:val="0"/>
            <w:vAlign w:val="center"/>
          </w:tcPr>
          <w:p w14:paraId="3639B147">
            <w:pPr>
              <w:snapToGrid w:val="0"/>
              <w:jc w:val="center"/>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台</w:t>
            </w:r>
          </w:p>
        </w:tc>
        <w:tc>
          <w:tcPr>
            <w:tcW w:w="1324" w:type="dxa"/>
            <w:noWrap w:val="0"/>
            <w:vAlign w:val="center"/>
          </w:tcPr>
          <w:p w14:paraId="6D3C39A2">
            <w:pPr>
              <w:jc w:val="center"/>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val="en-US" w:eastAsia="zh-CN"/>
              </w:rPr>
              <w:t>1</w:t>
            </w:r>
          </w:p>
        </w:tc>
      </w:tr>
      <w:tr w14:paraId="2EA8FB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22A75862">
            <w:pPr>
              <w:jc w:val="center"/>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rPr>
              <w:t>轮胎压路机</w:t>
            </w:r>
          </w:p>
        </w:tc>
        <w:tc>
          <w:tcPr>
            <w:tcW w:w="3327" w:type="dxa"/>
            <w:noWrap w:val="0"/>
            <w:vAlign w:val="center"/>
          </w:tcPr>
          <w:p w14:paraId="47FC03F3">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XP260及以上</w:t>
            </w:r>
          </w:p>
        </w:tc>
        <w:tc>
          <w:tcPr>
            <w:tcW w:w="1114" w:type="dxa"/>
            <w:noWrap w:val="0"/>
            <w:vAlign w:val="center"/>
          </w:tcPr>
          <w:p w14:paraId="084FC82A">
            <w:pPr>
              <w:snapToGrid w:val="0"/>
              <w:jc w:val="center"/>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台</w:t>
            </w:r>
          </w:p>
        </w:tc>
        <w:tc>
          <w:tcPr>
            <w:tcW w:w="1324" w:type="dxa"/>
            <w:noWrap w:val="0"/>
            <w:vAlign w:val="center"/>
          </w:tcPr>
          <w:p w14:paraId="7E09A612">
            <w:pPr>
              <w:jc w:val="center"/>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val="en-US" w:eastAsia="zh-CN"/>
              </w:rPr>
              <w:t>1</w:t>
            </w:r>
          </w:p>
        </w:tc>
      </w:tr>
      <w:tr w14:paraId="7B307F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3DA054FC">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光轮压路机</w:t>
            </w:r>
          </w:p>
        </w:tc>
        <w:tc>
          <w:tcPr>
            <w:tcW w:w="3327" w:type="dxa"/>
            <w:noWrap w:val="0"/>
            <w:vAlign w:val="center"/>
          </w:tcPr>
          <w:p w14:paraId="2F70F2A8">
            <w:pPr>
              <w:jc w:val="center"/>
              <w:rPr>
                <w:rFonts w:hint="eastAsia" w:ascii="黑体" w:hAnsi="黑体" w:eastAsia="黑体" w:cs="黑体"/>
                <w:sz w:val="24"/>
                <w:szCs w:val="24"/>
                <w:highlight w:val="none"/>
              </w:rPr>
            </w:pPr>
          </w:p>
        </w:tc>
        <w:tc>
          <w:tcPr>
            <w:tcW w:w="1114" w:type="dxa"/>
            <w:noWrap w:val="0"/>
            <w:vAlign w:val="center"/>
          </w:tcPr>
          <w:p w14:paraId="41D9B697">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台</w:t>
            </w:r>
          </w:p>
        </w:tc>
        <w:tc>
          <w:tcPr>
            <w:tcW w:w="1324" w:type="dxa"/>
            <w:noWrap w:val="0"/>
            <w:vAlign w:val="center"/>
          </w:tcPr>
          <w:p w14:paraId="474FC589">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1</w:t>
            </w:r>
          </w:p>
        </w:tc>
      </w:tr>
      <w:tr w14:paraId="27E796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318D7FB4">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发电机组</w:t>
            </w:r>
          </w:p>
        </w:tc>
        <w:tc>
          <w:tcPr>
            <w:tcW w:w="3327" w:type="dxa"/>
            <w:noWrap w:val="0"/>
            <w:vAlign w:val="center"/>
          </w:tcPr>
          <w:p w14:paraId="049AE99C">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1200Kw及以上</w:t>
            </w:r>
          </w:p>
        </w:tc>
        <w:tc>
          <w:tcPr>
            <w:tcW w:w="1114" w:type="dxa"/>
            <w:noWrap w:val="0"/>
            <w:vAlign w:val="center"/>
          </w:tcPr>
          <w:p w14:paraId="7A8EAECF">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套</w:t>
            </w:r>
          </w:p>
        </w:tc>
        <w:tc>
          <w:tcPr>
            <w:tcW w:w="1324" w:type="dxa"/>
            <w:noWrap w:val="0"/>
            <w:vAlign w:val="center"/>
          </w:tcPr>
          <w:p w14:paraId="02B85080">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4767FC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617F2376">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发电机组</w:t>
            </w:r>
          </w:p>
        </w:tc>
        <w:tc>
          <w:tcPr>
            <w:tcW w:w="3327" w:type="dxa"/>
            <w:noWrap w:val="0"/>
            <w:vAlign w:val="center"/>
          </w:tcPr>
          <w:p w14:paraId="6DEA5750">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500Kw及以上</w:t>
            </w:r>
          </w:p>
        </w:tc>
        <w:tc>
          <w:tcPr>
            <w:tcW w:w="1114" w:type="dxa"/>
            <w:noWrap w:val="0"/>
            <w:vAlign w:val="center"/>
          </w:tcPr>
          <w:p w14:paraId="70EC6317">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套</w:t>
            </w:r>
          </w:p>
        </w:tc>
        <w:tc>
          <w:tcPr>
            <w:tcW w:w="1324" w:type="dxa"/>
            <w:noWrap w:val="0"/>
            <w:vAlign w:val="center"/>
          </w:tcPr>
          <w:p w14:paraId="0A2D601C">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1E841C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471FDCBD">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 xml:space="preserve">内交流电弧焊机 </w:t>
            </w:r>
          </w:p>
        </w:tc>
        <w:tc>
          <w:tcPr>
            <w:tcW w:w="3327" w:type="dxa"/>
            <w:noWrap w:val="0"/>
            <w:vAlign w:val="center"/>
          </w:tcPr>
          <w:p w14:paraId="0C76D429">
            <w:pPr>
              <w:snapToGrid w:val="0"/>
              <w:jc w:val="center"/>
              <w:rPr>
                <w:rFonts w:hint="eastAsia" w:ascii="黑体" w:hAnsi="黑体" w:eastAsia="黑体" w:cs="黑体"/>
                <w:sz w:val="24"/>
                <w:szCs w:val="24"/>
                <w:highlight w:val="none"/>
                <w:lang w:eastAsia="zh-CN"/>
              </w:rPr>
            </w:pPr>
          </w:p>
        </w:tc>
        <w:tc>
          <w:tcPr>
            <w:tcW w:w="1114" w:type="dxa"/>
            <w:noWrap w:val="0"/>
            <w:vAlign w:val="center"/>
          </w:tcPr>
          <w:p w14:paraId="4DA5A6B3">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eastAsia="zh-CN"/>
              </w:rPr>
              <w:t>台</w:t>
            </w:r>
          </w:p>
        </w:tc>
        <w:tc>
          <w:tcPr>
            <w:tcW w:w="1324" w:type="dxa"/>
            <w:noWrap w:val="0"/>
            <w:vAlign w:val="center"/>
          </w:tcPr>
          <w:p w14:paraId="462CF1FD">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1</w:t>
            </w:r>
          </w:p>
        </w:tc>
      </w:tr>
      <w:tr w14:paraId="33E4F6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4B837047">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清扫机</w:t>
            </w:r>
          </w:p>
        </w:tc>
        <w:tc>
          <w:tcPr>
            <w:tcW w:w="3327" w:type="dxa"/>
            <w:noWrap w:val="0"/>
            <w:vAlign w:val="center"/>
          </w:tcPr>
          <w:p w14:paraId="6020229C">
            <w:pPr>
              <w:jc w:val="center"/>
              <w:rPr>
                <w:rFonts w:hint="eastAsia" w:ascii="黑体" w:hAnsi="黑体" w:eastAsia="黑体" w:cs="黑体"/>
                <w:sz w:val="24"/>
                <w:szCs w:val="24"/>
                <w:highlight w:val="none"/>
                <w:lang w:eastAsia="zh-CN"/>
              </w:rPr>
            </w:pPr>
          </w:p>
        </w:tc>
        <w:tc>
          <w:tcPr>
            <w:tcW w:w="1114" w:type="dxa"/>
            <w:noWrap w:val="0"/>
            <w:vAlign w:val="center"/>
          </w:tcPr>
          <w:p w14:paraId="4A5C829B">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辆</w:t>
            </w:r>
          </w:p>
        </w:tc>
        <w:tc>
          <w:tcPr>
            <w:tcW w:w="1324" w:type="dxa"/>
            <w:noWrap w:val="0"/>
            <w:vAlign w:val="center"/>
          </w:tcPr>
          <w:p w14:paraId="0FD7B3CF">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1</w:t>
            </w:r>
          </w:p>
        </w:tc>
      </w:tr>
      <w:tr w14:paraId="2A544B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6D84D4DE">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开槽机</w:t>
            </w:r>
          </w:p>
        </w:tc>
        <w:tc>
          <w:tcPr>
            <w:tcW w:w="3327" w:type="dxa"/>
            <w:noWrap w:val="0"/>
            <w:vAlign w:val="center"/>
          </w:tcPr>
          <w:p w14:paraId="7A574F7F">
            <w:pPr>
              <w:snapToGrid w:val="0"/>
              <w:jc w:val="center"/>
              <w:rPr>
                <w:rFonts w:hint="eastAsia" w:ascii="黑体" w:hAnsi="黑体" w:eastAsia="黑体" w:cs="黑体"/>
                <w:sz w:val="24"/>
                <w:szCs w:val="24"/>
                <w:highlight w:val="none"/>
                <w:lang w:eastAsia="zh-CN"/>
              </w:rPr>
            </w:pPr>
          </w:p>
        </w:tc>
        <w:tc>
          <w:tcPr>
            <w:tcW w:w="1114" w:type="dxa"/>
            <w:noWrap w:val="0"/>
            <w:vAlign w:val="center"/>
          </w:tcPr>
          <w:p w14:paraId="7EF09CE0">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台</w:t>
            </w:r>
          </w:p>
        </w:tc>
        <w:tc>
          <w:tcPr>
            <w:tcW w:w="1324" w:type="dxa"/>
            <w:noWrap w:val="0"/>
            <w:vAlign w:val="center"/>
          </w:tcPr>
          <w:p w14:paraId="0F3AB879">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1</w:t>
            </w:r>
          </w:p>
        </w:tc>
      </w:tr>
      <w:tr w14:paraId="2A31F7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38FBC908">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吹风机</w:t>
            </w:r>
          </w:p>
        </w:tc>
        <w:tc>
          <w:tcPr>
            <w:tcW w:w="3327" w:type="dxa"/>
            <w:noWrap w:val="0"/>
            <w:vAlign w:val="center"/>
          </w:tcPr>
          <w:p w14:paraId="6902AB6E">
            <w:pPr>
              <w:snapToGrid w:val="0"/>
              <w:jc w:val="center"/>
              <w:rPr>
                <w:rFonts w:hint="eastAsia" w:ascii="黑体" w:hAnsi="黑体" w:eastAsia="黑体" w:cs="黑体"/>
                <w:sz w:val="24"/>
                <w:szCs w:val="24"/>
                <w:highlight w:val="none"/>
                <w:lang w:eastAsia="zh-CN"/>
              </w:rPr>
            </w:pPr>
          </w:p>
        </w:tc>
        <w:tc>
          <w:tcPr>
            <w:tcW w:w="1114" w:type="dxa"/>
            <w:noWrap w:val="0"/>
            <w:vAlign w:val="center"/>
          </w:tcPr>
          <w:p w14:paraId="2010B970">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台</w:t>
            </w:r>
          </w:p>
        </w:tc>
        <w:tc>
          <w:tcPr>
            <w:tcW w:w="1324" w:type="dxa"/>
            <w:noWrap w:val="0"/>
            <w:vAlign w:val="center"/>
          </w:tcPr>
          <w:p w14:paraId="6B4DA7F2">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1</w:t>
            </w:r>
          </w:p>
        </w:tc>
      </w:tr>
      <w:tr w14:paraId="2E99EA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76BA9492">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fldChar w:fldCharType="begin"/>
            </w:r>
            <w:r>
              <w:rPr>
                <w:rFonts w:hint="eastAsia" w:ascii="黑体" w:hAnsi="黑体" w:eastAsia="黑体" w:cs="黑体"/>
                <w:sz w:val="24"/>
                <w:szCs w:val="24"/>
                <w:highlight w:val="none"/>
                <w:lang w:val="en-US" w:eastAsia="zh-CN"/>
              </w:rPr>
              <w:instrText xml:space="preserve"> HYPERLINK "http://zxhw.qwerfv.com/content/?297.html" \o "" </w:instrText>
            </w:r>
            <w:r>
              <w:rPr>
                <w:rFonts w:hint="eastAsia" w:ascii="黑体" w:hAnsi="黑体" w:eastAsia="黑体" w:cs="黑体"/>
                <w:sz w:val="24"/>
                <w:szCs w:val="24"/>
                <w:highlight w:val="none"/>
                <w:lang w:val="en-US" w:eastAsia="zh-CN"/>
              </w:rPr>
              <w:fldChar w:fldCharType="separate"/>
            </w:r>
            <w:r>
              <w:rPr>
                <w:rFonts w:hint="eastAsia" w:ascii="黑体" w:hAnsi="黑体" w:eastAsia="黑体" w:cs="黑体"/>
                <w:sz w:val="24"/>
                <w:szCs w:val="24"/>
                <w:highlight w:val="none"/>
                <w:lang w:val="en-US" w:eastAsia="zh-CN"/>
              </w:rPr>
              <w:t xml:space="preserve">灌缝机 </w:t>
            </w:r>
            <w:r>
              <w:rPr>
                <w:rFonts w:hint="eastAsia" w:ascii="黑体" w:hAnsi="黑体" w:eastAsia="黑体" w:cs="黑体"/>
                <w:sz w:val="24"/>
                <w:szCs w:val="24"/>
                <w:highlight w:val="none"/>
                <w:lang w:val="en-US" w:eastAsia="zh-CN"/>
              </w:rPr>
              <w:fldChar w:fldCharType="end"/>
            </w:r>
          </w:p>
        </w:tc>
        <w:tc>
          <w:tcPr>
            <w:tcW w:w="3327" w:type="dxa"/>
            <w:noWrap w:val="0"/>
            <w:vAlign w:val="center"/>
          </w:tcPr>
          <w:p w14:paraId="5708699C">
            <w:pPr>
              <w:snapToGrid w:val="0"/>
              <w:jc w:val="center"/>
              <w:rPr>
                <w:rFonts w:hint="eastAsia" w:ascii="黑体" w:hAnsi="黑体" w:eastAsia="黑体" w:cs="黑体"/>
                <w:sz w:val="24"/>
                <w:szCs w:val="24"/>
                <w:highlight w:val="none"/>
                <w:lang w:eastAsia="zh-CN"/>
              </w:rPr>
            </w:pPr>
          </w:p>
        </w:tc>
        <w:tc>
          <w:tcPr>
            <w:tcW w:w="1114" w:type="dxa"/>
            <w:noWrap w:val="0"/>
            <w:vAlign w:val="center"/>
          </w:tcPr>
          <w:p w14:paraId="1F03D93A">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台</w:t>
            </w:r>
          </w:p>
        </w:tc>
        <w:tc>
          <w:tcPr>
            <w:tcW w:w="1324" w:type="dxa"/>
            <w:noWrap w:val="0"/>
            <w:vAlign w:val="center"/>
          </w:tcPr>
          <w:p w14:paraId="39F71B8D">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1</w:t>
            </w:r>
          </w:p>
        </w:tc>
      </w:tr>
      <w:tr w14:paraId="14FEA5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785" w:type="dxa"/>
            <w:gridSpan w:val="3"/>
            <w:noWrap w:val="0"/>
            <w:vAlign w:val="center"/>
          </w:tcPr>
          <w:p w14:paraId="2439586A">
            <w:pPr>
              <w:rPr>
                <w:rFonts w:hint="eastAsia" w:ascii="黑体" w:hAnsi="黑体" w:eastAsia="黑体" w:cs="黑体"/>
                <w:sz w:val="24"/>
                <w:szCs w:val="24"/>
                <w:highlight w:val="none"/>
              </w:rPr>
            </w:pPr>
            <w:r>
              <w:rPr>
                <w:rFonts w:hint="eastAsia" w:ascii="黑体" w:hAnsi="黑体" w:eastAsia="黑体" w:cs="黑体"/>
                <w:b/>
                <w:sz w:val="24"/>
                <w:szCs w:val="24"/>
                <w:highlight w:val="none"/>
                <w:lang w:val="en-US" w:eastAsia="zh-CN"/>
              </w:rPr>
              <w:t>三</w:t>
            </w:r>
            <w:r>
              <w:rPr>
                <w:rFonts w:hint="eastAsia" w:ascii="黑体" w:hAnsi="黑体" w:eastAsia="黑体" w:cs="黑体"/>
                <w:b/>
                <w:sz w:val="24"/>
                <w:szCs w:val="24"/>
                <w:highlight w:val="none"/>
              </w:rPr>
              <w:t>、土工试验检测设备</w:t>
            </w:r>
          </w:p>
        </w:tc>
        <w:tc>
          <w:tcPr>
            <w:tcW w:w="1114" w:type="dxa"/>
            <w:noWrap w:val="0"/>
            <w:vAlign w:val="center"/>
          </w:tcPr>
          <w:p w14:paraId="6C02CFAE">
            <w:pPr>
              <w:jc w:val="center"/>
              <w:rPr>
                <w:rFonts w:hint="eastAsia" w:ascii="黑体" w:hAnsi="黑体" w:eastAsia="黑体" w:cs="黑体"/>
                <w:sz w:val="24"/>
                <w:szCs w:val="24"/>
                <w:highlight w:val="none"/>
              </w:rPr>
            </w:pPr>
          </w:p>
        </w:tc>
        <w:tc>
          <w:tcPr>
            <w:tcW w:w="1324" w:type="dxa"/>
            <w:noWrap w:val="0"/>
            <w:vAlign w:val="center"/>
          </w:tcPr>
          <w:p w14:paraId="148FC5B3">
            <w:pPr>
              <w:jc w:val="center"/>
              <w:rPr>
                <w:rFonts w:hint="eastAsia" w:ascii="黑体" w:hAnsi="黑体" w:eastAsia="黑体" w:cs="黑体"/>
                <w:sz w:val="24"/>
                <w:szCs w:val="24"/>
                <w:highlight w:val="none"/>
              </w:rPr>
            </w:pPr>
          </w:p>
        </w:tc>
      </w:tr>
      <w:tr w14:paraId="6BB717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5A06C760">
            <w:pPr>
              <w:snapToGrid w:val="0"/>
              <w:jc w:val="center"/>
              <w:rPr>
                <w:rFonts w:hint="eastAsia" w:ascii="黑体" w:hAnsi="黑体" w:eastAsia="黑体" w:cs="黑体"/>
                <w:b w:val="0"/>
                <w:bCs w:val="0"/>
                <w:sz w:val="24"/>
                <w:szCs w:val="24"/>
                <w:highlight w:val="none"/>
                <w:lang w:val="en-US" w:eastAsia="zh-CN"/>
              </w:rPr>
            </w:pPr>
            <w:r>
              <w:rPr>
                <w:rFonts w:hint="eastAsia" w:ascii="黑体" w:hAnsi="黑体" w:eastAsia="黑体" w:cs="黑体"/>
                <w:b w:val="0"/>
                <w:bCs w:val="0"/>
                <w:sz w:val="24"/>
                <w:szCs w:val="24"/>
                <w:highlight w:val="none"/>
                <w:lang w:val="en-US" w:eastAsia="zh-CN"/>
              </w:rPr>
              <w:t>新标准土样筛</w:t>
            </w:r>
          </w:p>
        </w:tc>
        <w:tc>
          <w:tcPr>
            <w:tcW w:w="3327" w:type="dxa"/>
            <w:noWrap w:val="0"/>
            <w:vAlign w:val="center"/>
          </w:tcPr>
          <w:p w14:paraId="6B790437">
            <w:pPr>
              <w:jc w:val="center"/>
              <w:rPr>
                <w:rFonts w:hint="eastAsia" w:ascii="黑体" w:hAnsi="黑体" w:eastAsia="黑体" w:cs="黑体"/>
                <w:b w:val="0"/>
                <w:bCs w:val="0"/>
                <w:sz w:val="24"/>
                <w:szCs w:val="24"/>
                <w:highlight w:val="none"/>
              </w:rPr>
            </w:pPr>
          </w:p>
        </w:tc>
        <w:tc>
          <w:tcPr>
            <w:tcW w:w="1114" w:type="dxa"/>
            <w:noWrap w:val="0"/>
            <w:vAlign w:val="center"/>
          </w:tcPr>
          <w:p w14:paraId="4549A4E2">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套</w:t>
            </w:r>
          </w:p>
        </w:tc>
        <w:tc>
          <w:tcPr>
            <w:tcW w:w="1324" w:type="dxa"/>
            <w:noWrap w:val="0"/>
            <w:vAlign w:val="center"/>
          </w:tcPr>
          <w:p w14:paraId="6A0EB2A4">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1</w:t>
            </w:r>
          </w:p>
        </w:tc>
      </w:tr>
      <w:tr w14:paraId="5C9014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10C3A901">
            <w:pPr>
              <w:snapToGrid w:val="0"/>
              <w:jc w:val="center"/>
              <w:rPr>
                <w:rFonts w:hint="eastAsia" w:ascii="黑体" w:hAnsi="黑体" w:eastAsia="黑体" w:cs="黑体"/>
                <w:b w:val="0"/>
                <w:bCs w:val="0"/>
                <w:sz w:val="24"/>
                <w:szCs w:val="24"/>
                <w:highlight w:val="none"/>
                <w:lang w:val="en-US" w:eastAsia="zh-CN"/>
              </w:rPr>
            </w:pPr>
            <w:r>
              <w:rPr>
                <w:rFonts w:hint="eastAsia" w:ascii="黑体" w:hAnsi="黑体" w:eastAsia="黑体" w:cs="黑体"/>
                <w:b w:val="0"/>
                <w:bCs w:val="0"/>
                <w:sz w:val="24"/>
                <w:szCs w:val="24"/>
                <w:highlight w:val="none"/>
                <w:lang w:val="en-US" w:eastAsia="zh-CN"/>
              </w:rPr>
              <w:t>烘箱（中型）</w:t>
            </w:r>
          </w:p>
        </w:tc>
        <w:tc>
          <w:tcPr>
            <w:tcW w:w="3327" w:type="dxa"/>
            <w:noWrap w:val="0"/>
            <w:vAlign w:val="center"/>
          </w:tcPr>
          <w:p w14:paraId="4D0A3500">
            <w:pPr>
              <w:jc w:val="center"/>
              <w:rPr>
                <w:rFonts w:hint="eastAsia" w:ascii="黑体" w:hAnsi="黑体" w:eastAsia="黑体" w:cs="黑体"/>
                <w:b w:val="0"/>
                <w:bCs w:val="0"/>
                <w:sz w:val="24"/>
                <w:szCs w:val="24"/>
                <w:highlight w:val="none"/>
              </w:rPr>
            </w:pPr>
          </w:p>
        </w:tc>
        <w:tc>
          <w:tcPr>
            <w:tcW w:w="1114" w:type="dxa"/>
            <w:noWrap w:val="0"/>
            <w:vAlign w:val="center"/>
          </w:tcPr>
          <w:p w14:paraId="178BB724">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台</w:t>
            </w:r>
          </w:p>
        </w:tc>
        <w:tc>
          <w:tcPr>
            <w:tcW w:w="1324" w:type="dxa"/>
            <w:noWrap w:val="0"/>
            <w:vAlign w:val="center"/>
          </w:tcPr>
          <w:p w14:paraId="0CDF3827">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1</w:t>
            </w:r>
          </w:p>
        </w:tc>
      </w:tr>
      <w:tr w14:paraId="188044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32F07B05">
            <w:pPr>
              <w:snapToGrid w:val="0"/>
              <w:jc w:val="center"/>
              <w:rPr>
                <w:rFonts w:hint="eastAsia" w:ascii="黑体" w:hAnsi="黑体" w:eastAsia="黑体" w:cs="黑体"/>
                <w:b w:val="0"/>
                <w:bCs w:val="0"/>
                <w:sz w:val="24"/>
                <w:szCs w:val="24"/>
                <w:highlight w:val="none"/>
                <w:lang w:val="en-US" w:eastAsia="zh-CN"/>
              </w:rPr>
            </w:pPr>
            <w:r>
              <w:rPr>
                <w:rFonts w:hint="eastAsia" w:ascii="黑体" w:hAnsi="黑体" w:eastAsia="黑体" w:cs="黑体"/>
                <w:b w:val="0"/>
                <w:bCs w:val="0"/>
                <w:sz w:val="24"/>
                <w:szCs w:val="24"/>
                <w:highlight w:val="none"/>
                <w:lang w:val="en-US" w:eastAsia="zh-CN"/>
              </w:rPr>
              <w:t>光电液塑限联合测定仪</w:t>
            </w:r>
          </w:p>
        </w:tc>
        <w:tc>
          <w:tcPr>
            <w:tcW w:w="3327" w:type="dxa"/>
            <w:noWrap w:val="0"/>
            <w:vAlign w:val="center"/>
          </w:tcPr>
          <w:p w14:paraId="52A5C045">
            <w:pPr>
              <w:jc w:val="center"/>
              <w:rPr>
                <w:rFonts w:hint="eastAsia" w:ascii="黑体" w:hAnsi="黑体" w:eastAsia="黑体" w:cs="黑体"/>
                <w:b w:val="0"/>
                <w:bCs w:val="0"/>
                <w:sz w:val="24"/>
                <w:szCs w:val="24"/>
                <w:highlight w:val="none"/>
              </w:rPr>
            </w:pPr>
          </w:p>
        </w:tc>
        <w:tc>
          <w:tcPr>
            <w:tcW w:w="1114" w:type="dxa"/>
            <w:noWrap w:val="0"/>
            <w:vAlign w:val="center"/>
          </w:tcPr>
          <w:p w14:paraId="6F4F95D7">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台</w:t>
            </w:r>
          </w:p>
        </w:tc>
        <w:tc>
          <w:tcPr>
            <w:tcW w:w="1324" w:type="dxa"/>
            <w:noWrap w:val="0"/>
            <w:vAlign w:val="center"/>
          </w:tcPr>
          <w:p w14:paraId="64A50E79">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1</w:t>
            </w:r>
          </w:p>
        </w:tc>
      </w:tr>
      <w:tr w14:paraId="4F0197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18375533">
            <w:pPr>
              <w:snapToGrid w:val="0"/>
              <w:jc w:val="center"/>
              <w:rPr>
                <w:rFonts w:hint="eastAsia" w:ascii="黑体" w:hAnsi="黑体" w:eastAsia="黑体" w:cs="黑体"/>
                <w:b w:val="0"/>
                <w:bCs w:val="0"/>
                <w:sz w:val="24"/>
                <w:szCs w:val="24"/>
                <w:highlight w:val="none"/>
                <w:lang w:val="en-US" w:eastAsia="zh-CN"/>
              </w:rPr>
            </w:pPr>
            <w:r>
              <w:rPr>
                <w:rFonts w:hint="eastAsia" w:ascii="黑体" w:hAnsi="黑体" w:eastAsia="黑体" w:cs="黑体"/>
                <w:b w:val="0"/>
                <w:bCs w:val="0"/>
                <w:sz w:val="24"/>
                <w:szCs w:val="24"/>
                <w:highlight w:val="none"/>
                <w:lang w:val="en-US" w:eastAsia="zh-CN"/>
              </w:rPr>
              <w:t>电动击实仪（重型）</w:t>
            </w:r>
          </w:p>
        </w:tc>
        <w:tc>
          <w:tcPr>
            <w:tcW w:w="3327" w:type="dxa"/>
            <w:noWrap w:val="0"/>
            <w:vAlign w:val="center"/>
          </w:tcPr>
          <w:p w14:paraId="7B4CAA45">
            <w:pPr>
              <w:jc w:val="center"/>
              <w:rPr>
                <w:rFonts w:hint="eastAsia" w:ascii="黑体" w:hAnsi="黑体" w:eastAsia="黑体" w:cs="黑体"/>
                <w:b w:val="0"/>
                <w:bCs w:val="0"/>
                <w:sz w:val="24"/>
                <w:szCs w:val="24"/>
                <w:highlight w:val="none"/>
              </w:rPr>
            </w:pPr>
          </w:p>
        </w:tc>
        <w:tc>
          <w:tcPr>
            <w:tcW w:w="1114" w:type="dxa"/>
            <w:noWrap w:val="0"/>
            <w:vAlign w:val="center"/>
          </w:tcPr>
          <w:p w14:paraId="430951B8">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台</w:t>
            </w:r>
          </w:p>
        </w:tc>
        <w:tc>
          <w:tcPr>
            <w:tcW w:w="1324" w:type="dxa"/>
            <w:noWrap w:val="0"/>
            <w:vAlign w:val="center"/>
          </w:tcPr>
          <w:p w14:paraId="02744217">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1</w:t>
            </w:r>
          </w:p>
        </w:tc>
      </w:tr>
      <w:tr w14:paraId="3858D3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0E4B53E7">
            <w:pPr>
              <w:snapToGrid w:val="0"/>
              <w:jc w:val="center"/>
              <w:rPr>
                <w:rFonts w:hint="eastAsia" w:ascii="黑体" w:hAnsi="黑体" w:eastAsia="黑体" w:cs="黑体"/>
                <w:b w:val="0"/>
                <w:bCs w:val="0"/>
                <w:sz w:val="24"/>
                <w:szCs w:val="24"/>
                <w:highlight w:val="none"/>
                <w:lang w:val="en-US" w:eastAsia="zh-CN"/>
              </w:rPr>
            </w:pPr>
            <w:r>
              <w:rPr>
                <w:rFonts w:hint="eastAsia" w:ascii="黑体" w:hAnsi="黑体" w:eastAsia="黑体" w:cs="黑体"/>
                <w:b w:val="0"/>
                <w:bCs w:val="0"/>
                <w:sz w:val="24"/>
                <w:szCs w:val="24"/>
                <w:highlight w:val="none"/>
                <w:lang w:val="en-US" w:eastAsia="zh-CN"/>
              </w:rPr>
              <w:t>多功能脱模器</w:t>
            </w:r>
          </w:p>
        </w:tc>
        <w:tc>
          <w:tcPr>
            <w:tcW w:w="3327" w:type="dxa"/>
            <w:noWrap w:val="0"/>
            <w:vAlign w:val="center"/>
          </w:tcPr>
          <w:p w14:paraId="604DD936">
            <w:pPr>
              <w:jc w:val="center"/>
              <w:rPr>
                <w:rFonts w:hint="eastAsia" w:ascii="黑体" w:hAnsi="黑体" w:eastAsia="黑体" w:cs="黑体"/>
                <w:b w:val="0"/>
                <w:bCs w:val="0"/>
                <w:sz w:val="24"/>
                <w:szCs w:val="24"/>
                <w:highlight w:val="none"/>
              </w:rPr>
            </w:pPr>
            <w:r>
              <w:rPr>
                <w:rFonts w:hint="eastAsia" w:ascii="黑体" w:hAnsi="黑体" w:eastAsia="黑体" w:cs="黑体"/>
                <w:b w:val="0"/>
                <w:bCs w:val="0"/>
                <w:sz w:val="24"/>
                <w:szCs w:val="24"/>
                <w:highlight w:val="none"/>
                <w:lang w:val="en-US" w:eastAsia="zh-CN"/>
              </w:rPr>
              <w:t>液压500T</w:t>
            </w:r>
          </w:p>
        </w:tc>
        <w:tc>
          <w:tcPr>
            <w:tcW w:w="1114" w:type="dxa"/>
            <w:noWrap w:val="0"/>
            <w:vAlign w:val="center"/>
          </w:tcPr>
          <w:p w14:paraId="3248A4AA">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台</w:t>
            </w:r>
          </w:p>
        </w:tc>
        <w:tc>
          <w:tcPr>
            <w:tcW w:w="1324" w:type="dxa"/>
            <w:noWrap w:val="0"/>
            <w:vAlign w:val="center"/>
          </w:tcPr>
          <w:p w14:paraId="685E2399">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1</w:t>
            </w:r>
          </w:p>
        </w:tc>
      </w:tr>
      <w:tr w14:paraId="255322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7F33E325">
            <w:pPr>
              <w:snapToGrid w:val="0"/>
              <w:jc w:val="center"/>
              <w:rPr>
                <w:rFonts w:hint="eastAsia" w:ascii="黑体" w:hAnsi="黑体" w:eastAsia="黑体" w:cs="黑体"/>
                <w:b w:val="0"/>
                <w:bCs w:val="0"/>
                <w:sz w:val="24"/>
                <w:szCs w:val="24"/>
                <w:highlight w:val="none"/>
                <w:lang w:val="en-US" w:eastAsia="zh-CN"/>
              </w:rPr>
            </w:pPr>
            <w:r>
              <w:rPr>
                <w:rFonts w:hint="eastAsia" w:ascii="黑体" w:hAnsi="黑体" w:eastAsia="黑体" w:cs="黑体"/>
                <w:b w:val="0"/>
                <w:bCs w:val="0"/>
                <w:sz w:val="24"/>
                <w:szCs w:val="24"/>
                <w:highlight w:val="none"/>
                <w:lang w:val="en-US" w:eastAsia="zh-CN"/>
              </w:rPr>
              <w:t>CBR试验装置</w:t>
            </w:r>
          </w:p>
        </w:tc>
        <w:tc>
          <w:tcPr>
            <w:tcW w:w="3327" w:type="dxa"/>
            <w:noWrap w:val="0"/>
            <w:vAlign w:val="center"/>
          </w:tcPr>
          <w:p w14:paraId="28546F34">
            <w:pPr>
              <w:jc w:val="center"/>
              <w:rPr>
                <w:rFonts w:hint="eastAsia" w:ascii="黑体" w:hAnsi="黑体" w:eastAsia="黑体" w:cs="黑体"/>
                <w:b w:val="0"/>
                <w:bCs w:val="0"/>
                <w:sz w:val="24"/>
                <w:szCs w:val="24"/>
                <w:highlight w:val="none"/>
              </w:rPr>
            </w:pPr>
          </w:p>
        </w:tc>
        <w:tc>
          <w:tcPr>
            <w:tcW w:w="1114" w:type="dxa"/>
            <w:noWrap w:val="0"/>
            <w:vAlign w:val="center"/>
          </w:tcPr>
          <w:p w14:paraId="09CFCCFD">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套</w:t>
            </w:r>
          </w:p>
        </w:tc>
        <w:tc>
          <w:tcPr>
            <w:tcW w:w="1324" w:type="dxa"/>
            <w:noWrap w:val="0"/>
            <w:vAlign w:val="center"/>
          </w:tcPr>
          <w:p w14:paraId="461F6911">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1</w:t>
            </w:r>
          </w:p>
        </w:tc>
      </w:tr>
      <w:tr w14:paraId="37BE86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720460A7">
            <w:pPr>
              <w:snapToGrid w:val="0"/>
              <w:jc w:val="center"/>
              <w:rPr>
                <w:rFonts w:hint="eastAsia" w:ascii="黑体" w:hAnsi="黑体" w:eastAsia="黑体" w:cs="黑体"/>
                <w:b w:val="0"/>
                <w:bCs w:val="0"/>
                <w:sz w:val="24"/>
                <w:szCs w:val="24"/>
                <w:highlight w:val="none"/>
                <w:lang w:val="en-US" w:eastAsia="zh-CN"/>
              </w:rPr>
            </w:pPr>
            <w:r>
              <w:rPr>
                <w:rFonts w:hint="eastAsia" w:ascii="黑体" w:hAnsi="黑体" w:eastAsia="黑体" w:cs="黑体"/>
                <w:b w:val="0"/>
                <w:bCs w:val="0"/>
                <w:sz w:val="24"/>
                <w:szCs w:val="24"/>
                <w:highlight w:val="none"/>
                <w:lang w:val="en-US" w:eastAsia="zh-CN"/>
              </w:rPr>
              <w:t>电子天平</w:t>
            </w:r>
          </w:p>
        </w:tc>
        <w:tc>
          <w:tcPr>
            <w:tcW w:w="3327" w:type="dxa"/>
            <w:noWrap w:val="0"/>
            <w:vAlign w:val="center"/>
          </w:tcPr>
          <w:p w14:paraId="2344F9DB">
            <w:pPr>
              <w:jc w:val="center"/>
              <w:rPr>
                <w:rFonts w:hint="eastAsia" w:ascii="黑体" w:hAnsi="黑体" w:eastAsia="黑体" w:cs="黑体"/>
                <w:b w:val="0"/>
                <w:bCs w:val="0"/>
                <w:sz w:val="24"/>
                <w:szCs w:val="24"/>
                <w:highlight w:val="none"/>
              </w:rPr>
            </w:pPr>
            <w:r>
              <w:rPr>
                <w:rFonts w:hint="eastAsia" w:ascii="黑体" w:hAnsi="黑体" w:eastAsia="黑体" w:cs="黑体"/>
                <w:b w:val="0"/>
                <w:bCs w:val="0"/>
                <w:sz w:val="24"/>
                <w:szCs w:val="24"/>
                <w:highlight w:val="none"/>
                <w:lang w:val="en-US" w:eastAsia="zh-CN"/>
              </w:rPr>
              <w:t>200g、500g、1Kg、15Kg</w:t>
            </w:r>
          </w:p>
        </w:tc>
        <w:tc>
          <w:tcPr>
            <w:tcW w:w="1114" w:type="dxa"/>
            <w:noWrap w:val="0"/>
            <w:vAlign w:val="center"/>
          </w:tcPr>
          <w:p w14:paraId="4699A70F">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台</w:t>
            </w:r>
          </w:p>
        </w:tc>
        <w:tc>
          <w:tcPr>
            <w:tcW w:w="1324" w:type="dxa"/>
            <w:noWrap w:val="0"/>
            <w:vAlign w:val="center"/>
          </w:tcPr>
          <w:p w14:paraId="4DC8A32A">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各1</w:t>
            </w:r>
          </w:p>
        </w:tc>
      </w:tr>
      <w:tr w14:paraId="7C2BCE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10DE1874">
            <w:pPr>
              <w:snapToGrid w:val="0"/>
              <w:jc w:val="center"/>
              <w:rPr>
                <w:rFonts w:hint="eastAsia" w:ascii="黑体" w:hAnsi="黑体" w:eastAsia="黑体" w:cs="黑体"/>
                <w:b w:val="0"/>
                <w:bCs w:val="0"/>
                <w:sz w:val="24"/>
                <w:szCs w:val="24"/>
                <w:highlight w:val="none"/>
                <w:lang w:val="en-US" w:eastAsia="zh-CN"/>
              </w:rPr>
            </w:pPr>
            <w:r>
              <w:rPr>
                <w:rFonts w:hint="eastAsia" w:ascii="黑体" w:hAnsi="黑体" w:eastAsia="黑体" w:cs="黑体"/>
                <w:b w:val="0"/>
                <w:bCs w:val="0"/>
                <w:sz w:val="24"/>
                <w:szCs w:val="24"/>
                <w:highlight w:val="none"/>
                <w:lang w:val="en-US" w:eastAsia="zh-CN"/>
              </w:rPr>
              <w:t>手动击实仪（重型）大、小</w:t>
            </w:r>
          </w:p>
        </w:tc>
        <w:tc>
          <w:tcPr>
            <w:tcW w:w="3327" w:type="dxa"/>
            <w:noWrap w:val="0"/>
            <w:vAlign w:val="center"/>
          </w:tcPr>
          <w:p w14:paraId="69294DD7">
            <w:pPr>
              <w:jc w:val="center"/>
              <w:rPr>
                <w:rFonts w:hint="eastAsia" w:ascii="黑体" w:hAnsi="黑体" w:eastAsia="黑体" w:cs="黑体"/>
                <w:b w:val="0"/>
                <w:bCs w:val="0"/>
                <w:sz w:val="24"/>
                <w:szCs w:val="24"/>
                <w:highlight w:val="none"/>
              </w:rPr>
            </w:pPr>
          </w:p>
        </w:tc>
        <w:tc>
          <w:tcPr>
            <w:tcW w:w="1114" w:type="dxa"/>
            <w:noWrap w:val="0"/>
            <w:vAlign w:val="center"/>
          </w:tcPr>
          <w:p w14:paraId="0070418E">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台</w:t>
            </w:r>
          </w:p>
        </w:tc>
        <w:tc>
          <w:tcPr>
            <w:tcW w:w="1324" w:type="dxa"/>
            <w:noWrap w:val="0"/>
            <w:vAlign w:val="center"/>
          </w:tcPr>
          <w:p w14:paraId="47A1EF5D">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各1</w:t>
            </w:r>
          </w:p>
        </w:tc>
      </w:tr>
      <w:tr w14:paraId="4F4FB3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40FCDDDF">
            <w:pPr>
              <w:snapToGrid w:val="0"/>
              <w:jc w:val="center"/>
              <w:rPr>
                <w:rFonts w:hint="eastAsia" w:ascii="黑体" w:hAnsi="黑体" w:eastAsia="黑体" w:cs="黑体"/>
                <w:b w:val="0"/>
                <w:bCs w:val="0"/>
                <w:sz w:val="24"/>
                <w:szCs w:val="24"/>
                <w:highlight w:val="none"/>
                <w:lang w:val="en-US" w:eastAsia="zh-CN"/>
              </w:rPr>
            </w:pPr>
            <w:r>
              <w:rPr>
                <w:rFonts w:hint="eastAsia" w:ascii="黑体" w:hAnsi="黑体" w:eastAsia="黑体" w:cs="黑体"/>
                <w:b w:val="0"/>
                <w:bCs w:val="0"/>
                <w:sz w:val="24"/>
                <w:szCs w:val="24"/>
                <w:highlight w:val="none"/>
                <w:lang w:val="en-US" w:eastAsia="zh-CN"/>
              </w:rPr>
              <w:t>比重瓶</w:t>
            </w:r>
          </w:p>
        </w:tc>
        <w:tc>
          <w:tcPr>
            <w:tcW w:w="3327" w:type="dxa"/>
            <w:noWrap w:val="0"/>
            <w:vAlign w:val="center"/>
          </w:tcPr>
          <w:p w14:paraId="5E98AAB4">
            <w:pPr>
              <w:jc w:val="center"/>
              <w:rPr>
                <w:rFonts w:hint="eastAsia" w:ascii="黑体" w:hAnsi="黑体" w:eastAsia="黑体" w:cs="黑体"/>
                <w:b w:val="0"/>
                <w:bCs w:val="0"/>
                <w:sz w:val="24"/>
                <w:szCs w:val="24"/>
                <w:highlight w:val="none"/>
              </w:rPr>
            </w:pPr>
          </w:p>
        </w:tc>
        <w:tc>
          <w:tcPr>
            <w:tcW w:w="1114" w:type="dxa"/>
            <w:noWrap w:val="0"/>
            <w:vAlign w:val="center"/>
          </w:tcPr>
          <w:p w14:paraId="2ABD9028">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台</w:t>
            </w:r>
          </w:p>
        </w:tc>
        <w:tc>
          <w:tcPr>
            <w:tcW w:w="1324" w:type="dxa"/>
            <w:noWrap w:val="0"/>
            <w:vAlign w:val="center"/>
          </w:tcPr>
          <w:p w14:paraId="415F964E">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lang w:eastAsia="zh-CN"/>
              </w:rPr>
            </w:pPr>
            <w:r>
              <w:rPr>
                <w:rFonts w:hint="eastAsia" w:ascii="黑体" w:hAnsi="黑体" w:eastAsia="黑体" w:cs="黑体"/>
                <w:b w:val="0"/>
                <w:bCs w:val="0"/>
                <w:highlight w:val="none"/>
                <w:lang w:val="en-US" w:eastAsia="zh-CN"/>
              </w:rPr>
              <w:t>2</w:t>
            </w:r>
          </w:p>
        </w:tc>
      </w:tr>
      <w:tr w14:paraId="03AE7E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4E79CAE8">
            <w:pPr>
              <w:snapToGrid w:val="0"/>
              <w:jc w:val="center"/>
              <w:rPr>
                <w:rFonts w:hint="eastAsia" w:ascii="黑体" w:hAnsi="黑体" w:eastAsia="黑体" w:cs="黑体"/>
                <w:b w:val="0"/>
                <w:bCs w:val="0"/>
                <w:sz w:val="24"/>
                <w:szCs w:val="24"/>
                <w:highlight w:val="none"/>
                <w:lang w:val="en-US" w:eastAsia="zh-CN"/>
              </w:rPr>
            </w:pPr>
            <w:r>
              <w:rPr>
                <w:rFonts w:hint="eastAsia" w:ascii="黑体" w:hAnsi="黑体" w:eastAsia="黑体" w:cs="黑体"/>
                <w:b w:val="0"/>
                <w:bCs w:val="0"/>
                <w:sz w:val="24"/>
                <w:szCs w:val="24"/>
                <w:highlight w:val="none"/>
                <w:lang w:val="en-US" w:eastAsia="zh-CN"/>
              </w:rPr>
              <w:t>比重计</w:t>
            </w:r>
          </w:p>
        </w:tc>
        <w:tc>
          <w:tcPr>
            <w:tcW w:w="3327" w:type="dxa"/>
            <w:noWrap w:val="0"/>
            <w:vAlign w:val="center"/>
          </w:tcPr>
          <w:p w14:paraId="1CEA5E28">
            <w:pPr>
              <w:jc w:val="center"/>
              <w:rPr>
                <w:rFonts w:hint="eastAsia" w:ascii="黑体" w:hAnsi="黑体" w:eastAsia="黑体" w:cs="黑体"/>
                <w:b w:val="0"/>
                <w:bCs w:val="0"/>
                <w:sz w:val="24"/>
                <w:szCs w:val="24"/>
                <w:highlight w:val="none"/>
              </w:rPr>
            </w:pPr>
          </w:p>
        </w:tc>
        <w:tc>
          <w:tcPr>
            <w:tcW w:w="1114" w:type="dxa"/>
            <w:noWrap w:val="0"/>
            <w:vAlign w:val="center"/>
          </w:tcPr>
          <w:p w14:paraId="21790684">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台</w:t>
            </w:r>
          </w:p>
        </w:tc>
        <w:tc>
          <w:tcPr>
            <w:tcW w:w="1324" w:type="dxa"/>
            <w:noWrap w:val="0"/>
            <w:vAlign w:val="center"/>
          </w:tcPr>
          <w:p w14:paraId="466ADCE8">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lang w:eastAsia="zh-CN"/>
              </w:rPr>
            </w:pPr>
            <w:r>
              <w:rPr>
                <w:rFonts w:hint="eastAsia" w:ascii="黑体" w:hAnsi="黑体" w:eastAsia="黑体" w:cs="黑体"/>
                <w:b w:val="0"/>
                <w:bCs w:val="0"/>
                <w:highlight w:val="none"/>
                <w:lang w:val="en-US" w:eastAsia="zh-CN"/>
              </w:rPr>
              <w:t>2</w:t>
            </w:r>
          </w:p>
        </w:tc>
      </w:tr>
      <w:tr w14:paraId="639F6D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443E7629">
            <w:pPr>
              <w:snapToGrid w:val="0"/>
              <w:jc w:val="center"/>
              <w:rPr>
                <w:rFonts w:hint="eastAsia" w:ascii="黑体" w:hAnsi="黑体" w:eastAsia="黑体" w:cs="黑体"/>
                <w:b w:val="0"/>
                <w:bCs w:val="0"/>
                <w:sz w:val="24"/>
                <w:szCs w:val="24"/>
                <w:highlight w:val="none"/>
                <w:lang w:val="en-US" w:eastAsia="zh-CN"/>
              </w:rPr>
            </w:pPr>
            <w:r>
              <w:rPr>
                <w:rFonts w:hint="eastAsia" w:ascii="黑体" w:hAnsi="黑体" w:eastAsia="黑体" w:cs="黑体"/>
                <w:b w:val="0"/>
                <w:bCs w:val="0"/>
                <w:sz w:val="24"/>
                <w:szCs w:val="24"/>
                <w:highlight w:val="none"/>
                <w:lang w:val="en-US" w:eastAsia="zh-CN"/>
              </w:rPr>
              <w:t>振动压实仪</w:t>
            </w:r>
          </w:p>
        </w:tc>
        <w:tc>
          <w:tcPr>
            <w:tcW w:w="3327" w:type="dxa"/>
            <w:noWrap w:val="0"/>
            <w:vAlign w:val="center"/>
          </w:tcPr>
          <w:p w14:paraId="4AF4648D">
            <w:pPr>
              <w:jc w:val="center"/>
              <w:rPr>
                <w:rFonts w:hint="eastAsia" w:ascii="黑体" w:hAnsi="黑体" w:eastAsia="黑体" w:cs="黑体"/>
                <w:b w:val="0"/>
                <w:bCs w:val="0"/>
                <w:sz w:val="24"/>
                <w:szCs w:val="24"/>
                <w:highlight w:val="none"/>
              </w:rPr>
            </w:pPr>
          </w:p>
        </w:tc>
        <w:tc>
          <w:tcPr>
            <w:tcW w:w="1114" w:type="dxa"/>
            <w:noWrap w:val="0"/>
            <w:vAlign w:val="center"/>
          </w:tcPr>
          <w:p w14:paraId="24545103">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台</w:t>
            </w:r>
          </w:p>
        </w:tc>
        <w:tc>
          <w:tcPr>
            <w:tcW w:w="1324" w:type="dxa"/>
            <w:noWrap w:val="0"/>
            <w:vAlign w:val="center"/>
          </w:tcPr>
          <w:p w14:paraId="558B94A9">
            <w:pPr>
              <w:keepNext w:val="0"/>
              <w:keepLines w:val="0"/>
              <w:widowControl/>
              <w:suppressLineNumbers w:val="0"/>
              <w:spacing w:before="0" w:beforeAutospacing="0" w:after="0" w:afterAutospacing="0"/>
              <w:ind w:left="0" w:leftChars="0" w:right="0" w:rightChars="0"/>
              <w:jc w:val="center"/>
              <w:rPr>
                <w:rFonts w:hint="eastAsia" w:ascii="黑体" w:hAnsi="黑体" w:eastAsia="黑体" w:cs="黑体"/>
                <w:b w:val="0"/>
                <w:bCs w:val="0"/>
                <w:sz w:val="24"/>
                <w:szCs w:val="24"/>
                <w:highlight w:val="none"/>
              </w:rPr>
            </w:pPr>
            <w:r>
              <w:rPr>
                <w:rFonts w:hint="eastAsia" w:ascii="黑体" w:hAnsi="黑体" w:eastAsia="黑体" w:cs="黑体"/>
                <w:b w:val="0"/>
                <w:bCs w:val="0"/>
                <w:highlight w:val="none"/>
              </w:rPr>
              <w:t>1</w:t>
            </w:r>
          </w:p>
        </w:tc>
      </w:tr>
      <w:tr w14:paraId="6EEEEB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785" w:type="dxa"/>
            <w:gridSpan w:val="3"/>
            <w:noWrap w:val="0"/>
            <w:vAlign w:val="center"/>
          </w:tcPr>
          <w:p w14:paraId="775C9984">
            <w:pPr>
              <w:rPr>
                <w:rFonts w:hint="eastAsia" w:ascii="黑体" w:hAnsi="黑体" w:eastAsia="黑体" w:cs="黑体"/>
                <w:sz w:val="24"/>
                <w:szCs w:val="24"/>
                <w:highlight w:val="none"/>
              </w:rPr>
            </w:pPr>
            <w:r>
              <w:rPr>
                <w:rFonts w:hint="eastAsia" w:ascii="黑体" w:hAnsi="黑体" w:eastAsia="黑体" w:cs="黑体"/>
                <w:b/>
                <w:sz w:val="24"/>
                <w:szCs w:val="24"/>
                <w:highlight w:val="none"/>
                <w:lang w:val="en-US" w:eastAsia="zh-CN"/>
              </w:rPr>
              <w:t>四</w:t>
            </w:r>
            <w:r>
              <w:rPr>
                <w:rFonts w:hint="eastAsia" w:ascii="黑体" w:hAnsi="黑体" w:eastAsia="黑体" w:cs="黑体"/>
                <w:b/>
                <w:sz w:val="24"/>
                <w:szCs w:val="24"/>
                <w:highlight w:val="none"/>
              </w:rPr>
              <w:t>、集料试验检测设备</w:t>
            </w:r>
          </w:p>
        </w:tc>
        <w:tc>
          <w:tcPr>
            <w:tcW w:w="1114" w:type="dxa"/>
            <w:noWrap w:val="0"/>
            <w:vAlign w:val="center"/>
          </w:tcPr>
          <w:p w14:paraId="3CD65198">
            <w:pPr>
              <w:jc w:val="center"/>
              <w:rPr>
                <w:rFonts w:hint="eastAsia" w:ascii="黑体" w:hAnsi="黑体" w:eastAsia="黑体" w:cs="黑体"/>
                <w:sz w:val="24"/>
                <w:szCs w:val="24"/>
                <w:highlight w:val="none"/>
              </w:rPr>
            </w:pPr>
          </w:p>
        </w:tc>
        <w:tc>
          <w:tcPr>
            <w:tcW w:w="1324" w:type="dxa"/>
            <w:noWrap w:val="0"/>
            <w:vAlign w:val="center"/>
          </w:tcPr>
          <w:p w14:paraId="4171EC91">
            <w:pPr>
              <w:jc w:val="center"/>
              <w:rPr>
                <w:rFonts w:hint="eastAsia" w:ascii="黑体" w:hAnsi="黑体" w:eastAsia="黑体" w:cs="黑体"/>
                <w:sz w:val="24"/>
                <w:szCs w:val="24"/>
                <w:highlight w:val="none"/>
              </w:rPr>
            </w:pPr>
          </w:p>
        </w:tc>
      </w:tr>
      <w:tr w14:paraId="26E4A1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03342AE7">
            <w:pPr>
              <w:pStyle w:val="48"/>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磅秤</w:t>
            </w:r>
          </w:p>
        </w:tc>
        <w:tc>
          <w:tcPr>
            <w:tcW w:w="3327" w:type="dxa"/>
            <w:noWrap w:val="0"/>
            <w:vAlign w:val="center"/>
          </w:tcPr>
          <w:p w14:paraId="488F0C97">
            <w:pPr>
              <w:snapToGrid w:val="0"/>
              <w:jc w:val="center"/>
              <w:rPr>
                <w:rFonts w:hint="eastAsia" w:ascii="黑体" w:hAnsi="黑体" w:eastAsia="黑体" w:cs="黑体"/>
                <w:sz w:val="24"/>
                <w:szCs w:val="24"/>
                <w:highlight w:val="none"/>
              </w:rPr>
            </w:pPr>
          </w:p>
        </w:tc>
        <w:tc>
          <w:tcPr>
            <w:tcW w:w="1114" w:type="dxa"/>
            <w:noWrap w:val="0"/>
            <w:vAlign w:val="center"/>
          </w:tcPr>
          <w:p w14:paraId="66E7D76F">
            <w:pPr>
              <w:pStyle w:val="48"/>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台</w:t>
            </w:r>
          </w:p>
        </w:tc>
        <w:tc>
          <w:tcPr>
            <w:tcW w:w="1324" w:type="dxa"/>
            <w:noWrap w:val="0"/>
            <w:vAlign w:val="center"/>
          </w:tcPr>
          <w:p w14:paraId="3A9B1EF7">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3F5AC8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4828B89E">
            <w:pPr>
              <w:pStyle w:val="49"/>
              <w:snapToGrid w:val="0"/>
              <w:spacing w:before="0" w:beforeAutospacing="0" w:after="0" w:afterAutospacing="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容积升</w:t>
            </w:r>
          </w:p>
        </w:tc>
        <w:tc>
          <w:tcPr>
            <w:tcW w:w="3327" w:type="dxa"/>
            <w:noWrap w:val="0"/>
            <w:vAlign w:val="center"/>
          </w:tcPr>
          <w:p w14:paraId="53460AD5">
            <w:pPr>
              <w:snapToGrid w:val="0"/>
              <w:jc w:val="center"/>
              <w:rPr>
                <w:rFonts w:hint="eastAsia" w:ascii="黑体" w:hAnsi="黑体" w:eastAsia="黑体" w:cs="黑体"/>
                <w:sz w:val="24"/>
                <w:szCs w:val="24"/>
                <w:highlight w:val="none"/>
              </w:rPr>
            </w:pPr>
          </w:p>
        </w:tc>
        <w:tc>
          <w:tcPr>
            <w:tcW w:w="1114" w:type="dxa"/>
            <w:noWrap w:val="0"/>
            <w:vAlign w:val="center"/>
          </w:tcPr>
          <w:p w14:paraId="199F79BA">
            <w:pPr>
              <w:pStyle w:val="50"/>
              <w:adjustRightInd/>
              <w:snapToGrid w:val="0"/>
              <w:spacing w:line="240" w:lineRule="auto"/>
              <w:ind w:left="0" w:right="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套</w:t>
            </w:r>
          </w:p>
        </w:tc>
        <w:tc>
          <w:tcPr>
            <w:tcW w:w="1324" w:type="dxa"/>
            <w:noWrap w:val="0"/>
            <w:vAlign w:val="center"/>
          </w:tcPr>
          <w:p w14:paraId="6DEA7B3E">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7D1E61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1BB5F822">
            <w:pPr>
              <w:pStyle w:val="49"/>
              <w:snapToGrid w:val="0"/>
              <w:spacing w:before="0" w:beforeAutospacing="0" w:after="0" w:afterAutospacing="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压碎指标值测定仪</w:t>
            </w:r>
          </w:p>
        </w:tc>
        <w:tc>
          <w:tcPr>
            <w:tcW w:w="3327" w:type="dxa"/>
            <w:noWrap w:val="0"/>
            <w:vAlign w:val="center"/>
          </w:tcPr>
          <w:p w14:paraId="3228F57D">
            <w:pPr>
              <w:snapToGrid w:val="0"/>
              <w:jc w:val="center"/>
              <w:rPr>
                <w:rFonts w:hint="eastAsia" w:ascii="黑体" w:hAnsi="黑体" w:eastAsia="黑体" w:cs="黑体"/>
                <w:sz w:val="24"/>
                <w:szCs w:val="24"/>
                <w:highlight w:val="none"/>
              </w:rPr>
            </w:pPr>
          </w:p>
        </w:tc>
        <w:tc>
          <w:tcPr>
            <w:tcW w:w="1114" w:type="dxa"/>
            <w:noWrap w:val="0"/>
            <w:vAlign w:val="center"/>
          </w:tcPr>
          <w:p w14:paraId="53DB9987">
            <w:pPr>
              <w:pStyle w:val="50"/>
              <w:adjustRightInd/>
              <w:snapToGrid w:val="0"/>
              <w:spacing w:line="240" w:lineRule="auto"/>
              <w:ind w:left="0" w:right="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台</w:t>
            </w:r>
          </w:p>
        </w:tc>
        <w:tc>
          <w:tcPr>
            <w:tcW w:w="1324" w:type="dxa"/>
            <w:noWrap w:val="0"/>
            <w:vAlign w:val="center"/>
          </w:tcPr>
          <w:p w14:paraId="7ABCDDB9">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449B75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189788F8">
            <w:pPr>
              <w:pStyle w:val="48"/>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压力机</w:t>
            </w:r>
          </w:p>
        </w:tc>
        <w:tc>
          <w:tcPr>
            <w:tcW w:w="3327" w:type="dxa"/>
            <w:noWrap w:val="0"/>
            <w:vAlign w:val="center"/>
          </w:tcPr>
          <w:p w14:paraId="18D092D8">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2000KN（电脑数显）</w:t>
            </w:r>
          </w:p>
        </w:tc>
        <w:tc>
          <w:tcPr>
            <w:tcW w:w="1114" w:type="dxa"/>
            <w:noWrap w:val="0"/>
            <w:vAlign w:val="center"/>
          </w:tcPr>
          <w:p w14:paraId="25D87FDD">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台</w:t>
            </w:r>
          </w:p>
        </w:tc>
        <w:tc>
          <w:tcPr>
            <w:tcW w:w="1324" w:type="dxa"/>
            <w:noWrap w:val="0"/>
            <w:vAlign w:val="center"/>
          </w:tcPr>
          <w:p w14:paraId="0289BC02">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20D112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166E55A7">
            <w:pPr>
              <w:pStyle w:val="48"/>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洛杉矶磨耗机</w:t>
            </w:r>
          </w:p>
        </w:tc>
        <w:tc>
          <w:tcPr>
            <w:tcW w:w="3327" w:type="dxa"/>
            <w:noWrap w:val="0"/>
            <w:vAlign w:val="center"/>
          </w:tcPr>
          <w:p w14:paraId="14F31ECE">
            <w:pPr>
              <w:snapToGrid w:val="0"/>
              <w:jc w:val="center"/>
              <w:rPr>
                <w:rFonts w:hint="eastAsia" w:ascii="黑体" w:hAnsi="黑体" w:eastAsia="黑体" w:cs="黑体"/>
                <w:sz w:val="24"/>
                <w:szCs w:val="24"/>
                <w:highlight w:val="none"/>
              </w:rPr>
            </w:pPr>
          </w:p>
        </w:tc>
        <w:tc>
          <w:tcPr>
            <w:tcW w:w="1114" w:type="dxa"/>
            <w:noWrap w:val="0"/>
            <w:vAlign w:val="center"/>
          </w:tcPr>
          <w:p w14:paraId="748A3D7D">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台</w:t>
            </w:r>
          </w:p>
        </w:tc>
        <w:tc>
          <w:tcPr>
            <w:tcW w:w="1324" w:type="dxa"/>
            <w:noWrap w:val="0"/>
            <w:vAlign w:val="center"/>
          </w:tcPr>
          <w:p w14:paraId="4C58EF11">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799B1E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00801369">
            <w:pPr>
              <w:pStyle w:val="48"/>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针片状规准仪</w:t>
            </w:r>
          </w:p>
        </w:tc>
        <w:tc>
          <w:tcPr>
            <w:tcW w:w="3327" w:type="dxa"/>
            <w:noWrap w:val="0"/>
            <w:vAlign w:val="center"/>
          </w:tcPr>
          <w:p w14:paraId="46C5292B">
            <w:pPr>
              <w:snapToGrid w:val="0"/>
              <w:jc w:val="center"/>
              <w:rPr>
                <w:rFonts w:hint="eastAsia" w:ascii="黑体" w:hAnsi="黑体" w:eastAsia="黑体" w:cs="黑体"/>
                <w:sz w:val="24"/>
                <w:szCs w:val="24"/>
                <w:highlight w:val="none"/>
              </w:rPr>
            </w:pPr>
          </w:p>
        </w:tc>
        <w:tc>
          <w:tcPr>
            <w:tcW w:w="1114" w:type="dxa"/>
            <w:noWrap w:val="0"/>
            <w:vAlign w:val="center"/>
          </w:tcPr>
          <w:p w14:paraId="01B50343">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台</w:t>
            </w:r>
          </w:p>
        </w:tc>
        <w:tc>
          <w:tcPr>
            <w:tcW w:w="1324" w:type="dxa"/>
            <w:noWrap w:val="0"/>
            <w:vAlign w:val="center"/>
          </w:tcPr>
          <w:p w14:paraId="18BB18BB">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6C7A7F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2A019413">
            <w:pPr>
              <w:pStyle w:val="48"/>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游标卡尺</w:t>
            </w:r>
          </w:p>
        </w:tc>
        <w:tc>
          <w:tcPr>
            <w:tcW w:w="3327" w:type="dxa"/>
            <w:noWrap w:val="0"/>
            <w:vAlign w:val="center"/>
          </w:tcPr>
          <w:p w14:paraId="6E5301CE">
            <w:pPr>
              <w:snapToGrid w:val="0"/>
              <w:jc w:val="center"/>
              <w:rPr>
                <w:rFonts w:hint="eastAsia" w:ascii="黑体" w:hAnsi="黑体" w:eastAsia="黑体" w:cs="黑体"/>
                <w:sz w:val="24"/>
                <w:szCs w:val="24"/>
                <w:highlight w:val="none"/>
              </w:rPr>
            </w:pPr>
          </w:p>
        </w:tc>
        <w:tc>
          <w:tcPr>
            <w:tcW w:w="1114" w:type="dxa"/>
            <w:noWrap w:val="0"/>
            <w:vAlign w:val="center"/>
          </w:tcPr>
          <w:p w14:paraId="7AF8CC3E">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套</w:t>
            </w:r>
          </w:p>
        </w:tc>
        <w:tc>
          <w:tcPr>
            <w:tcW w:w="1324" w:type="dxa"/>
            <w:noWrap w:val="0"/>
            <w:vAlign w:val="center"/>
          </w:tcPr>
          <w:p w14:paraId="794E74ED">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1F2E21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4FE61A9D">
            <w:pPr>
              <w:pStyle w:val="48"/>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自动砂当量试验装置</w:t>
            </w:r>
          </w:p>
        </w:tc>
        <w:tc>
          <w:tcPr>
            <w:tcW w:w="3327" w:type="dxa"/>
            <w:noWrap w:val="0"/>
            <w:vAlign w:val="center"/>
          </w:tcPr>
          <w:p w14:paraId="45B9B305">
            <w:pPr>
              <w:snapToGrid w:val="0"/>
              <w:jc w:val="center"/>
              <w:rPr>
                <w:rFonts w:hint="eastAsia" w:ascii="黑体" w:hAnsi="黑体" w:eastAsia="黑体" w:cs="黑体"/>
                <w:sz w:val="24"/>
                <w:szCs w:val="24"/>
                <w:highlight w:val="none"/>
              </w:rPr>
            </w:pPr>
          </w:p>
        </w:tc>
        <w:tc>
          <w:tcPr>
            <w:tcW w:w="1114" w:type="dxa"/>
            <w:noWrap w:val="0"/>
            <w:vAlign w:val="center"/>
          </w:tcPr>
          <w:p w14:paraId="0BF9F353">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套</w:t>
            </w:r>
          </w:p>
        </w:tc>
        <w:tc>
          <w:tcPr>
            <w:tcW w:w="1324" w:type="dxa"/>
            <w:noWrap w:val="0"/>
            <w:vAlign w:val="center"/>
          </w:tcPr>
          <w:p w14:paraId="2498A6B4">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548802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7DF4A01B">
            <w:pPr>
              <w:pStyle w:val="48"/>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集料标准筛（方孔）</w:t>
            </w:r>
          </w:p>
        </w:tc>
        <w:tc>
          <w:tcPr>
            <w:tcW w:w="3327" w:type="dxa"/>
            <w:noWrap w:val="0"/>
            <w:vAlign w:val="center"/>
          </w:tcPr>
          <w:p w14:paraId="7F3A47C2">
            <w:pPr>
              <w:snapToGrid w:val="0"/>
              <w:jc w:val="center"/>
              <w:rPr>
                <w:rFonts w:hint="eastAsia" w:ascii="黑体" w:hAnsi="黑体" w:eastAsia="黑体" w:cs="黑体"/>
                <w:sz w:val="24"/>
                <w:szCs w:val="24"/>
                <w:highlight w:val="none"/>
              </w:rPr>
            </w:pPr>
          </w:p>
        </w:tc>
        <w:tc>
          <w:tcPr>
            <w:tcW w:w="1114" w:type="dxa"/>
            <w:noWrap w:val="0"/>
            <w:vAlign w:val="center"/>
          </w:tcPr>
          <w:p w14:paraId="23391EE2">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套</w:t>
            </w:r>
          </w:p>
        </w:tc>
        <w:tc>
          <w:tcPr>
            <w:tcW w:w="1324" w:type="dxa"/>
            <w:noWrap w:val="0"/>
            <w:vAlign w:val="center"/>
          </w:tcPr>
          <w:p w14:paraId="524FD891">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2E6A0C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0A46F6AB">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李氏密度瓶</w:t>
            </w:r>
          </w:p>
        </w:tc>
        <w:tc>
          <w:tcPr>
            <w:tcW w:w="3327" w:type="dxa"/>
            <w:noWrap w:val="0"/>
            <w:vAlign w:val="center"/>
          </w:tcPr>
          <w:p w14:paraId="7AFE36B6">
            <w:pPr>
              <w:snapToGrid w:val="0"/>
              <w:jc w:val="center"/>
              <w:rPr>
                <w:rFonts w:hint="eastAsia" w:ascii="黑体" w:hAnsi="黑体" w:eastAsia="黑体" w:cs="黑体"/>
                <w:sz w:val="24"/>
                <w:szCs w:val="24"/>
                <w:highlight w:val="none"/>
              </w:rPr>
            </w:pPr>
          </w:p>
        </w:tc>
        <w:tc>
          <w:tcPr>
            <w:tcW w:w="1114" w:type="dxa"/>
            <w:noWrap w:val="0"/>
            <w:vAlign w:val="center"/>
          </w:tcPr>
          <w:p w14:paraId="1158AA63">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套</w:t>
            </w:r>
          </w:p>
        </w:tc>
        <w:tc>
          <w:tcPr>
            <w:tcW w:w="1324" w:type="dxa"/>
            <w:noWrap w:val="0"/>
            <w:vAlign w:val="center"/>
          </w:tcPr>
          <w:p w14:paraId="69DB1304">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2</w:t>
            </w:r>
          </w:p>
        </w:tc>
      </w:tr>
      <w:tr w14:paraId="6CB05F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2FF9CD4F">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容量瓶</w:t>
            </w:r>
          </w:p>
        </w:tc>
        <w:tc>
          <w:tcPr>
            <w:tcW w:w="3327" w:type="dxa"/>
            <w:noWrap w:val="0"/>
            <w:vAlign w:val="center"/>
          </w:tcPr>
          <w:p w14:paraId="26C9B315">
            <w:pPr>
              <w:snapToGrid w:val="0"/>
              <w:jc w:val="center"/>
              <w:rPr>
                <w:rFonts w:hint="eastAsia" w:ascii="黑体" w:hAnsi="黑体" w:eastAsia="黑体" w:cs="黑体"/>
                <w:sz w:val="24"/>
                <w:szCs w:val="24"/>
                <w:highlight w:val="none"/>
              </w:rPr>
            </w:pPr>
          </w:p>
        </w:tc>
        <w:tc>
          <w:tcPr>
            <w:tcW w:w="1114" w:type="dxa"/>
            <w:noWrap w:val="0"/>
            <w:vAlign w:val="center"/>
          </w:tcPr>
          <w:p w14:paraId="6A2FBF76">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套</w:t>
            </w:r>
          </w:p>
        </w:tc>
        <w:tc>
          <w:tcPr>
            <w:tcW w:w="1324" w:type="dxa"/>
            <w:noWrap w:val="0"/>
            <w:vAlign w:val="center"/>
          </w:tcPr>
          <w:p w14:paraId="5606A395">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2</w:t>
            </w:r>
          </w:p>
        </w:tc>
      </w:tr>
      <w:tr w14:paraId="0A27FA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4A58D882">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路面集料标准筛（方孔）</w:t>
            </w:r>
          </w:p>
        </w:tc>
        <w:tc>
          <w:tcPr>
            <w:tcW w:w="3327" w:type="dxa"/>
            <w:noWrap w:val="0"/>
            <w:vAlign w:val="center"/>
          </w:tcPr>
          <w:p w14:paraId="63641143">
            <w:pPr>
              <w:snapToGrid w:val="0"/>
              <w:jc w:val="center"/>
              <w:rPr>
                <w:rFonts w:hint="eastAsia" w:ascii="黑体" w:hAnsi="黑体" w:eastAsia="黑体" w:cs="黑体"/>
                <w:sz w:val="24"/>
                <w:szCs w:val="24"/>
                <w:highlight w:val="none"/>
              </w:rPr>
            </w:pPr>
          </w:p>
        </w:tc>
        <w:tc>
          <w:tcPr>
            <w:tcW w:w="1114" w:type="dxa"/>
            <w:noWrap w:val="0"/>
            <w:vAlign w:val="center"/>
          </w:tcPr>
          <w:p w14:paraId="061DE686">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套</w:t>
            </w:r>
          </w:p>
        </w:tc>
        <w:tc>
          <w:tcPr>
            <w:tcW w:w="1324" w:type="dxa"/>
            <w:noWrap w:val="0"/>
            <w:vAlign w:val="center"/>
          </w:tcPr>
          <w:p w14:paraId="28261211">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4D76EA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3964289D">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摇筛机</w:t>
            </w:r>
          </w:p>
        </w:tc>
        <w:tc>
          <w:tcPr>
            <w:tcW w:w="3327" w:type="dxa"/>
            <w:noWrap w:val="0"/>
            <w:vAlign w:val="center"/>
          </w:tcPr>
          <w:p w14:paraId="2397F871">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92A</w:t>
            </w:r>
          </w:p>
        </w:tc>
        <w:tc>
          <w:tcPr>
            <w:tcW w:w="1114" w:type="dxa"/>
            <w:noWrap w:val="0"/>
            <w:vAlign w:val="center"/>
          </w:tcPr>
          <w:p w14:paraId="6810CA56">
            <w:pPr>
              <w:pStyle w:val="5"/>
              <w:snapToGrid w:val="0"/>
              <w:ind w:firstLine="0" w:firstLineChars="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台</w:t>
            </w:r>
          </w:p>
        </w:tc>
        <w:tc>
          <w:tcPr>
            <w:tcW w:w="1324" w:type="dxa"/>
            <w:noWrap w:val="0"/>
            <w:vAlign w:val="center"/>
          </w:tcPr>
          <w:p w14:paraId="6890C26A">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72C6A9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3F7F5659">
            <w:pPr>
              <w:pStyle w:val="50"/>
              <w:adjustRightInd/>
              <w:snapToGrid w:val="0"/>
              <w:spacing w:line="240" w:lineRule="auto"/>
              <w:ind w:left="0" w:leftChars="0" w:right="0" w:rightChars="0"/>
              <w:jc w:val="center"/>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rPr>
              <w:t>电子天平\电子秤</w:t>
            </w:r>
          </w:p>
        </w:tc>
        <w:tc>
          <w:tcPr>
            <w:tcW w:w="3327" w:type="dxa"/>
            <w:noWrap w:val="0"/>
            <w:vAlign w:val="center"/>
          </w:tcPr>
          <w:p w14:paraId="4655474F">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500g、1Kg、10kg感量0.01g、10kg感量0.1g、15Kg</w:t>
            </w:r>
          </w:p>
        </w:tc>
        <w:tc>
          <w:tcPr>
            <w:tcW w:w="1114" w:type="dxa"/>
            <w:noWrap w:val="0"/>
            <w:vAlign w:val="center"/>
          </w:tcPr>
          <w:p w14:paraId="3E990BF2">
            <w:pPr>
              <w:pStyle w:val="48"/>
              <w:snapToGrid w:val="0"/>
              <w:jc w:val="center"/>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rPr>
              <w:t>台</w:t>
            </w:r>
          </w:p>
        </w:tc>
        <w:tc>
          <w:tcPr>
            <w:tcW w:w="1324" w:type="dxa"/>
            <w:noWrap w:val="0"/>
            <w:vAlign w:val="center"/>
          </w:tcPr>
          <w:p w14:paraId="4BE488EB">
            <w:pPr>
              <w:pStyle w:val="5"/>
              <w:snapToGrid w:val="0"/>
              <w:ind w:firstLine="0" w:firstLineChars="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rPr>
              <w:t>各1</w:t>
            </w:r>
          </w:p>
        </w:tc>
      </w:tr>
      <w:tr w14:paraId="00E8E5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785" w:type="dxa"/>
            <w:gridSpan w:val="3"/>
            <w:noWrap w:val="0"/>
            <w:vAlign w:val="center"/>
          </w:tcPr>
          <w:p w14:paraId="0078211E">
            <w:pPr>
              <w:rPr>
                <w:rFonts w:hint="eastAsia" w:ascii="黑体" w:hAnsi="黑体" w:eastAsia="黑体" w:cs="黑体"/>
                <w:sz w:val="24"/>
                <w:szCs w:val="24"/>
                <w:highlight w:val="none"/>
              </w:rPr>
            </w:pPr>
            <w:r>
              <w:rPr>
                <w:rFonts w:hint="eastAsia" w:ascii="黑体" w:hAnsi="黑体" w:eastAsia="黑体" w:cs="黑体"/>
                <w:b/>
                <w:sz w:val="24"/>
                <w:szCs w:val="24"/>
                <w:highlight w:val="none"/>
                <w:lang w:val="en-US" w:eastAsia="zh-CN"/>
              </w:rPr>
              <w:t>五</w:t>
            </w:r>
            <w:r>
              <w:rPr>
                <w:rFonts w:hint="eastAsia" w:ascii="黑体" w:hAnsi="黑体" w:eastAsia="黑体" w:cs="黑体"/>
                <w:b/>
                <w:sz w:val="24"/>
                <w:szCs w:val="24"/>
                <w:highlight w:val="none"/>
              </w:rPr>
              <w:t>、水泥试验检测设备</w:t>
            </w:r>
          </w:p>
        </w:tc>
        <w:tc>
          <w:tcPr>
            <w:tcW w:w="1114" w:type="dxa"/>
            <w:noWrap w:val="0"/>
            <w:vAlign w:val="center"/>
          </w:tcPr>
          <w:p w14:paraId="1117FF0A">
            <w:pPr>
              <w:jc w:val="center"/>
              <w:rPr>
                <w:rFonts w:hint="eastAsia" w:ascii="黑体" w:hAnsi="黑体" w:eastAsia="黑体" w:cs="黑体"/>
                <w:sz w:val="24"/>
                <w:szCs w:val="24"/>
                <w:highlight w:val="none"/>
              </w:rPr>
            </w:pPr>
          </w:p>
        </w:tc>
        <w:tc>
          <w:tcPr>
            <w:tcW w:w="1324" w:type="dxa"/>
            <w:noWrap w:val="0"/>
            <w:vAlign w:val="center"/>
          </w:tcPr>
          <w:p w14:paraId="40AB6F93">
            <w:pPr>
              <w:jc w:val="center"/>
              <w:rPr>
                <w:rFonts w:hint="eastAsia" w:ascii="黑体" w:hAnsi="黑体" w:eastAsia="黑体" w:cs="黑体"/>
                <w:sz w:val="24"/>
                <w:szCs w:val="24"/>
                <w:highlight w:val="none"/>
              </w:rPr>
            </w:pPr>
          </w:p>
        </w:tc>
      </w:tr>
      <w:tr w14:paraId="1144B1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0AB06088">
            <w:pPr>
              <w:spacing w:line="300" w:lineRule="exact"/>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kern w:val="2"/>
                <w:sz w:val="24"/>
                <w:szCs w:val="24"/>
                <w:highlight w:val="none"/>
                <w:lang w:val="en-US" w:eastAsia="zh-CN" w:bidi="ar-SA"/>
              </w:rPr>
              <w:t>水泥净浆搅拌机</w:t>
            </w:r>
          </w:p>
        </w:tc>
        <w:tc>
          <w:tcPr>
            <w:tcW w:w="3327" w:type="dxa"/>
            <w:noWrap w:val="0"/>
            <w:vAlign w:val="center"/>
          </w:tcPr>
          <w:p w14:paraId="061A2925">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5DEDBEA6">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台</w:t>
            </w:r>
          </w:p>
        </w:tc>
        <w:tc>
          <w:tcPr>
            <w:tcW w:w="1324" w:type="dxa"/>
            <w:noWrap w:val="0"/>
            <w:vAlign w:val="center"/>
          </w:tcPr>
          <w:p w14:paraId="3C925803">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w:t>
            </w:r>
          </w:p>
        </w:tc>
      </w:tr>
      <w:tr w14:paraId="0B40DE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5DD56A75">
            <w:pPr>
              <w:spacing w:line="300" w:lineRule="exact"/>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kern w:val="2"/>
                <w:sz w:val="24"/>
                <w:szCs w:val="24"/>
                <w:highlight w:val="none"/>
                <w:lang w:val="en-US" w:eastAsia="zh-CN" w:bidi="ar-SA"/>
              </w:rPr>
              <w:t>水泥标准稠度仪</w:t>
            </w:r>
          </w:p>
        </w:tc>
        <w:tc>
          <w:tcPr>
            <w:tcW w:w="3327" w:type="dxa"/>
            <w:noWrap w:val="0"/>
            <w:vAlign w:val="center"/>
          </w:tcPr>
          <w:p w14:paraId="4DC9C592">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3F031BD6">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台</w:t>
            </w:r>
          </w:p>
        </w:tc>
        <w:tc>
          <w:tcPr>
            <w:tcW w:w="1324" w:type="dxa"/>
            <w:noWrap w:val="0"/>
            <w:vAlign w:val="center"/>
          </w:tcPr>
          <w:p w14:paraId="78C5AE19">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w:t>
            </w:r>
          </w:p>
        </w:tc>
      </w:tr>
      <w:tr w14:paraId="2D0380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79001D34">
            <w:pPr>
              <w:spacing w:line="300" w:lineRule="exact"/>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kern w:val="2"/>
                <w:sz w:val="24"/>
                <w:szCs w:val="24"/>
                <w:highlight w:val="none"/>
                <w:lang w:val="en-US" w:eastAsia="zh-CN" w:bidi="ar-SA"/>
              </w:rPr>
              <w:t>沸煮箱</w:t>
            </w:r>
          </w:p>
        </w:tc>
        <w:tc>
          <w:tcPr>
            <w:tcW w:w="3327" w:type="dxa"/>
            <w:noWrap w:val="0"/>
            <w:vAlign w:val="center"/>
          </w:tcPr>
          <w:p w14:paraId="61239B77">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0ADF5314">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台</w:t>
            </w:r>
          </w:p>
        </w:tc>
        <w:tc>
          <w:tcPr>
            <w:tcW w:w="1324" w:type="dxa"/>
            <w:noWrap w:val="0"/>
            <w:vAlign w:val="center"/>
          </w:tcPr>
          <w:p w14:paraId="2E7EA675">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w:t>
            </w:r>
          </w:p>
        </w:tc>
      </w:tr>
      <w:tr w14:paraId="78BB10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3CA4618F">
            <w:pPr>
              <w:spacing w:line="300" w:lineRule="exact"/>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kern w:val="2"/>
                <w:sz w:val="24"/>
                <w:szCs w:val="24"/>
                <w:highlight w:val="none"/>
                <w:lang w:val="en-US" w:eastAsia="zh-CN" w:bidi="ar-SA"/>
              </w:rPr>
              <w:t>水泥胶砂搅拌机</w:t>
            </w:r>
          </w:p>
        </w:tc>
        <w:tc>
          <w:tcPr>
            <w:tcW w:w="3327" w:type="dxa"/>
            <w:noWrap w:val="0"/>
            <w:vAlign w:val="center"/>
          </w:tcPr>
          <w:p w14:paraId="0DFA5075">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6B492418">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台</w:t>
            </w:r>
          </w:p>
        </w:tc>
        <w:tc>
          <w:tcPr>
            <w:tcW w:w="1324" w:type="dxa"/>
            <w:noWrap w:val="0"/>
            <w:vAlign w:val="center"/>
          </w:tcPr>
          <w:p w14:paraId="029860A4">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w:t>
            </w:r>
          </w:p>
        </w:tc>
      </w:tr>
      <w:tr w14:paraId="5DE3AF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5EF2E27D">
            <w:pPr>
              <w:spacing w:line="300" w:lineRule="exact"/>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kern w:val="2"/>
                <w:sz w:val="24"/>
                <w:szCs w:val="24"/>
                <w:highlight w:val="none"/>
                <w:lang w:val="en-US" w:eastAsia="zh-CN" w:bidi="ar-SA"/>
              </w:rPr>
              <w:t>水泥胶砂振实台</w:t>
            </w:r>
          </w:p>
        </w:tc>
        <w:tc>
          <w:tcPr>
            <w:tcW w:w="3327" w:type="dxa"/>
            <w:noWrap w:val="0"/>
            <w:vAlign w:val="center"/>
          </w:tcPr>
          <w:p w14:paraId="34D6500B">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50B80A1E">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台</w:t>
            </w:r>
          </w:p>
        </w:tc>
        <w:tc>
          <w:tcPr>
            <w:tcW w:w="1324" w:type="dxa"/>
            <w:noWrap w:val="0"/>
            <w:vAlign w:val="center"/>
          </w:tcPr>
          <w:p w14:paraId="65B26319">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w:t>
            </w:r>
          </w:p>
        </w:tc>
      </w:tr>
      <w:tr w14:paraId="36B2D0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254A9E2A">
            <w:pPr>
              <w:spacing w:line="300" w:lineRule="exact"/>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kern w:val="2"/>
                <w:sz w:val="24"/>
                <w:szCs w:val="24"/>
                <w:highlight w:val="none"/>
                <w:lang w:val="en-US" w:eastAsia="zh-CN" w:bidi="ar-SA"/>
              </w:rPr>
              <w:t>标准恒温恒湿养护箱</w:t>
            </w:r>
          </w:p>
        </w:tc>
        <w:tc>
          <w:tcPr>
            <w:tcW w:w="3327" w:type="dxa"/>
            <w:noWrap w:val="0"/>
            <w:vAlign w:val="center"/>
          </w:tcPr>
          <w:p w14:paraId="56E26DEB">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797CE99B">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台</w:t>
            </w:r>
          </w:p>
        </w:tc>
        <w:tc>
          <w:tcPr>
            <w:tcW w:w="1324" w:type="dxa"/>
            <w:noWrap w:val="0"/>
            <w:vAlign w:val="center"/>
          </w:tcPr>
          <w:p w14:paraId="027993D4">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w:t>
            </w:r>
          </w:p>
        </w:tc>
      </w:tr>
      <w:tr w14:paraId="3B8523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5B88A1D6">
            <w:pPr>
              <w:spacing w:line="300" w:lineRule="exact"/>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kern w:val="2"/>
                <w:sz w:val="24"/>
                <w:szCs w:val="24"/>
                <w:highlight w:val="none"/>
                <w:lang w:val="en-US" w:eastAsia="zh-CN" w:bidi="ar-SA"/>
              </w:rPr>
              <w:t>电动抗折试验机</w:t>
            </w:r>
          </w:p>
        </w:tc>
        <w:tc>
          <w:tcPr>
            <w:tcW w:w="3327" w:type="dxa"/>
            <w:noWrap w:val="0"/>
            <w:vAlign w:val="center"/>
          </w:tcPr>
          <w:p w14:paraId="2976AEB8">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16C998D3">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台</w:t>
            </w:r>
          </w:p>
        </w:tc>
        <w:tc>
          <w:tcPr>
            <w:tcW w:w="1324" w:type="dxa"/>
            <w:noWrap w:val="0"/>
            <w:vAlign w:val="center"/>
          </w:tcPr>
          <w:p w14:paraId="18243EC6">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w:t>
            </w:r>
          </w:p>
        </w:tc>
      </w:tr>
      <w:tr w14:paraId="6D40BB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5AC4C017">
            <w:pPr>
              <w:spacing w:line="300" w:lineRule="exact"/>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kern w:val="2"/>
                <w:sz w:val="24"/>
                <w:szCs w:val="24"/>
                <w:highlight w:val="none"/>
                <w:lang w:val="en-US" w:eastAsia="zh-CN" w:bidi="ar-SA"/>
              </w:rPr>
              <w:t>负压筛析仪</w:t>
            </w:r>
          </w:p>
        </w:tc>
        <w:tc>
          <w:tcPr>
            <w:tcW w:w="3327" w:type="dxa"/>
            <w:noWrap w:val="0"/>
            <w:vAlign w:val="center"/>
          </w:tcPr>
          <w:p w14:paraId="1FE8EC58">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3117F763">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台</w:t>
            </w:r>
          </w:p>
        </w:tc>
        <w:tc>
          <w:tcPr>
            <w:tcW w:w="1324" w:type="dxa"/>
            <w:noWrap w:val="0"/>
            <w:vAlign w:val="center"/>
          </w:tcPr>
          <w:p w14:paraId="5D45B828">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w:t>
            </w:r>
          </w:p>
        </w:tc>
      </w:tr>
      <w:tr w14:paraId="5E9971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43819D8D">
            <w:pPr>
              <w:spacing w:line="300" w:lineRule="exact"/>
              <w:jc w:val="center"/>
              <w:rPr>
                <w:rFonts w:hint="eastAsia" w:ascii="黑体" w:hAnsi="黑体" w:eastAsia="黑体" w:cs="黑体"/>
                <w:kern w:val="2"/>
                <w:sz w:val="24"/>
                <w:szCs w:val="24"/>
                <w:highlight w:val="none"/>
                <w:lang w:val="en-US" w:eastAsia="zh-CN" w:bidi="ar-SA"/>
              </w:rPr>
            </w:pPr>
            <w:r>
              <w:rPr>
                <w:rFonts w:hint="eastAsia" w:ascii="黑体" w:hAnsi="黑体" w:eastAsia="黑体" w:cs="黑体"/>
                <w:kern w:val="2"/>
                <w:sz w:val="24"/>
                <w:szCs w:val="24"/>
                <w:highlight w:val="none"/>
                <w:lang w:val="en-US" w:eastAsia="zh-CN" w:bidi="ar-SA"/>
              </w:rPr>
              <w:t>砼含气量测定仪</w:t>
            </w:r>
          </w:p>
        </w:tc>
        <w:tc>
          <w:tcPr>
            <w:tcW w:w="3327" w:type="dxa"/>
            <w:noWrap w:val="0"/>
            <w:vAlign w:val="center"/>
          </w:tcPr>
          <w:p w14:paraId="0F2BC3D8">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74D3EE58">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台</w:t>
            </w:r>
          </w:p>
        </w:tc>
        <w:tc>
          <w:tcPr>
            <w:tcW w:w="1324" w:type="dxa"/>
            <w:noWrap w:val="0"/>
            <w:vAlign w:val="center"/>
          </w:tcPr>
          <w:p w14:paraId="3FF41EE4">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w:t>
            </w:r>
          </w:p>
        </w:tc>
      </w:tr>
      <w:tr w14:paraId="42D7E9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785" w:type="dxa"/>
            <w:gridSpan w:val="3"/>
            <w:noWrap w:val="0"/>
            <w:vAlign w:val="center"/>
          </w:tcPr>
          <w:p w14:paraId="340435A8">
            <w:pPr>
              <w:snapToGrid w:val="0"/>
              <w:rPr>
                <w:rFonts w:hint="eastAsia" w:ascii="黑体" w:hAnsi="黑体" w:eastAsia="黑体" w:cs="黑体"/>
                <w:b/>
                <w:sz w:val="24"/>
                <w:szCs w:val="24"/>
                <w:highlight w:val="none"/>
              </w:rPr>
            </w:pPr>
            <w:r>
              <w:rPr>
                <w:rFonts w:hint="eastAsia" w:ascii="黑体" w:hAnsi="黑体" w:eastAsia="黑体" w:cs="黑体"/>
                <w:b/>
                <w:sz w:val="24"/>
                <w:szCs w:val="24"/>
                <w:highlight w:val="none"/>
                <w:lang w:val="en-US" w:eastAsia="zh-CN"/>
              </w:rPr>
              <w:t>六</w:t>
            </w:r>
            <w:r>
              <w:rPr>
                <w:rFonts w:hint="eastAsia" w:ascii="黑体" w:hAnsi="黑体" w:eastAsia="黑体" w:cs="黑体"/>
                <w:b/>
                <w:sz w:val="24"/>
                <w:szCs w:val="24"/>
                <w:highlight w:val="none"/>
              </w:rPr>
              <w:t>、水泥砼、砂浆、外加剂试验检测设备</w:t>
            </w:r>
          </w:p>
        </w:tc>
        <w:tc>
          <w:tcPr>
            <w:tcW w:w="1114" w:type="dxa"/>
            <w:noWrap w:val="0"/>
            <w:vAlign w:val="center"/>
          </w:tcPr>
          <w:p w14:paraId="39C63940">
            <w:pPr>
              <w:jc w:val="center"/>
              <w:rPr>
                <w:rFonts w:hint="eastAsia" w:ascii="黑体" w:hAnsi="黑体" w:eastAsia="黑体" w:cs="黑体"/>
                <w:sz w:val="24"/>
                <w:szCs w:val="24"/>
                <w:highlight w:val="none"/>
              </w:rPr>
            </w:pPr>
          </w:p>
        </w:tc>
        <w:tc>
          <w:tcPr>
            <w:tcW w:w="1324" w:type="dxa"/>
            <w:noWrap w:val="0"/>
            <w:vAlign w:val="center"/>
          </w:tcPr>
          <w:p w14:paraId="74E298F7">
            <w:pPr>
              <w:jc w:val="center"/>
              <w:rPr>
                <w:rFonts w:hint="eastAsia" w:ascii="黑体" w:hAnsi="黑体" w:eastAsia="黑体" w:cs="黑体"/>
                <w:sz w:val="24"/>
                <w:szCs w:val="24"/>
                <w:highlight w:val="none"/>
              </w:rPr>
            </w:pPr>
          </w:p>
        </w:tc>
      </w:tr>
      <w:tr w14:paraId="212941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46938EAF">
            <w:pPr>
              <w:widowControl/>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rPr>
              <w:t>标准养护室</w:t>
            </w:r>
          </w:p>
        </w:tc>
        <w:tc>
          <w:tcPr>
            <w:tcW w:w="3327" w:type="dxa"/>
            <w:noWrap w:val="0"/>
            <w:vAlign w:val="center"/>
          </w:tcPr>
          <w:p w14:paraId="7DCECD1C">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20m</w:t>
            </w:r>
            <w:r>
              <w:rPr>
                <w:rFonts w:hint="eastAsia" w:ascii="黑体" w:hAnsi="黑体" w:eastAsia="黑体" w:cs="黑体"/>
                <w:color w:val="auto"/>
                <w:szCs w:val="21"/>
                <w:highlight w:val="none"/>
                <w:vertAlign w:val="superscript"/>
              </w:rPr>
              <w:t>2</w:t>
            </w:r>
            <w:r>
              <w:rPr>
                <w:rFonts w:hint="eastAsia" w:ascii="黑体" w:hAnsi="黑体" w:eastAsia="黑体" w:cs="黑体"/>
                <w:color w:val="auto"/>
                <w:szCs w:val="21"/>
                <w:highlight w:val="none"/>
              </w:rPr>
              <w:t>以上</w:t>
            </w:r>
          </w:p>
        </w:tc>
        <w:tc>
          <w:tcPr>
            <w:tcW w:w="1114" w:type="dxa"/>
            <w:noWrap w:val="0"/>
            <w:vAlign w:val="center"/>
          </w:tcPr>
          <w:p w14:paraId="05252A49">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间</w:t>
            </w:r>
          </w:p>
        </w:tc>
        <w:tc>
          <w:tcPr>
            <w:tcW w:w="1324" w:type="dxa"/>
            <w:noWrap w:val="0"/>
            <w:vAlign w:val="center"/>
          </w:tcPr>
          <w:p w14:paraId="51F0FFAF">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w:t>
            </w:r>
          </w:p>
        </w:tc>
      </w:tr>
      <w:tr w14:paraId="66EB79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28630893">
            <w:pPr>
              <w:widowControl/>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rPr>
              <w:t>水泥砼搅拌机</w:t>
            </w:r>
          </w:p>
        </w:tc>
        <w:tc>
          <w:tcPr>
            <w:tcW w:w="3327" w:type="dxa"/>
            <w:noWrap w:val="0"/>
            <w:vAlign w:val="center"/>
          </w:tcPr>
          <w:p w14:paraId="0C07EC56">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371FAF61">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台</w:t>
            </w:r>
          </w:p>
        </w:tc>
        <w:tc>
          <w:tcPr>
            <w:tcW w:w="1324" w:type="dxa"/>
            <w:noWrap w:val="0"/>
            <w:vAlign w:val="center"/>
          </w:tcPr>
          <w:p w14:paraId="5AA131C3">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w:t>
            </w:r>
          </w:p>
        </w:tc>
      </w:tr>
      <w:tr w14:paraId="30A457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2D79C332">
            <w:pPr>
              <w:widowControl/>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rPr>
              <w:t>水泥砼标准振动台</w:t>
            </w:r>
          </w:p>
        </w:tc>
        <w:tc>
          <w:tcPr>
            <w:tcW w:w="3327" w:type="dxa"/>
            <w:noWrap w:val="0"/>
            <w:vAlign w:val="center"/>
          </w:tcPr>
          <w:p w14:paraId="1444EAEC">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1m</w:t>
            </w:r>
            <w:r>
              <w:rPr>
                <w:rFonts w:hint="eastAsia" w:ascii="黑体" w:hAnsi="黑体" w:eastAsia="黑体" w:cs="黑体"/>
                <w:color w:val="auto"/>
                <w:szCs w:val="21"/>
                <w:highlight w:val="none"/>
                <w:vertAlign w:val="superscript"/>
              </w:rPr>
              <w:t>2</w:t>
            </w:r>
          </w:p>
        </w:tc>
        <w:tc>
          <w:tcPr>
            <w:tcW w:w="1114" w:type="dxa"/>
            <w:noWrap w:val="0"/>
            <w:vAlign w:val="center"/>
          </w:tcPr>
          <w:p w14:paraId="65F2B618">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台</w:t>
            </w:r>
          </w:p>
        </w:tc>
        <w:tc>
          <w:tcPr>
            <w:tcW w:w="1324" w:type="dxa"/>
            <w:noWrap w:val="0"/>
            <w:vAlign w:val="center"/>
          </w:tcPr>
          <w:p w14:paraId="6B6A0B8D">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w:t>
            </w:r>
          </w:p>
        </w:tc>
      </w:tr>
      <w:tr w14:paraId="04E0DF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21052598">
            <w:pPr>
              <w:widowControl/>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rPr>
              <w:t>水泥砂浆稠度仪</w:t>
            </w:r>
          </w:p>
        </w:tc>
        <w:tc>
          <w:tcPr>
            <w:tcW w:w="3327" w:type="dxa"/>
            <w:noWrap w:val="0"/>
            <w:vAlign w:val="center"/>
          </w:tcPr>
          <w:p w14:paraId="75E27FA8">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16AC5E2A">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台</w:t>
            </w:r>
          </w:p>
        </w:tc>
        <w:tc>
          <w:tcPr>
            <w:tcW w:w="1324" w:type="dxa"/>
            <w:noWrap w:val="0"/>
            <w:vAlign w:val="center"/>
          </w:tcPr>
          <w:p w14:paraId="29D25C25">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w:t>
            </w:r>
          </w:p>
        </w:tc>
      </w:tr>
      <w:tr w14:paraId="554254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234D9C40">
            <w:pPr>
              <w:widowControl/>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rPr>
              <w:t>砼抗压试模</w:t>
            </w:r>
          </w:p>
        </w:tc>
        <w:tc>
          <w:tcPr>
            <w:tcW w:w="3327" w:type="dxa"/>
            <w:noWrap w:val="0"/>
            <w:vAlign w:val="center"/>
          </w:tcPr>
          <w:p w14:paraId="5A93333A">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2AE94E6E">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套</w:t>
            </w:r>
          </w:p>
        </w:tc>
        <w:tc>
          <w:tcPr>
            <w:tcW w:w="1324" w:type="dxa"/>
            <w:noWrap w:val="0"/>
            <w:vAlign w:val="center"/>
          </w:tcPr>
          <w:p w14:paraId="09882D4A">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lang w:val="en-US" w:eastAsia="zh-CN"/>
              </w:rPr>
              <w:t>2</w:t>
            </w:r>
          </w:p>
        </w:tc>
      </w:tr>
      <w:tr w14:paraId="36D69A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52E3FEC1">
            <w:pPr>
              <w:widowControl/>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rPr>
              <w:t>砼抗折试模</w:t>
            </w:r>
          </w:p>
        </w:tc>
        <w:tc>
          <w:tcPr>
            <w:tcW w:w="3327" w:type="dxa"/>
            <w:noWrap w:val="0"/>
            <w:vAlign w:val="center"/>
          </w:tcPr>
          <w:p w14:paraId="086040BD">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2C5C3C9E">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套</w:t>
            </w:r>
          </w:p>
        </w:tc>
        <w:tc>
          <w:tcPr>
            <w:tcW w:w="1324" w:type="dxa"/>
            <w:noWrap w:val="0"/>
            <w:vAlign w:val="center"/>
          </w:tcPr>
          <w:p w14:paraId="30592338">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lang w:val="en-US" w:eastAsia="zh-CN"/>
              </w:rPr>
              <w:t>2</w:t>
            </w:r>
          </w:p>
        </w:tc>
      </w:tr>
      <w:tr w14:paraId="6EC811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34101298">
            <w:pPr>
              <w:widowControl/>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rPr>
              <w:t>砂浆试模</w:t>
            </w:r>
          </w:p>
        </w:tc>
        <w:tc>
          <w:tcPr>
            <w:tcW w:w="3327" w:type="dxa"/>
            <w:noWrap w:val="0"/>
            <w:vAlign w:val="center"/>
          </w:tcPr>
          <w:p w14:paraId="7DE3B5C7">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0CAC92A0">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套</w:t>
            </w:r>
          </w:p>
        </w:tc>
        <w:tc>
          <w:tcPr>
            <w:tcW w:w="1324" w:type="dxa"/>
            <w:noWrap w:val="0"/>
            <w:vAlign w:val="center"/>
          </w:tcPr>
          <w:p w14:paraId="42EA2237">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lang w:val="en-US" w:eastAsia="zh-CN"/>
              </w:rPr>
              <w:t>2</w:t>
            </w:r>
          </w:p>
        </w:tc>
      </w:tr>
      <w:tr w14:paraId="58A797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0DC908F9">
            <w:pPr>
              <w:widowControl/>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rPr>
              <w:t>数显电动抗折抗压试验机</w:t>
            </w:r>
          </w:p>
        </w:tc>
        <w:tc>
          <w:tcPr>
            <w:tcW w:w="3327" w:type="dxa"/>
            <w:noWrap w:val="0"/>
            <w:vAlign w:val="center"/>
          </w:tcPr>
          <w:p w14:paraId="2A41341F">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7B8AA7CD">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台</w:t>
            </w:r>
          </w:p>
        </w:tc>
        <w:tc>
          <w:tcPr>
            <w:tcW w:w="1324" w:type="dxa"/>
            <w:noWrap w:val="0"/>
            <w:vAlign w:val="center"/>
          </w:tcPr>
          <w:p w14:paraId="2C9E13BE">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w:t>
            </w:r>
          </w:p>
        </w:tc>
      </w:tr>
      <w:tr w14:paraId="1CB037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32E475AB">
            <w:pPr>
              <w:widowControl/>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rPr>
              <w:t>砼抗压装置</w:t>
            </w:r>
          </w:p>
        </w:tc>
        <w:tc>
          <w:tcPr>
            <w:tcW w:w="3327" w:type="dxa"/>
            <w:noWrap w:val="0"/>
            <w:vAlign w:val="center"/>
          </w:tcPr>
          <w:p w14:paraId="39689051">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7DEB3630">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台</w:t>
            </w:r>
          </w:p>
        </w:tc>
        <w:tc>
          <w:tcPr>
            <w:tcW w:w="1324" w:type="dxa"/>
            <w:noWrap w:val="0"/>
            <w:vAlign w:val="center"/>
          </w:tcPr>
          <w:p w14:paraId="15063F69">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1</w:t>
            </w:r>
          </w:p>
        </w:tc>
      </w:tr>
      <w:tr w14:paraId="35D2D2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5B38C412">
            <w:pPr>
              <w:widowControl/>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rPr>
              <w:t>坍落度筒</w:t>
            </w:r>
          </w:p>
        </w:tc>
        <w:tc>
          <w:tcPr>
            <w:tcW w:w="3327" w:type="dxa"/>
            <w:noWrap w:val="0"/>
            <w:vAlign w:val="center"/>
          </w:tcPr>
          <w:p w14:paraId="2AC1CB61">
            <w:pPr>
              <w:spacing w:line="300" w:lineRule="exact"/>
              <w:jc w:val="center"/>
              <w:rPr>
                <w:rFonts w:hint="eastAsia" w:ascii="黑体" w:hAnsi="黑体" w:eastAsia="黑体" w:cs="黑体"/>
                <w:color w:val="auto"/>
                <w:kern w:val="2"/>
                <w:sz w:val="21"/>
                <w:szCs w:val="21"/>
                <w:highlight w:val="none"/>
                <w:lang w:val="en-US" w:eastAsia="zh-CN" w:bidi="ar-SA"/>
              </w:rPr>
            </w:pPr>
          </w:p>
        </w:tc>
        <w:tc>
          <w:tcPr>
            <w:tcW w:w="1114" w:type="dxa"/>
            <w:noWrap w:val="0"/>
            <w:vAlign w:val="center"/>
          </w:tcPr>
          <w:p w14:paraId="1F118A66">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台</w:t>
            </w:r>
          </w:p>
        </w:tc>
        <w:tc>
          <w:tcPr>
            <w:tcW w:w="1324" w:type="dxa"/>
            <w:noWrap w:val="0"/>
            <w:vAlign w:val="center"/>
          </w:tcPr>
          <w:p w14:paraId="0CCE513C">
            <w:pPr>
              <w:spacing w:line="300" w:lineRule="exact"/>
              <w:jc w:val="center"/>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szCs w:val="21"/>
                <w:highlight w:val="none"/>
              </w:rPr>
              <w:t>2</w:t>
            </w:r>
          </w:p>
        </w:tc>
      </w:tr>
      <w:tr w14:paraId="7DA57D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785" w:type="dxa"/>
            <w:gridSpan w:val="3"/>
            <w:noWrap w:val="0"/>
            <w:vAlign w:val="center"/>
          </w:tcPr>
          <w:p w14:paraId="3455D06B">
            <w:pPr>
              <w:rPr>
                <w:rFonts w:hint="eastAsia" w:ascii="黑体" w:hAnsi="黑体" w:eastAsia="黑体" w:cs="黑体"/>
                <w:sz w:val="24"/>
                <w:szCs w:val="24"/>
                <w:highlight w:val="none"/>
              </w:rPr>
            </w:pPr>
            <w:r>
              <w:rPr>
                <w:rFonts w:hint="eastAsia" w:ascii="黑体" w:hAnsi="黑体" w:eastAsia="黑体" w:cs="黑体"/>
                <w:b/>
                <w:color w:val="auto"/>
                <w:sz w:val="24"/>
                <w:szCs w:val="24"/>
                <w:highlight w:val="none"/>
                <w:lang w:val="en-US" w:eastAsia="zh-CN"/>
              </w:rPr>
              <w:t>七</w:t>
            </w:r>
            <w:r>
              <w:rPr>
                <w:rFonts w:hint="eastAsia" w:ascii="黑体" w:hAnsi="黑体" w:eastAsia="黑体" w:cs="黑体"/>
                <w:b/>
                <w:color w:val="auto"/>
                <w:sz w:val="24"/>
                <w:szCs w:val="24"/>
                <w:highlight w:val="none"/>
              </w:rPr>
              <w:t>、无机结合料稳定材料试验检测</w:t>
            </w:r>
            <w:r>
              <w:rPr>
                <w:rFonts w:hint="eastAsia" w:ascii="黑体" w:hAnsi="黑体" w:eastAsia="黑体" w:cs="黑体"/>
                <w:b/>
                <w:color w:val="auto"/>
                <w:sz w:val="24"/>
                <w:szCs w:val="24"/>
                <w:highlight w:val="none"/>
                <w:lang w:val="en-US" w:eastAsia="zh-CN"/>
              </w:rPr>
              <w:t>设备</w:t>
            </w:r>
          </w:p>
        </w:tc>
        <w:tc>
          <w:tcPr>
            <w:tcW w:w="1114" w:type="dxa"/>
            <w:noWrap w:val="0"/>
            <w:vAlign w:val="center"/>
          </w:tcPr>
          <w:p w14:paraId="612ED623">
            <w:pPr>
              <w:jc w:val="center"/>
              <w:rPr>
                <w:rFonts w:hint="eastAsia" w:ascii="黑体" w:hAnsi="黑体" w:eastAsia="黑体" w:cs="黑体"/>
                <w:sz w:val="24"/>
                <w:szCs w:val="24"/>
                <w:highlight w:val="none"/>
              </w:rPr>
            </w:pPr>
          </w:p>
        </w:tc>
        <w:tc>
          <w:tcPr>
            <w:tcW w:w="1324" w:type="dxa"/>
            <w:noWrap w:val="0"/>
            <w:vAlign w:val="center"/>
          </w:tcPr>
          <w:p w14:paraId="777BD1BE">
            <w:pPr>
              <w:jc w:val="center"/>
              <w:rPr>
                <w:rFonts w:hint="eastAsia" w:ascii="黑体" w:hAnsi="黑体" w:eastAsia="黑体" w:cs="黑体"/>
                <w:sz w:val="24"/>
                <w:szCs w:val="24"/>
                <w:highlight w:val="none"/>
              </w:rPr>
            </w:pPr>
          </w:p>
        </w:tc>
      </w:tr>
      <w:tr w14:paraId="67ABCD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344" w:type="dxa"/>
            <w:noWrap w:val="0"/>
            <w:vAlign w:val="center"/>
          </w:tcPr>
          <w:p w14:paraId="655A671A">
            <w:pPr>
              <w:widowControl/>
              <w:rPr>
                <w:rFonts w:hint="eastAsia" w:ascii="黑体" w:hAnsi="黑体" w:eastAsia="黑体" w:cs="黑体"/>
                <w:sz w:val="24"/>
                <w:szCs w:val="24"/>
                <w:highlight w:val="none"/>
              </w:rPr>
            </w:pPr>
            <w:r>
              <w:rPr>
                <w:rFonts w:hint="eastAsia" w:ascii="黑体" w:hAnsi="黑体" w:eastAsia="黑体" w:cs="黑体"/>
                <w:color w:val="auto"/>
                <w:sz w:val="24"/>
                <w:szCs w:val="24"/>
                <w:highlight w:val="none"/>
              </w:rPr>
              <w:t>灰土成型试模</w:t>
            </w:r>
          </w:p>
        </w:tc>
        <w:tc>
          <w:tcPr>
            <w:tcW w:w="3441" w:type="dxa"/>
            <w:gridSpan w:val="2"/>
            <w:noWrap w:val="0"/>
            <w:vAlign w:val="center"/>
          </w:tcPr>
          <w:p w14:paraId="1FFA1C8E">
            <w:pPr>
              <w:snapToGrid w:val="0"/>
              <w:jc w:val="center"/>
              <w:rPr>
                <w:rFonts w:hint="eastAsia" w:ascii="黑体" w:hAnsi="黑体" w:eastAsia="黑体" w:cs="黑体"/>
                <w:sz w:val="24"/>
                <w:szCs w:val="24"/>
                <w:highlight w:val="none"/>
              </w:rPr>
            </w:pPr>
            <w:r>
              <w:rPr>
                <w:rFonts w:hint="eastAsia" w:ascii="黑体" w:hAnsi="黑体" w:eastAsia="黑体" w:cs="黑体"/>
                <w:color w:val="auto"/>
                <w:sz w:val="24"/>
                <w:szCs w:val="24"/>
                <w:highlight w:val="none"/>
              </w:rPr>
              <w:t>Ф15cm*15cm</w:t>
            </w:r>
          </w:p>
        </w:tc>
        <w:tc>
          <w:tcPr>
            <w:tcW w:w="1114" w:type="dxa"/>
            <w:noWrap w:val="0"/>
            <w:vAlign w:val="center"/>
          </w:tcPr>
          <w:p w14:paraId="17E4069D">
            <w:pPr>
              <w:pStyle w:val="48"/>
              <w:snapToGrid w:val="0"/>
              <w:jc w:val="center"/>
              <w:rPr>
                <w:rFonts w:hint="eastAsia" w:ascii="黑体" w:hAnsi="黑体" w:eastAsia="黑体" w:cs="黑体"/>
                <w:sz w:val="24"/>
                <w:szCs w:val="24"/>
                <w:highlight w:val="none"/>
              </w:rPr>
            </w:pPr>
            <w:r>
              <w:rPr>
                <w:rFonts w:hint="eastAsia" w:ascii="黑体" w:hAnsi="黑体" w:eastAsia="黑体" w:cs="黑体"/>
                <w:color w:val="auto"/>
                <w:kern w:val="0"/>
                <w:sz w:val="24"/>
                <w:szCs w:val="24"/>
                <w:highlight w:val="none"/>
                <w:lang w:val="en-US" w:eastAsia="zh-CN"/>
              </w:rPr>
              <w:t>组</w:t>
            </w:r>
          </w:p>
        </w:tc>
        <w:tc>
          <w:tcPr>
            <w:tcW w:w="1324" w:type="dxa"/>
            <w:noWrap w:val="0"/>
            <w:vAlign w:val="center"/>
          </w:tcPr>
          <w:p w14:paraId="7F3C6A3D">
            <w:pPr>
              <w:snapToGrid w:val="0"/>
              <w:jc w:val="center"/>
              <w:rPr>
                <w:rFonts w:hint="eastAsia" w:ascii="黑体" w:hAnsi="黑体" w:eastAsia="黑体" w:cs="黑体"/>
                <w:sz w:val="24"/>
                <w:szCs w:val="24"/>
                <w:highlight w:val="none"/>
              </w:rPr>
            </w:pPr>
            <w:r>
              <w:rPr>
                <w:rFonts w:hint="eastAsia" w:ascii="黑体" w:hAnsi="黑体" w:eastAsia="黑体" w:cs="黑体"/>
                <w:color w:val="auto"/>
                <w:sz w:val="24"/>
                <w:szCs w:val="24"/>
                <w:highlight w:val="none"/>
                <w:lang w:val="en-US" w:eastAsia="zh-CN"/>
              </w:rPr>
              <w:t>1</w:t>
            </w:r>
          </w:p>
        </w:tc>
      </w:tr>
      <w:tr w14:paraId="1B3799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344" w:type="dxa"/>
            <w:noWrap w:val="0"/>
            <w:vAlign w:val="center"/>
          </w:tcPr>
          <w:p w14:paraId="4F221FEF">
            <w:pPr>
              <w:widowControl/>
              <w:rPr>
                <w:rFonts w:hint="eastAsia" w:ascii="黑体" w:hAnsi="黑体" w:eastAsia="黑体" w:cs="黑体"/>
                <w:sz w:val="24"/>
                <w:szCs w:val="24"/>
                <w:highlight w:val="none"/>
              </w:rPr>
            </w:pPr>
            <w:r>
              <w:rPr>
                <w:rFonts w:hint="eastAsia" w:ascii="黑体" w:hAnsi="黑体" w:eastAsia="黑体" w:cs="黑体"/>
                <w:color w:val="auto"/>
                <w:sz w:val="24"/>
                <w:szCs w:val="24"/>
                <w:highlight w:val="none"/>
              </w:rPr>
              <w:t>脱模器</w:t>
            </w:r>
          </w:p>
        </w:tc>
        <w:tc>
          <w:tcPr>
            <w:tcW w:w="3441" w:type="dxa"/>
            <w:gridSpan w:val="2"/>
            <w:noWrap w:val="0"/>
            <w:vAlign w:val="center"/>
          </w:tcPr>
          <w:p w14:paraId="04CA441E">
            <w:pPr>
              <w:snapToGrid w:val="0"/>
              <w:jc w:val="center"/>
              <w:rPr>
                <w:rFonts w:hint="eastAsia" w:ascii="黑体" w:hAnsi="黑体" w:eastAsia="黑体" w:cs="黑体"/>
                <w:sz w:val="24"/>
                <w:szCs w:val="24"/>
                <w:highlight w:val="none"/>
              </w:rPr>
            </w:pPr>
          </w:p>
        </w:tc>
        <w:tc>
          <w:tcPr>
            <w:tcW w:w="1114" w:type="dxa"/>
            <w:noWrap w:val="0"/>
            <w:vAlign w:val="center"/>
          </w:tcPr>
          <w:p w14:paraId="7A561AEF">
            <w:pPr>
              <w:pStyle w:val="48"/>
              <w:snapToGrid w:val="0"/>
              <w:jc w:val="center"/>
              <w:rPr>
                <w:rFonts w:hint="eastAsia" w:ascii="黑体" w:hAnsi="黑体" w:eastAsia="黑体" w:cs="黑体"/>
                <w:sz w:val="24"/>
                <w:szCs w:val="24"/>
                <w:highlight w:val="none"/>
              </w:rPr>
            </w:pPr>
            <w:r>
              <w:rPr>
                <w:rFonts w:hint="eastAsia" w:ascii="黑体" w:hAnsi="黑体" w:eastAsia="黑体" w:cs="黑体"/>
                <w:color w:val="auto"/>
                <w:kern w:val="0"/>
                <w:sz w:val="24"/>
                <w:szCs w:val="24"/>
                <w:highlight w:val="none"/>
              </w:rPr>
              <w:t>台</w:t>
            </w:r>
          </w:p>
        </w:tc>
        <w:tc>
          <w:tcPr>
            <w:tcW w:w="1324" w:type="dxa"/>
            <w:noWrap w:val="0"/>
            <w:vAlign w:val="center"/>
          </w:tcPr>
          <w:p w14:paraId="2E66254F">
            <w:pPr>
              <w:snapToGrid w:val="0"/>
              <w:jc w:val="center"/>
              <w:rPr>
                <w:rFonts w:hint="eastAsia" w:ascii="黑体" w:hAnsi="黑体" w:eastAsia="黑体" w:cs="黑体"/>
                <w:sz w:val="24"/>
                <w:szCs w:val="24"/>
                <w:highlight w:val="none"/>
              </w:rPr>
            </w:pPr>
            <w:r>
              <w:rPr>
                <w:rFonts w:hint="eastAsia" w:ascii="黑体" w:hAnsi="黑体" w:eastAsia="黑体" w:cs="黑体"/>
                <w:color w:val="auto"/>
                <w:sz w:val="24"/>
                <w:szCs w:val="24"/>
                <w:highlight w:val="none"/>
                <w:lang w:val="en-US" w:eastAsia="zh-CN"/>
              </w:rPr>
              <w:t>1</w:t>
            </w:r>
          </w:p>
        </w:tc>
      </w:tr>
      <w:tr w14:paraId="1BE531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344" w:type="dxa"/>
            <w:noWrap w:val="0"/>
            <w:vAlign w:val="center"/>
          </w:tcPr>
          <w:p w14:paraId="27FC3344">
            <w:pPr>
              <w:widowControl/>
              <w:rPr>
                <w:rFonts w:hint="eastAsia" w:ascii="黑体" w:hAnsi="黑体" w:eastAsia="黑体" w:cs="黑体"/>
                <w:sz w:val="24"/>
                <w:szCs w:val="24"/>
                <w:highlight w:val="none"/>
              </w:rPr>
            </w:pPr>
            <w:r>
              <w:rPr>
                <w:rFonts w:hint="eastAsia" w:ascii="黑体" w:hAnsi="黑体" w:eastAsia="黑体" w:cs="黑体"/>
                <w:color w:val="auto"/>
                <w:kern w:val="0"/>
                <w:sz w:val="24"/>
                <w:szCs w:val="24"/>
                <w:highlight w:val="none"/>
              </w:rPr>
              <w:t>EDTA滴定法</w:t>
            </w:r>
          </w:p>
        </w:tc>
        <w:tc>
          <w:tcPr>
            <w:tcW w:w="3441" w:type="dxa"/>
            <w:gridSpan w:val="2"/>
            <w:noWrap w:val="0"/>
            <w:vAlign w:val="center"/>
          </w:tcPr>
          <w:p w14:paraId="7463F0E1">
            <w:pPr>
              <w:snapToGrid w:val="0"/>
              <w:jc w:val="center"/>
              <w:rPr>
                <w:rFonts w:hint="eastAsia" w:ascii="黑体" w:hAnsi="黑体" w:eastAsia="黑体" w:cs="黑体"/>
                <w:sz w:val="24"/>
                <w:szCs w:val="24"/>
                <w:highlight w:val="none"/>
              </w:rPr>
            </w:pPr>
          </w:p>
        </w:tc>
        <w:tc>
          <w:tcPr>
            <w:tcW w:w="1114" w:type="dxa"/>
            <w:noWrap w:val="0"/>
            <w:vAlign w:val="center"/>
          </w:tcPr>
          <w:p w14:paraId="214B38FF">
            <w:pPr>
              <w:pStyle w:val="48"/>
              <w:snapToGrid w:val="0"/>
              <w:jc w:val="center"/>
              <w:rPr>
                <w:rFonts w:hint="eastAsia" w:ascii="黑体" w:hAnsi="黑体" w:eastAsia="黑体" w:cs="黑体"/>
                <w:sz w:val="24"/>
                <w:szCs w:val="24"/>
                <w:highlight w:val="none"/>
              </w:rPr>
            </w:pPr>
            <w:r>
              <w:rPr>
                <w:rFonts w:hint="eastAsia" w:ascii="黑体" w:hAnsi="黑体" w:eastAsia="黑体" w:cs="黑体"/>
                <w:color w:val="auto"/>
                <w:sz w:val="24"/>
                <w:szCs w:val="24"/>
                <w:highlight w:val="none"/>
                <w:lang w:val="en-US" w:eastAsia="zh-CN"/>
              </w:rPr>
              <w:t>套</w:t>
            </w:r>
          </w:p>
        </w:tc>
        <w:tc>
          <w:tcPr>
            <w:tcW w:w="1324" w:type="dxa"/>
            <w:noWrap w:val="0"/>
            <w:vAlign w:val="center"/>
          </w:tcPr>
          <w:p w14:paraId="404ACE83">
            <w:pPr>
              <w:snapToGrid w:val="0"/>
              <w:jc w:val="center"/>
              <w:rPr>
                <w:rFonts w:hint="eastAsia" w:ascii="黑体" w:hAnsi="黑体" w:eastAsia="黑体" w:cs="黑体"/>
                <w:sz w:val="24"/>
                <w:szCs w:val="24"/>
                <w:highlight w:val="none"/>
              </w:rPr>
            </w:pPr>
            <w:r>
              <w:rPr>
                <w:rFonts w:hint="eastAsia" w:ascii="黑体" w:hAnsi="黑体" w:eastAsia="黑体" w:cs="黑体"/>
                <w:color w:val="auto"/>
                <w:sz w:val="24"/>
                <w:szCs w:val="24"/>
                <w:highlight w:val="none"/>
                <w:lang w:val="en-US" w:eastAsia="zh-CN"/>
              </w:rPr>
              <w:t>1</w:t>
            </w:r>
          </w:p>
        </w:tc>
      </w:tr>
      <w:tr w14:paraId="116FC3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785" w:type="dxa"/>
            <w:gridSpan w:val="3"/>
            <w:noWrap w:val="0"/>
            <w:vAlign w:val="center"/>
          </w:tcPr>
          <w:p w14:paraId="4AB25650">
            <w:pPr>
              <w:rPr>
                <w:rFonts w:hint="eastAsia" w:ascii="黑体" w:hAnsi="黑体" w:eastAsia="黑体" w:cs="黑体"/>
                <w:sz w:val="24"/>
                <w:szCs w:val="24"/>
                <w:highlight w:val="none"/>
              </w:rPr>
            </w:pPr>
            <w:r>
              <w:rPr>
                <w:rFonts w:hint="eastAsia" w:ascii="黑体" w:hAnsi="黑体" w:eastAsia="黑体" w:cs="黑体"/>
                <w:b/>
                <w:sz w:val="24"/>
                <w:szCs w:val="24"/>
                <w:highlight w:val="none"/>
                <w:lang w:val="en-US" w:eastAsia="zh-CN"/>
              </w:rPr>
              <w:t>八</w:t>
            </w:r>
            <w:r>
              <w:rPr>
                <w:rFonts w:hint="eastAsia" w:ascii="黑体" w:hAnsi="黑体" w:eastAsia="黑体" w:cs="黑体"/>
                <w:b/>
                <w:sz w:val="24"/>
                <w:szCs w:val="24"/>
                <w:highlight w:val="none"/>
              </w:rPr>
              <w:t>、公路工程检测设备</w:t>
            </w:r>
          </w:p>
        </w:tc>
        <w:tc>
          <w:tcPr>
            <w:tcW w:w="1114" w:type="dxa"/>
            <w:noWrap w:val="0"/>
            <w:vAlign w:val="center"/>
          </w:tcPr>
          <w:p w14:paraId="628834BF">
            <w:pPr>
              <w:jc w:val="center"/>
              <w:rPr>
                <w:rFonts w:hint="eastAsia" w:ascii="黑体" w:hAnsi="黑体" w:eastAsia="黑体" w:cs="黑体"/>
                <w:sz w:val="24"/>
                <w:szCs w:val="24"/>
                <w:highlight w:val="none"/>
              </w:rPr>
            </w:pPr>
          </w:p>
        </w:tc>
        <w:tc>
          <w:tcPr>
            <w:tcW w:w="1324" w:type="dxa"/>
            <w:noWrap w:val="0"/>
            <w:vAlign w:val="center"/>
          </w:tcPr>
          <w:p w14:paraId="6AC9F47C">
            <w:pPr>
              <w:jc w:val="center"/>
              <w:rPr>
                <w:rFonts w:hint="eastAsia" w:ascii="黑体" w:hAnsi="黑体" w:eastAsia="黑体" w:cs="黑体"/>
                <w:sz w:val="24"/>
                <w:szCs w:val="24"/>
                <w:highlight w:val="none"/>
              </w:rPr>
            </w:pPr>
          </w:p>
        </w:tc>
      </w:tr>
      <w:tr w14:paraId="2144B4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61229FED">
            <w:pPr>
              <w:widowControl/>
              <w:jc w:val="center"/>
              <w:rPr>
                <w:rFonts w:hint="eastAsia" w:ascii="黑体" w:hAnsi="黑体" w:eastAsia="黑体" w:cs="黑体"/>
                <w:sz w:val="24"/>
                <w:szCs w:val="24"/>
                <w:highlight w:val="none"/>
              </w:rPr>
            </w:pPr>
            <w:r>
              <w:rPr>
                <w:rFonts w:hint="eastAsia" w:ascii="黑体" w:hAnsi="黑体" w:eastAsia="黑体" w:cs="黑体"/>
                <w:kern w:val="0"/>
                <w:sz w:val="24"/>
                <w:szCs w:val="24"/>
                <w:highlight w:val="none"/>
              </w:rPr>
              <w:t>弯沉测试车</w:t>
            </w:r>
          </w:p>
        </w:tc>
        <w:tc>
          <w:tcPr>
            <w:tcW w:w="3327" w:type="dxa"/>
            <w:noWrap w:val="0"/>
            <w:vAlign w:val="center"/>
          </w:tcPr>
          <w:p w14:paraId="2ED76879">
            <w:pPr>
              <w:snapToGrid w:val="0"/>
              <w:jc w:val="center"/>
              <w:rPr>
                <w:rFonts w:hint="eastAsia" w:ascii="黑体" w:hAnsi="黑体" w:eastAsia="黑体" w:cs="黑体"/>
                <w:sz w:val="24"/>
                <w:szCs w:val="24"/>
                <w:highlight w:val="none"/>
              </w:rPr>
            </w:pPr>
          </w:p>
        </w:tc>
        <w:tc>
          <w:tcPr>
            <w:tcW w:w="1114" w:type="dxa"/>
            <w:noWrap w:val="0"/>
            <w:vAlign w:val="center"/>
          </w:tcPr>
          <w:p w14:paraId="4F606628">
            <w:pPr>
              <w:widowControl/>
              <w:jc w:val="center"/>
              <w:rPr>
                <w:rFonts w:hint="eastAsia" w:ascii="黑体" w:hAnsi="黑体" w:eastAsia="黑体" w:cs="黑体"/>
                <w:sz w:val="24"/>
                <w:szCs w:val="24"/>
                <w:highlight w:val="none"/>
              </w:rPr>
            </w:pPr>
            <w:r>
              <w:rPr>
                <w:rFonts w:hint="eastAsia" w:ascii="黑体" w:hAnsi="黑体" w:eastAsia="黑体" w:cs="黑体"/>
                <w:kern w:val="0"/>
                <w:sz w:val="24"/>
                <w:szCs w:val="24"/>
                <w:highlight w:val="none"/>
              </w:rPr>
              <w:t>台</w:t>
            </w:r>
          </w:p>
        </w:tc>
        <w:tc>
          <w:tcPr>
            <w:tcW w:w="1324" w:type="dxa"/>
            <w:noWrap w:val="0"/>
            <w:vAlign w:val="center"/>
          </w:tcPr>
          <w:p w14:paraId="05612E32">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02F0EA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202B9E45">
            <w:pPr>
              <w:widowControl/>
              <w:jc w:val="center"/>
              <w:rPr>
                <w:rFonts w:hint="eastAsia" w:ascii="黑体" w:hAnsi="黑体" w:eastAsia="黑体" w:cs="黑体"/>
                <w:sz w:val="24"/>
                <w:szCs w:val="24"/>
                <w:highlight w:val="none"/>
              </w:rPr>
            </w:pPr>
            <w:r>
              <w:rPr>
                <w:rFonts w:hint="eastAsia" w:ascii="黑体" w:hAnsi="黑体" w:eastAsia="黑体" w:cs="黑体"/>
                <w:kern w:val="0"/>
                <w:sz w:val="24"/>
                <w:szCs w:val="24"/>
                <w:highlight w:val="none"/>
              </w:rPr>
              <w:t>弯沉仪（5.4m，铸铝）</w:t>
            </w:r>
          </w:p>
        </w:tc>
        <w:tc>
          <w:tcPr>
            <w:tcW w:w="3327" w:type="dxa"/>
            <w:noWrap w:val="0"/>
            <w:vAlign w:val="center"/>
          </w:tcPr>
          <w:p w14:paraId="133E1DB6">
            <w:pPr>
              <w:snapToGrid w:val="0"/>
              <w:jc w:val="center"/>
              <w:rPr>
                <w:rFonts w:hint="eastAsia" w:ascii="黑体" w:hAnsi="黑体" w:eastAsia="黑体" w:cs="黑体"/>
                <w:sz w:val="24"/>
                <w:szCs w:val="24"/>
                <w:highlight w:val="none"/>
              </w:rPr>
            </w:pPr>
          </w:p>
        </w:tc>
        <w:tc>
          <w:tcPr>
            <w:tcW w:w="1114" w:type="dxa"/>
            <w:noWrap w:val="0"/>
            <w:vAlign w:val="center"/>
          </w:tcPr>
          <w:p w14:paraId="48BE0ED0">
            <w:pPr>
              <w:widowControl/>
              <w:jc w:val="center"/>
              <w:rPr>
                <w:rFonts w:hint="eastAsia" w:ascii="黑体" w:hAnsi="黑体" w:eastAsia="黑体" w:cs="黑体"/>
                <w:sz w:val="24"/>
                <w:szCs w:val="24"/>
                <w:highlight w:val="none"/>
              </w:rPr>
            </w:pPr>
            <w:r>
              <w:rPr>
                <w:rFonts w:hint="eastAsia" w:ascii="黑体" w:hAnsi="黑体" w:eastAsia="黑体" w:cs="黑体"/>
                <w:kern w:val="0"/>
                <w:sz w:val="24"/>
                <w:szCs w:val="24"/>
                <w:highlight w:val="none"/>
              </w:rPr>
              <w:t>套</w:t>
            </w:r>
          </w:p>
        </w:tc>
        <w:tc>
          <w:tcPr>
            <w:tcW w:w="1324" w:type="dxa"/>
            <w:noWrap w:val="0"/>
            <w:vAlign w:val="center"/>
          </w:tcPr>
          <w:p w14:paraId="71B745DF">
            <w:pPr>
              <w:pStyle w:val="5"/>
              <w:snapToGrid w:val="0"/>
              <w:ind w:firstLine="0" w:firstLineChars="0"/>
              <w:jc w:val="center"/>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val="en-US" w:eastAsia="zh-CN"/>
              </w:rPr>
              <w:t>1</w:t>
            </w:r>
          </w:p>
        </w:tc>
      </w:tr>
      <w:tr w14:paraId="448B34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501F4D00">
            <w:pPr>
              <w:widowControl/>
              <w:jc w:val="center"/>
              <w:rPr>
                <w:rFonts w:hint="eastAsia" w:ascii="黑体" w:hAnsi="黑体" w:eastAsia="黑体" w:cs="黑体"/>
                <w:sz w:val="24"/>
                <w:szCs w:val="24"/>
                <w:highlight w:val="none"/>
              </w:rPr>
            </w:pPr>
            <w:r>
              <w:rPr>
                <w:rFonts w:hint="eastAsia" w:ascii="黑体" w:hAnsi="黑体" w:eastAsia="黑体" w:cs="黑体"/>
                <w:kern w:val="0"/>
                <w:sz w:val="24"/>
                <w:szCs w:val="24"/>
                <w:highlight w:val="none"/>
              </w:rPr>
              <w:t>取芯机</w:t>
            </w:r>
          </w:p>
        </w:tc>
        <w:tc>
          <w:tcPr>
            <w:tcW w:w="3327" w:type="dxa"/>
            <w:noWrap w:val="0"/>
            <w:vAlign w:val="center"/>
          </w:tcPr>
          <w:p w14:paraId="113A7B94">
            <w:pPr>
              <w:snapToGrid w:val="0"/>
              <w:jc w:val="center"/>
              <w:rPr>
                <w:rFonts w:hint="eastAsia" w:ascii="黑体" w:hAnsi="黑体" w:eastAsia="黑体" w:cs="黑体"/>
                <w:sz w:val="24"/>
                <w:szCs w:val="24"/>
                <w:highlight w:val="none"/>
              </w:rPr>
            </w:pPr>
          </w:p>
        </w:tc>
        <w:tc>
          <w:tcPr>
            <w:tcW w:w="1114" w:type="dxa"/>
            <w:noWrap w:val="0"/>
            <w:vAlign w:val="center"/>
          </w:tcPr>
          <w:p w14:paraId="0371EC94">
            <w:pPr>
              <w:widowControl/>
              <w:jc w:val="center"/>
              <w:rPr>
                <w:rFonts w:hint="eastAsia" w:ascii="黑体" w:hAnsi="黑体" w:eastAsia="黑体" w:cs="黑体"/>
                <w:sz w:val="24"/>
                <w:szCs w:val="24"/>
                <w:highlight w:val="none"/>
              </w:rPr>
            </w:pPr>
            <w:r>
              <w:rPr>
                <w:rFonts w:hint="eastAsia" w:ascii="黑体" w:hAnsi="黑体" w:eastAsia="黑体" w:cs="黑体"/>
                <w:kern w:val="0"/>
                <w:sz w:val="24"/>
                <w:szCs w:val="24"/>
                <w:highlight w:val="none"/>
              </w:rPr>
              <w:t>台</w:t>
            </w:r>
          </w:p>
        </w:tc>
        <w:tc>
          <w:tcPr>
            <w:tcW w:w="1324" w:type="dxa"/>
            <w:noWrap w:val="0"/>
            <w:vAlign w:val="center"/>
          </w:tcPr>
          <w:p w14:paraId="19CC8887">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0FE1FD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383F86F2">
            <w:pPr>
              <w:widowControl/>
              <w:jc w:val="center"/>
              <w:rPr>
                <w:rFonts w:hint="eastAsia" w:ascii="黑体" w:hAnsi="黑体" w:eastAsia="黑体" w:cs="黑体"/>
                <w:sz w:val="24"/>
                <w:szCs w:val="24"/>
                <w:highlight w:val="none"/>
              </w:rPr>
            </w:pPr>
            <w:r>
              <w:rPr>
                <w:rFonts w:hint="eastAsia" w:ascii="黑体" w:hAnsi="黑体" w:eastAsia="黑体" w:cs="黑体"/>
                <w:kern w:val="0"/>
                <w:sz w:val="24"/>
                <w:szCs w:val="24"/>
                <w:highlight w:val="none"/>
              </w:rPr>
              <w:t>路面平整度仪（八轮式）</w:t>
            </w:r>
          </w:p>
        </w:tc>
        <w:tc>
          <w:tcPr>
            <w:tcW w:w="3327" w:type="dxa"/>
            <w:noWrap w:val="0"/>
            <w:vAlign w:val="center"/>
          </w:tcPr>
          <w:p w14:paraId="00CDEC14">
            <w:pPr>
              <w:snapToGrid w:val="0"/>
              <w:jc w:val="center"/>
              <w:rPr>
                <w:rFonts w:hint="eastAsia" w:ascii="黑体" w:hAnsi="黑体" w:eastAsia="黑体" w:cs="黑体"/>
                <w:sz w:val="24"/>
                <w:szCs w:val="24"/>
                <w:highlight w:val="none"/>
              </w:rPr>
            </w:pPr>
          </w:p>
        </w:tc>
        <w:tc>
          <w:tcPr>
            <w:tcW w:w="1114" w:type="dxa"/>
            <w:noWrap w:val="0"/>
            <w:vAlign w:val="center"/>
          </w:tcPr>
          <w:p w14:paraId="5C8DA94C">
            <w:pPr>
              <w:widowControl/>
              <w:jc w:val="center"/>
              <w:rPr>
                <w:rFonts w:hint="eastAsia" w:ascii="黑体" w:hAnsi="黑体" w:eastAsia="黑体" w:cs="黑体"/>
                <w:sz w:val="24"/>
                <w:szCs w:val="24"/>
                <w:highlight w:val="none"/>
              </w:rPr>
            </w:pPr>
            <w:r>
              <w:rPr>
                <w:rFonts w:hint="eastAsia" w:ascii="黑体" w:hAnsi="黑体" w:eastAsia="黑体" w:cs="黑体"/>
                <w:kern w:val="0"/>
                <w:sz w:val="24"/>
                <w:szCs w:val="24"/>
                <w:highlight w:val="none"/>
              </w:rPr>
              <w:t>套</w:t>
            </w:r>
          </w:p>
        </w:tc>
        <w:tc>
          <w:tcPr>
            <w:tcW w:w="1324" w:type="dxa"/>
            <w:noWrap w:val="0"/>
            <w:vAlign w:val="center"/>
          </w:tcPr>
          <w:p w14:paraId="0B5F47B3">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r>
      <w:tr w14:paraId="3BB8D1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08CF6D32">
            <w:pPr>
              <w:widowControl/>
              <w:jc w:val="center"/>
              <w:rPr>
                <w:rFonts w:hint="eastAsia" w:ascii="黑体" w:hAnsi="黑体" w:eastAsia="黑体" w:cs="黑体"/>
                <w:sz w:val="24"/>
                <w:szCs w:val="24"/>
                <w:highlight w:val="none"/>
              </w:rPr>
            </w:pPr>
            <w:r>
              <w:rPr>
                <w:rFonts w:hint="eastAsia" w:ascii="黑体" w:hAnsi="黑体" w:eastAsia="黑体" w:cs="黑体"/>
                <w:kern w:val="0"/>
                <w:sz w:val="24"/>
                <w:szCs w:val="24"/>
                <w:highlight w:val="none"/>
              </w:rPr>
              <w:t>摆式摩擦系数测定仪</w:t>
            </w:r>
          </w:p>
        </w:tc>
        <w:tc>
          <w:tcPr>
            <w:tcW w:w="3327" w:type="dxa"/>
            <w:noWrap w:val="0"/>
            <w:vAlign w:val="center"/>
          </w:tcPr>
          <w:p w14:paraId="05355E4C">
            <w:pPr>
              <w:snapToGrid w:val="0"/>
              <w:jc w:val="center"/>
              <w:rPr>
                <w:rFonts w:hint="eastAsia" w:ascii="黑体" w:hAnsi="黑体" w:eastAsia="黑体" w:cs="黑体"/>
                <w:sz w:val="24"/>
                <w:szCs w:val="24"/>
                <w:highlight w:val="none"/>
              </w:rPr>
            </w:pPr>
          </w:p>
        </w:tc>
        <w:tc>
          <w:tcPr>
            <w:tcW w:w="1114" w:type="dxa"/>
            <w:noWrap w:val="0"/>
            <w:vAlign w:val="center"/>
          </w:tcPr>
          <w:p w14:paraId="7A741D89">
            <w:pPr>
              <w:widowControl/>
              <w:jc w:val="center"/>
              <w:rPr>
                <w:rFonts w:hint="eastAsia" w:ascii="黑体" w:hAnsi="黑体" w:eastAsia="黑体" w:cs="黑体"/>
                <w:sz w:val="24"/>
                <w:szCs w:val="24"/>
                <w:highlight w:val="none"/>
              </w:rPr>
            </w:pPr>
            <w:r>
              <w:rPr>
                <w:rFonts w:hint="eastAsia" w:ascii="黑体" w:hAnsi="黑体" w:eastAsia="黑体" w:cs="黑体"/>
                <w:kern w:val="0"/>
                <w:sz w:val="24"/>
                <w:szCs w:val="24"/>
                <w:highlight w:val="none"/>
              </w:rPr>
              <w:t>台</w:t>
            </w:r>
          </w:p>
        </w:tc>
        <w:tc>
          <w:tcPr>
            <w:tcW w:w="1324" w:type="dxa"/>
            <w:noWrap w:val="0"/>
            <w:vAlign w:val="center"/>
          </w:tcPr>
          <w:p w14:paraId="22599C34">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1</w:t>
            </w:r>
          </w:p>
        </w:tc>
      </w:tr>
      <w:tr w14:paraId="5A3FB5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4BE71F23">
            <w:pPr>
              <w:widowControl/>
              <w:jc w:val="center"/>
              <w:rPr>
                <w:rFonts w:hint="eastAsia" w:ascii="黑体" w:hAnsi="黑体" w:eastAsia="黑体" w:cs="黑体"/>
                <w:sz w:val="24"/>
                <w:szCs w:val="24"/>
                <w:highlight w:val="none"/>
              </w:rPr>
            </w:pPr>
            <w:r>
              <w:rPr>
                <w:rFonts w:hint="eastAsia" w:ascii="黑体" w:hAnsi="黑体" w:eastAsia="黑体" w:cs="黑体"/>
                <w:kern w:val="0"/>
                <w:sz w:val="24"/>
                <w:szCs w:val="24"/>
                <w:highlight w:val="none"/>
              </w:rPr>
              <w:t>路面渗水仪</w:t>
            </w:r>
          </w:p>
        </w:tc>
        <w:tc>
          <w:tcPr>
            <w:tcW w:w="3327" w:type="dxa"/>
            <w:noWrap w:val="0"/>
            <w:vAlign w:val="center"/>
          </w:tcPr>
          <w:p w14:paraId="1A70A24E">
            <w:pPr>
              <w:snapToGrid w:val="0"/>
              <w:jc w:val="center"/>
              <w:rPr>
                <w:rFonts w:hint="eastAsia" w:ascii="黑体" w:hAnsi="黑体" w:eastAsia="黑体" w:cs="黑体"/>
                <w:sz w:val="24"/>
                <w:szCs w:val="24"/>
                <w:highlight w:val="none"/>
              </w:rPr>
            </w:pPr>
          </w:p>
        </w:tc>
        <w:tc>
          <w:tcPr>
            <w:tcW w:w="1114" w:type="dxa"/>
            <w:noWrap w:val="0"/>
            <w:vAlign w:val="center"/>
          </w:tcPr>
          <w:p w14:paraId="6A89C461">
            <w:pPr>
              <w:widowControl/>
              <w:jc w:val="center"/>
              <w:rPr>
                <w:rFonts w:hint="eastAsia" w:ascii="黑体" w:hAnsi="黑体" w:eastAsia="黑体" w:cs="黑体"/>
                <w:sz w:val="24"/>
                <w:szCs w:val="24"/>
                <w:highlight w:val="none"/>
              </w:rPr>
            </w:pPr>
            <w:r>
              <w:rPr>
                <w:rFonts w:hint="eastAsia" w:ascii="黑体" w:hAnsi="黑体" w:eastAsia="黑体" w:cs="黑体"/>
                <w:kern w:val="0"/>
                <w:sz w:val="24"/>
                <w:szCs w:val="24"/>
                <w:highlight w:val="none"/>
              </w:rPr>
              <w:t>台</w:t>
            </w:r>
          </w:p>
        </w:tc>
        <w:tc>
          <w:tcPr>
            <w:tcW w:w="1324" w:type="dxa"/>
            <w:noWrap w:val="0"/>
            <w:vAlign w:val="center"/>
          </w:tcPr>
          <w:p w14:paraId="39C1054F">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1</w:t>
            </w:r>
          </w:p>
        </w:tc>
      </w:tr>
      <w:tr w14:paraId="0AE634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63BBD45A">
            <w:pPr>
              <w:widowControl/>
              <w:jc w:val="center"/>
              <w:rPr>
                <w:rFonts w:hint="eastAsia" w:ascii="黑体" w:hAnsi="黑体" w:eastAsia="黑体" w:cs="黑体"/>
                <w:sz w:val="24"/>
                <w:szCs w:val="24"/>
                <w:highlight w:val="none"/>
              </w:rPr>
            </w:pPr>
            <w:r>
              <w:rPr>
                <w:rFonts w:hint="eastAsia" w:ascii="黑体" w:hAnsi="黑体" w:eastAsia="黑体" w:cs="黑体"/>
                <w:kern w:val="0"/>
                <w:sz w:val="24"/>
                <w:szCs w:val="24"/>
                <w:highlight w:val="none"/>
              </w:rPr>
              <w:t>构造深度测定仪</w:t>
            </w:r>
          </w:p>
        </w:tc>
        <w:tc>
          <w:tcPr>
            <w:tcW w:w="3327" w:type="dxa"/>
            <w:noWrap w:val="0"/>
            <w:vAlign w:val="center"/>
          </w:tcPr>
          <w:p w14:paraId="649E6D1C">
            <w:pPr>
              <w:snapToGrid w:val="0"/>
              <w:jc w:val="center"/>
              <w:rPr>
                <w:rFonts w:hint="eastAsia" w:ascii="黑体" w:hAnsi="黑体" w:eastAsia="黑体" w:cs="黑体"/>
                <w:sz w:val="24"/>
                <w:szCs w:val="24"/>
                <w:highlight w:val="none"/>
              </w:rPr>
            </w:pPr>
          </w:p>
        </w:tc>
        <w:tc>
          <w:tcPr>
            <w:tcW w:w="1114" w:type="dxa"/>
            <w:noWrap w:val="0"/>
            <w:vAlign w:val="center"/>
          </w:tcPr>
          <w:p w14:paraId="6455DEDD">
            <w:pPr>
              <w:widowControl/>
              <w:jc w:val="center"/>
              <w:rPr>
                <w:rFonts w:hint="eastAsia" w:ascii="黑体" w:hAnsi="黑体" w:eastAsia="黑体" w:cs="黑体"/>
                <w:sz w:val="24"/>
                <w:szCs w:val="24"/>
                <w:highlight w:val="none"/>
              </w:rPr>
            </w:pPr>
            <w:r>
              <w:rPr>
                <w:rFonts w:hint="eastAsia" w:ascii="黑体" w:hAnsi="黑体" w:eastAsia="黑体" w:cs="黑体"/>
                <w:kern w:val="0"/>
                <w:sz w:val="24"/>
                <w:szCs w:val="24"/>
                <w:highlight w:val="none"/>
              </w:rPr>
              <w:t>套</w:t>
            </w:r>
          </w:p>
        </w:tc>
        <w:tc>
          <w:tcPr>
            <w:tcW w:w="1324" w:type="dxa"/>
            <w:noWrap w:val="0"/>
            <w:vAlign w:val="center"/>
          </w:tcPr>
          <w:p w14:paraId="46E598A7">
            <w:pPr>
              <w:snapToGrid w:val="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1</w:t>
            </w:r>
          </w:p>
        </w:tc>
      </w:tr>
      <w:tr w14:paraId="1C453A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785" w:type="dxa"/>
            <w:gridSpan w:val="3"/>
            <w:noWrap w:val="0"/>
            <w:vAlign w:val="center"/>
          </w:tcPr>
          <w:p w14:paraId="6FB65846">
            <w:pPr>
              <w:rPr>
                <w:rFonts w:hint="eastAsia" w:ascii="黑体" w:hAnsi="黑体" w:eastAsia="黑体" w:cs="黑体"/>
                <w:sz w:val="24"/>
                <w:szCs w:val="24"/>
                <w:highlight w:val="none"/>
              </w:rPr>
            </w:pPr>
            <w:r>
              <w:rPr>
                <w:rFonts w:hint="eastAsia" w:ascii="黑体" w:hAnsi="黑体" w:eastAsia="黑体" w:cs="黑体"/>
                <w:b/>
                <w:sz w:val="24"/>
                <w:szCs w:val="24"/>
                <w:highlight w:val="none"/>
                <w:lang w:val="en-US" w:eastAsia="zh-CN"/>
              </w:rPr>
              <w:t>九</w:t>
            </w:r>
            <w:r>
              <w:rPr>
                <w:rFonts w:hint="eastAsia" w:ascii="黑体" w:hAnsi="黑体" w:eastAsia="黑体" w:cs="黑体"/>
                <w:b/>
                <w:sz w:val="24"/>
                <w:szCs w:val="24"/>
                <w:highlight w:val="none"/>
              </w:rPr>
              <w:t>、公路线形及几何尺寸测量设备</w:t>
            </w:r>
          </w:p>
        </w:tc>
        <w:tc>
          <w:tcPr>
            <w:tcW w:w="1114" w:type="dxa"/>
            <w:noWrap w:val="0"/>
            <w:vAlign w:val="center"/>
          </w:tcPr>
          <w:p w14:paraId="2F17C962">
            <w:pPr>
              <w:jc w:val="center"/>
              <w:rPr>
                <w:rFonts w:hint="eastAsia" w:ascii="黑体" w:hAnsi="黑体" w:eastAsia="黑体" w:cs="黑体"/>
                <w:sz w:val="24"/>
                <w:szCs w:val="24"/>
                <w:highlight w:val="none"/>
              </w:rPr>
            </w:pPr>
          </w:p>
        </w:tc>
        <w:tc>
          <w:tcPr>
            <w:tcW w:w="1324" w:type="dxa"/>
            <w:noWrap w:val="0"/>
            <w:vAlign w:val="center"/>
          </w:tcPr>
          <w:p w14:paraId="0FE5D74A">
            <w:pPr>
              <w:jc w:val="center"/>
              <w:rPr>
                <w:rFonts w:hint="eastAsia" w:ascii="黑体" w:hAnsi="黑体" w:eastAsia="黑体" w:cs="黑体"/>
                <w:sz w:val="24"/>
                <w:szCs w:val="24"/>
                <w:highlight w:val="none"/>
              </w:rPr>
            </w:pPr>
          </w:p>
        </w:tc>
      </w:tr>
      <w:tr w14:paraId="217500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396A6BF0">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全站仪</w:t>
            </w:r>
          </w:p>
        </w:tc>
        <w:tc>
          <w:tcPr>
            <w:tcW w:w="3327" w:type="dxa"/>
            <w:noWrap w:val="0"/>
            <w:vAlign w:val="center"/>
          </w:tcPr>
          <w:p w14:paraId="5C08AE6F">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2＂</w:t>
            </w:r>
          </w:p>
        </w:tc>
        <w:tc>
          <w:tcPr>
            <w:tcW w:w="1114" w:type="dxa"/>
            <w:noWrap w:val="0"/>
            <w:vAlign w:val="center"/>
          </w:tcPr>
          <w:p w14:paraId="2B0A41C3">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套</w:t>
            </w:r>
          </w:p>
        </w:tc>
        <w:tc>
          <w:tcPr>
            <w:tcW w:w="1324" w:type="dxa"/>
            <w:noWrap w:val="0"/>
            <w:vAlign w:val="center"/>
          </w:tcPr>
          <w:p w14:paraId="05707E43">
            <w:pPr>
              <w:snapToGrid w:val="0"/>
              <w:jc w:val="center"/>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val="en-US" w:eastAsia="zh-CN"/>
              </w:rPr>
              <w:t>1</w:t>
            </w:r>
          </w:p>
        </w:tc>
      </w:tr>
      <w:tr w14:paraId="24799C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458" w:type="dxa"/>
            <w:gridSpan w:val="2"/>
            <w:noWrap w:val="0"/>
            <w:vAlign w:val="center"/>
          </w:tcPr>
          <w:p w14:paraId="0EFC1650">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精密水准仪</w:t>
            </w:r>
          </w:p>
        </w:tc>
        <w:tc>
          <w:tcPr>
            <w:tcW w:w="3327" w:type="dxa"/>
            <w:noWrap w:val="0"/>
            <w:vAlign w:val="center"/>
          </w:tcPr>
          <w:p w14:paraId="22D0AD4E">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S1</w:t>
            </w:r>
          </w:p>
        </w:tc>
        <w:tc>
          <w:tcPr>
            <w:tcW w:w="1114" w:type="dxa"/>
            <w:noWrap w:val="0"/>
            <w:vAlign w:val="center"/>
          </w:tcPr>
          <w:p w14:paraId="14E9D112">
            <w:pPr>
              <w:snapToGrid w:val="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套</w:t>
            </w:r>
          </w:p>
        </w:tc>
        <w:tc>
          <w:tcPr>
            <w:tcW w:w="1324" w:type="dxa"/>
            <w:noWrap w:val="0"/>
            <w:vAlign w:val="center"/>
          </w:tcPr>
          <w:p w14:paraId="5B17351D">
            <w:pPr>
              <w:snapToGrid w:val="0"/>
              <w:jc w:val="center"/>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val="en-US" w:eastAsia="zh-CN"/>
              </w:rPr>
              <w:t>1</w:t>
            </w:r>
          </w:p>
        </w:tc>
      </w:tr>
    </w:tbl>
    <w:p w14:paraId="22D2A0C4">
      <w:pPr>
        <w:shd w:val="clear" w:color="auto" w:fill="auto"/>
        <w:adjustRightInd w:val="0"/>
        <w:snapToGrid w:val="0"/>
        <w:spacing w:line="400" w:lineRule="atLeast"/>
        <w:rPr>
          <w:bCs/>
          <w:color w:val="auto"/>
          <w:highlight w:val="none"/>
        </w:rPr>
      </w:pPr>
    </w:p>
    <w:p w14:paraId="0CAEFAEE">
      <w:pPr>
        <w:pStyle w:val="21"/>
        <w:rPr>
          <w:bCs/>
          <w:color w:val="auto"/>
          <w:highlight w:val="none"/>
        </w:rPr>
      </w:pPr>
    </w:p>
    <w:p w14:paraId="5C60E448">
      <w:pPr>
        <w:pStyle w:val="21"/>
        <w:rPr>
          <w:bCs/>
          <w:color w:val="auto"/>
          <w:highlight w:val="none"/>
        </w:rPr>
      </w:pPr>
    </w:p>
    <w:p w14:paraId="75D7B4C2">
      <w:pPr>
        <w:pStyle w:val="21"/>
        <w:rPr>
          <w:bCs/>
          <w:color w:val="auto"/>
          <w:highlight w:val="none"/>
        </w:rPr>
      </w:pPr>
    </w:p>
    <w:p w14:paraId="43EAE608">
      <w:pPr>
        <w:pStyle w:val="21"/>
        <w:rPr>
          <w:bCs/>
          <w:color w:val="auto"/>
          <w:highlight w:val="none"/>
        </w:rPr>
      </w:pPr>
    </w:p>
    <w:p w14:paraId="3F552CE8">
      <w:pPr>
        <w:pStyle w:val="2"/>
        <w:shd w:val="clear" w:color="auto" w:fill="auto"/>
        <w:spacing w:before="0" w:after="0" w:line="380" w:lineRule="atLeast"/>
        <w:jc w:val="both"/>
        <w:rPr>
          <w:rFonts w:hint="eastAsia" w:ascii="黑体" w:hAnsi="黑体" w:eastAsia="黑体" w:cs="黑体"/>
          <w:b w:val="0"/>
          <w:color w:val="auto"/>
          <w:sz w:val="24"/>
          <w:szCs w:val="24"/>
          <w:highlight w:val="none"/>
        </w:rPr>
      </w:pPr>
      <w:bookmarkStart w:id="742" w:name="_Toc30060"/>
      <w:bookmarkStart w:id="743" w:name="_Toc501257463"/>
      <w:bookmarkStart w:id="744" w:name="_Toc234833236"/>
      <w:r>
        <w:rPr>
          <w:rFonts w:hint="eastAsia" w:ascii="黑体" w:hAnsi="黑体" w:eastAsia="黑体" w:cs="黑体"/>
          <w:b/>
          <w:bCs w:val="0"/>
          <w:color w:val="auto"/>
          <w:sz w:val="24"/>
          <w:szCs w:val="24"/>
          <w:highlight w:val="none"/>
        </w:rPr>
        <w:t>附件六</w:t>
      </w:r>
      <w:r>
        <w:rPr>
          <w:rFonts w:hint="eastAsia" w:ascii="黑体" w:hAnsi="黑体" w:eastAsia="黑体" w:cs="黑体"/>
          <w:b/>
          <w:bCs w:val="0"/>
          <w:color w:val="auto"/>
          <w:sz w:val="24"/>
          <w:szCs w:val="24"/>
          <w:highlight w:val="none"/>
          <w:lang w:eastAsia="zh-CN"/>
        </w:rPr>
        <w:t xml:space="preserve"> </w:t>
      </w:r>
      <w:r>
        <w:rPr>
          <w:rFonts w:hint="eastAsia" w:ascii="黑体" w:hAnsi="黑体" w:eastAsia="黑体" w:cs="黑体"/>
          <w:b/>
          <w:bCs w:val="0"/>
          <w:color w:val="auto"/>
          <w:sz w:val="24"/>
          <w:szCs w:val="24"/>
          <w:highlight w:val="none"/>
        </w:rPr>
        <w:t>项目经理委任书</w:t>
      </w:r>
      <w:bookmarkEnd w:id="742"/>
      <w:bookmarkEnd w:id="743"/>
      <w:bookmarkEnd w:id="744"/>
    </w:p>
    <w:p w14:paraId="479FB02C">
      <w:pPr>
        <w:shd w:val="clear" w:color="auto" w:fill="auto"/>
        <w:snapToGrid w:val="0"/>
        <w:spacing w:line="400" w:lineRule="atLeast"/>
        <w:jc w:val="center"/>
        <w:rPr>
          <w:rFonts w:hint="eastAsia" w:ascii="黑体" w:hAnsi="黑体" w:eastAsia="黑体" w:cs="黑体"/>
          <w:b/>
          <w:bCs/>
          <w:color w:val="auto"/>
          <w:sz w:val="28"/>
          <w:szCs w:val="28"/>
          <w:highlight w:val="none"/>
          <w:u w:val="single"/>
        </w:rPr>
      </w:pPr>
      <w:r>
        <w:rPr>
          <w:rFonts w:hint="eastAsia" w:ascii="黑体" w:hAnsi="黑体" w:eastAsia="黑体" w:cs="黑体"/>
          <w:b/>
          <w:bCs/>
          <w:color w:val="auto"/>
          <w:sz w:val="28"/>
          <w:szCs w:val="28"/>
          <w:highlight w:val="none"/>
          <w:u w:val="single"/>
        </w:rPr>
        <w:t>（承包人全称）</w:t>
      </w:r>
    </w:p>
    <w:p w14:paraId="27ABC86A">
      <w:pPr>
        <w:shd w:val="clear" w:color="auto" w:fill="auto"/>
        <w:snapToGrid w:val="0"/>
        <w:spacing w:line="400" w:lineRule="atLeast"/>
        <w:jc w:val="center"/>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u w:val="single"/>
        </w:rPr>
        <w:t xml:space="preserve">（合同工程名称） </w:t>
      </w:r>
      <w:r>
        <w:rPr>
          <w:rFonts w:hint="eastAsia" w:ascii="黑体" w:hAnsi="黑体" w:eastAsia="黑体" w:cs="黑体"/>
          <w:b/>
          <w:bCs/>
          <w:color w:val="auto"/>
          <w:sz w:val="28"/>
          <w:szCs w:val="28"/>
          <w:highlight w:val="none"/>
        </w:rPr>
        <w:t>项目经理委任书</w:t>
      </w:r>
    </w:p>
    <w:p w14:paraId="0D55D98D">
      <w:pPr>
        <w:shd w:val="clear" w:color="auto" w:fill="auto"/>
        <w:snapToGrid w:val="0"/>
        <w:spacing w:line="400" w:lineRule="atLeast"/>
        <w:rPr>
          <w:rFonts w:hint="eastAsia" w:ascii="黑体" w:hAnsi="黑体" w:eastAsia="黑体" w:cs="黑体"/>
          <w:color w:val="auto"/>
          <w:sz w:val="24"/>
          <w:highlight w:val="none"/>
        </w:rPr>
      </w:pPr>
    </w:p>
    <w:p w14:paraId="450F9A21">
      <w:pPr>
        <w:shd w:val="clear" w:color="auto" w:fill="auto"/>
        <w:snapToGrid w:val="0"/>
        <w:spacing w:line="400" w:lineRule="atLeast"/>
        <w:rPr>
          <w:rFonts w:hint="eastAsia" w:ascii="黑体" w:hAnsi="黑体" w:eastAsia="黑体" w:cs="黑体"/>
          <w:color w:val="auto"/>
          <w:sz w:val="24"/>
          <w:highlight w:val="none"/>
        </w:rPr>
      </w:pPr>
    </w:p>
    <w:p w14:paraId="7429F591">
      <w:pPr>
        <w:shd w:val="clear" w:color="auto" w:fill="auto"/>
        <w:spacing w:line="400" w:lineRule="atLeast"/>
        <w:rPr>
          <w:rFonts w:hint="eastAsia" w:ascii="黑体" w:hAnsi="黑体" w:eastAsia="黑体" w:cs="黑体"/>
          <w:color w:val="auto"/>
          <w:sz w:val="24"/>
          <w:highlight w:val="none"/>
        </w:rPr>
      </w:pPr>
      <w:r>
        <w:rPr>
          <w:rFonts w:hint="eastAsia" w:ascii="黑体" w:hAnsi="黑体" w:eastAsia="黑体" w:cs="黑体"/>
          <w:color w:val="auto"/>
          <w:sz w:val="24"/>
          <w:highlight w:val="none"/>
        </w:rPr>
        <w:t>致：</w:t>
      </w:r>
      <w:r>
        <w:rPr>
          <w:rFonts w:hint="eastAsia" w:ascii="黑体" w:hAnsi="黑体" w:eastAsia="黑体" w:cs="黑体"/>
          <w:color w:val="auto"/>
          <w:sz w:val="24"/>
          <w:highlight w:val="none"/>
          <w:u w:val="single"/>
        </w:rPr>
        <w:t>（发包人全称）</w:t>
      </w:r>
    </w:p>
    <w:p w14:paraId="1E2E49E7">
      <w:pPr>
        <w:shd w:val="clear" w:color="auto" w:fill="auto"/>
        <w:spacing w:line="400" w:lineRule="atLeast"/>
        <w:ind w:firstLine="616" w:firstLineChars="257"/>
        <w:rPr>
          <w:rFonts w:hint="eastAsia" w:ascii="黑体" w:hAnsi="黑体" w:eastAsia="黑体" w:cs="黑体"/>
          <w:color w:val="auto"/>
          <w:sz w:val="24"/>
          <w:highlight w:val="none"/>
        </w:rPr>
      </w:pPr>
      <w:r>
        <w:rPr>
          <w:rFonts w:hint="eastAsia" w:ascii="黑体" w:hAnsi="黑体" w:eastAsia="黑体" w:cs="黑体"/>
          <w:color w:val="auto"/>
          <w:sz w:val="24"/>
          <w:highlight w:val="none"/>
          <w:u w:val="single"/>
        </w:rPr>
        <w:t xml:space="preserve">  （承包人全称） </w:t>
      </w:r>
      <w:r>
        <w:rPr>
          <w:rFonts w:hint="eastAsia" w:ascii="黑体" w:hAnsi="黑体" w:eastAsia="黑体" w:cs="黑体"/>
          <w:color w:val="auto"/>
          <w:sz w:val="24"/>
          <w:highlight w:val="none"/>
        </w:rPr>
        <w:t>法定代表人</w:t>
      </w:r>
      <w:r>
        <w:rPr>
          <w:rFonts w:hint="eastAsia" w:ascii="黑体" w:hAnsi="黑体" w:eastAsia="黑体" w:cs="黑体"/>
          <w:color w:val="auto"/>
          <w:sz w:val="24"/>
          <w:highlight w:val="none"/>
          <w:u w:val="single"/>
        </w:rPr>
        <w:t xml:space="preserve"> （职务、姓名） </w:t>
      </w:r>
      <w:r>
        <w:rPr>
          <w:rFonts w:hint="eastAsia" w:ascii="黑体" w:hAnsi="黑体" w:eastAsia="黑体" w:cs="黑体"/>
          <w:color w:val="auto"/>
          <w:sz w:val="24"/>
          <w:highlight w:val="none"/>
        </w:rPr>
        <w:t>代表本单位委任</w:t>
      </w:r>
      <w:r>
        <w:rPr>
          <w:rFonts w:hint="eastAsia" w:ascii="黑体" w:hAnsi="黑体" w:eastAsia="黑体" w:cs="黑体"/>
          <w:color w:val="auto"/>
          <w:sz w:val="24"/>
          <w:highlight w:val="none"/>
          <w:u w:val="single"/>
        </w:rPr>
        <w:t xml:space="preserve"> （职务、姓名） </w:t>
      </w:r>
      <w:r>
        <w:rPr>
          <w:rFonts w:hint="eastAsia" w:ascii="黑体" w:hAnsi="黑体" w:eastAsia="黑体" w:cs="黑体"/>
          <w:color w:val="auto"/>
          <w:sz w:val="24"/>
          <w:highlight w:val="none"/>
        </w:rPr>
        <w:t>为</w:t>
      </w:r>
      <w:r>
        <w:rPr>
          <w:rFonts w:hint="eastAsia" w:ascii="黑体" w:hAnsi="黑体" w:eastAsia="黑体" w:cs="黑体"/>
          <w:color w:val="auto"/>
          <w:sz w:val="24"/>
          <w:highlight w:val="none"/>
          <w:u w:val="single"/>
        </w:rPr>
        <w:t>（合同工程名称）</w:t>
      </w:r>
      <w:r>
        <w:rPr>
          <w:rFonts w:hint="eastAsia" w:ascii="黑体" w:hAnsi="黑体" w:eastAsia="黑体" w:cs="黑体"/>
          <w:color w:val="auto"/>
          <w:sz w:val="24"/>
          <w:highlight w:val="none"/>
        </w:rPr>
        <w:t>的项目经理。凡本合同执行中的有关技术、工程进度、现场管理、质量检验、结算与支付等方面工作，由</w:t>
      </w:r>
      <w:r>
        <w:rPr>
          <w:rFonts w:hint="eastAsia" w:ascii="黑体" w:hAnsi="黑体" w:eastAsia="黑体" w:cs="黑体"/>
          <w:color w:val="auto"/>
          <w:sz w:val="24"/>
          <w:highlight w:val="none"/>
          <w:u w:val="single"/>
        </w:rPr>
        <w:t xml:space="preserve">  （姓名） </w:t>
      </w:r>
      <w:r>
        <w:rPr>
          <w:rFonts w:hint="eastAsia" w:ascii="黑体" w:hAnsi="黑体" w:eastAsia="黑体" w:cs="黑体"/>
          <w:color w:val="auto"/>
          <w:sz w:val="24"/>
          <w:highlight w:val="none"/>
        </w:rPr>
        <w:t>代表本单位全面负责。</w:t>
      </w:r>
    </w:p>
    <w:p w14:paraId="5A8E1985">
      <w:pPr>
        <w:shd w:val="clear" w:color="auto" w:fill="auto"/>
        <w:spacing w:line="400" w:lineRule="atLeast"/>
        <w:ind w:firstLine="616" w:firstLineChars="257"/>
        <w:rPr>
          <w:rFonts w:hint="eastAsia" w:ascii="黑体" w:hAnsi="黑体" w:eastAsia="黑体" w:cs="黑体"/>
          <w:color w:val="auto"/>
          <w:sz w:val="24"/>
          <w:highlight w:val="none"/>
        </w:rPr>
      </w:pPr>
    </w:p>
    <w:p w14:paraId="7B4F88B9">
      <w:pPr>
        <w:shd w:val="clear" w:color="auto" w:fill="auto"/>
        <w:snapToGrid w:val="0"/>
        <w:spacing w:line="400" w:lineRule="atLeast"/>
        <w:ind w:firstLine="3840" w:firstLineChars="1600"/>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（盖单位章）</w:t>
      </w:r>
    </w:p>
    <w:p w14:paraId="3C82D508">
      <w:pPr>
        <w:shd w:val="clear" w:color="auto" w:fill="auto"/>
        <w:snapToGrid w:val="0"/>
        <w:spacing w:line="400" w:lineRule="atLeast"/>
        <w:ind w:firstLine="3840" w:firstLineChars="1600"/>
        <w:jc w:val="left"/>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rPr>
        <w:t>法定代表人：</w:t>
      </w:r>
      <w:r>
        <w:rPr>
          <w:rFonts w:hint="eastAsia" w:ascii="黑体" w:hAnsi="黑体" w:eastAsia="黑体" w:cs="黑体"/>
          <w:color w:val="auto"/>
          <w:sz w:val="24"/>
          <w:highlight w:val="none"/>
          <w:u w:val="single"/>
        </w:rPr>
        <w:t xml:space="preserve">       （职务）        </w:t>
      </w:r>
    </w:p>
    <w:p w14:paraId="7F4734E0">
      <w:pPr>
        <w:shd w:val="clear" w:color="auto" w:fill="auto"/>
        <w:snapToGrid w:val="0"/>
        <w:spacing w:line="400" w:lineRule="atLeast"/>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rPr>
        <w:t xml:space="preserve">                                            </w:t>
      </w:r>
      <w:r>
        <w:rPr>
          <w:rFonts w:hint="eastAsia" w:ascii="黑体" w:hAnsi="黑体" w:eastAsia="黑体" w:cs="黑体"/>
          <w:color w:val="auto"/>
          <w:sz w:val="24"/>
          <w:highlight w:val="none"/>
          <w:u w:val="single"/>
        </w:rPr>
        <w:t xml:space="preserve">       （姓名） </w:t>
      </w:r>
      <w:r>
        <w:rPr>
          <w:rFonts w:hint="eastAsia" w:ascii="黑体" w:hAnsi="黑体" w:eastAsia="黑体" w:cs="黑体"/>
          <w:color w:val="auto"/>
          <w:sz w:val="24"/>
          <w:highlight w:val="none"/>
          <w:u w:val="single"/>
          <w:lang w:val="en-US" w:eastAsia="zh-CN"/>
        </w:rPr>
        <w:t xml:space="preserve"> </w:t>
      </w:r>
      <w:r>
        <w:rPr>
          <w:rFonts w:hint="eastAsia" w:ascii="黑体" w:hAnsi="黑体" w:eastAsia="黑体" w:cs="黑体"/>
          <w:color w:val="auto"/>
          <w:sz w:val="24"/>
          <w:highlight w:val="none"/>
          <w:u w:val="single"/>
        </w:rPr>
        <w:t xml:space="preserve">      </w:t>
      </w:r>
    </w:p>
    <w:p w14:paraId="41EB168F">
      <w:pPr>
        <w:shd w:val="clear" w:color="auto" w:fill="auto"/>
        <w:snapToGrid w:val="0"/>
        <w:spacing w:line="400" w:lineRule="atLeast"/>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rPr>
        <w:t xml:space="preserve">                                            </w:t>
      </w:r>
      <w:r>
        <w:rPr>
          <w:rFonts w:hint="eastAsia" w:ascii="黑体" w:hAnsi="黑体" w:eastAsia="黑体" w:cs="黑体"/>
          <w:color w:val="auto"/>
          <w:sz w:val="24"/>
          <w:highlight w:val="none"/>
          <w:u w:val="single"/>
        </w:rPr>
        <w:t xml:space="preserve">       （签字）    </w:t>
      </w:r>
      <w:r>
        <w:rPr>
          <w:rFonts w:hint="eastAsia" w:ascii="黑体" w:hAnsi="黑体" w:eastAsia="黑体" w:cs="黑体"/>
          <w:color w:val="auto"/>
          <w:sz w:val="24"/>
          <w:highlight w:val="none"/>
          <w:u w:val="single"/>
          <w:lang w:val="en-US" w:eastAsia="zh-CN"/>
        </w:rPr>
        <w:t xml:space="preserve"> </w:t>
      </w:r>
      <w:r>
        <w:rPr>
          <w:rFonts w:hint="eastAsia" w:ascii="黑体" w:hAnsi="黑体" w:eastAsia="黑体" w:cs="黑体"/>
          <w:color w:val="auto"/>
          <w:sz w:val="24"/>
          <w:highlight w:val="none"/>
          <w:u w:val="single"/>
        </w:rPr>
        <w:t xml:space="preserve">   </w:t>
      </w:r>
    </w:p>
    <w:p w14:paraId="50E44AF0">
      <w:pPr>
        <w:shd w:val="clear" w:color="auto" w:fill="auto"/>
        <w:snapToGrid w:val="0"/>
        <w:spacing w:line="400" w:lineRule="atLeas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p>
    <w:p w14:paraId="2EC0FDEE">
      <w:pPr>
        <w:pStyle w:val="13"/>
        <w:shd w:val="clear" w:color="auto" w:fill="auto"/>
        <w:tabs>
          <w:tab w:val="clear" w:pos="4153"/>
          <w:tab w:val="clear" w:pos="8306"/>
        </w:tabs>
        <w:spacing w:line="400" w:lineRule="atLeas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  </w:t>
      </w:r>
    </w:p>
    <w:p w14:paraId="57DF39BF">
      <w:pPr>
        <w:pStyle w:val="13"/>
        <w:shd w:val="clear" w:color="auto" w:fill="auto"/>
        <w:tabs>
          <w:tab w:val="clear" w:pos="4153"/>
          <w:tab w:val="clear" w:pos="8306"/>
        </w:tabs>
        <w:spacing w:line="400" w:lineRule="atLeast"/>
        <w:rPr>
          <w:rFonts w:hint="eastAsia" w:ascii="黑体" w:hAnsi="黑体" w:eastAsia="黑体" w:cs="黑体"/>
          <w:color w:val="auto"/>
          <w:sz w:val="24"/>
          <w:szCs w:val="24"/>
          <w:highlight w:val="none"/>
        </w:rPr>
      </w:pPr>
    </w:p>
    <w:p w14:paraId="4C5016F7">
      <w:pPr>
        <w:shd w:val="clear" w:color="auto" w:fill="auto"/>
        <w:snapToGrid w:val="0"/>
        <w:spacing w:line="400" w:lineRule="atLeast"/>
        <w:rPr>
          <w:rFonts w:hint="eastAsia" w:ascii="黑体" w:hAnsi="黑体" w:eastAsia="黑体" w:cs="黑体"/>
          <w:color w:val="auto"/>
          <w:sz w:val="24"/>
          <w:highlight w:val="none"/>
        </w:rPr>
      </w:pPr>
    </w:p>
    <w:p w14:paraId="7ECD1AC2">
      <w:pPr>
        <w:shd w:val="clear" w:color="auto" w:fill="auto"/>
        <w:snapToGrid w:val="0"/>
        <w:spacing w:line="400" w:lineRule="atLeast"/>
        <w:rPr>
          <w:rFonts w:hint="eastAsia" w:ascii="黑体" w:hAnsi="黑体" w:eastAsia="黑体" w:cs="黑体"/>
          <w:bCs/>
          <w:color w:val="auto"/>
          <w:kern w:val="44"/>
          <w:sz w:val="24"/>
          <w:highlight w:val="none"/>
        </w:rPr>
      </w:pPr>
      <w:r>
        <w:rPr>
          <w:rFonts w:hint="eastAsia" w:ascii="黑体" w:hAnsi="黑体" w:eastAsia="黑体" w:cs="黑体"/>
          <w:color w:val="auto"/>
          <w:sz w:val="24"/>
          <w:highlight w:val="none"/>
        </w:rPr>
        <w:t>抄送：</w:t>
      </w:r>
      <w:r>
        <w:rPr>
          <w:rFonts w:hint="eastAsia" w:ascii="黑体" w:hAnsi="黑体" w:eastAsia="黑体" w:cs="黑体"/>
          <w:color w:val="auto"/>
          <w:sz w:val="24"/>
          <w:highlight w:val="none"/>
          <w:u w:val="single"/>
        </w:rPr>
        <w:t xml:space="preserve">  （监理人）  </w:t>
      </w:r>
      <w:r>
        <w:rPr>
          <w:rFonts w:hint="eastAsia" w:ascii="黑体" w:hAnsi="黑体" w:eastAsia="黑体" w:cs="黑体"/>
          <w:color w:val="auto"/>
          <w:sz w:val="24"/>
          <w:highlight w:val="none"/>
        </w:rPr>
        <w:br w:type="page"/>
      </w:r>
      <w:r>
        <w:rPr>
          <w:rFonts w:hint="eastAsia" w:ascii="黑体" w:hAnsi="黑体" w:eastAsia="黑体" w:cs="黑体"/>
          <w:b/>
          <w:bCs w:val="0"/>
          <w:color w:val="auto"/>
          <w:kern w:val="44"/>
          <w:sz w:val="24"/>
          <w:highlight w:val="none"/>
        </w:rPr>
        <w:t>附件七 履约保证金格式</w:t>
      </w:r>
    </w:p>
    <w:p w14:paraId="59130FA6">
      <w:pPr>
        <w:shd w:val="clear" w:color="auto" w:fill="auto"/>
        <w:spacing w:line="400" w:lineRule="atLeast"/>
        <w:rPr>
          <w:rFonts w:hint="eastAsia" w:ascii="黑体" w:hAnsi="黑体" w:eastAsia="黑体" w:cs="黑体"/>
          <w:color w:val="auto"/>
          <w:sz w:val="24"/>
          <w:highlight w:val="none"/>
        </w:rPr>
      </w:pPr>
      <w:r>
        <w:rPr>
          <w:rFonts w:hint="eastAsia" w:ascii="黑体" w:hAnsi="黑体" w:eastAsia="黑体" w:cs="黑体"/>
          <w:color w:val="auto"/>
          <w:sz w:val="24"/>
          <w:highlight w:val="none"/>
        </w:rPr>
        <w:t>如采用银行保函，格式如下。</w:t>
      </w:r>
    </w:p>
    <w:p w14:paraId="149AF773">
      <w:pPr>
        <w:shd w:val="clear" w:color="auto" w:fill="auto"/>
        <w:spacing w:line="400" w:lineRule="atLeast"/>
        <w:ind w:firstLine="3360" w:firstLineChars="1200"/>
        <w:rPr>
          <w:rFonts w:hint="eastAsia" w:ascii="黑体" w:hAnsi="黑体" w:eastAsia="黑体" w:cs="黑体"/>
          <w:color w:val="auto"/>
          <w:sz w:val="28"/>
          <w:szCs w:val="28"/>
          <w:highlight w:val="none"/>
        </w:rPr>
      </w:pPr>
    </w:p>
    <w:p w14:paraId="42DF4C2F">
      <w:pPr>
        <w:shd w:val="clear" w:color="auto" w:fill="auto"/>
        <w:spacing w:line="400" w:lineRule="atLeast"/>
        <w:jc w:val="center"/>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履约保证金</w:t>
      </w:r>
    </w:p>
    <w:p w14:paraId="6E4392C4">
      <w:pPr>
        <w:shd w:val="clear" w:color="auto" w:fill="auto"/>
        <w:spacing w:line="400" w:lineRule="atLeast"/>
        <w:rPr>
          <w:rFonts w:hint="eastAsia" w:ascii="黑体" w:hAnsi="黑体" w:eastAsia="黑体" w:cs="黑体"/>
          <w:color w:val="auto"/>
          <w:sz w:val="24"/>
          <w:highlight w:val="none"/>
        </w:rPr>
      </w:pPr>
    </w:p>
    <w:p w14:paraId="3CDE9596">
      <w:pPr>
        <w:shd w:val="clear" w:color="auto" w:fill="auto"/>
        <w:spacing w:line="400" w:lineRule="atLeas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u w:val="single"/>
        </w:rPr>
        <w:tab/>
      </w:r>
      <w:r>
        <w:rPr>
          <w:rFonts w:hint="eastAsia" w:ascii="黑体" w:hAnsi="黑体" w:eastAsia="黑体" w:cs="黑体"/>
          <w:color w:val="auto"/>
          <w:sz w:val="24"/>
          <w:highlight w:val="none"/>
          <w:u w:val="single"/>
        </w:rPr>
        <w:tab/>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（发包人名称）：</w:t>
      </w:r>
    </w:p>
    <w:p w14:paraId="648DA71A">
      <w:pPr>
        <w:shd w:val="clear" w:color="auto" w:fill="auto"/>
        <w:spacing w:line="400" w:lineRule="atLeast"/>
        <w:rPr>
          <w:rFonts w:hint="eastAsia" w:ascii="黑体" w:hAnsi="黑体" w:eastAsia="黑体" w:cs="黑体"/>
          <w:color w:val="auto"/>
          <w:sz w:val="24"/>
          <w:highlight w:val="none"/>
        </w:rPr>
      </w:pPr>
    </w:p>
    <w:p w14:paraId="3ABEA178">
      <w:pPr>
        <w:shd w:val="clear" w:color="auto" w:fill="auto"/>
        <w:spacing w:line="400" w:lineRule="atLeast"/>
        <w:ind w:firstLine="600" w:firstLineChars="250"/>
        <w:rPr>
          <w:rFonts w:hint="eastAsia" w:ascii="黑体" w:hAnsi="黑体" w:eastAsia="黑体" w:cs="黑体"/>
          <w:color w:val="auto"/>
          <w:sz w:val="24"/>
          <w:highlight w:val="none"/>
        </w:rPr>
      </w:pPr>
      <w:r>
        <w:rPr>
          <w:rFonts w:hint="eastAsia" w:ascii="黑体" w:hAnsi="黑体" w:eastAsia="黑体" w:cs="黑体"/>
          <w:color w:val="auto"/>
          <w:sz w:val="24"/>
          <w:highlight w:val="none"/>
        </w:rPr>
        <w:t>鉴于</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（发包人名称，以下简称“发包人”）接受</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（承包人名称，以下简称“承包人”）于</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日参加</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标段施工的投标。我方愿意无条件地、不可撤销地就承包人履行与你方订立的合同，向你方提供担保。</w:t>
      </w:r>
    </w:p>
    <w:p w14:paraId="1B249553">
      <w:pPr>
        <w:shd w:val="clear" w:color="auto" w:fill="auto"/>
        <w:spacing w:line="40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 担保金额人民币（大写）</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 元（¥</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w:t>
      </w:r>
    </w:p>
    <w:p w14:paraId="4AD4EE5C">
      <w:pPr>
        <w:shd w:val="clear" w:color="auto" w:fill="auto"/>
        <w:spacing w:line="40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2. 担保有效期自发包人与承包人签订的合同生效之日起至发包人签发交工验收证书且承包人按照合同约定缴纳质量保证金之日止。</w:t>
      </w:r>
    </w:p>
    <w:p w14:paraId="15DFB30F">
      <w:pPr>
        <w:shd w:val="clear" w:color="auto" w:fill="auto"/>
        <w:spacing w:line="40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3. 在本担保有效期内，因承包人违反合同约定的义务给你方造成经济损失时，我方在收到你方以书面形式提出的在担保金额内的赔偿要求后，在7日内无条件支付，无须你方出具证明或陈述理由。</w:t>
      </w:r>
    </w:p>
    <w:p w14:paraId="27851A11">
      <w:pPr>
        <w:shd w:val="clear" w:color="auto" w:fill="auto"/>
        <w:spacing w:line="40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4. 发包人和承包人按合同条款第15条变更合同时，无论我方是否收到该变更，我方承担本担保规定的义务不变。</w:t>
      </w:r>
    </w:p>
    <w:p w14:paraId="3D825DFE">
      <w:pPr>
        <w:shd w:val="clear" w:color="auto" w:fill="auto"/>
        <w:spacing w:line="400" w:lineRule="atLeast"/>
        <w:rPr>
          <w:rFonts w:hint="eastAsia" w:ascii="黑体" w:hAnsi="黑体" w:eastAsia="黑体" w:cs="黑体"/>
          <w:color w:val="auto"/>
          <w:sz w:val="24"/>
          <w:highlight w:val="none"/>
        </w:rPr>
      </w:pPr>
    </w:p>
    <w:p w14:paraId="0C88554D">
      <w:pPr>
        <w:shd w:val="clear" w:color="auto" w:fill="auto"/>
        <w:spacing w:line="400" w:lineRule="atLeast"/>
        <w:rPr>
          <w:rFonts w:hint="eastAsia" w:ascii="黑体" w:hAnsi="黑体" w:eastAsia="黑体" w:cs="黑体"/>
          <w:color w:val="auto"/>
          <w:sz w:val="24"/>
          <w:highlight w:val="none"/>
        </w:rPr>
      </w:pPr>
    </w:p>
    <w:p w14:paraId="10F32628">
      <w:pPr>
        <w:shd w:val="clear" w:color="auto" w:fill="auto"/>
        <w:spacing w:line="400" w:lineRule="atLeast"/>
        <w:ind w:firstLine="3496" w:firstLineChars="1457"/>
        <w:rPr>
          <w:rFonts w:hint="eastAsia" w:ascii="黑体" w:hAnsi="黑体" w:eastAsia="黑体" w:cs="黑体"/>
          <w:color w:val="auto"/>
          <w:sz w:val="24"/>
          <w:highlight w:val="none"/>
        </w:rPr>
      </w:pPr>
      <w:r>
        <w:rPr>
          <w:rFonts w:hint="eastAsia" w:ascii="黑体" w:hAnsi="黑体" w:eastAsia="黑体" w:cs="黑体"/>
          <w:color w:val="auto"/>
          <w:sz w:val="24"/>
          <w:highlight w:val="none"/>
        </w:rPr>
        <w:t>担保人名称：</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（盖单位章）</w:t>
      </w:r>
    </w:p>
    <w:p w14:paraId="5AB4C871">
      <w:pPr>
        <w:shd w:val="clear" w:color="auto" w:fill="auto"/>
        <w:spacing w:line="400" w:lineRule="atLeast"/>
        <w:ind w:firstLine="3496" w:firstLineChars="1457"/>
        <w:rPr>
          <w:rFonts w:hint="eastAsia" w:ascii="黑体" w:hAnsi="黑体" w:eastAsia="黑体" w:cs="黑体"/>
          <w:color w:val="auto"/>
          <w:sz w:val="24"/>
          <w:highlight w:val="none"/>
        </w:rPr>
      </w:pPr>
      <w:r>
        <w:rPr>
          <w:rFonts w:hint="eastAsia" w:ascii="黑体" w:hAnsi="黑体" w:eastAsia="黑体" w:cs="黑体"/>
          <w:color w:val="auto"/>
          <w:sz w:val="24"/>
          <w:highlight w:val="none"/>
        </w:rPr>
        <w:t>法定代表人或其委托代理人：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（签字）</w:t>
      </w:r>
    </w:p>
    <w:p w14:paraId="13C5B81D">
      <w:pPr>
        <w:shd w:val="clear" w:color="auto" w:fill="auto"/>
        <w:spacing w:line="400" w:lineRule="atLeast"/>
        <w:ind w:firstLine="3496" w:firstLineChars="1457"/>
        <w:rPr>
          <w:rFonts w:hint="eastAsia" w:ascii="黑体" w:hAnsi="黑体" w:eastAsia="黑体" w:cs="黑体"/>
          <w:color w:val="auto"/>
          <w:sz w:val="24"/>
          <w:highlight w:val="none"/>
        </w:rPr>
      </w:pPr>
      <w:r>
        <w:rPr>
          <w:rFonts w:hint="eastAsia" w:ascii="黑体" w:hAnsi="黑体" w:eastAsia="黑体" w:cs="黑体"/>
          <w:color w:val="auto"/>
          <w:sz w:val="24"/>
          <w:highlight w:val="none"/>
        </w:rPr>
        <w:t>地    址：</w:t>
      </w:r>
      <w:r>
        <w:rPr>
          <w:rFonts w:hint="eastAsia" w:ascii="黑体" w:hAnsi="黑体" w:eastAsia="黑体" w:cs="黑体"/>
          <w:color w:val="auto"/>
          <w:sz w:val="24"/>
          <w:highlight w:val="none"/>
          <w:u w:val="single"/>
        </w:rPr>
        <w:tab/>
      </w:r>
      <w:r>
        <w:rPr>
          <w:rFonts w:hint="eastAsia" w:ascii="黑体" w:hAnsi="黑体" w:eastAsia="黑体" w:cs="黑体"/>
          <w:color w:val="auto"/>
          <w:sz w:val="24"/>
          <w:highlight w:val="none"/>
          <w:u w:val="single"/>
        </w:rPr>
        <w:tab/>
      </w:r>
      <w:r>
        <w:rPr>
          <w:rFonts w:hint="eastAsia" w:ascii="黑体" w:hAnsi="黑体" w:eastAsia="黑体" w:cs="黑体"/>
          <w:color w:val="auto"/>
          <w:sz w:val="24"/>
          <w:highlight w:val="none"/>
          <w:u w:val="single"/>
        </w:rPr>
        <w:tab/>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u w:val="single"/>
        </w:rPr>
        <w:tab/>
      </w:r>
      <w:r>
        <w:rPr>
          <w:rFonts w:hint="eastAsia" w:ascii="黑体" w:hAnsi="黑体" w:eastAsia="黑体" w:cs="黑体"/>
          <w:color w:val="auto"/>
          <w:sz w:val="24"/>
          <w:highlight w:val="none"/>
          <w:u w:val="single"/>
        </w:rPr>
        <w:tab/>
      </w:r>
      <w:r>
        <w:rPr>
          <w:rFonts w:hint="eastAsia" w:ascii="黑体" w:hAnsi="黑体" w:eastAsia="黑体" w:cs="黑体"/>
          <w:color w:val="auto"/>
          <w:sz w:val="24"/>
          <w:highlight w:val="none"/>
          <w:u w:val="single"/>
        </w:rPr>
        <w:tab/>
      </w:r>
    </w:p>
    <w:p w14:paraId="7F15DBD7">
      <w:pPr>
        <w:shd w:val="clear" w:color="auto" w:fill="auto"/>
        <w:spacing w:line="400" w:lineRule="atLeast"/>
        <w:ind w:firstLine="3496" w:firstLineChars="1457"/>
        <w:rPr>
          <w:rFonts w:hint="eastAsia" w:ascii="黑体" w:hAnsi="黑体" w:eastAsia="黑体" w:cs="黑体"/>
          <w:color w:val="auto"/>
          <w:sz w:val="24"/>
          <w:highlight w:val="none"/>
        </w:rPr>
      </w:pPr>
      <w:r>
        <w:rPr>
          <w:rFonts w:hint="eastAsia" w:ascii="黑体" w:hAnsi="黑体" w:eastAsia="黑体" w:cs="黑体"/>
          <w:color w:val="auto"/>
          <w:sz w:val="24"/>
          <w:highlight w:val="none"/>
        </w:rPr>
        <w:t>邮政编码：</w:t>
      </w:r>
      <w:r>
        <w:rPr>
          <w:rFonts w:hint="eastAsia" w:ascii="黑体" w:hAnsi="黑体" w:eastAsia="黑体" w:cs="黑体"/>
          <w:color w:val="auto"/>
          <w:sz w:val="24"/>
          <w:highlight w:val="none"/>
          <w:u w:val="single"/>
        </w:rPr>
        <w:tab/>
      </w:r>
      <w:r>
        <w:rPr>
          <w:rFonts w:hint="eastAsia" w:ascii="黑体" w:hAnsi="黑体" w:eastAsia="黑体" w:cs="黑体"/>
          <w:color w:val="auto"/>
          <w:sz w:val="24"/>
          <w:highlight w:val="none"/>
          <w:u w:val="single"/>
        </w:rPr>
        <w:tab/>
      </w:r>
      <w:r>
        <w:rPr>
          <w:rFonts w:hint="eastAsia" w:ascii="黑体" w:hAnsi="黑体" w:eastAsia="黑体" w:cs="黑体"/>
          <w:color w:val="auto"/>
          <w:sz w:val="24"/>
          <w:highlight w:val="none"/>
          <w:u w:val="single"/>
        </w:rPr>
        <w:tab/>
      </w:r>
      <w:r>
        <w:rPr>
          <w:rFonts w:hint="eastAsia" w:ascii="黑体" w:hAnsi="黑体" w:eastAsia="黑体" w:cs="黑体"/>
          <w:color w:val="auto"/>
          <w:sz w:val="24"/>
          <w:highlight w:val="none"/>
          <w:u w:val="single"/>
        </w:rPr>
        <w:tab/>
      </w:r>
      <w:r>
        <w:rPr>
          <w:rFonts w:hint="eastAsia" w:ascii="黑体" w:hAnsi="黑体" w:eastAsia="黑体" w:cs="黑体"/>
          <w:color w:val="auto"/>
          <w:sz w:val="24"/>
          <w:highlight w:val="none"/>
          <w:u w:val="single"/>
        </w:rPr>
        <w:tab/>
      </w:r>
      <w:r>
        <w:rPr>
          <w:rFonts w:hint="eastAsia" w:ascii="黑体" w:hAnsi="黑体" w:eastAsia="黑体" w:cs="黑体"/>
          <w:color w:val="auto"/>
          <w:sz w:val="24"/>
          <w:highlight w:val="none"/>
          <w:u w:val="single"/>
        </w:rPr>
        <w:tab/>
      </w:r>
      <w:r>
        <w:rPr>
          <w:rFonts w:hint="eastAsia" w:ascii="黑体" w:hAnsi="黑体" w:eastAsia="黑体" w:cs="黑体"/>
          <w:color w:val="auto"/>
          <w:sz w:val="24"/>
          <w:highlight w:val="none"/>
          <w:u w:val="single"/>
        </w:rPr>
        <w:tab/>
      </w:r>
      <w:r>
        <w:rPr>
          <w:rFonts w:hint="eastAsia" w:ascii="黑体" w:hAnsi="黑体" w:eastAsia="黑体" w:cs="黑体"/>
          <w:color w:val="auto"/>
          <w:sz w:val="24"/>
          <w:highlight w:val="none"/>
          <w:u w:val="single"/>
        </w:rPr>
        <w:tab/>
      </w:r>
      <w:r>
        <w:rPr>
          <w:rFonts w:hint="eastAsia" w:ascii="黑体" w:hAnsi="黑体" w:eastAsia="黑体" w:cs="黑体"/>
          <w:color w:val="auto"/>
          <w:sz w:val="24"/>
          <w:highlight w:val="none"/>
          <w:u w:val="single"/>
        </w:rPr>
        <w:tab/>
      </w:r>
    </w:p>
    <w:p w14:paraId="7FBCD422">
      <w:pPr>
        <w:shd w:val="clear" w:color="auto" w:fill="auto"/>
        <w:spacing w:line="400" w:lineRule="atLeast"/>
        <w:ind w:firstLine="3496" w:firstLineChars="1457"/>
        <w:rPr>
          <w:rFonts w:hint="eastAsia" w:ascii="黑体" w:hAnsi="黑体" w:eastAsia="黑体" w:cs="黑体"/>
          <w:color w:val="auto"/>
          <w:sz w:val="24"/>
          <w:highlight w:val="none"/>
        </w:rPr>
      </w:pPr>
      <w:r>
        <w:rPr>
          <w:rFonts w:hint="eastAsia" w:ascii="黑体" w:hAnsi="黑体" w:eastAsia="黑体" w:cs="黑体"/>
          <w:color w:val="auto"/>
          <w:sz w:val="24"/>
          <w:highlight w:val="none"/>
        </w:rPr>
        <w:t>电    话：</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 </w:t>
      </w:r>
    </w:p>
    <w:p w14:paraId="46C69876">
      <w:pPr>
        <w:shd w:val="clear" w:color="auto" w:fill="auto"/>
        <w:spacing w:line="400" w:lineRule="atLeast"/>
        <w:ind w:firstLine="3496" w:firstLineChars="1457"/>
        <w:rPr>
          <w:rFonts w:hint="eastAsia" w:ascii="黑体" w:hAnsi="黑体" w:eastAsia="黑体" w:cs="黑体"/>
          <w:color w:val="auto"/>
          <w:sz w:val="24"/>
          <w:highlight w:val="none"/>
        </w:rPr>
      </w:pPr>
      <w:r>
        <w:rPr>
          <w:rFonts w:hint="eastAsia" w:ascii="黑体" w:hAnsi="黑体" w:eastAsia="黑体" w:cs="黑体"/>
          <w:color w:val="auto"/>
          <w:sz w:val="24"/>
          <w:highlight w:val="none"/>
        </w:rPr>
        <w:t>传    真：</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 </w:t>
      </w:r>
    </w:p>
    <w:p w14:paraId="401AD71A">
      <w:pPr>
        <w:shd w:val="clear" w:color="auto" w:fill="auto"/>
        <w:spacing w:line="400" w:lineRule="atLeast"/>
        <w:ind w:firstLine="4216" w:firstLineChars="1757"/>
        <w:jc w:val="right"/>
        <w:rPr>
          <w:rFonts w:hint="eastAsia"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 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月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p>
    <w:p w14:paraId="4201AA67">
      <w:pPr>
        <w:shd w:val="clear" w:color="auto" w:fill="auto"/>
        <w:spacing w:line="400" w:lineRule="atLeast"/>
        <w:rPr>
          <w:rFonts w:hint="eastAsia" w:ascii="黑体" w:hAnsi="黑体" w:eastAsia="黑体" w:cs="黑体"/>
          <w:color w:val="auto"/>
          <w:sz w:val="24"/>
          <w:highlight w:val="none"/>
        </w:rPr>
      </w:pPr>
    </w:p>
    <w:p w14:paraId="2E5C476F">
      <w:pPr>
        <w:shd w:val="clear" w:color="auto" w:fill="auto"/>
        <w:spacing w:line="400" w:lineRule="atLeast"/>
        <w:rPr>
          <w:rFonts w:eastAsia="黑体"/>
          <w:color w:val="auto"/>
          <w:sz w:val="24"/>
          <w:highlight w:val="none"/>
        </w:rPr>
      </w:pPr>
    </w:p>
    <w:p w14:paraId="20FF924A">
      <w:pPr>
        <w:pStyle w:val="2"/>
        <w:shd w:val="clear" w:color="auto" w:fill="auto"/>
        <w:spacing w:before="0" w:after="0" w:line="380" w:lineRule="atLeast"/>
        <w:jc w:val="left"/>
        <w:rPr>
          <w:rFonts w:hint="eastAsia" w:ascii="黑体" w:hAnsi="黑体" w:eastAsia="黑体" w:cs="黑体"/>
          <w:b w:val="0"/>
          <w:color w:val="auto"/>
          <w:sz w:val="24"/>
          <w:szCs w:val="24"/>
          <w:highlight w:val="none"/>
        </w:rPr>
      </w:pPr>
      <w:r>
        <w:rPr>
          <w:rFonts w:eastAsia="黑体"/>
          <w:color w:val="auto"/>
          <w:sz w:val="24"/>
          <w:highlight w:val="none"/>
        </w:rPr>
        <w:br w:type="page"/>
      </w:r>
      <w:bookmarkStart w:id="745" w:name="_Toc501257464"/>
      <w:bookmarkStart w:id="746" w:name="_Toc234833238"/>
      <w:bookmarkStart w:id="747" w:name="_Toc22416"/>
      <w:r>
        <w:rPr>
          <w:rFonts w:hint="eastAsia" w:ascii="黑体" w:hAnsi="黑体" w:eastAsia="黑体" w:cs="黑体"/>
          <w:b/>
          <w:bCs w:val="0"/>
          <w:color w:val="auto"/>
          <w:sz w:val="24"/>
          <w:szCs w:val="24"/>
          <w:highlight w:val="none"/>
        </w:rPr>
        <w:t>附件八</w:t>
      </w:r>
      <w:r>
        <w:rPr>
          <w:rFonts w:hint="eastAsia" w:ascii="黑体" w:hAnsi="黑体" w:eastAsia="黑体" w:cs="黑体"/>
          <w:b/>
          <w:bCs w:val="0"/>
          <w:color w:val="auto"/>
          <w:sz w:val="24"/>
          <w:szCs w:val="24"/>
          <w:highlight w:val="none"/>
          <w:lang w:eastAsia="zh-CN"/>
        </w:rPr>
        <w:t xml:space="preserve"> </w:t>
      </w:r>
      <w:r>
        <w:rPr>
          <w:rFonts w:hint="eastAsia" w:ascii="黑体" w:hAnsi="黑体" w:eastAsia="黑体" w:cs="黑体"/>
          <w:b/>
          <w:bCs w:val="0"/>
          <w:color w:val="auto"/>
          <w:sz w:val="24"/>
          <w:szCs w:val="24"/>
          <w:highlight w:val="none"/>
        </w:rPr>
        <w:t>工程资金监管协议格式</w:t>
      </w:r>
      <w:bookmarkEnd w:id="745"/>
      <w:bookmarkEnd w:id="746"/>
      <w:bookmarkEnd w:id="747"/>
    </w:p>
    <w:p w14:paraId="79033519">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（发包人与承包人签订合同协议书时应与发包人指定的银行签署工程资金监管协议，工程资金监管协议内容在保证本项目资金有效监管的前提下由三方共同商定）</w:t>
      </w:r>
    </w:p>
    <w:p w14:paraId="4BC34591">
      <w:pPr>
        <w:shd w:val="clear" w:color="auto" w:fill="auto"/>
        <w:spacing w:line="380" w:lineRule="atLeast"/>
        <w:rPr>
          <w:rFonts w:hint="eastAsia" w:ascii="黑体" w:hAnsi="黑体" w:eastAsia="黑体" w:cs="黑体"/>
          <w:color w:val="auto"/>
          <w:sz w:val="24"/>
          <w:highlight w:val="none"/>
        </w:rPr>
      </w:pPr>
    </w:p>
    <w:p w14:paraId="46ED184F">
      <w:pPr>
        <w:shd w:val="clear" w:color="auto" w:fill="auto"/>
        <w:spacing w:line="380" w:lineRule="atLeast"/>
        <w:jc w:val="center"/>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工程资金监管协议</w:t>
      </w:r>
    </w:p>
    <w:p w14:paraId="7F7530DD">
      <w:pPr>
        <w:shd w:val="clear" w:color="auto" w:fill="auto"/>
        <w:spacing w:line="380" w:lineRule="atLeast"/>
        <w:jc w:val="center"/>
        <w:rPr>
          <w:rFonts w:hint="eastAsia" w:ascii="黑体" w:hAnsi="黑体" w:eastAsia="黑体" w:cs="黑体"/>
          <w:color w:val="auto"/>
          <w:sz w:val="28"/>
          <w:szCs w:val="28"/>
          <w:highlight w:val="none"/>
        </w:rPr>
      </w:pPr>
    </w:p>
    <w:p w14:paraId="3FE915FE">
      <w:pPr>
        <w:shd w:val="clear" w:color="auto" w:fill="auto"/>
        <w:spacing w:line="380" w:lineRule="atLeast"/>
        <w:rPr>
          <w:rFonts w:hint="eastAsia" w:ascii="黑体" w:hAnsi="黑体" w:eastAsia="黑体" w:cs="黑体"/>
          <w:color w:val="auto"/>
          <w:sz w:val="24"/>
          <w:highlight w:val="none"/>
        </w:rPr>
      </w:pPr>
      <w:bookmarkStart w:id="748" w:name="_Toc234833239"/>
      <w:r>
        <w:rPr>
          <w:rFonts w:hint="eastAsia" w:ascii="黑体" w:hAnsi="黑体" w:eastAsia="黑体" w:cs="黑体"/>
          <w:color w:val="auto"/>
          <w:sz w:val="24"/>
          <w:highlight w:val="none"/>
        </w:rPr>
        <w:t>发包人：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u w:val="single"/>
          <w:lang w:val="en-US" w:eastAsia="zh-CN"/>
        </w:rPr>
        <w:t xml:space="preserve">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（以下简称“甲方”）</w:t>
      </w:r>
      <w:bookmarkEnd w:id="748"/>
    </w:p>
    <w:p w14:paraId="6C3D6999">
      <w:pPr>
        <w:shd w:val="clear" w:color="auto" w:fill="auto"/>
        <w:spacing w:line="380" w:lineRule="atLeast"/>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u w:val="single"/>
          <w:lang w:val="en-US" w:eastAsia="zh-CN"/>
        </w:rPr>
        <w:t xml:space="preserve">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（以下简称“乙方”）</w:t>
      </w:r>
    </w:p>
    <w:p w14:paraId="13C9E3B3">
      <w:pPr>
        <w:shd w:val="clear" w:color="auto" w:fill="auto"/>
        <w:spacing w:line="380" w:lineRule="atLeast"/>
        <w:rPr>
          <w:rFonts w:hint="eastAsia" w:ascii="黑体" w:hAnsi="黑体" w:eastAsia="黑体" w:cs="黑体"/>
          <w:color w:val="auto"/>
          <w:sz w:val="24"/>
          <w:highlight w:val="none"/>
        </w:rPr>
      </w:pPr>
      <w:r>
        <w:rPr>
          <w:rFonts w:hint="eastAsia" w:ascii="黑体" w:hAnsi="黑体" w:eastAsia="黑体" w:cs="黑体"/>
          <w:color w:val="auto"/>
          <w:sz w:val="24"/>
          <w:highlight w:val="none"/>
        </w:rPr>
        <w:t>经办银行：</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（以下简称“丙方”）</w:t>
      </w:r>
    </w:p>
    <w:p w14:paraId="400B3D74">
      <w:pPr>
        <w:shd w:val="clear" w:color="auto" w:fill="auto"/>
        <w:spacing w:line="380" w:lineRule="atLeast"/>
        <w:jc w:val="left"/>
        <w:rPr>
          <w:rFonts w:hint="eastAsia" w:ascii="黑体" w:hAnsi="黑体" w:eastAsia="黑体" w:cs="黑体"/>
          <w:color w:val="auto"/>
          <w:sz w:val="24"/>
          <w:highlight w:val="none"/>
        </w:rPr>
      </w:pPr>
    </w:p>
    <w:p w14:paraId="0FBD9695">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为了促进</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（项目名称）的顺利实施，管好用好建设资金，确保工程资金专款专用，同时为承包人提供便捷有效的银行业务服务，根据</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（项目名称）合同条款有关规定，经甲、乙、丙三方协商，达成协议如下：</w:t>
      </w:r>
    </w:p>
    <w:p w14:paraId="3B798962">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 资金管理的内容</w:t>
      </w:r>
    </w:p>
    <w:p w14:paraId="12B0B166">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（1）乙方为完成</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（项目名称）工程成立的项目经理部在丙方开设基本结算户；</w:t>
      </w:r>
    </w:p>
    <w:p w14:paraId="7FB1A962">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（2）甲方应按合同规定将工程款汇入乙方在丙方开设的账户；</w:t>
      </w:r>
    </w:p>
    <w:p w14:paraId="3519F35E">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（3）乙方应将流动资金及甲方所拨付资金专项用于</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w:t>
      </w:r>
    </w:p>
    <w:p w14:paraId="31AD830E">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（4）丙方应为乙方提供便捷有效的银行业务服务，并接受甲方委托对乙方在丙方开设的基本结算户资金使用情况进行监督。</w:t>
      </w:r>
    </w:p>
    <w:p w14:paraId="7B7FD97F">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2. 甲方的权责</w:t>
      </w:r>
    </w:p>
    <w:p w14:paraId="72AE0DB4">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（1）按照</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（项目名称）合同有关条款规定的时间和方式，向乙方支付工程款；</w:t>
      </w:r>
    </w:p>
    <w:p w14:paraId="7B095B74">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（2）在发现乙方将本项目资金挪用、转移时，甲方有权中止工程支付，直至乙方改正为止；</w:t>
      </w:r>
    </w:p>
    <w:p w14:paraId="23B0C987">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（3）不定期审查丙方对乙方的资金使用监督情况，如丙方不能履行其责任，甲方有权随时终止本协议；</w:t>
      </w:r>
    </w:p>
    <w:p w14:paraId="2408BB06">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（4）在乙、丙双方发生争议时，甲方应负责协调、解决。</w:t>
      </w:r>
    </w:p>
    <w:p w14:paraId="36BF091F">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3. 乙方的权责</w:t>
      </w:r>
    </w:p>
    <w:p w14:paraId="6E0D1855">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（1）项目经理部成立以后，乙方应尽快在丙方开设基本结算户；</w:t>
      </w:r>
    </w:p>
    <w:p w14:paraId="189914FB">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（2）确保本项目资金专款专用，不发生挪用、转移资金的现象；保证不通过权益转让、抵押、担保承担债务等任何其他方式使用基本结算户的资金；</w:t>
      </w:r>
    </w:p>
    <w:p w14:paraId="64069748">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（3）办理材料、设备等采购业务金额在</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万元以上的，应出示购货合同、协议和发票；在办理总额超过</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万元以上的采购业务时，应将合同、协议和发票复印件送丙方备案；购买应急材料、设备时可先办理支付手续，但事后必须补备有关资料；</w:t>
      </w:r>
    </w:p>
    <w:p w14:paraId="32A04024">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（4）用银行转账支票办理支付款项时，必须将转账支票送交丙方，由丙方负责办理支票转付手续；</w:t>
      </w:r>
    </w:p>
    <w:p w14:paraId="7FBED56C">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（5）向分包单位支付工程进度款时，应附甲方批准分包的文件；</w:t>
      </w:r>
    </w:p>
    <w:p w14:paraId="321312E3">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（6）向上级单位缴纳管理费、机械设备及周转材料租赁摊销费等款项时，应附上级单位出具的转账通知等有关资料，以确保资金专款专用。</w:t>
      </w:r>
    </w:p>
    <w:p w14:paraId="4F67C76C">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4. 丙方的权责</w:t>
      </w:r>
    </w:p>
    <w:p w14:paraId="4EF80E3A">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（1）成立</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（项目名称）工程资金管理服务小组，明确业务流程，提高工作效率，杜绝“压票”现象；</w:t>
      </w:r>
    </w:p>
    <w:p w14:paraId="78A6D69E">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（2）</w:t>
      </w:r>
      <w:r>
        <w:rPr>
          <w:rFonts w:hint="eastAsia" w:ascii="黑体" w:hAnsi="黑体" w:eastAsia="黑体" w:cs="黑体"/>
          <w:color w:val="auto"/>
          <w:spacing w:val="-6"/>
          <w:sz w:val="24"/>
          <w:highlight w:val="none"/>
        </w:rPr>
        <w:t>根据乙方提供的购货合同、协议和发票，检查其所购材料、设备是否用于</w:t>
      </w:r>
      <w:r>
        <w:rPr>
          <w:rFonts w:hint="eastAsia" w:ascii="黑体" w:hAnsi="黑体" w:eastAsia="黑体" w:cs="黑体"/>
          <w:color w:val="auto"/>
          <w:spacing w:val="-6"/>
          <w:sz w:val="24"/>
          <w:highlight w:val="none"/>
          <w:u w:val="single"/>
        </w:rPr>
        <w:t xml:space="preserve">   </w:t>
      </w:r>
      <w:r>
        <w:rPr>
          <w:rFonts w:hint="eastAsia" w:ascii="黑体" w:hAnsi="黑体" w:eastAsia="黑体" w:cs="黑体"/>
          <w:color w:val="auto"/>
          <w:sz w:val="24"/>
          <w:highlight w:val="none"/>
        </w:rPr>
        <w:t>（项目名称）工程建设，对本标段以外的购货款项，有权拒绝办理，并及时报告甲方；</w:t>
      </w:r>
    </w:p>
    <w:p w14:paraId="187EFD44">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（3）根据乙方与分包单位签订的合同及支付文件，检查其支付款项是否符合有关条件，向分包单位以外单位的支付有权拒绝办理，并及时报告甲方；</w:t>
      </w:r>
    </w:p>
    <w:p w14:paraId="78CE6F30">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（4）根据乙方提供的上级单位出具的转账通知等有关资料，办理管理费、机械设备及周转材料租赁摊销费等款项的支付；对超出转账通知等有关资料以外的支付，有权拒绝办理，并及时报告甲方；</w:t>
      </w:r>
    </w:p>
    <w:p w14:paraId="63505468">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（5）定期将乙方前一个周期的支付情况，整理后书面报送甲方；乙方复印备案的材料一并送甲方。</w:t>
      </w:r>
    </w:p>
    <w:p w14:paraId="2B9AD969">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5. 甲、乙、丙三方都应履行保密责任，不得将其他两方的业务情况透露给三方以外的其他单位或个人。</w:t>
      </w:r>
    </w:p>
    <w:p w14:paraId="13DBEDDD">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6. 本协议有效期自乙方在丙方开户起，至工程交工验收甲方向乙方颁发交工验收证书后结束。</w:t>
      </w:r>
    </w:p>
    <w:p w14:paraId="427763C6">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7. 本协议未尽事宜，由甲方牵头，三方协商解决。</w:t>
      </w:r>
    </w:p>
    <w:p w14:paraId="14ECAEB9">
      <w:pPr>
        <w:shd w:val="clear" w:color="auto" w:fill="auto"/>
        <w:spacing w:line="380" w:lineRule="atLeas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8. 本协议正本三份、副本</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份。合同三方各执正本一份、副本</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份，当正本与副本内容不一致时，以正本为准。</w:t>
      </w:r>
    </w:p>
    <w:p w14:paraId="19170CF6">
      <w:pPr>
        <w:shd w:val="clear" w:color="auto" w:fill="auto"/>
        <w:spacing w:line="340" w:lineRule="atLeast"/>
        <w:outlineLvl w:val="0"/>
        <w:rPr>
          <w:rFonts w:hint="eastAsia" w:ascii="黑体" w:hAnsi="黑体" w:eastAsia="黑体" w:cs="黑体"/>
          <w:b/>
          <w:color w:val="auto"/>
          <w:sz w:val="24"/>
          <w:highlight w:val="none"/>
        </w:rPr>
      </w:pPr>
    </w:p>
    <w:p w14:paraId="246A783E">
      <w:pPr>
        <w:shd w:val="clear" w:color="auto" w:fill="auto"/>
        <w:spacing w:line="340" w:lineRule="atLeast"/>
        <w:ind w:firstLine="2400" w:firstLineChars="1000"/>
        <w:rPr>
          <w:rFonts w:hint="eastAsia" w:ascii="黑体" w:hAnsi="黑体" w:eastAsia="黑体" w:cs="黑体"/>
          <w:color w:val="auto"/>
          <w:sz w:val="24"/>
          <w:highlight w:val="none"/>
        </w:rPr>
      </w:pPr>
      <w:r>
        <w:rPr>
          <w:rFonts w:hint="eastAsia" w:ascii="黑体" w:hAnsi="黑体" w:eastAsia="黑体" w:cs="黑体"/>
          <w:color w:val="auto"/>
          <w:sz w:val="24"/>
          <w:highlight w:val="none"/>
        </w:rPr>
        <w:t>发包人：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（盖单位章）    </w:t>
      </w:r>
    </w:p>
    <w:p w14:paraId="39D8B687">
      <w:pPr>
        <w:shd w:val="clear" w:color="auto" w:fill="auto"/>
        <w:spacing w:line="340" w:lineRule="atLeast"/>
        <w:ind w:firstLine="2400" w:firstLineChars="1000"/>
        <w:rPr>
          <w:rFonts w:hint="eastAsia" w:ascii="黑体" w:hAnsi="黑体" w:eastAsia="黑体" w:cs="黑体"/>
          <w:color w:val="auto"/>
          <w:sz w:val="24"/>
          <w:highlight w:val="none"/>
        </w:rPr>
      </w:pPr>
      <w:r>
        <w:rPr>
          <w:rFonts w:hint="eastAsia" w:ascii="黑体" w:hAnsi="黑体" w:eastAsia="黑体" w:cs="黑体"/>
          <w:color w:val="auto"/>
          <w:sz w:val="24"/>
          <w:highlight w:val="none"/>
        </w:rPr>
        <w:t>法定代表人或其委托代理人：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（签字）  </w:t>
      </w:r>
    </w:p>
    <w:p w14:paraId="045F0A0A">
      <w:pPr>
        <w:shd w:val="clear" w:color="auto" w:fill="auto"/>
        <w:spacing w:line="340" w:lineRule="atLeast"/>
        <w:ind w:firstLine="3840" w:firstLineChars="1600"/>
        <w:rPr>
          <w:rFonts w:hint="eastAsia" w:ascii="黑体" w:hAnsi="黑体" w:eastAsia="黑体" w:cs="黑体"/>
          <w:b/>
          <w:bCs/>
          <w:color w:val="auto"/>
          <w:sz w:val="4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日    </w:t>
      </w:r>
    </w:p>
    <w:p w14:paraId="617900A5">
      <w:pPr>
        <w:shd w:val="clear" w:color="auto" w:fill="auto"/>
        <w:spacing w:line="340" w:lineRule="atLeast"/>
        <w:rPr>
          <w:rFonts w:hint="eastAsia" w:ascii="黑体" w:hAnsi="黑体" w:eastAsia="黑体" w:cs="黑体"/>
          <w:color w:val="auto"/>
          <w:sz w:val="24"/>
          <w:highlight w:val="none"/>
        </w:rPr>
      </w:pPr>
    </w:p>
    <w:p w14:paraId="4ECFEA78">
      <w:pPr>
        <w:shd w:val="clear" w:color="auto" w:fill="auto"/>
        <w:spacing w:line="340" w:lineRule="atLeast"/>
        <w:ind w:firstLine="2400" w:firstLineChars="1000"/>
        <w:rPr>
          <w:rFonts w:hint="eastAsia" w:ascii="黑体" w:hAnsi="黑体" w:eastAsia="黑体" w:cs="黑体"/>
          <w:color w:val="auto"/>
          <w:sz w:val="24"/>
          <w:highlight w:val="none"/>
        </w:rPr>
      </w:pPr>
      <w:r>
        <w:rPr>
          <w:rFonts w:hint="eastAsia" w:ascii="黑体" w:hAnsi="黑体" w:eastAsia="黑体" w:cs="黑体"/>
          <w:color w:val="auto"/>
          <w:sz w:val="24"/>
          <w:highlight w:val="none"/>
        </w:rPr>
        <w:t>承包人：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（盖单位章）    </w:t>
      </w:r>
    </w:p>
    <w:p w14:paraId="063AED3A">
      <w:pPr>
        <w:shd w:val="clear" w:color="auto" w:fill="auto"/>
        <w:spacing w:line="340" w:lineRule="atLeast"/>
        <w:ind w:firstLine="2400" w:firstLineChars="1000"/>
        <w:rPr>
          <w:rFonts w:hint="eastAsia" w:ascii="黑体" w:hAnsi="黑体" w:eastAsia="黑体" w:cs="黑体"/>
          <w:color w:val="auto"/>
          <w:sz w:val="24"/>
          <w:highlight w:val="none"/>
        </w:rPr>
      </w:pPr>
      <w:r>
        <w:rPr>
          <w:rFonts w:hint="eastAsia" w:ascii="黑体" w:hAnsi="黑体" w:eastAsia="黑体" w:cs="黑体"/>
          <w:color w:val="auto"/>
          <w:sz w:val="24"/>
          <w:highlight w:val="none"/>
        </w:rPr>
        <w:t>法定代表人或其委托代理人：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（签字）  </w:t>
      </w:r>
    </w:p>
    <w:p w14:paraId="504D5C28">
      <w:pPr>
        <w:shd w:val="clear" w:color="auto" w:fill="auto"/>
        <w:spacing w:line="340" w:lineRule="atLeast"/>
        <w:ind w:firstLine="3840" w:firstLineChars="1600"/>
        <w:rPr>
          <w:rFonts w:hint="eastAsia" w:ascii="黑体" w:hAnsi="黑体" w:eastAsia="黑体" w:cs="黑体"/>
          <w:b/>
          <w:bCs/>
          <w:color w:val="auto"/>
          <w:sz w:val="4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日    </w:t>
      </w:r>
    </w:p>
    <w:p w14:paraId="3E878402">
      <w:pPr>
        <w:shd w:val="clear" w:color="auto" w:fill="auto"/>
        <w:spacing w:line="340" w:lineRule="atLeast"/>
        <w:rPr>
          <w:rFonts w:hint="eastAsia" w:ascii="黑体" w:hAnsi="黑体" w:eastAsia="黑体" w:cs="黑体"/>
          <w:color w:val="auto"/>
          <w:sz w:val="24"/>
          <w:highlight w:val="none"/>
        </w:rPr>
      </w:pPr>
    </w:p>
    <w:p w14:paraId="0D73B9B6">
      <w:pPr>
        <w:shd w:val="clear" w:color="auto" w:fill="auto"/>
        <w:spacing w:line="340" w:lineRule="atLeast"/>
        <w:ind w:firstLine="2400" w:firstLineChars="1000"/>
        <w:rPr>
          <w:rFonts w:hint="eastAsia" w:ascii="黑体" w:hAnsi="黑体" w:eastAsia="黑体" w:cs="黑体"/>
          <w:color w:val="auto"/>
          <w:sz w:val="24"/>
          <w:highlight w:val="none"/>
        </w:rPr>
      </w:pPr>
      <w:r>
        <w:rPr>
          <w:rFonts w:hint="eastAsia" w:ascii="黑体" w:hAnsi="黑体" w:eastAsia="黑体" w:cs="黑体"/>
          <w:color w:val="auto"/>
          <w:sz w:val="24"/>
          <w:highlight w:val="none"/>
        </w:rPr>
        <w:t>经办银行：</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（盖单位章）    </w:t>
      </w:r>
    </w:p>
    <w:p w14:paraId="4BE26945">
      <w:pPr>
        <w:shd w:val="clear" w:color="auto" w:fill="auto"/>
        <w:spacing w:line="340" w:lineRule="atLeast"/>
        <w:ind w:firstLine="2400" w:firstLineChars="1000"/>
        <w:rPr>
          <w:rFonts w:hint="eastAsia" w:ascii="黑体" w:hAnsi="黑体" w:eastAsia="黑体" w:cs="黑体"/>
          <w:color w:val="auto"/>
          <w:sz w:val="24"/>
          <w:highlight w:val="none"/>
        </w:rPr>
      </w:pPr>
      <w:r>
        <w:rPr>
          <w:rFonts w:hint="eastAsia" w:ascii="黑体" w:hAnsi="黑体" w:eastAsia="黑体" w:cs="黑体"/>
          <w:color w:val="auto"/>
          <w:sz w:val="24"/>
          <w:highlight w:val="none"/>
        </w:rPr>
        <w:t>法定代表人或其委托代理人：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（签字）  </w:t>
      </w:r>
    </w:p>
    <w:p w14:paraId="2B272796">
      <w:pPr>
        <w:shd w:val="clear" w:color="auto" w:fill="auto"/>
        <w:spacing w:line="340" w:lineRule="atLeast"/>
        <w:ind w:firstLine="4080" w:firstLineChars="1700"/>
        <w:rPr>
          <w:rFonts w:hint="eastAsia"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月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 日   </w:t>
      </w:r>
    </w:p>
    <w:p w14:paraId="377C965E">
      <w:pPr>
        <w:rPr>
          <w:rFonts w:hint="eastAsia" w:ascii="黑体" w:hAnsi="黑体" w:eastAsia="黑体" w:cs="黑体"/>
          <w:color w:val="auto"/>
          <w:sz w:val="24"/>
          <w:highlight w:val="none"/>
        </w:rPr>
      </w:pPr>
      <w:r>
        <w:rPr>
          <w:rFonts w:hint="eastAsia" w:ascii="黑体" w:hAnsi="黑体" w:eastAsia="黑体" w:cs="黑体"/>
          <w:color w:val="auto"/>
          <w:sz w:val="24"/>
          <w:highlight w:val="none"/>
        </w:rPr>
        <w:br w:type="page"/>
      </w:r>
    </w:p>
    <w:p w14:paraId="3FD1098A">
      <w:pPr>
        <w:rPr>
          <w:rFonts w:hint="eastAsia" w:ascii="黑体" w:hAnsi="黑体" w:eastAsia="黑体" w:cs="黑体"/>
          <w:color w:val="auto"/>
          <w:sz w:val="24"/>
          <w:highlight w:val="none"/>
        </w:rPr>
      </w:pPr>
      <w:r>
        <w:rPr>
          <w:rFonts w:hint="eastAsia" w:ascii="黑体" w:hAnsi="黑体" w:eastAsia="黑体" w:cs="黑体"/>
          <w:color w:val="auto"/>
          <w:sz w:val="24"/>
          <w:highlight w:val="none"/>
        </w:rPr>
        <w:br w:type="page"/>
      </w:r>
    </w:p>
    <w:p w14:paraId="60D495E1">
      <w:pPr>
        <w:spacing w:before="480" w:after="480" w:line="288" w:lineRule="auto"/>
        <w:ind w:left="0"/>
        <w:jc w:val="center"/>
        <w:rPr>
          <w:b/>
          <w:bCs w:val="0"/>
          <w:highlight w:val="none"/>
        </w:rPr>
      </w:pPr>
      <w:r>
        <w:rPr>
          <w:rFonts w:ascii="Arial" w:hAnsi="Arial" w:eastAsia="等线" w:cs="Arial"/>
          <w:b/>
          <w:bCs w:val="0"/>
          <w:sz w:val="52"/>
          <w:highlight w:val="none"/>
        </w:rPr>
        <w:t>工程施工合同补充协议</w:t>
      </w:r>
    </w:p>
    <w:p w14:paraId="348E0418">
      <w:p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甲方（建设单位）：新巴尔虎左旗住房建设和交通运输局</w:t>
      </w:r>
    </w:p>
    <w:p w14:paraId="54D8FCFC">
      <w:pPr>
        <w:spacing w:before="120" w:after="120" w:line="288" w:lineRule="auto"/>
        <w:ind w:left="0"/>
        <w:jc w:val="lef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统一社会信用代码：</w:t>
      </w:r>
      <w:r>
        <w:rPr>
          <w:rFonts w:hint="eastAsia" w:ascii="仿宋" w:hAnsi="仿宋" w:eastAsia="仿宋" w:cs="仿宋"/>
          <w:sz w:val="28"/>
          <w:szCs w:val="28"/>
          <w:highlight w:val="none"/>
          <w:lang w:val="en-US" w:eastAsia="zh-CN"/>
        </w:rPr>
        <w:t>11152130MB097119X6</w:t>
      </w:r>
    </w:p>
    <w:p w14:paraId="5370347F">
      <w:p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地址：新巴尔虎左旗阿木古郎镇呼格吉乐街和巴尔虎路交汇处向北1500米</w:t>
      </w:r>
    </w:p>
    <w:p w14:paraId="228C1AA4">
      <w:pPr>
        <w:spacing w:before="120" w:after="120" w:line="288" w:lineRule="auto"/>
        <w:ind w:left="0"/>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lang w:val="en-US" w:eastAsia="zh-CN"/>
        </w:rPr>
        <w:t>陶广华</w:t>
      </w:r>
    </w:p>
    <w:p w14:paraId="05F2AEE4">
      <w:p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p>
    <w:p w14:paraId="76996872">
      <w:p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乙方（施工总承包单位）：</w:t>
      </w:r>
    </w:p>
    <w:p w14:paraId="3DECFA8A">
      <w:p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统一社会信用代码：</w:t>
      </w:r>
    </w:p>
    <w:p w14:paraId="0005AF98">
      <w:p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地址：</w:t>
      </w:r>
    </w:p>
    <w:p w14:paraId="3D51ADE5">
      <w:p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p>
    <w:p w14:paraId="5C215A9C">
      <w:p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p>
    <w:p w14:paraId="6C314421">
      <w:pPr>
        <w:spacing w:before="120" w:after="120" w:line="288" w:lineRule="auto"/>
        <w:ind w:left="0"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鉴于甲方与乙方已于【】年【】月【】日签订了《【】工程施工合同》（以下简称“原合同”，合同编号：【】），为进一步明确工程款结算、人工费用拨付相关事宜，切实保障农民工工资按时足额支付，依据《保障农民工工资支付条例》及相关法律法规规定，甲乙双方本着平等自愿、协商一致的原则，订立本补充协议，作为原合同不可分割的组成部分，与原合同具有同等法律效力，原合同条款与本补充协议约定不一致的，以本补充协议为准。</w:t>
      </w:r>
    </w:p>
    <w:p w14:paraId="40B5757B">
      <w:pPr>
        <w:spacing w:before="320" w:after="120" w:line="288" w:lineRule="auto"/>
        <w:ind w:left="0"/>
        <w:jc w:val="left"/>
        <w:outlineLvl w:val="1"/>
        <w:rPr>
          <w:rFonts w:hint="eastAsia" w:ascii="仿宋" w:hAnsi="仿宋" w:eastAsia="仿宋" w:cs="仿宋"/>
          <w:sz w:val="28"/>
          <w:szCs w:val="28"/>
          <w:highlight w:val="none"/>
        </w:rPr>
      </w:pPr>
      <w:bookmarkStart w:id="749" w:name="heading_0"/>
      <w:r>
        <w:rPr>
          <w:rFonts w:hint="eastAsia" w:ascii="仿宋" w:hAnsi="仿宋" w:eastAsia="仿宋" w:cs="仿宋"/>
          <w:b/>
          <w:sz w:val="28"/>
          <w:szCs w:val="28"/>
          <w:highlight w:val="none"/>
        </w:rPr>
        <w:t>一、工程款计量周期约定</w:t>
      </w:r>
      <w:bookmarkEnd w:id="749"/>
    </w:p>
    <w:p w14:paraId="5171017C">
      <w:pPr>
        <w:numPr>
          <w:ilvl w:val="0"/>
          <w:numId w:val="6"/>
        </w:num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本工程工程款计量周期按</w:t>
      </w:r>
      <w:r>
        <w:rPr>
          <w:rFonts w:hint="eastAsia" w:ascii="仿宋" w:hAnsi="仿宋" w:eastAsia="仿宋" w:cs="仿宋"/>
          <w:b/>
          <w:sz w:val="28"/>
          <w:szCs w:val="28"/>
          <w:highlight w:val="none"/>
        </w:rPr>
        <w:t>自然月</w:t>
      </w:r>
      <w:r>
        <w:rPr>
          <w:rFonts w:hint="eastAsia" w:ascii="仿宋" w:hAnsi="仿宋" w:eastAsia="仿宋" w:cs="仿宋"/>
          <w:sz w:val="28"/>
          <w:szCs w:val="28"/>
          <w:highlight w:val="none"/>
        </w:rPr>
        <w:t>计算，每月【】日至次月【】日为一个完整计量周期，甲乙双方严格按照该周期开展已完工程量核对与计量工作。</w:t>
      </w:r>
    </w:p>
    <w:p w14:paraId="0028EEF8">
      <w:pPr>
        <w:numPr>
          <w:ilvl w:val="0"/>
          <w:numId w:val="7"/>
        </w:num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乙方应在每个计量周期结束后【】日内，向甲方提交已完工程量计量报告及完整计量资料，甲方收到报告后【】日内完成审核确认，逾期未提出书面异议的，视为认可乙方提交的计量结果。</w:t>
      </w:r>
    </w:p>
    <w:p w14:paraId="22D9EE97">
      <w:pPr>
        <w:spacing w:before="320" w:after="120" w:line="288" w:lineRule="auto"/>
        <w:ind w:left="0"/>
        <w:jc w:val="left"/>
        <w:outlineLvl w:val="1"/>
        <w:rPr>
          <w:rFonts w:hint="eastAsia" w:ascii="仿宋" w:hAnsi="仿宋" w:eastAsia="仿宋" w:cs="仿宋"/>
          <w:sz w:val="28"/>
          <w:szCs w:val="28"/>
          <w:highlight w:val="none"/>
        </w:rPr>
      </w:pPr>
      <w:bookmarkStart w:id="750" w:name="heading_1"/>
      <w:r>
        <w:rPr>
          <w:rFonts w:hint="eastAsia" w:ascii="仿宋" w:hAnsi="仿宋" w:eastAsia="仿宋" w:cs="仿宋"/>
          <w:b/>
          <w:sz w:val="28"/>
          <w:szCs w:val="28"/>
          <w:highlight w:val="none"/>
        </w:rPr>
        <w:t>二、工程款进度结算办法</w:t>
      </w:r>
      <w:bookmarkEnd w:id="750"/>
    </w:p>
    <w:p w14:paraId="0E34F428">
      <w:pPr>
        <w:numPr>
          <w:ilvl w:val="0"/>
          <w:numId w:val="8"/>
        </w:num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工程款进度结算依据双方确认的当期已完工程量、原合同约定的计价标准、费率及现场签证、变更洽商等有效文件进行核算。</w:t>
      </w:r>
    </w:p>
    <w:p w14:paraId="121C87D0">
      <w:pPr>
        <w:numPr>
          <w:ilvl w:val="0"/>
          <w:numId w:val="9"/>
        </w:num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甲方审核完成乙方提交的工程量计量报告后【】日内，双方完成当期工程款进度结算，出具工程款进度结算单，甲乙双方签字盖章确认后作为工程款支付的依据。</w:t>
      </w:r>
    </w:p>
    <w:p w14:paraId="331F56A4">
      <w:pPr>
        <w:numPr>
          <w:ilvl w:val="0"/>
          <w:numId w:val="10"/>
        </w:num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工程变更、现场签证等涉及工程款调整的内容，随当期工程款进度结算一并审核、确认，无特殊情况不得单独滞后结算。</w:t>
      </w:r>
    </w:p>
    <w:p w14:paraId="772C5CDE">
      <w:pPr>
        <w:spacing w:before="320" w:after="120" w:line="288" w:lineRule="auto"/>
        <w:ind w:left="0"/>
        <w:jc w:val="left"/>
        <w:outlineLvl w:val="1"/>
        <w:rPr>
          <w:rFonts w:hint="eastAsia" w:ascii="仿宋" w:hAnsi="仿宋" w:eastAsia="仿宋" w:cs="仿宋"/>
          <w:sz w:val="28"/>
          <w:szCs w:val="28"/>
          <w:highlight w:val="none"/>
        </w:rPr>
      </w:pPr>
      <w:bookmarkStart w:id="751" w:name="heading_2"/>
      <w:r>
        <w:rPr>
          <w:rFonts w:hint="eastAsia" w:ascii="仿宋" w:hAnsi="仿宋" w:eastAsia="仿宋" w:cs="仿宋"/>
          <w:b/>
          <w:sz w:val="28"/>
          <w:szCs w:val="28"/>
          <w:highlight w:val="none"/>
        </w:rPr>
        <w:t>三、人工费用拨付约定</w:t>
      </w:r>
      <w:bookmarkEnd w:id="751"/>
    </w:p>
    <w:p w14:paraId="429A375F">
      <w:pPr>
        <w:numPr>
          <w:ilvl w:val="0"/>
          <w:numId w:val="11"/>
        </w:num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为严格保障农民工工资按时足额支付，甲乙双方约定本工程</w:t>
      </w:r>
      <w:r>
        <w:rPr>
          <w:rFonts w:hint="eastAsia" w:ascii="仿宋" w:hAnsi="仿宋" w:eastAsia="仿宋" w:cs="仿宋"/>
          <w:b/>
          <w:sz w:val="28"/>
          <w:szCs w:val="28"/>
          <w:highlight w:val="none"/>
        </w:rPr>
        <w:t>人工费用拨付周期不得超过1个月</w:t>
      </w:r>
      <w:r>
        <w:rPr>
          <w:rFonts w:hint="eastAsia" w:ascii="仿宋" w:hAnsi="仿宋" w:eastAsia="仿宋" w:cs="仿宋"/>
          <w:sz w:val="28"/>
          <w:szCs w:val="28"/>
          <w:highlight w:val="none"/>
        </w:rPr>
        <w:t>，具体按自然月拨付，每月【】日前，甲方将当期核定的人工费用足额拨付至乙方在银行开立的农民工工资专用账户。</w:t>
      </w:r>
    </w:p>
    <w:p w14:paraId="0169DFDC">
      <w:pPr>
        <w:numPr>
          <w:ilvl w:val="0"/>
          <w:numId w:val="12"/>
        </w:num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乙方应建立完善的农民工工资支付制度，严格按照劳动用工合同约定，及时将甲方拨付的人工费用足额发放至每位农民工本人工资卡，不得拖欠、克扣农民工工资，且每月工资发放后【】日内，将农民工工资发放明细表、银行代发凭证等资料报送甲方备案。</w:t>
      </w:r>
    </w:p>
    <w:p w14:paraId="0B8C082B">
      <w:pPr>
        <w:numPr>
          <w:ilvl w:val="0"/>
          <w:numId w:val="13"/>
        </w:num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人工费用的核算标准，按照原合同约定的人工单价、当期实际完成工程量对应的用工量进行核定，确保人工费用专款专用，不得挪作他用。</w:t>
      </w:r>
    </w:p>
    <w:p w14:paraId="4CFC5977">
      <w:pPr>
        <w:numPr>
          <w:ilvl w:val="0"/>
          <w:numId w:val="14"/>
        </w:num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若甲方未按本协议约定时间足额拨付人工费用，导致乙方无法按时发放农民工工资的，甲方承担由此产生的全部法律责任及经济损失；若乙方收到人工费用后，未按时足额发放农民工工资，由此引发的农民工维权、投诉等一切责任及损失，均由乙方自行承担。</w:t>
      </w:r>
    </w:p>
    <w:p w14:paraId="71EBE197">
      <w:pPr>
        <w:spacing w:before="320" w:after="120" w:line="288" w:lineRule="auto"/>
        <w:ind w:left="0"/>
        <w:jc w:val="left"/>
        <w:outlineLvl w:val="1"/>
        <w:rPr>
          <w:rFonts w:hint="eastAsia" w:ascii="仿宋" w:hAnsi="仿宋" w:eastAsia="仿宋" w:cs="仿宋"/>
          <w:sz w:val="28"/>
          <w:szCs w:val="28"/>
          <w:highlight w:val="none"/>
        </w:rPr>
      </w:pPr>
      <w:bookmarkStart w:id="752" w:name="heading_3"/>
      <w:r>
        <w:rPr>
          <w:rFonts w:hint="eastAsia" w:ascii="仿宋" w:hAnsi="仿宋" w:eastAsia="仿宋" w:cs="仿宋"/>
          <w:b/>
          <w:sz w:val="28"/>
          <w:szCs w:val="28"/>
          <w:highlight w:val="none"/>
        </w:rPr>
        <w:t>四、双方其他责任</w:t>
      </w:r>
      <w:bookmarkEnd w:id="752"/>
    </w:p>
    <w:p w14:paraId="4AFF0307">
      <w:pPr>
        <w:numPr>
          <w:ilvl w:val="0"/>
          <w:numId w:val="15"/>
        </w:num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甲方应严格履行工程款及人工费用支付义务，按时完成工程量审核、结算及款项拨付工作，配合乙方做好农民工工资支付相关监督工作。</w:t>
      </w:r>
    </w:p>
    <w:p w14:paraId="2F1D658A">
      <w:pPr>
        <w:numPr>
          <w:ilvl w:val="0"/>
          <w:numId w:val="16"/>
        </w:num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乙方应如实上报工程量及人工费用使用情况，建立农民工用工台账、工资支付台账，接受甲方及相关行政主管部门的监督检查，确保用工及工资支付行为合法合规。</w:t>
      </w:r>
    </w:p>
    <w:p w14:paraId="6480172B">
      <w:pPr>
        <w:numPr>
          <w:ilvl w:val="0"/>
          <w:numId w:val="17"/>
        </w:num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本协议约定的人工费用拨付条款，为保障农民工工资支付的强制性条款，甲乙双方均不得擅自变更或违反，若一方违约，除承担相应损失外，还需按照当期应付未付人工费用的【】%向对方支付违约金。</w:t>
      </w:r>
    </w:p>
    <w:p w14:paraId="3A54546D">
      <w:pPr>
        <w:spacing w:before="320" w:after="120" w:line="288" w:lineRule="auto"/>
        <w:ind w:left="0"/>
        <w:jc w:val="left"/>
        <w:outlineLvl w:val="1"/>
        <w:rPr>
          <w:rFonts w:hint="eastAsia" w:ascii="仿宋" w:hAnsi="仿宋" w:eastAsia="仿宋" w:cs="仿宋"/>
          <w:sz w:val="28"/>
          <w:szCs w:val="28"/>
          <w:highlight w:val="none"/>
        </w:rPr>
      </w:pPr>
      <w:bookmarkStart w:id="753" w:name="heading_4"/>
      <w:r>
        <w:rPr>
          <w:rFonts w:hint="eastAsia" w:ascii="仿宋" w:hAnsi="仿宋" w:eastAsia="仿宋" w:cs="仿宋"/>
          <w:b/>
          <w:sz w:val="28"/>
          <w:szCs w:val="28"/>
          <w:highlight w:val="none"/>
        </w:rPr>
        <w:t>五、其他条款</w:t>
      </w:r>
      <w:bookmarkEnd w:id="753"/>
    </w:p>
    <w:p w14:paraId="30B1B26E">
      <w:pPr>
        <w:numPr>
          <w:ilvl w:val="0"/>
          <w:numId w:val="18"/>
        </w:num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本补充协议未尽事宜，按照原合同及《保障农民工工资支付条例》《中华人民共和国民法典》等相关法律法规规定执行。</w:t>
      </w:r>
    </w:p>
    <w:p w14:paraId="61ABC7A2">
      <w:pPr>
        <w:numPr>
          <w:ilvl w:val="0"/>
          <w:numId w:val="19"/>
        </w:num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因履行本协议发生的争议，甲乙双方应友好协商解决；协商不成的，任何一方均有权向工程所在地人民法院提起诉讼。</w:t>
      </w:r>
    </w:p>
    <w:p w14:paraId="6AB77735">
      <w:pPr>
        <w:numPr>
          <w:ilvl w:val="0"/>
          <w:numId w:val="20"/>
        </w:num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本补充协议一式【】份，甲方执【】份，乙方执【】份，报送工程所在地住建部门、人社部门各【】份，自双方签字盖章之日起生效。</w:t>
      </w:r>
    </w:p>
    <w:p w14:paraId="690C3053">
      <w:p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甲方（盖章）：</w:t>
      </w:r>
    </w:p>
    <w:p w14:paraId="5358E4CB">
      <w:p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法定代表人/授权委托人（签字）：</w:t>
      </w:r>
    </w:p>
    <w:p w14:paraId="314BAEF1">
      <w:p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签订日期： 年 月 日</w:t>
      </w:r>
    </w:p>
    <w:p w14:paraId="761F7B52">
      <w:p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乙方（盖章）：</w:t>
      </w:r>
    </w:p>
    <w:p w14:paraId="377D07BD">
      <w:p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法定代表人/授权委托人（签字）：</w:t>
      </w:r>
    </w:p>
    <w:p w14:paraId="4364C403">
      <w:pPr>
        <w:spacing w:before="120" w:after="120" w:line="288" w:lineRule="auto"/>
        <w:ind w:left="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签订日期： 年 月 日</w:t>
      </w:r>
    </w:p>
    <w:p w14:paraId="38C997A3">
      <w:pPr>
        <w:spacing w:before="120" w:after="120" w:line="288" w:lineRule="auto"/>
        <w:ind w:left="0"/>
        <w:jc w:val="left"/>
        <w:rPr>
          <w:rFonts w:hint="eastAsia" w:ascii="仿宋" w:hAnsi="仿宋" w:eastAsia="仿宋" w:cs="仿宋"/>
          <w:sz w:val="28"/>
          <w:szCs w:val="28"/>
          <w:highlight w:val="none"/>
        </w:rPr>
      </w:pPr>
    </w:p>
    <w:p w14:paraId="027F378E">
      <w:pPr>
        <w:shd w:val="clear" w:color="auto" w:fill="auto"/>
        <w:spacing w:line="340" w:lineRule="atLeast"/>
        <w:ind w:firstLine="4080" w:firstLineChars="1700"/>
        <w:rPr>
          <w:rFonts w:hint="eastAsia" w:ascii="黑体" w:hAnsi="黑体" w:eastAsia="黑体" w:cs="黑体"/>
          <w:color w:val="auto"/>
          <w:sz w:val="24"/>
          <w:highlight w:val="none"/>
        </w:rPr>
        <w:sectPr>
          <w:footnotePr>
            <w:numFmt w:val="decimalEnclosedCircleChinese"/>
            <w:numRestart w:val="eachPage"/>
          </w:footnotePr>
          <w:pgSz w:w="11907" w:h="16840"/>
          <w:pgMar w:top="1588" w:right="1588" w:bottom="1474" w:left="1644" w:header="851" w:footer="851" w:gutter="0"/>
          <w:pgBorders>
            <w:top w:val="none" w:sz="0" w:space="0"/>
            <w:left w:val="none" w:sz="0" w:space="0"/>
            <w:bottom w:val="none" w:sz="0" w:space="0"/>
            <w:right w:val="none" w:sz="0" w:space="0"/>
          </w:pgBorders>
          <w:pgNumType w:fmt="numberInDash"/>
          <w:cols w:space="720" w:num="1"/>
          <w:docGrid w:linePitch="312" w:charSpace="0"/>
        </w:sectPr>
      </w:pPr>
    </w:p>
    <w:p w14:paraId="3B7CE054">
      <w:pPr>
        <w:shd w:val="clear" w:color="auto" w:fill="auto"/>
        <w:spacing w:line="440" w:lineRule="exact"/>
        <w:jc w:val="center"/>
        <w:rPr>
          <w:rFonts w:eastAsia="黑体"/>
          <w:color w:val="auto"/>
          <w:sz w:val="29"/>
          <w:szCs w:val="29"/>
          <w:highlight w:val="none"/>
        </w:rPr>
      </w:pPr>
    </w:p>
    <w:p w14:paraId="4CEA8361">
      <w:pPr>
        <w:shd w:val="clear" w:color="auto" w:fill="auto"/>
        <w:spacing w:line="440" w:lineRule="exact"/>
        <w:jc w:val="center"/>
        <w:rPr>
          <w:rFonts w:eastAsia="黑体"/>
          <w:color w:val="auto"/>
          <w:sz w:val="29"/>
          <w:szCs w:val="29"/>
          <w:highlight w:val="none"/>
        </w:rPr>
      </w:pPr>
    </w:p>
    <w:p w14:paraId="432E8C55">
      <w:pPr>
        <w:shd w:val="clear" w:color="auto" w:fill="auto"/>
        <w:spacing w:line="440" w:lineRule="exact"/>
        <w:jc w:val="center"/>
        <w:rPr>
          <w:rFonts w:eastAsia="黑体"/>
          <w:color w:val="auto"/>
          <w:sz w:val="29"/>
          <w:szCs w:val="29"/>
          <w:highlight w:val="none"/>
        </w:rPr>
      </w:pPr>
    </w:p>
    <w:p w14:paraId="2413FD2B">
      <w:pPr>
        <w:shd w:val="clear" w:color="auto" w:fill="auto"/>
        <w:spacing w:line="440" w:lineRule="exact"/>
        <w:jc w:val="center"/>
        <w:rPr>
          <w:rFonts w:eastAsia="黑体"/>
          <w:color w:val="auto"/>
          <w:sz w:val="29"/>
          <w:szCs w:val="29"/>
          <w:highlight w:val="none"/>
        </w:rPr>
      </w:pPr>
    </w:p>
    <w:p w14:paraId="553BEDE9">
      <w:pPr>
        <w:shd w:val="clear" w:color="auto" w:fill="auto"/>
        <w:spacing w:line="440" w:lineRule="exact"/>
        <w:jc w:val="center"/>
        <w:rPr>
          <w:rFonts w:eastAsia="黑体"/>
          <w:color w:val="auto"/>
          <w:sz w:val="29"/>
          <w:szCs w:val="29"/>
          <w:highlight w:val="none"/>
        </w:rPr>
      </w:pPr>
    </w:p>
    <w:p w14:paraId="10971536">
      <w:pPr>
        <w:pStyle w:val="2"/>
        <w:shd w:val="clear" w:color="auto" w:fill="auto"/>
        <w:spacing w:before="0" w:after="0" w:line="380" w:lineRule="atLeast"/>
        <w:jc w:val="center"/>
        <w:rPr>
          <w:rFonts w:hint="eastAsia" w:eastAsia="黑体"/>
          <w:b w:val="0"/>
          <w:color w:val="auto"/>
          <w:sz w:val="56"/>
          <w:szCs w:val="56"/>
          <w:highlight w:val="none"/>
        </w:rPr>
      </w:pPr>
    </w:p>
    <w:p w14:paraId="087D7C0F">
      <w:pPr>
        <w:pStyle w:val="2"/>
        <w:shd w:val="clear" w:color="auto" w:fill="auto"/>
        <w:spacing w:before="0" w:after="0" w:line="380" w:lineRule="atLeast"/>
        <w:jc w:val="center"/>
        <w:rPr>
          <w:rFonts w:hint="eastAsia" w:eastAsia="黑体"/>
          <w:b w:val="0"/>
          <w:color w:val="auto"/>
          <w:sz w:val="56"/>
          <w:szCs w:val="56"/>
          <w:highlight w:val="none"/>
        </w:rPr>
      </w:pPr>
    </w:p>
    <w:p w14:paraId="15748EBB">
      <w:pPr>
        <w:pStyle w:val="2"/>
        <w:shd w:val="clear" w:color="auto" w:fill="auto"/>
        <w:spacing w:before="0" w:after="0" w:line="380" w:lineRule="atLeast"/>
        <w:jc w:val="both"/>
        <w:rPr>
          <w:rFonts w:hint="eastAsia" w:eastAsia="黑体"/>
          <w:b w:val="0"/>
          <w:color w:val="auto"/>
          <w:sz w:val="56"/>
          <w:szCs w:val="56"/>
          <w:highlight w:val="none"/>
        </w:rPr>
      </w:pPr>
    </w:p>
    <w:p w14:paraId="05A4A5DF">
      <w:pPr>
        <w:pStyle w:val="2"/>
        <w:bidi w:val="0"/>
        <w:rPr>
          <w:rFonts w:hint="eastAsia" w:ascii="黑体" w:eastAsia="黑体"/>
          <w:color w:val="auto"/>
          <w:sz w:val="56"/>
          <w:szCs w:val="56"/>
          <w:highlight w:val="none"/>
        </w:rPr>
      </w:pPr>
      <w:bookmarkStart w:id="754" w:name="_Toc234835927"/>
      <w:bookmarkStart w:id="755" w:name="_Toc31213"/>
      <w:bookmarkStart w:id="756" w:name="_Toc234833240"/>
      <w:r>
        <w:rPr>
          <w:rFonts w:hint="eastAsia"/>
          <w:highlight w:val="none"/>
          <w:lang w:val="en-US" w:eastAsia="zh-CN"/>
        </w:rPr>
        <w:t>第五章</w:t>
      </w:r>
      <w:r>
        <w:rPr>
          <w:rFonts w:hint="eastAsia"/>
          <w:highlight w:val="none"/>
        </w:rPr>
        <w:t xml:space="preserve"> 工程量清单</w:t>
      </w:r>
      <w:bookmarkEnd w:id="754"/>
      <w:bookmarkEnd w:id="755"/>
      <w:bookmarkEnd w:id="756"/>
      <w:bookmarkStart w:id="757" w:name="_Toc234833241"/>
    </w:p>
    <w:p w14:paraId="20B8BF6A">
      <w:pPr>
        <w:ind w:firstLine="643" w:firstLineChars="200"/>
        <w:rPr>
          <w:rFonts w:hint="eastAsia" w:ascii="黑体" w:hAnsi="黑体" w:eastAsia="黑体" w:cs="黑体"/>
          <w:b/>
          <w:bCs/>
          <w:color w:val="000000"/>
          <w:sz w:val="32"/>
          <w:szCs w:val="32"/>
          <w:highlight w:val="none"/>
          <w:lang w:eastAsia="zh-CN"/>
        </w:rPr>
      </w:pPr>
      <w:r>
        <w:rPr>
          <w:rFonts w:hint="eastAsia" w:ascii="黑体" w:hAnsi="黑体" w:eastAsia="黑体" w:cs="黑体"/>
          <w:b/>
          <w:bCs/>
          <w:color w:val="000000"/>
          <w:sz w:val="32"/>
          <w:szCs w:val="32"/>
          <w:highlight w:val="none"/>
        </w:rPr>
        <w:t>投标人自行在投标人系统内填写投标信息并提交后再在投标人系统内领取工程量清单固化电子文件电子版</w:t>
      </w:r>
      <w:r>
        <w:rPr>
          <w:rFonts w:hint="eastAsia" w:ascii="黑体" w:hAnsi="黑体" w:eastAsia="黑体" w:cs="黑体"/>
          <w:b/>
          <w:bCs/>
          <w:color w:val="000000"/>
          <w:sz w:val="32"/>
          <w:szCs w:val="32"/>
          <w:highlight w:val="none"/>
          <w:lang w:eastAsia="zh-CN"/>
        </w:rPr>
        <w:t>。</w:t>
      </w:r>
    </w:p>
    <w:p w14:paraId="3833144C">
      <w:pPr>
        <w:widowControl w:val="0"/>
        <w:numPr>
          <w:ilvl w:val="0"/>
          <w:numId w:val="0"/>
        </w:numPr>
        <w:shd w:val="clear" w:color="auto" w:fill="auto"/>
        <w:jc w:val="center"/>
        <w:rPr>
          <w:rFonts w:hint="eastAsia" w:ascii="黑体" w:eastAsia="黑体"/>
          <w:color w:val="auto"/>
          <w:sz w:val="56"/>
          <w:szCs w:val="56"/>
          <w:highlight w:val="none"/>
        </w:rPr>
        <w:sectPr>
          <w:headerReference r:id="rId24" w:type="default"/>
          <w:footerReference r:id="rId25" w:type="default"/>
          <w:footnotePr>
            <w:numFmt w:val="decimalEnclosedCircleChinese"/>
            <w:numRestart w:val="eachPage"/>
          </w:footnotePr>
          <w:pgSz w:w="11907" w:h="16840"/>
          <w:pgMar w:top="1588" w:right="1588" w:bottom="1474" w:left="1644" w:header="851" w:footer="851" w:gutter="0"/>
          <w:pgBorders>
            <w:top w:val="none" w:sz="0" w:space="0"/>
            <w:left w:val="none" w:sz="0" w:space="0"/>
            <w:bottom w:val="none" w:sz="0" w:space="0"/>
            <w:right w:val="none" w:sz="0" w:space="0"/>
          </w:pgBorders>
          <w:pgNumType w:fmt="numberInDash"/>
          <w:cols w:space="720" w:num="1"/>
          <w:docGrid w:linePitch="312" w:charSpace="0"/>
        </w:sectPr>
      </w:pPr>
    </w:p>
    <w:bookmarkEnd w:id="757"/>
    <w:p w14:paraId="2393259B">
      <w:pPr>
        <w:shd w:val="clear" w:color="auto" w:fill="auto"/>
        <w:spacing w:line="440" w:lineRule="exact"/>
        <w:jc w:val="center"/>
        <w:rPr>
          <w:rFonts w:eastAsia="黑体"/>
          <w:color w:val="auto"/>
          <w:sz w:val="29"/>
          <w:szCs w:val="29"/>
          <w:highlight w:val="none"/>
        </w:rPr>
      </w:pPr>
    </w:p>
    <w:p w14:paraId="040E1CD6">
      <w:pPr>
        <w:shd w:val="clear" w:color="auto" w:fill="auto"/>
        <w:spacing w:line="440" w:lineRule="exact"/>
        <w:jc w:val="center"/>
        <w:rPr>
          <w:rFonts w:hint="eastAsia" w:eastAsia="黑体"/>
          <w:color w:val="auto"/>
          <w:sz w:val="29"/>
          <w:szCs w:val="29"/>
          <w:highlight w:val="none"/>
        </w:rPr>
      </w:pPr>
    </w:p>
    <w:p w14:paraId="7D1D360E">
      <w:pPr>
        <w:shd w:val="clear" w:color="auto" w:fill="auto"/>
        <w:spacing w:line="440" w:lineRule="exact"/>
        <w:jc w:val="center"/>
        <w:rPr>
          <w:rFonts w:hint="eastAsia" w:eastAsia="黑体"/>
          <w:color w:val="auto"/>
          <w:sz w:val="29"/>
          <w:szCs w:val="29"/>
          <w:highlight w:val="none"/>
        </w:rPr>
      </w:pPr>
    </w:p>
    <w:p w14:paraId="648B523E">
      <w:pPr>
        <w:shd w:val="clear" w:color="auto" w:fill="auto"/>
        <w:spacing w:line="440" w:lineRule="exact"/>
        <w:jc w:val="center"/>
        <w:rPr>
          <w:rFonts w:hint="eastAsia" w:eastAsia="黑体"/>
          <w:color w:val="auto"/>
          <w:sz w:val="29"/>
          <w:szCs w:val="29"/>
          <w:highlight w:val="none"/>
        </w:rPr>
      </w:pPr>
    </w:p>
    <w:p w14:paraId="3EC14501">
      <w:pPr>
        <w:shd w:val="clear" w:color="auto" w:fill="auto"/>
        <w:spacing w:line="440" w:lineRule="exact"/>
        <w:jc w:val="center"/>
        <w:rPr>
          <w:rFonts w:eastAsia="黑体"/>
          <w:color w:val="auto"/>
          <w:sz w:val="29"/>
          <w:szCs w:val="29"/>
          <w:highlight w:val="none"/>
        </w:rPr>
      </w:pPr>
    </w:p>
    <w:p w14:paraId="10A09AF9">
      <w:pPr>
        <w:shd w:val="clear" w:color="auto" w:fill="auto"/>
        <w:spacing w:line="440" w:lineRule="exact"/>
        <w:jc w:val="center"/>
        <w:rPr>
          <w:rFonts w:eastAsia="黑体"/>
          <w:color w:val="auto"/>
          <w:sz w:val="29"/>
          <w:szCs w:val="29"/>
          <w:highlight w:val="none"/>
        </w:rPr>
      </w:pPr>
    </w:p>
    <w:p w14:paraId="1AA944FA">
      <w:pPr>
        <w:shd w:val="clear" w:color="auto" w:fill="auto"/>
        <w:spacing w:line="440" w:lineRule="exact"/>
        <w:jc w:val="center"/>
        <w:rPr>
          <w:rFonts w:eastAsia="黑体"/>
          <w:color w:val="auto"/>
          <w:sz w:val="29"/>
          <w:szCs w:val="29"/>
          <w:highlight w:val="none"/>
        </w:rPr>
      </w:pPr>
    </w:p>
    <w:p w14:paraId="03B6B560">
      <w:pPr>
        <w:shd w:val="clear" w:color="auto" w:fill="auto"/>
        <w:spacing w:line="440" w:lineRule="exact"/>
        <w:jc w:val="center"/>
        <w:rPr>
          <w:rFonts w:eastAsia="黑体"/>
          <w:color w:val="auto"/>
          <w:sz w:val="29"/>
          <w:szCs w:val="29"/>
          <w:highlight w:val="none"/>
        </w:rPr>
      </w:pPr>
    </w:p>
    <w:p w14:paraId="4F0C8316">
      <w:pPr>
        <w:shd w:val="clear" w:color="auto" w:fill="auto"/>
        <w:spacing w:line="440" w:lineRule="exact"/>
        <w:jc w:val="center"/>
        <w:rPr>
          <w:rFonts w:eastAsia="黑体"/>
          <w:color w:val="auto"/>
          <w:sz w:val="29"/>
          <w:szCs w:val="29"/>
          <w:highlight w:val="none"/>
        </w:rPr>
      </w:pPr>
    </w:p>
    <w:p w14:paraId="311DCE62">
      <w:pPr>
        <w:shd w:val="clear" w:color="auto" w:fill="auto"/>
        <w:spacing w:line="440" w:lineRule="exact"/>
        <w:jc w:val="center"/>
        <w:rPr>
          <w:rFonts w:eastAsia="黑体"/>
          <w:color w:val="auto"/>
          <w:sz w:val="29"/>
          <w:szCs w:val="29"/>
          <w:highlight w:val="none"/>
        </w:rPr>
      </w:pPr>
    </w:p>
    <w:p w14:paraId="662A38BD">
      <w:pPr>
        <w:shd w:val="clear" w:color="auto" w:fill="auto"/>
        <w:spacing w:line="440" w:lineRule="exact"/>
        <w:jc w:val="center"/>
        <w:rPr>
          <w:rFonts w:eastAsia="黑体"/>
          <w:color w:val="auto"/>
          <w:sz w:val="29"/>
          <w:szCs w:val="29"/>
          <w:highlight w:val="none"/>
        </w:rPr>
      </w:pPr>
    </w:p>
    <w:p w14:paraId="6DFEB35B">
      <w:pPr>
        <w:shd w:val="clear" w:color="auto" w:fill="auto"/>
        <w:spacing w:line="440" w:lineRule="exact"/>
        <w:jc w:val="center"/>
        <w:rPr>
          <w:rFonts w:eastAsia="黑体"/>
          <w:color w:val="auto"/>
          <w:sz w:val="29"/>
          <w:szCs w:val="29"/>
          <w:highlight w:val="none"/>
        </w:rPr>
      </w:pPr>
    </w:p>
    <w:p w14:paraId="345F81A4">
      <w:pPr>
        <w:shd w:val="clear" w:color="auto" w:fill="auto"/>
        <w:spacing w:line="440" w:lineRule="exact"/>
        <w:jc w:val="center"/>
        <w:rPr>
          <w:rFonts w:eastAsia="黑体"/>
          <w:color w:val="auto"/>
          <w:sz w:val="29"/>
          <w:szCs w:val="29"/>
          <w:highlight w:val="none"/>
        </w:rPr>
      </w:pPr>
    </w:p>
    <w:p w14:paraId="69DF5D08">
      <w:pPr>
        <w:shd w:val="clear" w:color="auto" w:fill="auto"/>
        <w:jc w:val="center"/>
        <w:rPr>
          <w:rFonts w:hint="eastAsia" w:ascii="黑体" w:eastAsia="黑体"/>
          <w:color w:val="auto"/>
          <w:sz w:val="76"/>
          <w:szCs w:val="76"/>
          <w:highlight w:val="none"/>
        </w:rPr>
      </w:pPr>
      <w:bookmarkStart w:id="758" w:name="_Toc234833247"/>
      <w:r>
        <w:rPr>
          <w:rFonts w:hint="eastAsia" w:ascii="黑体" w:eastAsia="黑体"/>
          <w:color w:val="auto"/>
          <w:sz w:val="76"/>
          <w:szCs w:val="76"/>
          <w:highlight w:val="none"/>
        </w:rPr>
        <w:t>第  二  卷</w:t>
      </w:r>
      <w:bookmarkEnd w:id="758"/>
    </w:p>
    <w:p w14:paraId="2B113D4D">
      <w:pPr>
        <w:shd w:val="clear" w:color="auto" w:fill="auto"/>
        <w:jc w:val="center"/>
        <w:rPr>
          <w:rFonts w:hint="eastAsia" w:ascii="黑体" w:eastAsia="黑体"/>
          <w:color w:val="auto"/>
          <w:sz w:val="76"/>
          <w:szCs w:val="76"/>
          <w:highlight w:val="none"/>
        </w:rPr>
      </w:pPr>
    </w:p>
    <w:p w14:paraId="4AD10D6E">
      <w:pPr>
        <w:shd w:val="clear" w:color="auto" w:fill="auto"/>
        <w:jc w:val="center"/>
        <w:rPr>
          <w:rFonts w:ascii="黑体" w:eastAsia="黑体"/>
          <w:color w:val="auto"/>
          <w:sz w:val="76"/>
          <w:szCs w:val="76"/>
          <w:highlight w:val="none"/>
        </w:rPr>
        <w:sectPr>
          <w:headerReference r:id="rId26" w:type="default"/>
          <w:footerReference r:id="rId28" w:type="default"/>
          <w:headerReference r:id="rId27" w:type="even"/>
          <w:footerReference r:id="rId29" w:type="even"/>
          <w:footnotePr>
            <w:numFmt w:val="decimalEnclosedCircleChinese"/>
            <w:numRestart w:val="eachPage"/>
          </w:footnotePr>
          <w:pgSz w:w="11907" w:h="16840"/>
          <w:pgMar w:top="1588" w:right="1588" w:bottom="1474" w:left="1644" w:header="851" w:footer="851" w:gutter="0"/>
          <w:pgBorders>
            <w:top w:val="none" w:sz="0" w:space="0"/>
            <w:left w:val="none" w:sz="0" w:space="0"/>
            <w:bottom w:val="none" w:sz="0" w:space="0"/>
            <w:right w:val="none" w:sz="0" w:space="0"/>
          </w:pgBorders>
          <w:pgNumType w:fmt="numberInDash"/>
          <w:cols w:space="720" w:num="1"/>
          <w:docGrid w:linePitch="312" w:charSpace="0"/>
        </w:sectPr>
      </w:pPr>
    </w:p>
    <w:p w14:paraId="5BAE8681">
      <w:pPr>
        <w:shd w:val="clear" w:color="auto" w:fill="auto"/>
        <w:jc w:val="center"/>
        <w:rPr>
          <w:rFonts w:hint="eastAsia" w:ascii="黑体" w:eastAsia="黑体"/>
          <w:color w:val="auto"/>
          <w:sz w:val="76"/>
          <w:szCs w:val="76"/>
          <w:highlight w:val="none"/>
        </w:rPr>
      </w:pPr>
    </w:p>
    <w:p w14:paraId="08CA08C4">
      <w:pPr>
        <w:shd w:val="clear" w:color="auto" w:fill="auto"/>
        <w:spacing w:line="440" w:lineRule="exact"/>
        <w:ind w:firstLine="3045" w:firstLineChars="1050"/>
        <w:rPr>
          <w:rFonts w:eastAsia="黑体"/>
          <w:color w:val="auto"/>
          <w:sz w:val="29"/>
          <w:szCs w:val="29"/>
          <w:highlight w:val="none"/>
        </w:rPr>
      </w:pPr>
    </w:p>
    <w:p w14:paraId="42785477">
      <w:pPr>
        <w:shd w:val="clear" w:color="auto" w:fill="auto"/>
        <w:spacing w:line="440" w:lineRule="exact"/>
        <w:ind w:firstLine="3045" w:firstLineChars="1050"/>
        <w:rPr>
          <w:rFonts w:eastAsia="黑体"/>
          <w:color w:val="auto"/>
          <w:sz w:val="29"/>
          <w:szCs w:val="29"/>
          <w:highlight w:val="none"/>
        </w:rPr>
      </w:pPr>
    </w:p>
    <w:p w14:paraId="4B527472">
      <w:pPr>
        <w:shd w:val="clear" w:color="auto" w:fill="auto"/>
        <w:spacing w:line="440" w:lineRule="exact"/>
        <w:ind w:firstLine="3045" w:firstLineChars="1050"/>
        <w:rPr>
          <w:rFonts w:eastAsia="黑体"/>
          <w:color w:val="auto"/>
          <w:sz w:val="29"/>
          <w:szCs w:val="29"/>
          <w:highlight w:val="none"/>
        </w:rPr>
      </w:pPr>
    </w:p>
    <w:p w14:paraId="1B8BEB1B">
      <w:pPr>
        <w:shd w:val="clear" w:color="auto" w:fill="auto"/>
        <w:spacing w:line="440" w:lineRule="exact"/>
        <w:ind w:firstLine="3045" w:firstLineChars="1050"/>
        <w:rPr>
          <w:rFonts w:eastAsia="黑体"/>
          <w:color w:val="auto"/>
          <w:sz w:val="29"/>
          <w:szCs w:val="29"/>
          <w:highlight w:val="none"/>
        </w:rPr>
      </w:pPr>
    </w:p>
    <w:p w14:paraId="3A1E013A">
      <w:pPr>
        <w:shd w:val="clear" w:color="auto" w:fill="auto"/>
        <w:spacing w:line="440" w:lineRule="exact"/>
        <w:ind w:firstLine="3045" w:firstLineChars="1050"/>
        <w:rPr>
          <w:rFonts w:eastAsia="黑体"/>
          <w:color w:val="auto"/>
          <w:sz w:val="29"/>
          <w:szCs w:val="29"/>
          <w:highlight w:val="none"/>
        </w:rPr>
      </w:pPr>
    </w:p>
    <w:p w14:paraId="40F29A96">
      <w:pPr>
        <w:shd w:val="clear" w:color="auto" w:fill="auto"/>
        <w:spacing w:line="440" w:lineRule="exact"/>
        <w:ind w:firstLine="3045" w:firstLineChars="1050"/>
        <w:rPr>
          <w:rFonts w:eastAsia="黑体"/>
          <w:color w:val="auto"/>
          <w:sz w:val="29"/>
          <w:szCs w:val="29"/>
          <w:highlight w:val="none"/>
        </w:rPr>
      </w:pPr>
    </w:p>
    <w:p w14:paraId="72C21A88">
      <w:pPr>
        <w:shd w:val="clear" w:color="auto" w:fill="auto"/>
        <w:spacing w:line="440" w:lineRule="exact"/>
        <w:ind w:firstLine="3045" w:firstLineChars="1050"/>
        <w:rPr>
          <w:rFonts w:eastAsia="黑体"/>
          <w:color w:val="auto"/>
          <w:sz w:val="29"/>
          <w:szCs w:val="29"/>
          <w:highlight w:val="none"/>
        </w:rPr>
      </w:pPr>
    </w:p>
    <w:p w14:paraId="7C967C6A">
      <w:pPr>
        <w:shd w:val="clear" w:color="auto" w:fill="auto"/>
        <w:spacing w:line="440" w:lineRule="exact"/>
        <w:ind w:firstLine="3045" w:firstLineChars="1050"/>
        <w:rPr>
          <w:rFonts w:eastAsia="黑体"/>
          <w:color w:val="auto"/>
          <w:sz w:val="29"/>
          <w:szCs w:val="29"/>
          <w:highlight w:val="none"/>
        </w:rPr>
      </w:pPr>
    </w:p>
    <w:p w14:paraId="50DBEE8E">
      <w:pPr>
        <w:shd w:val="clear" w:color="auto" w:fill="auto"/>
        <w:spacing w:line="440" w:lineRule="exact"/>
        <w:ind w:firstLine="3045" w:firstLineChars="1050"/>
        <w:rPr>
          <w:rFonts w:eastAsia="黑体"/>
          <w:color w:val="auto"/>
          <w:sz w:val="29"/>
          <w:szCs w:val="29"/>
          <w:highlight w:val="none"/>
        </w:rPr>
      </w:pPr>
    </w:p>
    <w:p w14:paraId="3BD8523F">
      <w:pPr>
        <w:pStyle w:val="2"/>
        <w:bidi w:val="0"/>
        <w:rPr>
          <w:highlight w:val="none"/>
        </w:rPr>
      </w:pPr>
      <w:bookmarkStart w:id="759" w:name="_Toc15979"/>
      <w:bookmarkStart w:id="760" w:name="_Toc501257471"/>
      <w:bookmarkStart w:id="761" w:name="_Toc234833248"/>
      <w:r>
        <w:rPr>
          <w:rFonts w:hint="eastAsia"/>
          <w:highlight w:val="none"/>
          <w:lang w:val="en-US" w:eastAsia="zh-CN"/>
        </w:rPr>
        <w:t>第六章</w:t>
      </w:r>
      <w:r>
        <w:rPr>
          <w:highlight w:val="none"/>
        </w:rPr>
        <w:t xml:space="preserve"> 图纸</w:t>
      </w:r>
      <w:bookmarkEnd w:id="759"/>
      <w:bookmarkEnd w:id="760"/>
      <w:bookmarkEnd w:id="761"/>
    </w:p>
    <w:p w14:paraId="78A9978C">
      <w:pPr>
        <w:pStyle w:val="2"/>
        <w:shd w:val="clear" w:color="auto" w:fill="auto"/>
        <w:spacing w:before="360" w:beforeLines="150" w:after="240" w:afterLines="100" w:line="380" w:lineRule="atLeast"/>
        <w:jc w:val="center"/>
        <w:rPr>
          <w:rFonts w:eastAsia="黑体"/>
          <w:color w:val="auto"/>
          <w:sz w:val="20"/>
          <w:szCs w:val="20"/>
          <w:highlight w:val="none"/>
        </w:rPr>
        <w:sectPr>
          <w:footnotePr>
            <w:numFmt w:val="decimalEnclosedCircleChinese"/>
            <w:numRestart w:val="eachPage"/>
          </w:footnotePr>
          <w:pgSz w:w="11907" w:h="16840"/>
          <w:pgMar w:top="1588" w:right="1588" w:bottom="1474" w:left="1644" w:header="851" w:footer="851" w:gutter="0"/>
          <w:pgBorders>
            <w:top w:val="none" w:sz="0" w:space="0"/>
            <w:left w:val="none" w:sz="0" w:space="0"/>
            <w:bottom w:val="none" w:sz="0" w:space="0"/>
            <w:right w:val="none" w:sz="0" w:space="0"/>
          </w:pgBorders>
          <w:pgNumType w:fmt="numberInDash"/>
          <w:cols w:space="720" w:num="1"/>
          <w:docGrid w:linePitch="312" w:charSpace="0"/>
        </w:sectPr>
      </w:pPr>
      <w:bookmarkStart w:id="762" w:name="_Toc7265"/>
      <w:r>
        <w:rPr>
          <w:rFonts w:hint="eastAsia" w:ascii="黑体" w:hAnsi="黑体" w:eastAsia="黑体" w:cs="黑体"/>
          <w:b/>
          <w:bCs/>
          <w:color w:val="000000"/>
          <w:sz w:val="32"/>
          <w:szCs w:val="32"/>
          <w:highlight w:val="none"/>
        </w:rPr>
        <w:t>投标人自行在投标人系统内填写投标信息并提交后再在投标人系统内领取</w:t>
      </w:r>
      <w:r>
        <w:rPr>
          <w:rFonts w:hint="eastAsia" w:ascii="黑体" w:hAnsi="黑体" w:eastAsia="黑体" w:cs="黑体"/>
          <w:b/>
          <w:bCs/>
          <w:color w:val="000000"/>
          <w:sz w:val="32"/>
          <w:szCs w:val="32"/>
          <w:highlight w:val="none"/>
          <w:lang w:val="en-US" w:eastAsia="zh-CN"/>
        </w:rPr>
        <w:t>图纸</w:t>
      </w:r>
      <w:r>
        <w:rPr>
          <w:rFonts w:hint="eastAsia" w:ascii="黑体" w:hAnsi="黑体" w:eastAsia="黑体" w:cs="黑体"/>
          <w:b/>
          <w:bCs/>
          <w:color w:val="000000"/>
          <w:sz w:val="32"/>
          <w:szCs w:val="32"/>
          <w:highlight w:val="none"/>
        </w:rPr>
        <w:t>电子文件电子版</w:t>
      </w:r>
      <w:r>
        <w:rPr>
          <w:rFonts w:hint="eastAsia" w:ascii="黑体" w:hAnsi="黑体" w:eastAsia="黑体" w:cs="黑体"/>
          <w:b/>
          <w:bCs/>
          <w:color w:val="000000"/>
          <w:sz w:val="32"/>
          <w:szCs w:val="32"/>
          <w:highlight w:val="none"/>
          <w:lang w:eastAsia="zh-CN"/>
        </w:rPr>
        <w:t>。</w:t>
      </w:r>
      <w:bookmarkEnd w:id="762"/>
    </w:p>
    <w:p w14:paraId="52FFF874">
      <w:pPr>
        <w:pStyle w:val="2"/>
        <w:shd w:val="clear" w:color="auto" w:fill="auto"/>
        <w:spacing w:before="360" w:beforeLines="150" w:after="240" w:afterLines="100" w:line="380" w:lineRule="atLeast"/>
        <w:jc w:val="center"/>
        <w:rPr>
          <w:rFonts w:eastAsia="黑体"/>
          <w:color w:val="auto"/>
          <w:sz w:val="20"/>
          <w:szCs w:val="20"/>
          <w:highlight w:val="none"/>
        </w:rPr>
      </w:pPr>
    </w:p>
    <w:p w14:paraId="59E97885">
      <w:pPr>
        <w:shd w:val="clear" w:color="auto" w:fill="auto"/>
        <w:spacing w:line="440" w:lineRule="exact"/>
        <w:jc w:val="center"/>
        <w:rPr>
          <w:rFonts w:eastAsia="黑体"/>
          <w:color w:val="auto"/>
          <w:sz w:val="29"/>
          <w:szCs w:val="29"/>
          <w:highlight w:val="none"/>
        </w:rPr>
      </w:pPr>
    </w:p>
    <w:p w14:paraId="30C181C4">
      <w:pPr>
        <w:shd w:val="clear" w:color="auto" w:fill="auto"/>
        <w:spacing w:line="440" w:lineRule="exact"/>
        <w:jc w:val="center"/>
        <w:rPr>
          <w:rFonts w:eastAsia="黑体"/>
          <w:color w:val="auto"/>
          <w:sz w:val="29"/>
          <w:szCs w:val="29"/>
          <w:highlight w:val="none"/>
        </w:rPr>
      </w:pPr>
    </w:p>
    <w:p w14:paraId="431EC889">
      <w:pPr>
        <w:shd w:val="clear" w:color="auto" w:fill="auto"/>
        <w:spacing w:line="440" w:lineRule="exact"/>
        <w:jc w:val="center"/>
        <w:rPr>
          <w:rFonts w:eastAsia="黑体"/>
          <w:color w:val="auto"/>
          <w:sz w:val="29"/>
          <w:szCs w:val="29"/>
          <w:highlight w:val="none"/>
        </w:rPr>
      </w:pPr>
    </w:p>
    <w:p w14:paraId="705B9DAE">
      <w:pPr>
        <w:shd w:val="clear" w:color="auto" w:fill="auto"/>
        <w:spacing w:line="440" w:lineRule="exact"/>
        <w:jc w:val="center"/>
        <w:rPr>
          <w:rFonts w:eastAsia="黑体"/>
          <w:color w:val="auto"/>
          <w:sz w:val="29"/>
          <w:szCs w:val="29"/>
          <w:highlight w:val="none"/>
        </w:rPr>
      </w:pPr>
    </w:p>
    <w:p w14:paraId="1EEBAB5C">
      <w:pPr>
        <w:shd w:val="clear" w:color="auto" w:fill="auto"/>
        <w:spacing w:line="440" w:lineRule="exact"/>
        <w:jc w:val="center"/>
        <w:rPr>
          <w:rFonts w:eastAsia="黑体"/>
          <w:color w:val="auto"/>
          <w:sz w:val="29"/>
          <w:szCs w:val="29"/>
          <w:highlight w:val="none"/>
        </w:rPr>
      </w:pPr>
    </w:p>
    <w:p w14:paraId="52CA4F16">
      <w:pPr>
        <w:shd w:val="clear" w:color="auto" w:fill="auto"/>
        <w:spacing w:line="440" w:lineRule="exact"/>
        <w:jc w:val="center"/>
        <w:rPr>
          <w:rFonts w:eastAsia="黑体"/>
          <w:color w:val="auto"/>
          <w:sz w:val="29"/>
          <w:szCs w:val="29"/>
          <w:highlight w:val="none"/>
        </w:rPr>
      </w:pPr>
    </w:p>
    <w:p w14:paraId="4FEFEE32">
      <w:pPr>
        <w:shd w:val="clear" w:color="auto" w:fill="auto"/>
        <w:spacing w:line="440" w:lineRule="exact"/>
        <w:jc w:val="center"/>
        <w:rPr>
          <w:rFonts w:eastAsia="黑体"/>
          <w:color w:val="auto"/>
          <w:sz w:val="29"/>
          <w:szCs w:val="29"/>
          <w:highlight w:val="none"/>
        </w:rPr>
      </w:pPr>
    </w:p>
    <w:p w14:paraId="210F67C6">
      <w:pPr>
        <w:shd w:val="clear" w:color="auto" w:fill="auto"/>
        <w:spacing w:line="440" w:lineRule="exact"/>
        <w:jc w:val="center"/>
        <w:rPr>
          <w:rFonts w:eastAsia="黑体"/>
          <w:color w:val="auto"/>
          <w:sz w:val="29"/>
          <w:szCs w:val="29"/>
          <w:highlight w:val="none"/>
        </w:rPr>
      </w:pPr>
    </w:p>
    <w:p w14:paraId="018B9F1D">
      <w:pPr>
        <w:shd w:val="clear" w:color="auto" w:fill="auto"/>
        <w:spacing w:line="440" w:lineRule="exact"/>
        <w:jc w:val="center"/>
        <w:rPr>
          <w:rFonts w:eastAsia="黑体"/>
          <w:color w:val="auto"/>
          <w:sz w:val="29"/>
          <w:szCs w:val="29"/>
          <w:highlight w:val="none"/>
        </w:rPr>
      </w:pPr>
    </w:p>
    <w:p w14:paraId="5FC27DFF">
      <w:pPr>
        <w:shd w:val="clear" w:color="auto" w:fill="auto"/>
        <w:jc w:val="center"/>
        <w:rPr>
          <w:rFonts w:hint="eastAsia" w:ascii="黑体" w:eastAsia="黑体"/>
          <w:color w:val="auto"/>
          <w:sz w:val="76"/>
          <w:szCs w:val="76"/>
          <w:highlight w:val="none"/>
        </w:rPr>
      </w:pPr>
      <w:bookmarkStart w:id="763" w:name="_Toc234833249"/>
      <w:r>
        <w:rPr>
          <w:rFonts w:hint="eastAsia" w:ascii="黑体" w:eastAsia="黑体"/>
          <w:color w:val="auto"/>
          <w:sz w:val="76"/>
          <w:szCs w:val="76"/>
          <w:highlight w:val="none"/>
        </w:rPr>
        <w:t>第  三  卷</w:t>
      </w:r>
      <w:bookmarkEnd w:id="763"/>
      <w:r>
        <w:rPr>
          <w:rFonts w:hint="eastAsia" w:ascii="黑体" w:eastAsia="黑体"/>
          <w:color w:val="auto"/>
          <w:sz w:val="76"/>
          <w:szCs w:val="76"/>
          <w:highlight w:val="none"/>
        </w:rPr>
        <w:br w:type="page"/>
      </w:r>
    </w:p>
    <w:p w14:paraId="549B6B22">
      <w:pPr>
        <w:shd w:val="clear" w:color="auto" w:fill="auto"/>
        <w:spacing w:line="440" w:lineRule="exact"/>
        <w:jc w:val="center"/>
        <w:rPr>
          <w:rFonts w:eastAsia="黑体"/>
          <w:color w:val="auto"/>
          <w:sz w:val="29"/>
          <w:szCs w:val="29"/>
          <w:highlight w:val="none"/>
        </w:rPr>
      </w:pPr>
    </w:p>
    <w:p w14:paraId="7F7E90BD">
      <w:pPr>
        <w:shd w:val="clear" w:color="auto" w:fill="auto"/>
        <w:spacing w:line="440" w:lineRule="exact"/>
        <w:jc w:val="center"/>
        <w:rPr>
          <w:rFonts w:eastAsia="黑体"/>
          <w:color w:val="auto"/>
          <w:sz w:val="29"/>
          <w:szCs w:val="29"/>
          <w:highlight w:val="none"/>
        </w:rPr>
      </w:pPr>
    </w:p>
    <w:p w14:paraId="772C0C1F">
      <w:pPr>
        <w:shd w:val="clear" w:color="auto" w:fill="auto"/>
        <w:spacing w:line="440" w:lineRule="exact"/>
        <w:jc w:val="center"/>
        <w:rPr>
          <w:rFonts w:eastAsia="黑体"/>
          <w:color w:val="auto"/>
          <w:sz w:val="29"/>
          <w:szCs w:val="29"/>
          <w:highlight w:val="none"/>
        </w:rPr>
      </w:pPr>
    </w:p>
    <w:p w14:paraId="5271EBFF">
      <w:pPr>
        <w:shd w:val="clear" w:color="auto" w:fill="auto"/>
        <w:spacing w:line="440" w:lineRule="exact"/>
        <w:jc w:val="center"/>
        <w:rPr>
          <w:rFonts w:eastAsia="黑体"/>
          <w:color w:val="auto"/>
          <w:sz w:val="29"/>
          <w:szCs w:val="29"/>
          <w:highlight w:val="none"/>
        </w:rPr>
      </w:pPr>
    </w:p>
    <w:p w14:paraId="54325E9A">
      <w:pPr>
        <w:shd w:val="clear" w:color="auto" w:fill="auto"/>
        <w:spacing w:line="440" w:lineRule="exact"/>
        <w:jc w:val="center"/>
        <w:rPr>
          <w:rFonts w:eastAsia="黑体"/>
          <w:color w:val="auto"/>
          <w:sz w:val="29"/>
          <w:szCs w:val="29"/>
          <w:highlight w:val="none"/>
        </w:rPr>
      </w:pPr>
    </w:p>
    <w:p w14:paraId="64223FCA">
      <w:pPr>
        <w:shd w:val="clear" w:color="auto" w:fill="auto"/>
        <w:spacing w:line="440" w:lineRule="exact"/>
        <w:jc w:val="center"/>
        <w:rPr>
          <w:rFonts w:eastAsia="黑体"/>
          <w:color w:val="auto"/>
          <w:sz w:val="29"/>
          <w:szCs w:val="29"/>
          <w:highlight w:val="none"/>
        </w:rPr>
      </w:pPr>
    </w:p>
    <w:p w14:paraId="40619970">
      <w:pPr>
        <w:shd w:val="clear" w:color="auto" w:fill="auto"/>
        <w:spacing w:line="440" w:lineRule="exact"/>
        <w:jc w:val="center"/>
        <w:rPr>
          <w:rFonts w:eastAsia="黑体"/>
          <w:color w:val="auto"/>
          <w:sz w:val="29"/>
          <w:szCs w:val="29"/>
          <w:highlight w:val="none"/>
        </w:rPr>
      </w:pPr>
    </w:p>
    <w:p w14:paraId="2C1F0923">
      <w:pPr>
        <w:shd w:val="clear" w:color="auto" w:fill="auto"/>
        <w:spacing w:line="440" w:lineRule="exact"/>
        <w:jc w:val="center"/>
        <w:rPr>
          <w:rFonts w:eastAsia="黑体"/>
          <w:color w:val="auto"/>
          <w:sz w:val="29"/>
          <w:szCs w:val="29"/>
          <w:highlight w:val="none"/>
        </w:rPr>
      </w:pPr>
    </w:p>
    <w:p w14:paraId="191338C6">
      <w:pPr>
        <w:shd w:val="clear" w:color="auto" w:fill="auto"/>
        <w:spacing w:line="440" w:lineRule="exact"/>
        <w:jc w:val="center"/>
        <w:rPr>
          <w:rFonts w:eastAsia="黑体"/>
          <w:color w:val="auto"/>
          <w:sz w:val="29"/>
          <w:szCs w:val="29"/>
          <w:highlight w:val="none"/>
        </w:rPr>
      </w:pPr>
    </w:p>
    <w:p w14:paraId="3FDB55D1">
      <w:pPr>
        <w:pStyle w:val="2"/>
        <w:bidi w:val="0"/>
        <w:rPr>
          <w:rFonts w:eastAsia="黑体"/>
          <w:color w:val="auto"/>
          <w:sz w:val="20"/>
          <w:szCs w:val="20"/>
          <w:highlight w:val="none"/>
        </w:rPr>
      </w:pPr>
      <w:bookmarkStart w:id="764" w:name="_Toc234833250"/>
      <w:bookmarkStart w:id="765" w:name="_Toc13730"/>
      <w:bookmarkStart w:id="766" w:name="_Toc501257472"/>
      <w:r>
        <w:rPr>
          <w:highlight w:val="none"/>
        </w:rPr>
        <w:t>第七章  技术规范</w:t>
      </w:r>
      <w:bookmarkEnd w:id="764"/>
      <w:bookmarkEnd w:id="765"/>
      <w:bookmarkEnd w:id="766"/>
    </w:p>
    <w:p w14:paraId="4562C0D2">
      <w:pPr>
        <w:shd w:val="clear" w:color="auto" w:fill="auto"/>
        <w:spacing w:line="440" w:lineRule="exact"/>
        <w:rPr>
          <w:rFonts w:eastAsia="黑体"/>
          <w:color w:val="auto"/>
          <w:sz w:val="20"/>
          <w:szCs w:val="20"/>
          <w:highlight w:val="none"/>
        </w:rPr>
      </w:pPr>
      <w:r>
        <w:rPr>
          <w:rFonts w:hint="eastAsia" w:ascii="黑体" w:hAnsi="黑体" w:eastAsia="黑体" w:cs="黑体"/>
          <w:b/>
          <w:color w:val="000000"/>
          <w:sz w:val="32"/>
          <w:szCs w:val="32"/>
          <w:highlight w:val="none"/>
        </w:rPr>
        <w:t>详见交通运输部《公路工程标准施工招标文件》（2018年版）</w:t>
      </w:r>
    </w:p>
    <w:p w14:paraId="512796E5">
      <w:pPr>
        <w:shd w:val="clear" w:color="auto" w:fill="auto"/>
        <w:spacing w:line="440" w:lineRule="exact"/>
        <w:rPr>
          <w:rFonts w:eastAsia="黑体"/>
          <w:color w:val="auto"/>
          <w:sz w:val="20"/>
          <w:szCs w:val="20"/>
          <w:highlight w:val="none"/>
        </w:rPr>
      </w:pPr>
    </w:p>
    <w:p w14:paraId="66E3C41C">
      <w:pPr>
        <w:shd w:val="clear" w:color="auto" w:fill="auto"/>
        <w:jc w:val="center"/>
        <w:rPr>
          <w:rFonts w:hint="eastAsia" w:ascii="黑体" w:eastAsia="黑体"/>
          <w:color w:val="auto"/>
          <w:sz w:val="76"/>
          <w:szCs w:val="76"/>
          <w:highlight w:val="none"/>
        </w:rPr>
      </w:pPr>
      <w:r>
        <w:rPr>
          <w:rFonts w:eastAsia="黑体"/>
          <w:color w:val="auto"/>
          <w:sz w:val="20"/>
          <w:szCs w:val="20"/>
          <w:highlight w:val="none"/>
        </w:rPr>
        <w:br w:type="page"/>
      </w:r>
    </w:p>
    <w:p w14:paraId="72DFE835">
      <w:pPr>
        <w:shd w:val="clear" w:color="auto" w:fill="auto"/>
        <w:spacing w:line="440" w:lineRule="exact"/>
        <w:jc w:val="center"/>
        <w:rPr>
          <w:rFonts w:eastAsia="黑体"/>
          <w:color w:val="auto"/>
          <w:sz w:val="29"/>
          <w:szCs w:val="29"/>
          <w:highlight w:val="none"/>
        </w:rPr>
      </w:pPr>
    </w:p>
    <w:p w14:paraId="12BE739C">
      <w:pPr>
        <w:shd w:val="clear" w:color="auto" w:fill="auto"/>
        <w:spacing w:line="440" w:lineRule="exact"/>
        <w:jc w:val="center"/>
        <w:rPr>
          <w:rFonts w:eastAsia="黑体"/>
          <w:color w:val="auto"/>
          <w:sz w:val="29"/>
          <w:szCs w:val="29"/>
          <w:highlight w:val="none"/>
        </w:rPr>
      </w:pPr>
    </w:p>
    <w:p w14:paraId="27F58C85">
      <w:pPr>
        <w:shd w:val="clear" w:color="auto" w:fill="auto"/>
        <w:spacing w:line="440" w:lineRule="exact"/>
        <w:jc w:val="center"/>
        <w:rPr>
          <w:rFonts w:eastAsia="黑体"/>
          <w:color w:val="auto"/>
          <w:sz w:val="29"/>
          <w:szCs w:val="29"/>
          <w:highlight w:val="none"/>
        </w:rPr>
      </w:pPr>
    </w:p>
    <w:p w14:paraId="0DF9EC07">
      <w:pPr>
        <w:shd w:val="clear" w:color="auto" w:fill="auto"/>
        <w:spacing w:line="440" w:lineRule="exact"/>
        <w:jc w:val="center"/>
        <w:rPr>
          <w:rFonts w:eastAsia="黑体"/>
          <w:color w:val="auto"/>
          <w:sz w:val="29"/>
          <w:szCs w:val="29"/>
          <w:highlight w:val="none"/>
        </w:rPr>
      </w:pPr>
    </w:p>
    <w:p w14:paraId="5A7BC9B7">
      <w:pPr>
        <w:shd w:val="clear" w:color="auto" w:fill="auto"/>
        <w:spacing w:line="440" w:lineRule="exact"/>
        <w:jc w:val="center"/>
        <w:rPr>
          <w:rFonts w:eastAsia="黑体"/>
          <w:color w:val="auto"/>
          <w:sz w:val="29"/>
          <w:szCs w:val="29"/>
          <w:highlight w:val="none"/>
        </w:rPr>
      </w:pPr>
    </w:p>
    <w:p w14:paraId="37A33630">
      <w:pPr>
        <w:shd w:val="clear" w:color="auto" w:fill="auto"/>
        <w:spacing w:line="440" w:lineRule="exact"/>
        <w:jc w:val="center"/>
        <w:rPr>
          <w:rFonts w:eastAsia="黑体"/>
          <w:color w:val="auto"/>
          <w:sz w:val="29"/>
          <w:szCs w:val="29"/>
          <w:highlight w:val="none"/>
        </w:rPr>
      </w:pPr>
    </w:p>
    <w:p w14:paraId="4A877E9C">
      <w:pPr>
        <w:shd w:val="clear" w:color="auto" w:fill="auto"/>
        <w:spacing w:line="440" w:lineRule="exact"/>
        <w:jc w:val="center"/>
        <w:rPr>
          <w:rFonts w:eastAsia="黑体"/>
          <w:color w:val="auto"/>
          <w:sz w:val="29"/>
          <w:szCs w:val="29"/>
          <w:highlight w:val="none"/>
        </w:rPr>
      </w:pPr>
    </w:p>
    <w:p w14:paraId="43AC89A3">
      <w:pPr>
        <w:shd w:val="clear" w:color="auto" w:fill="auto"/>
        <w:spacing w:line="440" w:lineRule="exact"/>
        <w:jc w:val="center"/>
        <w:rPr>
          <w:rFonts w:eastAsia="黑体"/>
          <w:color w:val="auto"/>
          <w:sz w:val="29"/>
          <w:szCs w:val="29"/>
          <w:highlight w:val="none"/>
        </w:rPr>
      </w:pPr>
    </w:p>
    <w:p w14:paraId="09421D57">
      <w:pPr>
        <w:shd w:val="clear" w:color="auto" w:fill="auto"/>
        <w:spacing w:line="440" w:lineRule="exact"/>
        <w:jc w:val="center"/>
        <w:rPr>
          <w:rFonts w:eastAsia="黑体"/>
          <w:color w:val="auto"/>
          <w:sz w:val="29"/>
          <w:szCs w:val="29"/>
          <w:highlight w:val="none"/>
        </w:rPr>
      </w:pPr>
    </w:p>
    <w:p w14:paraId="7E5C6F16">
      <w:pPr>
        <w:pStyle w:val="2"/>
        <w:bidi w:val="0"/>
        <w:rPr>
          <w:rFonts w:eastAsia="黑体"/>
          <w:b w:val="0"/>
          <w:color w:val="auto"/>
          <w:szCs w:val="56"/>
          <w:highlight w:val="none"/>
        </w:rPr>
      </w:pPr>
      <w:bookmarkStart w:id="767" w:name="_Toc28706"/>
      <w:bookmarkStart w:id="768" w:name="_Toc501257473"/>
      <w:r>
        <w:rPr>
          <w:highlight w:val="none"/>
        </w:rPr>
        <w:t>第</w:t>
      </w:r>
      <w:r>
        <w:rPr>
          <w:rFonts w:hint="eastAsia"/>
          <w:highlight w:val="none"/>
        </w:rPr>
        <w:t>八</w:t>
      </w:r>
      <w:r>
        <w:rPr>
          <w:highlight w:val="none"/>
        </w:rPr>
        <w:t xml:space="preserve">章  </w:t>
      </w:r>
      <w:r>
        <w:rPr>
          <w:rFonts w:hint="eastAsia"/>
          <w:highlight w:val="none"/>
        </w:rPr>
        <w:t>工程量清单</w:t>
      </w:r>
      <w:r>
        <w:rPr>
          <w:highlight w:val="none"/>
        </w:rPr>
        <w:t>计量规则</w:t>
      </w:r>
      <w:bookmarkEnd w:id="767"/>
      <w:bookmarkEnd w:id="768"/>
    </w:p>
    <w:p w14:paraId="642E6E21">
      <w:pPr>
        <w:pStyle w:val="2"/>
        <w:shd w:val="clear" w:color="auto" w:fill="auto"/>
        <w:spacing w:before="360" w:beforeLines="150" w:after="240" w:afterLines="100" w:line="380" w:lineRule="atLeast"/>
        <w:jc w:val="center"/>
        <w:rPr>
          <w:rFonts w:eastAsia="黑体"/>
          <w:b w:val="0"/>
          <w:color w:val="auto"/>
          <w:sz w:val="56"/>
          <w:szCs w:val="56"/>
          <w:highlight w:val="none"/>
        </w:rPr>
      </w:pPr>
      <w:bookmarkStart w:id="769" w:name="_Toc3785"/>
      <w:r>
        <w:rPr>
          <w:rFonts w:hint="eastAsia" w:ascii="黑体" w:hAnsi="黑体" w:eastAsia="黑体" w:cs="黑体"/>
          <w:b/>
          <w:color w:val="000000"/>
          <w:sz w:val="32"/>
          <w:szCs w:val="32"/>
          <w:highlight w:val="none"/>
        </w:rPr>
        <w:t>详见交通运输部《公路工程标准施工招标文件》（2018年版）</w:t>
      </w:r>
      <w:bookmarkEnd w:id="769"/>
    </w:p>
    <w:p w14:paraId="451C2B5F">
      <w:pPr>
        <w:shd w:val="clear" w:color="auto" w:fill="auto"/>
        <w:spacing w:line="440" w:lineRule="exact"/>
        <w:rPr>
          <w:rFonts w:eastAsia="黑体"/>
          <w:color w:val="auto"/>
          <w:sz w:val="20"/>
          <w:szCs w:val="20"/>
          <w:highlight w:val="none"/>
        </w:rPr>
      </w:pPr>
    </w:p>
    <w:p w14:paraId="66E89D4F">
      <w:pPr>
        <w:shd w:val="clear" w:color="auto" w:fill="auto"/>
        <w:spacing w:line="440" w:lineRule="exact"/>
        <w:rPr>
          <w:rFonts w:eastAsia="黑体"/>
          <w:color w:val="auto"/>
          <w:sz w:val="20"/>
          <w:szCs w:val="20"/>
          <w:highlight w:val="none"/>
        </w:rPr>
      </w:pPr>
    </w:p>
    <w:p w14:paraId="2F3428F2">
      <w:pPr>
        <w:shd w:val="clear" w:color="auto" w:fill="auto"/>
        <w:spacing w:line="440" w:lineRule="exact"/>
        <w:rPr>
          <w:rFonts w:eastAsia="黑体"/>
          <w:color w:val="auto"/>
          <w:sz w:val="20"/>
          <w:szCs w:val="20"/>
          <w:highlight w:val="none"/>
        </w:rPr>
      </w:pPr>
    </w:p>
    <w:p w14:paraId="1009F159">
      <w:pPr>
        <w:shd w:val="clear" w:color="auto" w:fill="auto"/>
        <w:spacing w:line="440" w:lineRule="exact"/>
        <w:rPr>
          <w:rFonts w:eastAsia="黑体"/>
          <w:color w:val="auto"/>
          <w:sz w:val="20"/>
          <w:szCs w:val="20"/>
          <w:highlight w:val="none"/>
        </w:rPr>
      </w:pPr>
    </w:p>
    <w:p w14:paraId="5B8C0590">
      <w:pPr>
        <w:shd w:val="clear" w:color="auto" w:fill="auto"/>
        <w:spacing w:line="440" w:lineRule="exact"/>
        <w:rPr>
          <w:rFonts w:eastAsia="黑体"/>
          <w:color w:val="auto"/>
          <w:sz w:val="20"/>
          <w:szCs w:val="20"/>
          <w:highlight w:val="none"/>
        </w:rPr>
      </w:pPr>
    </w:p>
    <w:p w14:paraId="27280177">
      <w:pPr>
        <w:shd w:val="clear" w:color="auto" w:fill="auto"/>
        <w:spacing w:line="440" w:lineRule="exact"/>
        <w:jc w:val="center"/>
        <w:rPr>
          <w:rFonts w:eastAsia="黑体"/>
          <w:color w:val="auto"/>
          <w:sz w:val="29"/>
          <w:szCs w:val="29"/>
          <w:highlight w:val="none"/>
        </w:rPr>
      </w:pPr>
      <w:r>
        <w:rPr>
          <w:rFonts w:eastAsia="黑体"/>
          <w:color w:val="auto"/>
          <w:sz w:val="20"/>
          <w:szCs w:val="20"/>
          <w:highlight w:val="none"/>
        </w:rPr>
        <w:br w:type="page"/>
      </w:r>
    </w:p>
    <w:p w14:paraId="02B99CAE">
      <w:pPr>
        <w:shd w:val="clear" w:color="auto" w:fill="auto"/>
        <w:spacing w:line="440" w:lineRule="exact"/>
        <w:jc w:val="center"/>
        <w:rPr>
          <w:rFonts w:eastAsia="黑体"/>
          <w:color w:val="auto"/>
          <w:sz w:val="29"/>
          <w:szCs w:val="29"/>
          <w:highlight w:val="none"/>
        </w:rPr>
      </w:pPr>
    </w:p>
    <w:p w14:paraId="5345EE3D">
      <w:pPr>
        <w:shd w:val="clear" w:color="auto" w:fill="auto"/>
        <w:spacing w:line="440" w:lineRule="exact"/>
        <w:jc w:val="center"/>
        <w:rPr>
          <w:rFonts w:eastAsia="黑体"/>
          <w:color w:val="auto"/>
          <w:sz w:val="29"/>
          <w:szCs w:val="29"/>
          <w:highlight w:val="none"/>
        </w:rPr>
      </w:pPr>
    </w:p>
    <w:p w14:paraId="509970C2">
      <w:pPr>
        <w:shd w:val="clear" w:color="auto" w:fill="auto"/>
        <w:spacing w:line="440" w:lineRule="exact"/>
        <w:jc w:val="center"/>
        <w:rPr>
          <w:rFonts w:eastAsia="黑体"/>
          <w:color w:val="auto"/>
          <w:sz w:val="29"/>
          <w:szCs w:val="29"/>
          <w:highlight w:val="none"/>
        </w:rPr>
      </w:pPr>
    </w:p>
    <w:p w14:paraId="3FBCC74A">
      <w:pPr>
        <w:shd w:val="clear" w:color="auto" w:fill="auto"/>
        <w:spacing w:line="440" w:lineRule="exact"/>
        <w:jc w:val="center"/>
        <w:rPr>
          <w:rFonts w:eastAsia="黑体"/>
          <w:color w:val="auto"/>
          <w:sz w:val="29"/>
          <w:szCs w:val="29"/>
          <w:highlight w:val="none"/>
        </w:rPr>
      </w:pPr>
    </w:p>
    <w:p w14:paraId="2612D730">
      <w:pPr>
        <w:shd w:val="clear" w:color="auto" w:fill="auto"/>
        <w:spacing w:line="440" w:lineRule="exact"/>
        <w:jc w:val="center"/>
        <w:rPr>
          <w:rFonts w:eastAsia="黑体"/>
          <w:color w:val="auto"/>
          <w:sz w:val="29"/>
          <w:szCs w:val="29"/>
          <w:highlight w:val="none"/>
        </w:rPr>
      </w:pPr>
    </w:p>
    <w:p w14:paraId="460FBAAD">
      <w:pPr>
        <w:shd w:val="clear" w:color="auto" w:fill="auto"/>
        <w:spacing w:line="440" w:lineRule="exact"/>
        <w:jc w:val="center"/>
        <w:rPr>
          <w:rFonts w:eastAsia="黑体"/>
          <w:color w:val="auto"/>
          <w:sz w:val="29"/>
          <w:szCs w:val="29"/>
          <w:highlight w:val="none"/>
        </w:rPr>
      </w:pPr>
    </w:p>
    <w:p w14:paraId="16BC8A64">
      <w:pPr>
        <w:shd w:val="clear" w:color="auto" w:fill="auto"/>
        <w:spacing w:line="440" w:lineRule="exact"/>
        <w:jc w:val="center"/>
        <w:rPr>
          <w:rFonts w:eastAsia="黑体"/>
          <w:color w:val="auto"/>
          <w:sz w:val="29"/>
          <w:szCs w:val="29"/>
          <w:highlight w:val="none"/>
        </w:rPr>
      </w:pPr>
    </w:p>
    <w:p w14:paraId="787E8E34">
      <w:pPr>
        <w:shd w:val="clear" w:color="auto" w:fill="auto"/>
        <w:spacing w:line="440" w:lineRule="exact"/>
        <w:jc w:val="center"/>
        <w:rPr>
          <w:rFonts w:eastAsia="黑体"/>
          <w:color w:val="auto"/>
          <w:sz w:val="29"/>
          <w:szCs w:val="29"/>
          <w:highlight w:val="none"/>
        </w:rPr>
      </w:pPr>
    </w:p>
    <w:p w14:paraId="4BA3DEE8">
      <w:pPr>
        <w:shd w:val="clear" w:color="auto" w:fill="auto"/>
        <w:spacing w:line="440" w:lineRule="exact"/>
        <w:jc w:val="center"/>
        <w:rPr>
          <w:rFonts w:eastAsia="黑体"/>
          <w:color w:val="auto"/>
          <w:sz w:val="29"/>
          <w:szCs w:val="29"/>
          <w:highlight w:val="none"/>
        </w:rPr>
      </w:pPr>
    </w:p>
    <w:p w14:paraId="3701A1FA">
      <w:pPr>
        <w:shd w:val="clear" w:color="auto" w:fill="auto"/>
        <w:spacing w:line="440" w:lineRule="exact"/>
        <w:jc w:val="center"/>
        <w:rPr>
          <w:rFonts w:eastAsia="黑体"/>
          <w:color w:val="auto"/>
          <w:sz w:val="29"/>
          <w:szCs w:val="29"/>
          <w:highlight w:val="none"/>
        </w:rPr>
      </w:pPr>
    </w:p>
    <w:p w14:paraId="0FF42E92">
      <w:pPr>
        <w:shd w:val="clear" w:color="auto" w:fill="auto"/>
        <w:jc w:val="center"/>
        <w:rPr>
          <w:rFonts w:eastAsia="黑体"/>
          <w:color w:val="auto"/>
          <w:sz w:val="29"/>
          <w:szCs w:val="29"/>
          <w:highlight w:val="none"/>
        </w:rPr>
      </w:pPr>
      <w:bookmarkStart w:id="770" w:name="_Toc234833251"/>
      <w:r>
        <w:rPr>
          <w:rFonts w:hint="eastAsia" w:ascii="黑体" w:eastAsia="黑体"/>
          <w:color w:val="auto"/>
          <w:sz w:val="76"/>
          <w:szCs w:val="76"/>
          <w:highlight w:val="none"/>
        </w:rPr>
        <w:t>第  四  卷</w:t>
      </w:r>
      <w:bookmarkEnd w:id="770"/>
      <w:r>
        <w:rPr>
          <w:rFonts w:hint="eastAsia" w:ascii="黑体" w:eastAsia="黑体"/>
          <w:color w:val="auto"/>
          <w:sz w:val="76"/>
          <w:szCs w:val="76"/>
          <w:highlight w:val="none"/>
        </w:rPr>
        <w:br w:type="page"/>
      </w:r>
    </w:p>
    <w:p w14:paraId="51CE324C">
      <w:pPr>
        <w:shd w:val="clear" w:color="auto" w:fill="auto"/>
        <w:spacing w:line="440" w:lineRule="exact"/>
        <w:jc w:val="center"/>
        <w:rPr>
          <w:rFonts w:eastAsia="黑体"/>
          <w:color w:val="auto"/>
          <w:sz w:val="29"/>
          <w:szCs w:val="29"/>
          <w:highlight w:val="none"/>
        </w:rPr>
      </w:pPr>
    </w:p>
    <w:p w14:paraId="7878EFBC">
      <w:pPr>
        <w:shd w:val="clear" w:color="auto" w:fill="auto"/>
        <w:spacing w:line="440" w:lineRule="exact"/>
        <w:jc w:val="center"/>
        <w:rPr>
          <w:rFonts w:eastAsia="黑体"/>
          <w:color w:val="auto"/>
          <w:sz w:val="29"/>
          <w:szCs w:val="29"/>
          <w:highlight w:val="none"/>
        </w:rPr>
      </w:pPr>
    </w:p>
    <w:p w14:paraId="16F050C9">
      <w:pPr>
        <w:shd w:val="clear" w:color="auto" w:fill="auto"/>
        <w:spacing w:line="440" w:lineRule="exact"/>
        <w:jc w:val="center"/>
        <w:rPr>
          <w:rFonts w:eastAsia="黑体"/>
          <w:color w:val="auto"/>
          <w:sz w:val="29"/>
          <w:szCs w:val="29"/>
          <w:highlight w:val="none"/>
        </w:rPr>
      </w:pPr>
    </w:p>
    <w:p w14:paraId="3D78E80F">
      <w:pPr>
        <w:shd w:val="clear" w:color="auto" w:fill="auto"/>
        <w:spacing w:line="440" w:lineRule="exact"/>
        <w:jc w:val="center"/>
        <w:rPr>
          <w:rFonts w:eastAsia="黑体"/>
          <w:color w:val="auto"/>
          <w:sz w:val="29"/>
          <w:szCs w:val="29"/>
          <w:highlight w:val="none"/>
        </w:rPr>
      </w:pPr>
    </w:p>
    <w:p w14:paraId="352D28F0">
      <w:pPr>
        <w:shd w:val="clear" w:color="auto" w:fill="auto"/>
        <w:spacing w:line="440" w:lineRule="exact"/>
        <w:jc w:val="center"/>
        <w:rPr>
          <w:rFonts w:eastAsia="黑体"/>
          <w:color w:val="auto"/>
          <w:sz w:val="29"/>
          <w:szCs w:val="29"/>
          <w:highlight w:val="none"/>
        </w:rPr>
      </w:pPr>
    </w:p>
    <w:p w14:paraId="3BB1D40B">
      <w:pPr>
        <w:shd w:val="clear" w:color="auto" w:fill="auto"/>
        <w:spacing w:line="440" w:lineRule="exact"/>
        <w:jc w:val="center"/>
        <w:rPr>
          <w:rFonts w:eastAsia="黑体"/>
          <w:color w:val="auto"/>
          <w:sz w:val="29"/>
          <w:szCs w:val="29"/>
          <w:highlight w:val="none"/>
        </w:rPr>
      </w:pPr>
    </w:p>
    <w:p w14:paraId="2C8C6F6A">
      <w:pPr>
        <w:shd w:val="clear" w:color="auto" w:fill="auto"/>
        <w:spacing w:line="440" w:lineRule="exact"/>
        <w:jc w:val="center"/>
        <w:rPr>
          <w:rFonts w:eastAsia="黑体"/>
          <w:color w:val="auto"/>
          <w:sz w:val="29"/>
          <w:szCs w:val="29"/>
          <w:highlight w:val="none"/>
        </w:rPr>
      </w:pPr>
    </w:p>
    <w:p w14:paraId="7F148FBD">
      <w:pPr>
        <w:shd w:val="clear" w:color="auto" w:fill="auto"/>
        <w:spacing w:line="440" w:lineRule="exact"/>
        <w:jc w:val="center"/>
        <w:rPr>
          <w:rFonts w:eastAsia="黑体"/>
          <w:color w:val="auto"/>
          <w:sz w:val="29"/>
          <w:szCs w:val="29"/>
          <w:highlight w:val="none"/>
        </w:rPr>
      </w:pPr>
    </w:p>
    <w:p w14:paraId="0FF8AF16">
      <w:pPr>
        <w:shd w:val="clear" w:color="auto" w:fill="auto"/>
        <w:spacing w:line="440" w:lineRule="exact"/>
        <w:jc w:val="center"/>
        <w:rPr>
          <w:rFonts w:eastAsia="黑体"/>
          <w:color w:val="auto"/>
          <w:sz w:val="29"/>
          <w:szCs w:val="29"/>
          <w:highlight w:val="none"/>
        </w:rPr>
      </w:pPr>
    </w:p>
    <w:p w14:paraId="4D788151">
      <w:pPr>
        <w:pStyle w:val="2"/>
        <w:bidi w:val="0"/>
        <w:rPr>
          <w:rFonts w:hint="eastAsia" w:eastAsia="黑体"/>
          <w:b w:val="0"/>
          <w:color w:val="auto"/>
          <w:szCs w:val="56"/>
          <w:highlight w:val="none"/>
        </w:rPr>
      </w:pPr>
      <w:bookmarkStart w:id="771" w:name="_Toc501257475"/>
      <w:bookmarkStart w:id="772" w:name="_Toc26002"/>
      <w:bookmarkStart w:id="773" w:name="_Toc234833252"/>
      <w:r>
        <w:rPr>
          <w:highlight w:val="none"/>
        </w:rPr>
        <w:t>第九章  投标文件格式</w:t>
      </w:r>
      <w:bookmarkEnd w:id="771"/>
      <w:bookmarkEnd w:id="772"/>
      <w:bookmarkEnd w:id="773"/>
    </w:p>
    <w:p w14:paraId="15513C5E">
      <w:pPr>
        <w:shd w:val="clear" w:color="auto" w:fill="auto"/>
        <w:spacing w:line="440" w:lineRule="exact"/>
        <w:jc w:val="center"/>
        <w:rPr>
          <w:rFonts w:eastAsia="黑体"/>
          <w:color w:val="auto"/>
          <w:sz w:val="36"/>
          <w:szCs w:val="36"/>
          <w:highlight w:val="none"/>
        </w:rPr>
      </w:pPr>
    </w:p>
    <w:p w14:paraId="06C7485A">
      <w:pPr>
        <w:shd w:val="clear" w:color="auto" w:fill="auto"/>
        <w:spacing w:line="440" w:lineRule="exact"/>
        <w:rPr>
          <w:rFonts w:eastAsia="黑体"/>
          <w:color w:val="auto"/>
          <w:sz w:val="20"/>
          <w:szCs w:val="20"/>
          <w:highlight w:val="none"/>
        </w:rPr>
      </w:pPr>
      <w:r>
        <w:rPr>
          <w:rFonts w:eastAsia="黑体"/>
          <w:color w:val="auto"/>
          <w:sz w:val="20"/>
          <w:szCs w:val="20"/>
          <w:highlight w:val="none"/>
        </w:rPr>
        <w:t xml:space="preserve"> </w:t>
      </w:r>
    </w:p>
    <w:p w14:paraId="427E0086">
      <w:pPr>
        <w:shd w:val="clear" w:color="auto" w:fill="auto"/>
        <w:spacing w:line="440" w:lineRule="exact"/>
        <w:rPr>
          <w:rFonts w:eastAsia="黑体"/>
          <w:color w:val="auto"/>
          <w:sz w:val="20"/>
          <w:szCs w:val="20"/>
          <w:highlight w:val="none"/>
        </w:rPr>
      </w:pPr>
      <w:r>
        <w:rPr>
          <w:rFonts w:eastAsia="黑体"/>
          <w:color w:val="auto"/>
          <w:sz w:val="20"/>
          <w:szCs w:val="20"/>
          <w:highlight w:val="none"/>
        </w:rPr>
        <w:br w:type="page"/>
      </w:r>
    </w:p>
    <w:p w14:paraId="4527B12F">
      <w:pPr>
        <w:spacing w:line="360" w:lineRule="exact"/>
        <w:ind w:right="158"/>
        <w:jc w:val="center"/>
        <w:rPr>
          <w:rFonts w:hint="eastAsia" w:ascii="黑体" w:hAnsi="黑体" w:eastAsia="黑体" w:cs="黑体"/>
          <w:b w:val="0"/>
          <w:bCs w:val="0"/>
          <w:color w:val="auto"/>
          <w:sz w:val="24"/>
          <w:highlight w:val="none"/>
          <w:lang w:eastAsia="zh-CN"/>
        </w:rPr>
      </w:pPr>
      <w:r>
        <w:rPr>
          <w:rFonts w:hint="eastAsia" w:ascii="黑体" w:hAnsi="黑体" w:eastAsia="黑体" w:cs="黑体"/>
          <w:color w:val="auto"/>
          <w:sz w:val="24"/>
          <w:highlight w:val="none"/>
          <w:lang w:val="en-US" w:eastAsia="zh-CN"/>
        </w:rPr>
        <w:t xml:space="preserve"> </w:t>
      </w:r>
      <w:r>
        <w:rPr>
          <w:rFonts w:hint="eastAsia" w:ascii="黑体" w:hAnsi="黑体" w:eastAsia="黑体" w:cs="黑体"/>
          <w:b w:val="0"/>
          <w:bCs w:val="0"/>
          <w:color w:val="auto"/>
          <w:sz w:val="24"/>
          <w:highlight w:val="none"/>
          <w:lang w:val="en-US" w:eastAsia="zh-CN"/>
        </w:rPr>
        <w:t xml:space="preserve">                                  </w:t>
      </w:r>
      <w:r>
        <w:rPr>
          <w:rFonts w:hint="eastAsia" w:ascii="黑体" w:hAnsi="黑体" w:eastAsia="黑体" w:cs="黑体"/>
          <w:b w:val="0"/>
          <w:bCs w:val="0"/>
          <w:color w:val="auto"/>
          <w:sz w:val="24"/>
          <w:highlight w:val="none"/>
        </w:rPr>
        <w:t>项目编号：</w:t>
      </w:r>
    </w:p>
    <w:p w14:paraId="15BD3C4F">
      <w:pPr>
        <w:widowControl/>
        <w:shd w:val="clear" w:color="auto" w:fill="FFFFFF"/>
        <w:spacing w:before="150" w:after="150" w:line="390" w:lineRule="atLeast"/>
        <w:jc w:val="center"/>
        <w:rPr>
          <w:rFonts w:hint="eastAsia" w:ascii="黑体" w:hAnsi="黑体" w:eastAsia="黑体" w:cs="黑体"/>
          <w:b/>
          <w:snapToGrid w:val="0"/>
          <w:color w:val="auto"/>
          <w:sz w:val="24"/>
          <w:highlight w:val="none"/>
          <w:lang w:eastAsia="zh-CN"/>
        </w:rPr>
      </w:pPr>
      <w:r>
        <w:rPr>
          <w:rFonts w:hint="eastAsia" w:ascii="黑体" w:hAnsi="黑体" w:eastAsia="黑体" w:cs="黑体"/>
          <w:b w:val="0"/>
          <w:bCs w:val="0"/>
          <w:color w:val="auto"/>
          <w:sz w:val="24"/>
          <w:highlight w:val="none"/>
          <w:lang w:val="en-US" w:eastAsia="zh-CN"/>
        </w:rPr>
        <w:t xml:space="preserve">                                        标段（包）编号： </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color w:val="auto"/>
          <w:sz w:val="24"/>
          <w:highlight w:val="none"/>
          <w:lang w:val="en-US" w:eastAsia="zh-CN"/>
        </w:rPr>
        <w:t xml:space="preserve">                      </w:t>
      </w:r>
    </w:p>
    <w:p w14:paraId="594C2C7F">
      <w:pPr>
        <w:widowControl/>
        <w:tabs>
          <w:tab w:val="right" w:leader="middleDot" w:pos="9030"/>
        </w:tabs>
        <w:autoSpaceDE w:val="0"/>
        <w:autoSpaceDN w:val="0"/>
        <w:jc w:val="both"/>
        <w:textAlignment w:val="bottom"/>
        <w:rPr>
          <w:rFonts w:hint="eastAsia" w:ascii="黑体" w:hAnsi="黑体" w:eastAsia="黑体" w:cs="黑体"/>
          <w:b/>
          <w:snapToGrid w:val="0"/>
          <w:color w:val="auto"/>
          <w:spacing w:val="12"/>
          <w:szCs w:val="21"/>
          <w:highlight w:val="none"/>
        </w:rPr>
      </w:pPr>
    </w:p>
    <w:p w14:paraId="4EB389FE">
      <w:pPr>
        <w:widowControl/>
        <w:tabs>
          <w:tab w:val="right" w:leader="middleDot" w:pos="9030"/>
        </w:tabs>
        <w:autoSpaceDE w:val="0"/>
        <w:autoSpaceDN w:val="0"/>
        <w:jc w:val="center"/>
        <w:textAlignment w:val="bottom"/>
        <w:rPr>
          <w:rFonts w:hint="eastAsia" w:ascii="黑体" w:hAnsi="黑体" w:eastAsia="黑体" w:cs="黑体"/>
          <w:b/>
          <w:snapToGrid w:val="0"/>
          <w:color w:val="auto"/>
          <w:spacing w:val="12"/>
          <w:szCs w:val="21"/>
          <w:highlight w:val="none"/>
        </w:rPr>
      </w:pPr>
    </w:p>
    <w:p w14:paraId="5CCCDDF9">
      <w:pPr>
        <w:widowControl/>
        <w:tabs>
          <w:tab w:val="left" w:pos="3828"/>
        </w:tabs>
        <w:autoSpaceDE w:val="0"/>
        <w:autoSpaceDN w:val="0"/>
        <w:spacing w:line="640" w:lineRule="exact"/>
        <w:ind w:left="-215" w:right="-414"/>
        <w:jc w:val="center"/>
        <w:textAlignment w:val="bottom"/>
        <w:rPr>
          <w:rFonts w:hint="eastAsia" w:ascii="黑体" w:hAnsi="黑体" w:eastAsia="黑体" w:cs="黑体"/>
          <w:b/>
          <w:snapToGrid w:val="0"/>
          <w:color w:val="auto"/>
          <w:spacing w:val="12"/>
          <w:sz w:val="40"/>
          <w:szCs w:val="28"/>
          <w:highlight w:val="none"/>
        </w:rPr>
      </w:pPr>
      <w:r>
        <w:rPr>
          <w:rFonts w:hint="eastAsia" w:ascii="黑体" w:hAnsi="黑体" w:eastAsia="黑体" w:cs="黑体"/>
          <w:b/>
          <w:snapToGrid w:val="0"/>
          <w:color w:val="auto"/>
          <w:spacing w:val="12"/>
          <w:sz w:val="40"/>
          <w:szCs w:val="28"/>
          <w:highlight w:val="none"/>
        </w:rPr>
        <w:t>中 华 人 民 共 和 国</w:t>
      </w:r>
    </w:p>
    <w:p w14:paraId="7898DF9E">
      <w:pPr>
        <w:widowControl/>
        <w:tabs>
          <w:tab w:val="left" w:pos="3828"/>
        </w:tabs>
        <w:autoSpaceDE w:val="0"/>
        <w:autoSpaceDN w:val="0"/>
        <w:spacing w:after="156" w:afterLines="50" w:line="640" w:lineRule="exact"/>
        <w:ind w:left="-215" w:right="-414"/>
        <w:jc w:val="center"/>
        <w:textAlignment w:val="bottom"/>
        <w:rPr>
          <w:rFonts w:hint="eastAsia" w:ascii="黑体" w:hAnsi="黑体" w:eastAsia="黑体" w:cs="黑体"/>
          <w:b/>
          <w:snapToGrid w:val="0"/>
          <w:color w:val="auto"/>
          <w:spacing w:val="12"/>
          <w:sz w:val="40"/>
          <w:szCs w:val="28"/>
          <w:highlight w:val="none"/>
        </w:rPr>
      </w:pPr>
      <w:r>
        <w:rPr>
          <w:rFonts w:hint="eastAsia" w:ascii="黑体" w:hAnsi="黑体" w:eastAsia="黑体" w:cs="黑体"/>
          <w:b/>
          <w:snapToGrid w:val="0"/>
          <w:color w:val="auto"/>
          <w:spacing w:val="12"/>
          <w:sz w:val="40"/>
          <w:szCs w:val="28"/>
          <w:highlight w:val="none"/>
        </w:rPr>
        <w:t>内 蒙 古 自 治 区</w:t>
      </w:r>
    </w:p>
    <w:p w14:paraId="09AA2A34">
      <w:pPr>
        <w:widowControl/>
        <w:pBdr>
          <w:top w:val="thinThickSmallGap" w:color="auto" w:sz="18" w:space="1"/>
        </w:pBdr>
        <w:autoSpaceDE w:val="0"/>
        <w:autoSpaceDN w:val="0"/>
        <w:jc w:val="center"/>
        <w:textAlignment w:val="bottom"/>
        <w:rPr>
          <w:rFonts w:hint="eastAsia" w:ascii="黑体" w:hAnsi="黑体" w:eastAsia="黑体" w:cs="黑体"/>
          <w:b/>
          <w:bCs/>
          <w:color w:val="auto"/>
          <w:kern w:val="0"/>
          <w:sz w:val="18"/>
          <w:szCs w:val="18"/>
          <w:highlight w:val="none"/>
        </w:rPr>
      </w:pPr>
    </w:p>
    <w:p w14:paraId="6654AA4C">
      <w:pPr>
        <w:widowControl/>
        <w:autoSpaceDE w:val="0"/>
        <w:autoSpaceDN w:val="0"/>
        <w:spacing w:line="360" w:lineRule="auto"/>
        <w:jc w:val="center"/>
        <w:textAlignment w:val="bottom"/>
        <w:rPr>
          <w:rFonts w:hint="default" w:ascii="黑体" w:hAnsi="黑体" w:eastAsia="黑体" w:cs="黑体"/>
          <w:b/>
          <w:color w:val="auto"/>
          <w:sz w:val="24"/>
          <w:highlight w:val="none"/>
          <w:lang w:val="en-US"/>
        </w:rPr>
      </w:pPr>
      <w:r>
        <w:rPr>
          <w:rFonts w:hint="eastAsia" w:ascii="黑体" w:hAnsi="黑体" w:eastAsia="黑体" w:cs="黑体"/>
          <w:b/>
          <w:color w:val="auto"/>
          <w:spacing w:val="-4"/>
          <w:sz w:val="36"/>
          <w:szCs w:val="36"/>
          <w:highlight w:val="none"/>
          <w:lang w:eastAsia="zh-CN"/>
        </w:rPr>
        <w:t>2026年新巴尔虎左旗生命安全防护工程</w:t>
      </w:r>
      <w:r>
        <w:rPr>
          <w:rFonts w:hint="eastAsia" w:ascii="黑体" w:hAnsi="黑体" w:eastAsia="黑体" w:cs="黑体"/>
          <w:b/>
          <w:color w:val="auto"/>
          <w:spacing w:val="-4"/>
          <w:sz w:val="36"/>
          <w:szCs w:val="36"/>
          <w:highlight w:val="none"/>
          <w:lang w:val="en-US" w:eastAsia="zh-CN"/>
        </w:rPr>
        <w:t>施工第</w:t>
      </w:r>
      <w:r>
        <w:rPr>
          <w:rFonts w:hint="eastAsia" w:ascii="黑体" w:hAnsi="黑体" w:eastAsia="黑体" w:cs="黑体"/>
          <w:b/>
          <w:color w:val="auto"/>
          <w:spacing w:val="-4"/>
          <w:sz w:val="36"/>
          <w:szCs w:val="36"/>
          <w:highlight w:val="none"/>
          <w:u w:val="single"/>
          <w:lang w:val="en-US" w:eastAsia="zh-CN"/>
        </w:rPr>
        <w:t xml:space="preserve">   </w:t>
      </w:r>
      <w:r>
        <w:rPr>
          <w:rFonts w:hint="eastAsia" w:ascii="黑体" w:hAnsi="黑体" w:eastAsia="黑体" w:cs="黑体"/>
          <w:b/>
          <w:color w:val="auto"/>
          <w:spacing w:val="-4"/>
          <w:sz w:val="36"/>
          <w:szCs w:val="36"/>
          <w:highlight w:val="none"/>
          <w:lang w:val="en-US" w:eastAsia="zh-CN"/>
        </w:rPr>
        <w:t>标段</w:t>
      </w:r>
    </w:p>
    <w:p w14:paraId="610372DF">
      <w:pPr>
        <w:shd w:val="clear" w:color="auto" w:fill="auto"/>
        <w:spacing w:line="440" w:lineRule="exact"/>
        <w:rPr>
          <w:rFonts w:eastAsia="黑体"/>
          <w:color w:val="auto"/>
          <w:sz w:val="20"/>
          <w:szCs w:val="20"/>
          <w:highlight w:val="none"/>
        </w:rPr>
      </w:pPr>
    </w:p>
    <w:p w14:paraId="2A2CAFC7">
      <w:pPr>
        <w:shd w:val="clear" w:color="auto" w:fill="auto"/>
        <w:spacing w:line="440" w:lineRule="exact"/>
        <w:jc w:val="both"/>
        <w:rPr>
          <w:rFonts w:eastAsia="黑体"/>
          <w:color w:val="auto"/>
          <w:sz w:val="40"/>
          <w:szCs w:val="40"/>
          <w:highlight w:val="none"/>
        </w:rPr>
      </w:pPr>
    </w:p>
    <w:p w14:paraId="559DC6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z w:val="36"/>
          <w:szCs w:val="36"/>
          <w:highlight w:val="none"/>
        </w:rPr>
      </w:pPr>
      <w:bookmarkStart w:id="774" w:name="_Toc501257476"/>
      <w:r>
        <w:rPr>
          <w:rFonts w:hint="eastAsia" w:ascii="黑体" w:hAnsi="黑体" w:eastAsia="黑体" w:cs="黑体"/>
          <w:b/>
          <w:color w:val="auto"/>
          <w:sz w:val="100"/>
          <w:szCs w:val="100"/>
          <w:highlight w:val="none"/>
        </w:rPr>
        <w:t>投 标 文 件</w:t>
      </w:r>
      <w:r>
        <w:rPr>
          <w:rFonts w:hint="eastAsia" w:eastAsia="黑体"/>
          <w:b w:val="0"/>
          <w:color w:val="auto"/>
          <w:sz w:val="72"/>
          <w:szCs w:val="72"/>
          <w:highlight w:val="none"/>
        </w:rPr>
        <w:t xml:space="preserve"> </w:t>
      </w:r>
      <w:r>
        <w:rPr>
          <w:rFonts w:hint="eastAsia" w:eastAsia="黑体"/>
          <w:b w:val="0"/>
          <w:color w:val="auto"/>
          <w:sz w:val="30"/>
          <w:szCs w:val="30"/>
          <w:highlight w:val="none"/>
        </w:rPr>
        <w:t xml:space="preserve">                </w:t>
      </w:r>
      <w:bookmarkEnd w:id="774"/>
      <w:r>
        <w:rPr>
          <w:rFonts w:hint="eastAsia" w:ascii="黑体" w:hAnsi="黑体" w:eastAsia="黑体" w:cs="黑体"/>
          <w:b/>
          <w:color w:val="auto"/>
          <w:sz w:val="36"/>
          <w:szCs w:val="36"/>
          <w:highlight w:val="none"/>
        </w:rPr>
        <w:t>《商务及技术文件》</w:t>
      </w:r>
    </w:p>
    <w:p w14:paraId="4FD84782">
      <w:pPr>
        <w:shd w:val="clear" w:color="auto" w:fill="auto"/>
        <w:spacing w:line="440" w:lineRule="exact"/>
        <w:rPr>
          <w:rFonts w:eastAsia="黑体"/>
          <w:color w:val="auto"/>
          <w:sz w:val="20"/>
          <w:szCs w:val="20"/>
          <w:highlight w:val="none"/>
        </w:rPr>
      </w:pPr>
    </w:p>
    <w:p w14:paraId="0C4E494D">
      <w:pPr>
        <w:pStyle w:val="21"/>
        <w:rPr>
          <w:rFonts w:eastAsia="黑体"/>
          <w:color w:val="auto"/>
          <w:sz w:val="20"/>
          <w:szCs w:val="20"/>
          <w:highlight w:val="none"/>
        </w:rPr>
      </w:pPr>
    </w:p>
    <w:p w14:paraId="7A9AAD99">
      <w:pPr>
        <w:pStyle w:val="21"/>
        <w:ind w:left="0" w:leftChars="0" w:firstLine="0" w:firstLineChars="0"/>
        <w:rPr>
          <w:rFonts w:eastAsia="黑体"/>
          <w:color w:val="auto"/>
          <w:sz w:val="20"/>
          <w:szCs w:val="20"/>
          <w:highlight w:val="none"/>
        </w:rPr>
      </w:pPr>
    </w:p>
    <w:p w14:paraId="0D9BAC53">
      <w:pPr>
        <w:shd w:val="clear" w:color="auto" w:fill="auto"/>
        <w:spacing w:line="440" w:lineRule="exact"/>
        <w:rPr>
          <w:rFonts w:eastAsia="黑体"/>
          <w:color w:val="auto"/>
          <w:sz w:val="20"/>
          <w:szCs w:val="20"/>
          <w:highlight w:val="none"/>
        </w:rPr>
      </w:pPr>
    </w:p>
    <w:p w14:paraId="76853267">
      <w:pPr>
        <w:shd w:val="clear" w:color="auto" w:fill="auto"/>
        <w:spacing w:line="440" w:lineRule="exact"/>
        <w:rPr>
          <w:rFonts w:eastAsia="黑体"/>
          <w:color w:val="auto"/>
          <w:sz w:val="20"/>
          <w:szCs w:val="20"/>
          <w:highlight w:val="none"/>
        </w:rPr>
      </w:pPr>
    </w:p>
    <w:p w14:paraId="4BC9009D">
      <w:pPr>
        <w:shd w:val="clear" w:color="auto" w:fill="auto"/>
        <w:spacing w:line="440" w:lineRule="exact"/>
        <w:jc w:val="center"/>
        <w:rPr>
          <w:rFonts w:eastAsia="黑体"/>
          <w:color w:val="auto"/>
          <w:sz w:val="28"/>
          <w:szCs w:val="28"/>
          <w:highlight w:val="none"/>
        </w:rPr>
      </w:pPr>
      <w:r>
        <w:rPr>
          <w:rFonts w:eastAsia="黑体"/>
          <w:color w:val="auto"/>
          <w:sz w:val="28"/>
          <w:szCs w:val="28"/>
          <w:highlight w:val="none"/>
        </w:rPr>
        <w:t>投标人：</w:t>
      </w:r>
      <w:r>
        <w:rPr>
          <w:rFonts w:eastAsia="黑体"/>
          <w:color w:val="auto"/>
          <w:sz w:val="28"/>
          <w:szCs w:val="28"/>
          <w:highlight w:val="none"/>
          <w:u w:val="single"/>
        </w:rPr>
        <w:t xml:space="preserve">                                  </w:t>
      </w:r>
      <w:r>
        <w:rPr>
          <w:rFonts w:eastAsia="黑体"/>
          <w:color w:val="auto"/>
          <w:sz w:val="28"/>
          <w:szCs w:val="28"/>
          <w:highlight w:val="none"/>
        </w:rPr>
        <w:t>（盖单位章）</w:t>
      </w:r>
    </w:p>
    <w:p w14:paraId="1A1678EB">
      <w:pPr>
        <w:shd w:val="clear" w:color="auto" w:fill="auto"/>
        <w:spacing w:line="440" w:lineRule="exact"/>
        <w:rPr>
          <w:rFonts w:eastAsia="黑体"/>
          <w:color w:val="auto"/>
          <w:sz w:val="28"/>
          <w:szCs w:val="28"/>
          <w:highlight w:val="none"/>
        </w:rPr>
      </w:pPr>
    </w:p>
    <w:p w14:paraId="40C2F45E">
      <w:pPr>
        <w:shd w:val="clear" w:color="auto" w:fill="auto"/>
        <w:spacing w:line="440" w:lineRule="exact"/>
        <w:jc w:val="center"/>
        <w:rPr>
          <w:rFonts w:eastAsia="黑体"/>
          <w:color w:val="auto"/>
          <w:sz w:val="28"/>
          <w:szCs w:val="28"/>
          <w:highlight w:val="none"/>
        </w:rPr>
      </w:pPr>
      <w:r>
        <w:rPr>
          <w:rFonts w:eastAsia="黑体"/>
          <w:color w:val="auto"/>
          <w:sz w:val="28"/>
          <w:szCs w:val="28"/>
          <w:highlight w:val="none"/>
          <w:u w:val="single"/>
        </w:rPr>
        <w:t xml:space="preserve">        </w:t>
      </w:r>
      <w:r>
        <w:rPr>
          <w:rFonts w:eastAsia="黑体"/>
          <w:color w:val="auto"/>
          <w:sz w:val="28"/>
          <w:szCs w:val="28"/>
          <w:highlight w:val="none"/>
        </w:rPr>
        <w:t>年</w:t>
      </w:r>
      <w:r>
        <w:rPr>
          <w:rFonts w:eastAsia="黑体"/>
          <w:color w:val="auto"/>
          <w:sz w:val="28"/>
          <w:szCs w:val="28"/>
          <w:highlight w:val="none"/>
          <w:u w:val="single"/>
        </w:rPr>
        <w:t xml:space="preserve">        </w:t>
      </w:r>
      <w:r>
        <w:rPr>
          <w:rFonts w:eastAsia="黑体"/>
          <w:color w:val="auto"/>
          <w:sz w:val="28"/>
          <w:szCs w:val="28"/>
          <w:highlight w:val="none"/>
        </w:rPr>
        <w:t>月</w:t>
      </w:r>
      <w:r>
        <w:rPr>
          <w:rFonts w:eastAsia="黑体"/>
          <w:color w:val="auto"/>
          <w:sz w:val="28"/>
          <w:szCs w:val="28"/>
          <w:highlight w:val="none"/>
          <w:u w:val="single"/>
        </w:rPr>
        <w:t xml:space="preserve">         </w:t>
      </w:r>
      <w:r>
        <w:rPr>
          <w:rFonts w:eastAsia="黑体"/>
          <w:color w:val="auto"/>
          <w:sz w:val="28"/>
          <w:szCs w:val="28"/>
          <w:highlight w:val="none"/>
        </w:rPr>
        <w:t>日</w:t>
      </w:r>
    </w:p>
    <w:p w14:paraId="53AE1B64">
      <w:pPr>
        <w:pStyle w:val="2"/>
        <w:keepNext/>
        <w:keepLines/>
        <w:pageBreakBefore w:val="0"/>
        <w:widowControl w:val="0"/>
        <w:shd w:val="clear" w:color="auto" w:fill="auto"/>
        <w:kinsoku/>
        <w:wordWrap/>
        <w:overflowPunct/>
        <w:topLinePunct w:val="0"/>
        <w:autoSpaceDE/>
        <w:autoSpaceDN/>
        <w:bidi w:val="0"/>
        <w:adjustRightInd/>
        <w:snapToGrid/>
        <w:spacing w:before="313" w:beforeLines="100" w:after="240" w:afterLines="100" w:line="360" w:lineRule="auto"/>
        <w:jc w:val="center"/>
        <w:textAlignment w:val="auto"/>
        <w:rPr>
          <w:rFonts w:hint="eastAsia" w:ascii="黑体" w:hAnsi="黑体" w:eastAsia="黑体" w:cs="黑体"/>
          <w:b/>
          <w:bCs w:val="0"/>
          <w:color w:val="auto"/>
          <w:sz w:val="32"/>
          <w:szCs w:val="32"/>
          <w:highlight w:val="none"/>
        </w:rPr>
      </w:pPr>
      <w:r>
        <w:rPr>
          <w:rFonts w:eastAsia="黑体"/>
          <w:color w:val="auto"/>
          <w:sz w:val="20"/>
          <w:szCs w:val="20"/>
          <w:highlight w:val="none"/>
        </w:rPr>
        <w:br w:type="page"/>
      </w:r>
      <w:bookmarkStart w:id="775" w:name="_Toc12650"/>
      <w:bookmarkStart w:id="776" w:name="_Toc234833253"/>
      <w:bookmarkStart w:id="777" w:name="_Toc501257477"/>
      <w:r>
        <w:rPr>
          <w:rFonts w:hint="eastAsia" w:ascii="黑体" w:hAnsi="黑体" w:eastAsia="黑体" w:cs="黑体"/>
          <w:b/>
          <w:bCs w:val="0"/>
          <w:color w:val="auto"/>
          <w:sz w:val="32"/>
          <w:szCs w:val="32"/>
          <w:highlight w:val="none"/>
        </w:rPr>
        <w:t>目   录</w:t>
      </w:r>
      <w:bookmarkEnd w:id="775"/>
      <w:bookmarkEnd w:id="776"/>
      <w:bookmarkEnd w:id="777"/>
    </w:p>
    <w:p w14:paraId="5F24E3CE">
      <w:pPr>
        <w:shd w:val="clear" w:color="auto" w:fill="auto"/>
        <w:autoSpaceDE w:val="0"/>
        <w:autoSpaceDN w:val="0"/>
        <w:adjustRightInd w:val="0"/>
        <w:spacing w:line="480" w:lineRule="auto"/>
        <w:ind w:firstLine="420" w:firstLineChars="200"/>
        <w:jc w:val="left"/>
        <w:rPr>
          <w:rFonts w:hint="eastAsia" w:ascii="黑体" w:hAnsi="黑体" w:eastAsia="黑体" w:cs="黑体"/>
          <w:b w:val="0"/>
          <w:bCs/>
          <w:color w:val="auto"/>
          <w:kern w:val="0"/>
          <w:sz w:val="21"/>
          <w:szCs w:val="21"/>
          <w:highlight w:val="none"/>
          <w:lang w:bidi="th-TH"/>
        </w:rPr>
      </w:pPr>
      <w:r>
        <w:rPr>
          <w:rFonts w:hint="eastAsia" w:ascii="黑体" w:hAnsi="黑体" w:eastAsia="黑体" w:cs="黑体"/>
          <w:b w:val="0"/>
          <w:bCs/>
          <w:color w:val="auto"/>
          <w:kern w:val="0"/>
          <w:sz w:val="21"/>
          <w:szCs w:val="21"/>
          <w:highlight w:val="none"/>
          <w:lang w:bidi="th-TH"/>
        </w:rPr>
        <w:t>一、投标函及投标函附录</w:t>
      </w:r>
    </w:p>
    <w:p w14:paraId="3F716747">
      <w:pPr>
        <w:shd w:val="clear" w:color="auto" w:fill="auto"/>
        <w:autoSpaceDE w:val="0"/>
        <w:autoSpaceDN w:val="0"/>
        <w:adjustRightInd w:val="0"/>
        <w:spacing w:line="480" w:lineRule="auto"/>
        <w:ind w:firstLine="420" w:firstLineChars="200"/>
        <w:jc w:val="left"/>
        <w:rPr>
          <w:rFonts w:hint="eastAsia" w:ascii="黑体" w:hAnsi="黑体" w:eastAsia="黑体" w:cs="黑体"/>
          <w:b w:val="0"/>
          <w:bCs/>
          <w:color w:val="auto"/>
          <w:kern w:val="0"/>
          <w:sz w:val="21"/>
          <w:szCs w:val="21"/>
          <w:highlight w:val="none"/>
          <w:lang w:bidi="th-TH"/>
        </w:rPr>
      </w:pPr>
      <w:r>
        <w:rPr>
          <w:rFonts w:hint="eastAsia" w:ascii="黑体" w:hAnsi="黑体" w:eastAsia="黑体" w:cs="黑体"/>
          <w:b w:val="0"/>
          <w:bCs/>
          <w:color w:val="auto"/>
          <w:kern w:val="0"/>
          <w:sz w:val="21"/>
          <w:szCs w:val="21"/>
          <w:highlight w:val="none"/>
          <w:lang w:bidi="th-TH"/>
        </w:rPr>
        <w:t>二、授权委托书或法定代表人身份证明</w:t>
      </w:r>
    </w:p>
    <w:p w14:paraId="441779B5">
      <w:pPr>
        <w:shd w:val="clear" w:color="auto" w:fill="auto"/>
        <w:autoSpaceDE w:val="0"/>
        <w:autoSpaceDN w:val="0"/>
        <w:adjustRightInd w:val="0"/>
        <w:spacing w:line="480" w:lineRule="auto"/>
        <w:ind w:firstLine="420" w:firstLineChars="200"/>
        <w:jc w:val="left"/>
        <w:rPr>
          <w:rFonts w:hint="eastAsia" w:ascii="黑体" w:hAnsi="黑体" w:eastAsia="黑体" w:cs="黑体"/>
          <w:b w:val="0"/>
          <w:bCs/>
          <w:color w:val="auto"/>
          <w:kern w:val="0"/>
          <w:sz w:val="21"/>
          <w:szCs w:val="21"/>
          <w:highlight w:val="none"/>
          <w:lang w:bidi="th-TH"/>
        </w:rPr>
      </w:pPr>
      <w:r>
        <w:rPr>
          <w:rFonts w:hint="eastAsia" w:ascii="黑体" w:hAnsi="黑体" w:eastAsia="黑体" w:cs="黑体"/>
          <w:b w:val="0"/>
          <w:bCs/>
          <w:color w:val="auto"/>
          <w:kern w:val="0"/>
          <w:sz w:val="21"/>
          <w:szCs w:val="21"/>
          <w:highlight w:val="none"/>
          <w:lang w:bidi="th-TH"/>
        </w:rPr>
        <w:t>三、联合体协议书</w:t>
      </w:r>
    </w:p>
    <w:p w14:paraId="43F83760">
      <w:pPr>
        <w:shd w:val="clear" w:color="auto" w:fill="auto"/>
        <w:autoSpaceDE w:val="0"/>
        <w:autoSpaceDN w:val="0"/>
        <w:adjustRightInd w:val="0"/>
        <w:spacing w:line="480" w:lineRule="auto"/>
        <w:ind w:firstLine="420" w:firstLineChars="200"/>
        <w:jc w:val="left"/>
        <w:rPr>
          <w:rFonts w:hint="eastAsia" w:ascii="黑体" w:hAnsi="黑体" w:eastAsia="黑体" w:cs="黑体"/>
          <w:b w:val="0"/>
          <w:bCs/>
          <w:color w:val="auto"/>
          <w:kern w:val="0"/>
          <w:sz w:val="21"/>
          <w:szCs w:val="21"/>
          <w:highlight w:val="none"/>
          <w:lang w:bidi="th-TH"/>
        </w:rPr>
      </w:pPr>
      <w:r>
        <w:rPr>
          <w:rFonts w:hint="eastAsia" w:ascii="黑体" w:hAnsi="黑体" w:eastAsia="黑体" w:cs="黑体"/>
          <w:b w:val="0"/>
          <w:bCs/>
          <w:color w:val="auto"/>
          <w:kern w:val="0"/>
          <w:sz w:val="21"/>
          <w:szCs w:val="21"/>
          <w:highlight w:val="none"/>
          <w:lang w:bidi="th-TH"/>
        </w:rPr>
        <w:t>四、投标保证金</w:t>
      </w:r>
    </w:p>
    <w:p w14:paraId="5FE570C4">
      <w:pPr>
        <w:shd w:val="clear" w:color="auto" w:fill="auto"/>
        <w:autoSpaceDE w:val="0"/>
        <w:autoSpaceDN w:val="0"/>
        <w:adjustRightInd w:val="0"/>
        <w:spacing w:line="480" w:lineRule="auto"/>
        <w:ind w:firstLine="420" w:firstLineChars="200"/>
        <w:jc w:val="left"/>
        <w:rPr>
          <w:rFonts w:hint="eastAsia" w:ascii="黑体" w:hAnsi="黑体" w:eastAsia="黑体" w:cs="黑体"/>
          <w:b w:val="0"/>
          <w:bCs/>
          <w:color w:val="auto"/>
          <w:kern w:val="0"/>
          <w:sz w:val="21"/>
          <w:szCs w:val="21"/>
          <w:highlight w:val="none"/>
          <w:lang w:bidi="th-TH"/>
        </w:rPr>
      </w:pPr>
      <w:r>
        <w:rPr>
          <w:rFonts w:hint="eastAsia" w:ascii="黑体" w:hAnsi="黑体" w:eastAsia="黑体" w:cs="黑体"/>
          <w:b w:val="0"/>
          <w:bCs/>
          <w:color w:val="auto"/>
          <w:kern w:val="0"/>
          <w:sz w:val="21"/>
          <w:szCs w:val="21"/>
          <w:highlight w:val="none"/>
          <w:lang w:bidi="th-TH"/>
        </w:rPr>
        <w:t>五、施工组织设计</w:t>
      </w:r>
    </w:p>
    <w:p w14:paraId="78FBCA0B">
      <w:pPr>
        <w:shd w:val="clear" w:color="auto" w:fill="auto"/>
        <w:autoSpaceDE w:val="0"/>
        <w:autoSpaceDN w:val="0"/>
        <w:adjustRightInd w:val="0"/>
        <w:spacing w:line="480" w:lineRule="auto"/>
        <w:ind w:firstLine="420" w:firstLineChars="200"/>
        <w:jc w:val="left"/>
        <w:rPr>
          <w:rFonts w:hint="eastAsia" w:ascii="黑体" w:hAnsi="黑体" w:eastAsia="黑体" w:cs="黑体"/>
          <w:b w:val="0"/>
          <w:bCs/>
          <w:color w:val="auto"/>
          <w:kern w:val="0"/>
          <w:sz w:val="21"/>
          <w:szCs w:val="21"/>
          <w:highlight w:val="none"/>
          <w:lang w:bidi="th-TH"/>
        </w:rPr>
      </w:pPr>
      <w:r>
        <w:rPr>
          <w:rFonts w:hint="eastAsia" w:ascii="黑体" w:hAnsi="黑体" w:eastAsia="黑体" w:cs="黑体"/>
          <w:b w:val="0"/>
          <w:bCs/>
          <w:color w:val="auto"/>
          <w:kern w:val="0"/>
          <w:sz w:val="21"/>
          <w:szCs w:val="21"/>
          <w:highlight w:val="none"/>
          <w:lang w:bidi="th-TH"/>
        </w:rPr>
        <w:t>六、项目管理机构</w:t>
      </w:r>
    </w:p>
    <w:p w14:paraId="4EDD4755">
      <w:pPr>
        <w:shd w:val="clear" w:color="auto" w:fill="auto"/>
        <w:autoSpaceDE w:val="0"/>
        <w:autoSpaceDN w:val="0"/>
        <w:adjustRightInd w:val="0"/>
        <w:spacing w:line="480" w:lineRule="auto"/>
        <w:ind w:firstLine="420" w:firstLineChars="200"/>
        <w:jc w:val="left"/>
        <w:rPr>
          <w:rFonts w:hint="eastAsia" w:ascii="黑体" w:hAnsi="黑体" w:eastAsia="黑体" w:cs="黑体"/>
          <w:b w:val="0"/>
          <w:bCs/>
          <w:color w:val="auto"/>
          <w:kern w:val="0"/>
          <w:sz w:val="21"/>
          <w:szCs w:val="21"/>
          <w:highlight w:val="none"/>
          <w:lang w:bidi="th-TH"/>
        </w:rPr>
      </w:pPr>
      <w:r>
        <w:rPr>
          <w:rFonts w:hint="eastAsia" w:ascii="黑体" w:hAnsi="黑体" w:eastAsia="黑体" w:cs="黑体"/>
          <w:b w:val="0"/>
          <w:bCs/>
          <w:color w:val="auto"/>
          <w:kern w:val="0"/>
          <w:sz w:val="21"/>
          <w:szCs w:val="21"/>
          <w:highlight w:val="none"/>
          <w:lang w:bidi="th-TH"/>
        </w:rPr>
        <w:t>七、拟分包项目情况表</w:t>
      </w:r>
    </w:p>
    <w:p w14:paraId="13F0DD6A">
      <w:pPr>
        <w:shd w:val="clear" w:color="auto" w:fill="auto"/>
        <w:autoSpaceDE w:val="0"/>
        <w:autoSpaceDN w:val="0"/>
        <w:adjustRightInd w:val="0"/>
        <w:spacing w:line="480" w:lineRule="auto"/>
        <w:ind w:firstLine="420" w:firstLineChars="200"/>
        <w:jc w:val="left"/>
        <w:rPr>
          <w:rFonts w:hint="eastAsia" w:ascii="黑体" w:hAnsi="黑体" w:eastAsia="黑体" w:cs="黑体"/>
          <w:b w:val="0"/>
          <w:bCs/>
          <w:color w:val="auto"/>
          <w:kern w:val="0"/>
          <w:sz w:val="21"/>
          <w:szCs w:val="21"/>
          <w:highlight w:val="none"/>
          <w:lang w:bidi="th-TH"/>
        </w:rPr>
      </w:pPr>
      <w:r>
        <w:rPr>
          <w:rFonts w:hint="eastAsia" w:ascii="黑体" w:hAnsi="黑体" w:eastAsia="黑体" w:cs="黑体"/>
          <w:b w:val="0"/>
          <w:bCs/>
          <w:color w:val="auto"/>
          <w:kern w:val="0"/>
          <w:sz w:val="21"/>
          <w:szCs w:val="21"/>
          <w:highlight w:val="none"/>
          <w:lang w:bidi="th-TH"/>
        </w:rPr>
        <w:t>八、资格审查资料</w:t>
      </w:r>
    </w:p>
    <w:p w14:paraId="71787050">
      <w:pPr>
        <w:shd w:val="clear" w:color="auto" w:fill="auto"/>
        <w:autoSpaceDE w:val="0"/>
        <w:autoSpaceDN w:val="0"/>
        <w:adjustRightInd w:val="0"/>
        <w:spacing w:line="480" w:lineRule="auto"/>
        <w:ind w:firstLine="420" w:firstLineChars="200"/>
        <w:jc w:val="left"/>
        <w:rPr>
          <w:rFonts w:hint="eastAsia" w:ascii="黑体" w:hAnsi="黑体" w:eastAsia="黑体" w:cs="黑体"/>
          <w:b/>
          <w:bCs w:val="0"/>
          <w:color w:val="auto"/>
          <w:kern w:val="0"/>
          <w:sz w:val="21"/>
          <w:szCs w:val="21"/>
          <w:highlight w:val="none"/>
          <w:lang w:bidi="th-TH"/>
        </w:rPr>
      </w:pPr>
      <w:r>
        <w:rPr>
          <w:rFonts w:hint="eastAsia" w:ascii="黑体" w:hAnsi="黑体" w:eastAsia="黑体" w:cs="黑体"/>
          <w:b w:val="0"/>
          <w:bCs/>
          <w:color w:val="auto"/>
          <w:kern w:val="0"/>
          <w:sz w:val="21"/>
          <w:szCs w:val="21"/>
          <w:highlight w:val="none"/>
          <w:lang w:bidi="th-TH"/>
        </w:rPr>
        <w:t>九、其他资料</w:t>
      </w:r>
    </w:p>
    <w:p w14:paraId="7FB5FB72">
      <w:pPr>
        <w:pStyle w:val="2"/>
        <w:shd w:val="clear" w:color="auto" w:fill="auto"/>
        <w:spacing w:before="360" w:beforeLines="150" w:after="240" w:afterLines="100" w:line="380" w:lineRule="atLeast"/>
        <w:jc w:val="center"/>
        <w:rPr>
          <w:rFonts w:hint="eastAsia" w:eastAsia="黑体"/>
          <w:color w:val="auto"/>
          <w:sz w:val="20"/>
          <w:szCs w:val="20"/>
          <w:highlight w:val="none"/>
        </w:rPr>
      </w:pPr>
    </w:p>
    <w:p w14:paraId="5B7902AB">
      <w:pPr>
        <w:pStyle w:val="2"/>
        <w:shd w:val="clear" w:color="auto" w:fill="auto"/>
        <w:spacing w:before="360" w:beforeLines="150" w:after="240" w:afterLines="100" w:line="380" w:lineRule="atLeast"/>
        <w:jc w:val="center"/>
        <w:rPr>
          <w:rFonts w:eastAsia="黑体"/>
          <w:b w:val="0"/>
          <w:color w:val="auto"/>
          <w:sz w:val="30"/>
          <w:szCs w:val="30"/>
          <w:highlight w:val="none"/>
        </w:rPr>
        <w:sectPr>
          <w:footnotePr>
            <w:numFmt w:val="decimalEnclosedCircleChinese"/>
            <w:numRestart w:val="eachPage"/>
          </w:footnotePr>
          <w:pgSz w:w="11907" w:h="16840"/>
          <w:pgMar w:top="1588" w:right="1588" w:bottom="1474" w:left="1644" w:header="851" w:footer="851" w:gutter="0"/>
          <w:pgBorders>
            <w:top w:val="none" w:sz="0" w:space="0"/>
            <w:left w:val="none" w:sz="0" w:space="0"/>
            <w:bottom w:val="none" w:sz="0" w:space="0"/>
            <w:right w:val="none" w:sz="0" w:space="0"/>
          </w:pgBorders>
          <w:pgNumType w:fmt="numberInDash"/>
          <w:cols w:space="720" w:num="1"/>
          <w:docGrid w:linePitch="312" w:charSpace="0"/>
        </w:sectPr>
      </w:pPr>
      <w:bookmarkStart w:id="778" w:name="_Toc234833254"/>
    </w:p>
    <w:bookmarkEnd w:id="778"/>
    <w:p w14:paraId="20435888">
      <w:pPr>
        <w:pStyle w:val="3"/>
        <w:bidi w:val="0"/>
        <w:rPr>
          <w:rFonts w:hint="eastAsia" w:ascii="黑体" w:hAnsi="黑体" w:eastAsia="黑体" w:cs="黑体"/>
          <w:b/>
          <w:bCs w:val="0"/>
          <w:color w:val="auto"/>
          <w:szCs w:val="30"/>
          <w:highlight w:val="none"/>
        </w:rPr>
      </w:pPr>
      <w:bookmarkStart w:id="779" w:name="_Toc25596"/>
      <w:bookmarkStart w:id="780" w:name="_Toc234833255"/>
      <w:bookmarkStart w:id="781" w:name="_Toc501257478"/>
      <w:r>
        <w:rPr>
          <w:rFonts w:hint="eastAsia"/>
          <w:highlight w:val="none"/>
        </w:rPr>
        <w:t>一、投标函及投标函附录</w:t>
      </w:r>
      <w:bookmarkEnd w:id="779"/>
      <w:bookmarkEnd w:id="780"/>
      <w:bookmarkEnd w:id="781"/>
    </w:p>
    <w:p w14:paraId="6D393FC7">
      <w:pPr>
        <w:pStyle w:val="2"/>
        <w:shd w:val="clear" w:color="auto" w:fill="auto"/>
        <w:spacing w:before="360" w:beforeLines="150" w:after="240" w:afterLines="100" w:line="360" w:lineRule="atLeast"/>
        <w:jc w:val="center"/>
        <w:rPr>
          <w:rFonts w:hint="eastAsia" w:ascii="黑体" w:hAnsi="黑体" w:eastAsia="黑体" w:cs="黑体"/>
          <w:b/>
          <w:bCs w:val="0"/>
          <w:color w:val="auto"/>
          <w:sz w:val="28"/>
          <w:szCs w:val="28"/>
          <w:highlight w:val="none"/>
        </w:rPr>
      </w:pPr>
      <w:bookmarkStart w:id="782" w:name="_Toc13798"/>
      <w:bookmarkStart w:id="783" w:name="_Toc234833256"/>
      <w:bookmarkStart w:id="784" w:name="_Toc501257479"/>
      <w:r>
        <w:rPr>
          <w:rFonts w:hint="eastAsia" w:ascii="黑体" w:hAnsi="黑体" w:eastAsia="黑体" w:cs="黑体"/>
          <w:b/>
          <w:bCs w:val="0"/>
          <w:color w:val="auto"/>
          <w:sz w:val="28"/>
          <w:szCs w:val="28"/>
          <w:highlight w:val="none"/>
        </w:rPr>
        <w:t>（一） 投 标 函</w:t>
      </w:r>
      <w:bookmarkEnd w:id="782"/>
      <w:bookmarkEnd w:id="783"/>
      <w:bookmarkEnd w:id="784"/>
    </w:p>
    <w:p w14:paraId="3D7BA3E4">
      <w:pPr>
        <w:shd w:val="clear" w:color="auto" w:fill="auto"/>
        <w:spacing w:before="240" w:beforeLines="100" w:after="120" w:afterLines="50" w:line="360" w:lineRule="atLeast"/>
        <w:rPr>
          <w:rFonts w:hint="eastAsia" w:ascii="黑体" w:hAnsi="黑体" w:eastAsia="黑体" w:cs="黑体"/>
          <w:color w:val="auto"/>
          <w:sz w:val="21"/>
          <w:szCs w:val="21"/>
          <w:highlight w:val="none"/>
        </w:rPr>
      </w:pPr>
      <w:r>
        <w:rPr>
          <w:rFonts w:hint="eastAsia" w:ascii="黑体" w:hAnsi="黑体" w:eastAsia="黑体" w:cs="黑体"/>
          <w:b/>
          <w:bCs/>
          <w:color w:val="auto"/>
          <w:sz w:val="21"/>
          <w:szCs w:val="21"/>
          <w:highlight w:val="none"/>
          <w:u w:val="single"/>
          <w:lang w:val="en-US" w:eastAsia="zh-CN"/>
        </w:rPr>
        <w:t>新巴尔虎左旗住房建设和交通运输局</w:t>
      </w:r>
      <w:r>
        <w:rPr>
          <w:rFonts w:hint="eastAsia" w:ascii="黑体" w:hAnsi="黑体" w:eastAsia="黑体" w:cs="黑体"/>
          <w:color w:val="auto"/>
          <w:sz w:val="21"/>
          <w:szCs w:val="21"/>
          <w:highlight w:val="none"/>
        </w:rPr>
        <w:t>（招标人名称）：</w:t>
      </w:r>
    </w:p>
    <w:p w14:paraId="5B440BE5">
      <w:pPr>
        <w:shd w:val="clear" w:color="auto" w:fill="auto"/>
        <w:spacing w:line="36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1．我方已仔细研究</w:t>
      </w:r>
      <w:r>
        <w:rPr>
          <w:rFonts w:hint="eastAsia" w:ascii="黑体" w:hAnsi="黑体" w:eastAsia="黑体" w:cs="黑体"/>
          <w:b/>
          <w:bCs/>
          <w:color w:val="auto"/>
          <w:sz w:val="22"/>
          <w:szCs w:val="22"/>
          <w:highlight w:val="none"/>
          <w:u w:val="single"/>
          <w:lang w:eastAsia="zh-CN"/>
        </w:rPr>
        <w:t>2026年新巴尔虎左旗生命安全防护工程</w:t>
      </w:r>
      <w:r>
        <w:rPr>
          <w:rFonts w:hint="eastAsia" w:ascii="黑体" w:hAnsi="黑体" w:eastAsia="黑体" w:cs="黑体"/>
          <w:b/>
          <w:bCs/>
          <w:color w:val="auto"/>
          <w:sz w:val="22"/>
          <w:szCs w:val="22"/>
          <w:highlight w:val="none"/>
          <w:u w:val="single"/>
          <w:lang w:val="en-US" w:eastAsia="zh-CN"/>
        </w:rPr>
        <w:t>施工第   标段</w:t>
      </w:r>
      <w:r>
        <w:rPr>
          <w:rFonts w:hint="eastAsia" w:ascii="黑体" w:hAnsi="黑体" w:eastAsia="黑体" w:cs="黑体"/>
          <w:color w:val="auto"/>
          <w:sz w:val="21"/>
          <w:szCs w:val="21"/>
          <w:highlight w:val="none"/>
          <w:lang w:eastAsia="zh-CN"/>
        </w:rPr>
        <w:t>招标文件</w:t>
      </w:r>
      <w:r>
        <w:rPr>
          <w:rFonts w:hint="eastAsia" w:ascii="黑体" w:hAnsi="黑体" w:eastAsia="黑体" w:cs="黑体"/>
          <w:color w:val="auto"/>
          <w:sz w:val="21"/>
          <w:szCs w:val="21"/>
          <w:highlight w:val="none"/>
        </w:rPr>
        <w:t>的全部内容（</w:t>
      </w:r>
      <w:r>
        <w:rPr>
          <w:rFonts w:hint="eastAsia" w:ascii="黑体" w:hAnsi="黑体" w:eastAsia="黑体" w:cs="黑体"/>
          <w:color w:val="auto"/>
          <w:szCs w:val="21"/>
          <w:highlight w:val="none"/>
        </w:rPr>
        <w:t>含变更公告</w:t>
      </w:r>
      <w:r>
        <w:rPr>
          <w:rFonts w:hint="eastAsia" w:ascii="黑体" w:hAnsi="黑体" w:eastAsia="黑体" w:cs="黑体"/>
          <w:color w:val="auto"/>
          <w:szCs w:val="21"/>
          <w:highlight w:val="none"/>
          <w:lang w:val="en-US" w:eastAsia="zh-CN"/>
        </w:rPr>
        <w:t>或</w:t>
      </w:r>
      <w:r>
        <w:rPr>
          <w:rFonts w:hint="eastAsia" w:ascii="黑体" w:hAnsi="黑体" w:eastAsia="黑体" w:cs="黑体"/>
          <w:color w:val="auto"/>
          <w:sz w:val="21"/>
          <w:szCs w:val="21"/>
          <w:highlight w:val="none"/>
        </w:rPr>
        <w:t>含补遗书第___号至第___号），在考察工程现场后，愿意以第二个信封（报价文件）中的投标总报价（或根据招标文件规定修正核实后确定的另一金额），按合同约定实施和完成承包工程，修补工程中的任何缺陷。</w:t>
      </w:r>
    </w:p>
    <w:p w14:paraId="78AC8F4A">
      <w:pPr>
        <w:shd w:val="clear" w:color="auto" w:fill="auto"/>
        <w:spacing w:line="36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2．我方承诺在招标文件规定的投标有效期内不撤销投标文件。</w:t>
      </w:r>
    </w:p>
    <w:p w14:paraId="6B32070A">
      <w:pPr>
        <w:shd w:val="clear" w:color="auto" w:fill="auto"/>
        <w:spacing w:line="36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3．工程质量：</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，安全目标：</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，工期：</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日历天</w:t>
      </w:r>
      <w:r>
        <w:rPr>
          <w:rFonts w:hint="eastAsia" w:ascii="黑体" w:hAnsi="黑体" w:eastAsia="黑体" w:cs="黑体"/>
          <w:color w:val="auto"/>
          <w:sz w:val="21"/>
          <w:szCs w:val="21"/>
          <w:highlight w:val="none"/>
          <w:lang w:eastAsia="zh-CN"/>
        </w:rPr>
        <w:t>，</w:t>
      </w:r>
      <w:r>
        <w:rPr>
          <w:rFonts w:hint="eastAsia" w:ascii="黑体" w:hAnsi="黑体" w:eastAsia="黑体" w:cs="黑体"/>
          <w:color w:val="auto"/>
          <w:szCs w:val="21"/>
          <w:highlight w:val="none"/>
        </w:rPr>
        <w:t>项目经理：</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 w:val="21"/>
          <w:szCs w:val="21"/>
          <w:highlight w:val="none"/>
        </w:rPr>
        <w:t>。</w:t>
      </w:r>
    </w:p>
    <w:p w14:paraId="2353A5DD">
      <w:pPr>
        <w:shd w:val="clear" w:color="auto" w:fill="auto"/>
        <w:spacing w:line="36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4．如我方中标，我方承诺：</w:t>
      </w:r>
    </w:p>
    <w:p w14:paraId="0A52038B">
      <w:pPr>
        <w:shd w:val="clear" w:color="auto" w:fill="auto"/>
        <w:spacing w:line="36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（1）在收到中标通知书后，在中标通知书规定的期限内与你方签订合同；</w:t>
      </w:r>
    </w:p>
    <w:p w14:paraId="61A51C50">
      <w:pPr>
        <w:shd w:val="clear" w:color="auto" w:fill="auto"/>
        <w:spacing w:line="36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（2）在签订合同时不向你方提出附加条件；</w:t>
      </w:r>
    </w:p>
    <w:p w14:paraId="19162029">
      <w:pPr>
        <w:shd w:val="clear" w:color="auto" w:fill="auto"/>
        <w:spacing w:line="36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（3）按照招标文件要求提交履约保证金；</w:t>
      </w:r>
      <w:bookmarkStart w:id="785" w:name="_Toc369531694"/>
      <w:bookmarkStart w:id="786" w:name="_Toc352691658"/>
      <w:bookmarkStart w:id="787" w:name="_Toc1187"/>
    </w:p>
    <w:p w14:paraId="5CF153E0">
      <w:pPr>
        <w:shd w:val="clear" w:color="auto" w:fill="auto"/>
        <w:spacing w:line="36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（4）在合</w:t>
      </w:r>
      <w:bookmarkEnd w:id="785"/>
      <w:bookmarkEnd w:id="786"/>
      <w:bookmarkEnd w:id="787"/>
      <w:r>
        <w:rPr>
          <w:rFonts w:hint="eastAsia" w:ascii="黑体" w:hAnsi="黑体" w:eastAsia="黑体" w:cs="黑体"/>
          <w:color w:val="auto"/>
          <w:sz w:val="21"/>
          <w:szCs w:val="21"/>
          <w:highlight w:val="none"/>
        </w:rPr>
        <w:t>同约定的期限内完成合同规定的全部义务；</w:t>
      </w:r>
    </w:p>
    <w:p w14:paraId="1EDC7296">
      <w:pPr>
        <w:shd w:val="clear" w:color="auto" w:fill="auto"/>
        <w:spacing w:line="360" w:lineRule="atLeast"/>
        <w:ind w:firstLine="420" w:firstLineChars="200"/>
        <w:rPr>
          <w:rFonts w:hint="eastAsia" w:ascii="黑体" w:hAnsi="黑体" w:eastAsia="黑体" w:cs="黑体"/>
          <w:color w:val="auto"/>
          <w:sz w:val="21"/>
          <w:szCs w:val="21"/>
          <w:highlight w:val="none"/>
          <w:vertAlign w:val="superscript"/>
        </w:rPr>
      </w:pPr>
      <w:r>
        <w:rPr>
          <w:rFonts w:hint="eastAsia" w:ascii="黑体" w:hAnsi="黑体" w:eastAsia="黑体" w:cs="黑体"/>
          <w:color w:val="auto"/>
          <w:sz w:val="21"/>
          <w:szCs w:val="21"/>
          <w:highlight w:val="none"/>
        </w:rPr>
        <w:t>（5）在你方和我方进行合同谈判之前，我方将按照合同附件提出的最低要求填报派驻本标段的其他管理和技术人员及主要机械设备和试验检测设备，经你方审批后作为派驻本标段的项目管理机构主要人员和主要设备且不进行更换。如我方拟派驻的人员和设备不满足合同附件要求，你方有权取消我方中标资格。</w:t>
      </w:r>
    </w:p>
    <w:p w14:paraId="4C298A0E">
      <w:pPr>
        <w:shd w:val="clear" w:color="auto" w:fill="auto"/>
        <w:spacing w:line="36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5．我方在此声明，所递交的投标文件及有关资料内容完整、真实和准确，且不存在招标文件第二章“投标人须知”第1.4.3项和第1.4.4项规定的任何一种情形。</w:t>
      </w:r>
    </w:p>
    <w:p w14:paraId="672A3D7B">
      <w:pPr>
        <w:shd w:val="clear" w:color="auto" w:fill="auto"/>
        <w:spacing w:line="36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6．在合同协议书正式签署生效之前，本投标函连同你方的中标通知书将构成我们双方之间共同遵守的文件，对双方具有约束力。</w:t>
      </w:r>
    </w:p>
    <w:p w14:paraId="0842FD9E">
      <w:pPr>
        <w:shd w:val="clear" w:color="auto" w:fill="auto"/>
        <w:spacing w:line="36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lang w:val="en-US" w:eastAsia="zh-CN"/>
        </w:rPr>
        <w:t>7</w:t>
      </w:r>
      <w:r>
        <w:rPr>
          <w:rFonts w:hint="eastAsia" w:ascii="黑体" w:hAnsi="黑体" w:eastAsia="黑体" w:cs="黑体"/>
          <w:color w:val="auto"/>
          <w:sz w:val="21"/>
          <w:szCs w:val="21"/>
          <w:highlight w:val="none"/>
        </w:rPr>
        <w:t>．</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（其他补充说明）。</w:t>
      </w:r>
    </w:p>
    <w:p w14:paraId="32783AA4">
      <w:pPr>
        <w:shd w:val="clear" w:color="auto" w:fill="auto"/>
        <w:spacing w:line="360" w:lineRule="atLeast"/>
        <w:ind w:firstLine="420" w:firstLineChars="200"/>
        <w:rPr>
          <w:rFonts w:hint="eastAsia" w:ascii="黑体" w:hAnsi="黑体" w:eastAsia="黑体" w:cs="黑体"/>
          <w:color w:val="auto"/>
          <w:sz w:val="21"/>
          <w:szCs w:val="21"/>
          <w:highlight w:val="none"/>
        </w:rPr>
      </w:pPr>
    </w:p>
    <w:p w14:paraId="2CFF5943">
      <w:pPr>
        <w:shd w:val="clear" w:color="auto" w:fill="auto"/>
        <w:spacing w:line="360" w:lineRule="atLeast"/>
        <w:ind w:firstLine="2992" w:firstLineChars="1425"/>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 标 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（盖单位章）</w:t>
      </w:r>
    </w:p>
    <w:p w14:paraId="7870A46D">
      <w:pPr>
        <w:shd w:val="clear" w:color="auto" w:fill="auto"/>
        <w:spacing w:line="360" w:lineRule="atLeast"/>
        <w:ind w:firstLine="2992" w:firstLineChars="1425"/>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法定代表人或其委托代理人：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（签字）</w:t>
      </w:r>
    </w:p>
    <w:p w14:paraId="57271BE4">
      <w:pPr>
        <w:shd w:val="clear" w:color="auto" w:fill="auto"/>
        <w:spacing w:line="360" w:lineRule="atLeast"/>
        <w:ind w:firstLine="2992" w:firstLineChars="1425"/>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地    址：</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w:t>
      </w:r>
    </w:p>
    <w:p w14:paraId="2EB842E4">
      <w:pPr>
        <w:shd w:val="clear" w:color="auto" w:fill="auto"/>
        <w:spacing w:line="360" w:lineRule="atLeast"/>
        <w:ind w:firstLine="2992" w:firstLineChars="1425"/>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网    址：</w:t>
      </w:r>
      <w:r>
        <w:rPr>
          <w:rFonts w:hint="eastAsia" w:ascii="黑体" w:hAnsi="黑体" w:eastAsia="黑体" w:cs="黑体"/>
          <w:color w:val="auto"/>
          <w:sz w:val="21"/>
          <w:szCs w:val="21"/>
          <w:highlight w:val="none"/>
          <w:u w:val="single"/>
        </w:rPr>
        <w:t xml:space="preserve">                                     </w:t>
      </w:r>
    </w:p>
    <w:p w14:paraId="0555E15F">
      <w:pPr>
        <w:shd w:val="clear" w:color="auto" w:fill="auto"/>
        <w:spacing w:line="360" w:lineRule="atLeast"/>
        <w:ind w:firstLine="2992" w:firstLineChars="1425"/>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电    话：</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w:t>
      </w:r>
    </w:p>
    <w:p w14:paraId="18B30BC7">
      <w:pPr>
        <w:shd w:val="clear" w:color="auto" w:fill="auto"/>
        <w:spacing w:line="360" w:lineRule="atLeast"/>
        <w:ind w:firstLine="2992" w:firstLineChars="1425"/>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传    真：</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w:t>
      </w:r>
    </w:p>
    <w:p w14:paraId="2E22B756">
      <w:pPr>
        <w:shd w:val="clear" w:color="auto" w:fill="auto"/>
        <w:spacing w:line="360" w:lineRule="atLeast"/>
        <w:ind w:firstLine="2992" w:firstLineChars="1425"/>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邮政编码：</w:t>
      </w:r>
      <w:r>
        <w:rPr>
          <w:rFonts w:hint="eastAsia" w:ascii="黑体" w:hAnsi="黑体" w:eastAsia="黑体" w:cs="黑体"/>
          <w:color w:val="auto"/>
          <w:sz w:val="21"/>
          <w:szCs w:val="21"/>
          <w:highlight w:val="none"/>
          <w:u w:val="single"/>
        </w:rPr>
        <w:t xml:space="preserve">                                  </w:t>
      </w:r>
    </w:p>
    <w:p w14:paraId="1AE1F9C8">
      <w:pPr>
        <w:shd w:val="clear" w:color="auto" w:fill="auto"/>
        <w:spacing w:line="360" w:lineRule="atLeast"/>
        <w:ind w:firstLine="4147" w:firstLineChars="1975"/>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年</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月</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日</w:t>
      </w:r>
    </w:p>
    <w:p w14:paraId="4B3FD3B0">
      <w:pPr>
        <w:pStyle w:val="2"/>
        <w:keepNext/>
        <w:keepLines/>
        <w:pageBreakBefore w:val="0"/>
        <w:widowControl w:val="0"/>
        <w:shd w:val="clear" w:color="auto" w:fill="auto"/>
        <w:kinsoku/>
        <w:wordWrap/>
        <w:overflowPunct/>
        <w:topLinePunct w:val="0"/>
        <w:autoSpaceDE/>
        <w:autoSpaceDN/>
        <w:bidi w:val="0"/>
        <w:adjustRightInd/>
        <w:snapToGrid/>
        <w:spacing w:before="313" w:beforeLines="100" w:after="240" w:afterLines="100" w:line="380" w:lineRule="atLeast"/>
        <w:jc w:val="center"/>
        <w:textAlignment w:val="auto"/>
        <w:rPr>
          <w:rFonts w:hint="eastAsia" w:ascii="黑体" w:hAnsi="黑体" w:eastAsia="黑体" w:cs="黑体"/>
          <w:b/>
          <w:bCs w:val="0"/>
          <w:color w:val="auto"/>
          <w:sz w:val="28"/>
          <w:szCs w:val="28"/>
          <w:highlight w:val="none"/>
        </w:rPr>
      </w:pPr>
      <w:r>
        <w:rPr>
          <w:rFonts w:hint="eastAsia" w:ascii="黑体" w:hAnsi="黑体" w:eastAsia="黑体" w:cs="黑体"/>
          <w:color w:val="auto"/>
          <w:sz w:val="23"/>
          <w:szCs w:val="23"/>
          <w:highlight w:val="none"/>
        </w:rPr>
        <w:br w:type="page"/>
      </w:r>
      <w:bookmarkStart w:id="788" w:name="_Toc501257480"/>
      <w:bookmarkStart w:id="789" w:name="_Toc16245"/>
      <w:bookmarkStart w:id="790" w:name="_Toc234833257"/>
      <w:r>
        <w:rPr>
          <w:rFonts w:hint="eastAsia" w:ascii="黑体" w:hAnsi="黑体" w:eastAsia="黑体" w:cs="黑体"/>
          <w:b/>
          <w:bCs w:val="0"/>
          <w:color w:val="auto"/>
          <w:sz w:val="28"/>
          <w:szCs w:val="28"/>
          <w:highlight w:val="none"/>
        </w:rPr>
        <w:t>（二）投标函附录</w:t>
      </w:r>
      <w:bookmarkEnd w:id="788"/>
      <w:bookmarkEnd w:id="789"/>
      <w:bookmarkEnd w:id="790"/>
    </w:p>
    <w:tbl>
      <w:tblPr>
        <w:tblStyle w:val="22"/>
        <w:tblW w:w="50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2710"/>
        <w:gridCol w:w="1185"/>
        <w:gridCol w:w="3613"/>
        <w:gridCol w:w="750"/>
      </w:tblGrid>
      <w:tr w14:paraId="1AEE8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81" w:type="pct"/>
            <w:noWrap w:val="0"/>
            <w:vAlign w:val="center"/>
          </w:tcPr>
          <w:p w14:paraId="5EF22CC4">
            <w:pPr>
              <w:shd w:val="clear" w:color="auto" w:fill="auto"/>
              <w:spacing w:line="400" w:lineRule="atLeast"/>
              <w:ind w:left="-105" w:leftChars="-50" w:right="-105" w:rightChars="-50"/>
              <w:jc w:val="center"/>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序号</w:t>
            </w:r>
          </w:p>
        </w:tc>
        <w:tc>
          <w:tcPr>
            <w:tcW w:w="1516" w:type="pct"/>
            <w:noWrap w:val="0"/>
            <w:vAlign w:val="center"/>
          </w:tcPr>
          <w:p w14:paraId="12A254FC">
            <w:pPr>
              <w:shd w:val="clear" w:color="auto" w:fill="auto"/>
              <w:spacing w:line="400" w:lineRule="atLeast"/>
              <w:ind w:left="-105" w:leftChars="-50" w:right="-105" w:rightChars="-50"/>
              <w:jc w:val="center"/>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条款名称</w:t>
            </w:r>
          </w:p>
        </w:tc>
        <w:tc>
          <w:tcPr>
            <w:tcW w:w="663" w:type="pct"/>
            <w:noWrap w:val="0"/>
            <w:vAlign w:val="center"/>
          </w:tcPr>
          <w:p w14:paraId="209FAC3E">
            <w:pPr>
              <w:shd w:val="clear" w:color="auto" w:fill="auto"/>
              <w:spacing w:line="400" w:lineRule="atLeast"/>
              <w:ind w:left="-105" w:leftChars="-50" w:right="-105" w:rightChars="-50"/>
              <w:jc w:val="center"/>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合同条目号</w:t>
            </w:r>
          </w:p>
        </w:tc>
        <w:tc>
          <w:tcPr>
            <w:tcW w:w="2021" w:type="pct"/>
            <w:noWrap w:val="0"/>
            <w:vAlign w:val="center"/>
          </w:tcPr>
          <w:p w14:paraId="02ACC500">
            <w:pPr>
              <w:shd w:val="clear" w:color="auto" w:fill="auto"/>
              <w:spacing w:line="400" w:lineRule="atLeast"/>
              <w:ind w:left="-105" w:leftChars="-50" w:right="-105" w:rightChars="-50"/>
              <w:jc w:val="center"/>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约定内容</w:t>
            </w:r>
          </w:p>
        </w:tc>
        <w:tc>
          <w:tcPr>
            <w:tcW w:w="419" w:type="pct"/>
            <w:noWrap w:val="0"/>
            <w:vAlign w:val="center"/>
          </w:tcPr>
          <w:p w14:paraId="58F027EB">
            <w:pPr>
              <w:shd w:val="clear" w:color="auto" w:fill="auto"/>
              <w:spacing w:line="400" w:lineRule="atLeast"/>
              <w:ind w:left="-105" w:leftChars="-50" w:right="-105" w:rightChars="-50"/>
              <w:jc w:val="center"/>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备注</w:t>
            </w:r>
          </w:p>
        </w:tc>
      </w:tr>
      <w:tr w14:paraId="35380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81" w:type="pct"/>
            <w:noWrap w:val="0"/>
            <w:vAlign w:val="center"/>
          </w:tcPr>
          <w:p w14:paraId="67677570">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w:t>
            </w:r>
          </w:p>
        </w:tc>
        <w:tc>
          <w:tcPr>
            <w:tcW w:w="1516" w:type="pct"/>
            <w:noWrap w:val="0"/>
            <w:vAlign w:val="center"/>
          </w:tcPr>
          <w:p w14:paraId="50C7A499">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缺陷责任期</w:t>
            </w:r>
          </w:p>
        </w:tc>
        <w:tc>
          <w:tcPr>
            <w:tcW w:w="663" w:type="pct"/>
            <w:noWrap w:val="0"/>
            <w:vAlign w:val="center"/>
          </w:tcPr>
          <w:p w14:paraId="37B8EFB3">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1.1.4.5</w:t>
            </w:r>
          </w:p>
        </w:tc>
        <w:tc>
          <w:tcPr>
            <w:tcW w:w="2021" w:type="pct"/>
            <w:noWrap w:val="0"/>
            <w:vAlign w:val="center"/>
          </w:tcPr>
          <w:p w14:paraId="7F5DE316">
            <w:pPr>
              <w:shd w:val="clear" w:color="auto" w:fill="auto"/>
              <w:spacing w:line="40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自实际交工日期起计算</w:t>
            </w:r>
            <w:r>
              <w:rPr>
                <w:rFonts w:hint="eastAsia" w:ascii="黑体" w:hAnsi="黑体" w:eastAsia="黑体" w:cs="黑体"/>
                <w:b/>
                <w:bCs/>
                <w:color w:val="auto"/>
                <w:szCs w:val="21"/>
                <w:highlight w:val="none"/>
                <w:u w:val="single"/>
              </w:rPr>
              <w:t xml:space="preserve"> </w:t>
            </w:r>
            <w:r>
              <w:rPr>
                <w:rFonts w:hint="eastAsia" w:ascii="黑体" w:hAnsi="黑体" w:eastAsia="黑体" w:cs="黑体"/>
                <w:b/>
                <w:bCs/>
                <w:color w:val="auto"/>
                <w:szCs w:val="21"/>
                <w:highlight w:val="none"/>
                <w:u w:val="single"/>
                <w:lang w:val="en-US" w:eastAsia="zh-CN"/>
              </w:rPr>
              <w:t>1</w:t>
            </w:r>
            <w:r>
              <w:rPr>
                <w:rFonts w:hint="eastAsia" w:ascii="黑体" w:hAnsi="黑体" w:eastAsia="黑体" w:cs="黑体"/>
                <w:b/>
                <w:bCs/>
                <w:color w:val="auto"/>
                <w:szCs w:val="21"/>
                <w:highlight w:val="none"/>
                <w:u w:val="single"/>
              </w:rPr>
              <w:t xml:space="preserve"> </w:t>
            </w:r>
            <w:r>
              <w:rPr>
                <w:rFonts w:hint="eastAsia" w:ascii="黑体" w:hAnsi="黑体" w:eastAsia="黑体" w:cs="黑体"/>
                <w:color w:val="auto"/>
                <w:szCs w:val="21"/>
                <w:highlight w:val="none"/>
              </w:rPr>
              <w:t>年</w:t>
            </w:r>
          </w:p>
        </w:tc>
        <w:tc>
          <w:tcPr>
            <w:tcW w:w="419" w:type="pct"/>
            <w:noWrap w:val="0"/>
            <w:vAlign w:val="center"/>
          </w:tcPr>
          <w:p w14:paraId="068514C3">
            <w:pPr>
              <w:shd w:val="clear" w:color="auto" w:fill="auto"/>
              <w:spacing w:line="400" w:lineRule="atLeast"/>
              <w:jc w:val="center"/>
              <w:rPr>
                <w:rFonts w:hint="eastAsia" w:ascii="黑体" w:hAnsi="黑体" w:eastAsia="黑体" w:cs="黑体"/>
                <w:color w:val="auto"/>
                <w:szCs w:val="21"/>
                <w:highlight w:val="none"/>
              </w:rPr>
            </w:pPr>
          </w:p>
        </w:tc>
      </w:tr>
      <w:tr w14:paraId="73E1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81" w:type="pct"/>
            <w:noWrap w:val="0"/>
            <w:vAlign w:val="center"/>
          </w:tcPr>
          <w:p w14:paraId="170A36F8">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2</w:t>
            </w:r>
          </w:p>
        </w:tc>
        <w:tc>
          <w:tcPr>
            <w:tcW w:w="1516" w:type="pct"/>
            <w:noWrap w:val="0"/>
            <w:vAlign w:val="center"/>
          </w:tcPr>
          <w:p w14:paraId="5E71EFEE">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逾期交工违约金</w:t>
            </w:r>
          </w:p>
        </w:tc>
        <w:tc>
          <w:tcPr>
            <w:tcW w:w="663" w:type="pct"/>
            <w:noWrap w:val="0"/>
            <w:vAlign w:val="center"/>
          </w:tcPr>
          <w:p w14:paraId="610F9EAA">
            <w:pPr>
              <w:shd w:val="clear" w:color="auto" w:fill="auto"/>
              <w:snapToGrid w:val="0"/>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11.5（3）</w:t>
            </w:r>
          </w:p>
        </w:tc>
        <w:tc>
          <w:tcPr>
            <w:tcW w:w="2021" w:type="pct"/>
            <w:noWrap w:val="0"/>
            <w:vAlign w:val="center"/>
          </w:tcPr>
          <w:p w14:paraId="6B9D0EC6">
            <w:pPr>
              <w:shd w:val="clear" w:color="auto" w:fill="auto"/>
              <w:snapToGrid w:val="0"/>
              <w:spacing w:line="400" w:lineRule="atLeast"/>
              <w:rPr>
                <w:rFonts w:hint="eastAsia" w:ascii="黑体" w:hAnsi="黑体" w:eastAsia="黑体" w:cs="黑体"/>
                <w:color w:val="auto"/>
                <w:szCs w:val="21"/>
                <w:highlight w:val="none"/>
              </w:rPr>
            </w:pPr>
            <w:r>
              <w:rPr>
                <w:rFonts w:hint="eastAsia" w:ascii="黑体" w:hAnsi="黑体" w:eastAsia="黑体" w:cs="黑体"/>
                <w:b/>
                <w:color w:val="auto"/>
                <w:szCs w:val="21"/>
                <w:highlight w:val="none"/>
                <w:u w:val="single"/>
              </w:rPr>
              <w:t>0.1%签约合同价</w:t>
            </w:r>
            <w:r>
              <w:rPr>
                <w:rFonts w:hint="eastAsia" w:ascii="黑体" w:hAnsi="黑体" w:eastAsia="黑体" w:cs="黑体"/>
                <w:color w:val="auto"/>
                <w:szCs w:val="21"/>
                <w:highlight w:val="none"/>
              </w:rPr>
              <w:t>/天</w:t>
            </w:r>
          </w:p>
        </w:tc>
        <w:tc>
          <w:tcPr>
            <w:tcW w:w="419" w:type="pct"/>
            <w:noWrap w:val="0"/>
            <w:vAlign w:val="center"/>
          </w:tcPr>
          <w:p w14:paraId="68FFC0DF">
            <w:pPr>
              <w:shd w:val="clear" w:color="auto" w:fill="auto"/>
              <w:spacing w:line="400" w:lineRule="atLeast"/>
              <w:jc w:val="center"/>
              <w:rPr>
                <w:rFonts w:hint="eastAsia" w:ascii="黑体" w:hAnsi="黑体" w:eastAsia="黑体" w:cs="黑体"/>
                <w:color w:val="auto"/>
                <w:szCs w:val="21"/>
                <w:highlight w:val="none"/>
              </w:rPr>
            </w:pPr>
          </w:p>
        </w:tc>
      </w:tr>
      <w:tr w14:paraId="47E04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81" w:type="pct"/>
            <w:noWrap w:val="0"/>
            <w:vAlign w:val="center"/>
          </w:tcPr>
          <w:p w14:paraId="2282534F">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3</w:t>
            </w:r>
          </w:p>
        </w:tc>
        <w:tc>
          <w:tcPr>
            <w:tcW w:w="1516" w:type="pct"/>
            <w:noWrap w:val="0"/>
            <w:vAlign w:val="center"/>
          </w:tcPr>
          <w:p w14:paraId="6DEAF1C4">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逾期交工违约金限额</w:t>
            </w:r>
          </w:p>
        </w:tc>
        <w:tc>
          <w:tcPr>
            <w:tcW w:w="663" w:type="pct"/>
            <w:noWrap w:val="0"/>
            <w:vAlign w:val="center"/>
          </w:tcPr>
          <w:p w14:paraId="3C19FEC6">
            <w:pPr>
              <w:shd w:val="clear" w:color="auto" w:fill="auto"/>
              <w:snapToGrid w:val="0"/>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11.5（3）</w:t>
            </w:r>
          </w:p>
        </w:tc>
        <w:tc>
          <w:tcPr>
            <w:tcW w:w="2021" w:type="pct"/>
            <w:noWrap w:val="0"/>
            <w:vAlign w:val="center"/>
          </w:tcPr>
          <w:p w14:paraId="54F1ABF2">
            <w:pPr>
              <w:shd w:val="clear" w:color="auto" w:fill="auto"/>
              <w:snapToGrid w:val="0"/>
              <w:spacing w:line="40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u w:val="single"/>
              </w:rPr>
              <w:t xml:space="preserve"> </w:t>
            </w:r>
            <w:r>
              <w:rPr>
                <w:rFonts w:hint="eastAsia" w:ascii="黑体" w:hAnsi="黑体" w:eastAsia="黑体" w:cs="黑体"/>
                <w:b/>
                <w:color w:val="auto"/>
                <w:szCs w:val="21"/>
                <w:highlight w:val="none"/>
                <w:u w:val="single"/>
              </w:rPr>
              <w:t>1</w:t>
            </w:r>
            <w:r>
              <w:rPr>
                <w:rFonts w:hint="eastAsia" w:ascii="黑体" w:hAnsi="黑体" w:eastAsia="黑体" w:cs="黑体"/>
                <w:b/>
                <w:color w:val="auto"/>
                <w:szCs w:val="21"/>
                <w:highlight w:val="none"/>
                <w:u w:val="single"/>
                <w:lang w:val="en-US" w:eastAsia="zh-CN"/>
              </w:rPr>
              <w:t>0</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%签约合同价</w:t>
            </w:r>
          </w:p>
        </w:tc>
        <w:tc>
          <w:tcPr>
            <w:tcW w:w="419" w:type="pct"/>
            <w:noWrap w:val="0"/>
            <w:vAlign w:val="center"/>
          </w:tcPr>
          <w:p w14:paraId="445FA4A6">
            <w:pPr>
              <w:shd w:val="clear" w:color="auto" w:fill="auto"/>
              <w:spacing w:line="400" w:lineRule="atLeast"/>
              <w:jc w:val="center"/>
              <w:rPr>
                <w:rFonts w:hint="eastAsia" w:ascii="黑体" w:hAnsi="黑体" w:eastAsia="黑体" w:cs="黑体"/>
                <w:color w:val="auto"/>
                <w:szCs w:val="21"/>
                <w:highlight w:val="none"/>
              </w:rPr>
            </w:pPr>
          </w:p>
        </w:tc>
      </w:tr>
      <w:tr w14:paraId="4C6D6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81" w:type="pct"/>
            <w:noWrap w:val="0"/>
            <w:vAlign w:val="center"/>
          </w:tcPr>
          <w:p w14:paraId="5AEA256C">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4</w:t>
            </w:r>
          </w:p>
        </w:tc>
        <w:tc>
          <w:tcPr>
            <w:tcW w:w="1516" w:type="pct"/>
            <w:noWrap w:val="0"/>
            <w:vAlign w:val="center"/>
          </w:tcPr>
          <w:p w14:paraId="625735E2">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提前交工的奖金 </w:t>
            </w:r>
          </w:p>
        </w:tc>
        <w:tc>
          <w:tcPr>
            <w:tcW w:w="663" w:type="pct"/>
            <w:noWrap w:val="0"/>
            <w:vAlign w:val="center"/>
          </w:tcPr>
          <w:p w14:paraId="0175990F">
            <w:pPr>
              <w:shd w:val="clear" w:color="auto" w:fill="auto"/>
              <w:snapToGrid w:val="0"/>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11.6</w:t>
            </w:r>
          </w:p>
        </w:tc>
        <w:tc>
          <w:tcPr>
            <w:tcW w:w="3613" w:type="dxa"/>
            <w:noWrap w:val="0"/>
            <w:vAlign w:val="center"/>
          </w:tcPr>
          <w:p w14:paraId="142207D0">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不适用</w:t>
            </w:r>
          </w:p>
        </w:tc>
        <w:tc>
          <w:tcPr>
            <w:tcW w:w="419" w:type="pct"/>
            <w:noWrap w:val="0"/>
            <w:vAlign w:val="center"/>
          </w:tcPr>
          <w:p w14:paraId="69F6D042">
            <w:pPr>
              <w:shd w:val="clear" w:color="auto" w:fill="auto"/>
              <w:spacing w:line="400" w:lineRule="atLeast"/>
              <w:jc w:val="center"/>
              <w:rPr>
                <w:rFonts w:hint="eastAsia" w:ascii="黑体" w:hAnsi="黑体" w:eastAsia="黑体" w:cs="黑体"/>
                <w:color w:val="auto"/>
                <w:szCs w:val="21"/>
                <w:highlight w:val="none"/>
              </w:rPr>
            </w:pPr>
          </w:p>
        </w:tc>
      </w:tr>
      <w:tr w14:paraId="0A5AD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81" w:type="pct"/>
            <w:noWrap w:val="0"/>
            <w:vAlign w:val="center"/>
          </w:tcPr>
          <w:p w14:paraId="12907849">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5</w:t>
            </w:r>
          </w:p>
        </w:tc>
        <w:tc>
          <w:tcPr>
            <w:tcW w:w="1516" w:type="pct"/>
            <w:noWrap w:val="0"/>
            <w:vAlign w:val="center"/>
          </w:tcPr>
          <w:p w14:paraId="543DF9B0">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提前交工的奖金限额</w:t>
            </w:r>
          </w:p>
        </w:tc>
        <w:tc>
          <w:tcPr>
            <w:tcW w:w="663" w:type="pct"/>
            <w:noWrap w:val="0"/>
            <w:vAlign w:val="center"/>
          </w:tcPr>
          <w:p w14:paraId="56427ADE">
            <w:pPr>
              <w:shd w:val="clear" w:color="auto" w:fill="auto"/>
              <w:snapToGrid w:val="0"/>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11.6</w:t>
            </w:r>
          </w:p>
        </w:tc>
        <w:tc>
          <w:tcPr>
            <w:tcW w:w="3613" w:type="dxa"/>
            <w:noWrap w:val="0"/>
            <w:vAlign w:val="center"/>
          </w:tcPr>
          <w:p w14:paraId="51831BDA">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不适用</w:t>
            </w:r>
          </w:p>
        </w:tc>
        <w:tc>
          <w:tcPr>
            <w:tcW w:w="419" w:type="pct"/>
            <w:noWrap w:val="0"/>
            <w:vAlign w:val="center"/>
          </w:tcPr>
          <w:p w14:paraId="27B1C42D">
            <w:pPr>
              <w:shd w:val="clear" w:color="auto" w:fill="auto"/>
              <w:spacing w:line="400" w:lineRule="atLeast"/>
              <w:jc w:val="center"/>
              <w:rPr>
                <w:rFonts w:hint="eastAsia" w:ascii="黑体" w:hAnsi="黑体" w:eastAsia="黑体" w:cs="黑体"/>
                <w:color w:val="auto"/>
                <w:szCs w:val="21"/>
                <w:highlight w:val="none"/>
              </w:rPr>
            </w:pPr>
          </w:p>
        </w:tc>
      </w:tr>
      <w:tr w14:paraId="07B3F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81" w:type="pct"/>
            <w:noWrap w:val="0"/>
            <w:vAlign w:val="center"/>
          </w:tcPr>
          <w:p w14:paraId="481FF7DA">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6</w:t>
            </w:r>
          </w:p>
        </w:tc>
        <w:tc>
          <w:tcPr>
            <w:tcW w:w="1516" w:type="pct"/>
            <w:noWrap w:val="0"/>
            <w:vAlign w:val="center"/>
          </w:tcPr>
          <w:p w14:paraId="5E2CDC73">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价格调整的差额计算</w:t>
            </w:r>
          </w:p>
        </w:tc>
        <w:tc>
          <w:tcPr>
            <w:tcW w:w="663" w:type="pct"/>
            <w:noWrap w:val="0"/>
            <w:vAlign w:val="center"/>
          </w:tcPr>
          <w:p w14:paraId="6212A24B">
            <w:pPr>
              <w:shd w:val="clear" w:color="auto" w:fill="auto"/>
              <w:snapToGrid w:val="0"/>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16.1.1</w:t>
            </w:r>
          </w:p>
        </w:tc>
        <w:tc>
          <w:tcPr>
            <w:tcW w:w="2021" w:type="pct"/>
            <w:noWrap w:val="0"/>
            <w:vAlign w:val="center"/>
          </w:tcPr>
          <w:p w14:paraId="75694947">
            <w:pPr>
              <w:shd w:val="clear" w:color="auto" w:fill="auto"/>
              <w:snapToGrid w:val="0"/>
              <w:spacing w:line="40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rPr>
              <w:t>见价格指数和权重表</w:t>
            </w:r>
          </w:p>
        </w:tc>
        <w:tc>
          <w:tcPr>
            <w:tcW w:w="419" w:type="pct"/>
            <w:noWrap w:val="0"/>
            <w:vAlign w:val="center"/>
          </w:tcPr>
          <w:p w14:paraId="1A2E794D">
            <w:pPr>
              <w:shd w:val="clear" w:color="auto" w:fill="auto"/>
              <w:spacing w:line="400" w:lineRule="atLeast"/>
              <w:jc w:val="center"/>
              <w:rPr>
                <w:rFonts w:hint="eastAsia" w:ascii="黑体" w:hAnsi="黑体" w:eastAsia="黑体" w:cs="黑体"/>
                <w:color w:val="auto"/>
                <w:szCs w:val="21"/>
                <w:highlight w:val="none"/>
              </w:rPr>
            </w:pPr>
          </w:p>
        </w:tc>
      </w:tr>
      <w:tr w14:paraId="2F17F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81" w:type="pct"/>
            <w:noWrap w:val="0"/>
            <w:vAlign w:val="center"/>
          </w:tcPr>
          <w:p w14:paraId="5F9C4296">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7</w:t>
            </w:r>
          </w:p>
        </w:tc>
        <w:tc>
          <w:tcPr>
            <w:tcW w:w="1516" w:type="pct"/>
            <w:noWrap w:val="0"/>
            <w:vAlign w:val="center"/>
          </w:tcPr>
          <w:p w14:paraId="55E1743A">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开工预付款金额</w:t>
            </w:r>
          </w:p>
        </w:tc>
        <w:tc>
          <w:tcPr>
            <w:tcW w:w="663" w:type="pct"/>
            <w:noWrap w:val="0"/>
            <w:vAlign w:val="center"/>
          </w:tcPr>
          <w:p w14:paraId="3FA73523">
            <w:pPr>
              <w:shd w:val="clear" w:color="auto" w:fill="auto"/>
              <w:snapToGrid w:val="0"/>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17.2.1（1）</w:t>
            </w:r>
          </w:p>
        </w:tc>
        <w:tc>
          <w:tcPr>
            <w:tcW w:w="2021" w:type="pct"/>
            <w:noWrap w:val="0"/>
            <w:vAlign w:val="center"/>
          </w:tcPr>
          <w:p w14:paraId="180EA6C0">
            <w:pPr>
              <w:shd w:val="clear" w:color="auto" w:fill="auto"/>
              <w:snapToGrid w:val="0"/>
              <w:spacing w:line="40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不适用</w:t>
            </w:r>
          </w:p>
        </w:tc>
        <w:tc>
          <w:tcPr>
            <w:tcW w:w="419" w:type="pct"/>
            <w:noWrap w:val="0"/>
            <w:vAlign w:val="center"/>
          </w:tcPr>
          <w:p w14:paraId="2440F0D7">
            <w:pPr>
              <w:shd w:val="clear" w:color="auto" w:fill="auto"/>
              <w:spacing w:line="400" w:lineRule="atLeast"/>
              <w:jc w:val="center"/>
              <w:rPr>
                <w:rFonts w:hint="eastAsia" w:ascii="黑体" w:hAnsi="黑体" w:eastAsia="黑体" w:cs="黑体"/>
                <w:color w:val="auto"/>
                <w:szCs w:val="21"/>
                <w:highlight w:val="none"/>
              </w:rPr>
            </w:pPr>
          </w:p>
        </w:tc>
      </w:tr>
      <w:tr w14:paraId="6B8FC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81" w:type="pct"/>
            <w:noWrap w:val="0"/>
            <w:vAlign w:val="center"/>
          </w:tcPr>
          <w:p w14:paraId="3AE46459">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8</w:t>
            </w:r>
          </w:p>
        </w:tc>
        <w:tc>
          <w:tcPr>
            <w:tcW w:w="1516" w:type="pct"/>
            <w:noWrap w:val="0"/>
            <w:vAlign w:val="center"/>
          </w:tcPr>
          <w:p w14:paraId="08B3DABF">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材料、设备预</w:t>
            </w: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付款比例</w:t>
            </w:r>
          </w:p>
        </w:tc>
        <w:tc>
          <w:tcPr>
            <w:tcW w:w="663" w:type="pct"/>
            <w:noWrap w:val="0"/>
            <w:vAlign w:val="center"/>
          </w:tcPr>
          <w:p w14:paraId="102EA044">
            <w:pPr>
              <w:shd w:val="clear" w:color="auto" w:fill="auto"/>
              <w:snapToGrid w:val="0"/>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17.2.1（2）</w:t>
            </w:r>
          </w:p>
        </w:tc>
        <w:tc>
          <w:tcPr>
            <w:tcW w:w="2021" w:type="pct"/>
            <w:noWrap w:val="0"/>
            <w:vAlign w:val="center"/>
          </w:tcPr>
          <w:p w14:paraId="44EA446C">
            <w:pPr>
              <w:shd w:val="clear" w:color="auto" w:fill="auto"/>
              <w:snapToGrid w:val="0"/>
              <w:spacing w:line="40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不适用</w:t>
            </w:r>
          </w:p>
        </w:tc>
        <w:tc>
          <w:tcPr>
            <w:tcW w:w="419" w:type="pct"/>
            <w:noWrap w:val="0"/>
            <w:vAlign w:val="center"/>
          </w:tcPr>
          <w:p w14:paraId="744B0328">
            <w:pPr>
              <w:shd w:val="clear" w:color="auto" w:fill="auto"/>
              <w:spacing w:line="400" w:lineRule="atLeast"/>
              <w:jc w:val="center"/>
              <w:rPr>
                <w:rFonts w:hint="eastAsia" w:ascii="黑体" w:hAnsi="黑体" w:eastAsia="黑体" w:cs="黑体"/>
                <w:color w:val="auto"/>
                <w:szCs w:val="21"/>
                <w:highlight w:val="none"/>
              </w:rPr>
            </w:pPr>
          </w:p>
        </w:tc>
      </w:tr>
      <w:tr w14:paraId="6B90D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81" w:type="pct"/>
            <w:noWrap w:val="0"/>
            <w:vAlign w:val="center"/>
          </w:tcPr>
          <w:p w14:paraId="68F01525">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9</w:t>
            </w:r>
          </w:p>
        </w:tc>
        <w:tc>
          <w:tcPr>
            <w:tcW w:w="1516" w:type="pct"/>
            <w:noWrap w:val="0"/>
            <w:vAlign w:val="center"/>
          </w:tcPr>
          <w:p w14:paraId="016A3307">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进度付款证书最低限额</w:t>
            </w:r>
          </w:p>
        </w:tc>
        <w:tc>
          <w:tcPr>
            <w:tcW w:w="663" w:type="pct"/>
            <w:noWrap w:val="0"/>
            <w:vAlign w:val="center"/>
          </w:tcPr>
          <w:p w14:paraId="2E658706">
            <w:pPr>
              <w:shd w:val="clear" w:color="auto" w:fill="auto"/>
              <w:snapToGrid w:val="0"/>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17.3.3（1）</w:t>
            </w:r>
          </w:p>
        </w:tc>
        <w:tc>
          <w:tcPr>
            <w:tcW w:w="3613" w:type="dxa"/>
            <w:noWrap w:val="0"/>
            <w:vAlign w:val="center"/>
          </w:tcPr>
          <w:p w14:paraId="18C78EE7">
            <w:pPr>
              <w:rPr>
                <w:rFonts w:hint="default" w:ascii="黑体" w:hAnsi="黑体" w:eastAsia="黑体" w:cs="黑体"/>
                <w:color w:val="auto"/>
                <w:szCs w:val="21"/>
                <w:highlight w:val="none"/>
                <w:lang w:val="en-US"/>
              </w:rPr>
            </w:pPr>
            <w:r>
              <w:rPr>
                <w:rStyle w:val="35"/>
                <w:rFonts w:hint="eastAsia" w:ascii="黑体" w:hAnsi="黑体" w:eastAsia="黑体" w:cs="黑体"/>
                <w:b/>
                <w:bCs/>
                <w:color w:val="auto"/>
                <w:sz w:val="21"/>
                <w:szCs w:val="21"/>
                <w:highlight w:val="none"/>
                <w:u w:val="single"/>
                <w:lang w:val="en-US" w:eastAsia="zh-CN"/>
              </w:rPr>
              <w:t>200万元</w:t>
            </w:r>
          </w:p>
        </w:tc>
        <w:tc>
          <w:tcPr>
            <w:tcW w:w="419" w:type="pct"/>
            <w:noWrap w:val="0"/>
            <w:vAlign w:val="center"/>
          </w:tcPr>
          <w:p w14:paraId="6FBB180A">
            <w:pPr>
              <w:shd w:val="clear" w:color="auto" w:fill="auto"/>
              <w:spacing w:line="400" w:lineRule="atLeast"/>
              <w:jc w:val="center"/>
              <w:rPr>
                <w:rFonts w:hint="eastAsia" w:ascii="黑体" w:hAnsi="黑体" w:eastAsia="黑体" w:cs="黑体"/>
                <w:color w:val="auto"/>
                <w:szCs w:val="21"/>
                <w:highlight w:val="none"/>
              </w:rPr>
            </w:pPr>
          </w:p>
        </w:tc>
      </w:tr>
      <w:tr w14:paraId="556E1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81" w:type="pct"/>
            <w:noWrap w:val="0"/>
            <w:vAlign w:val="center"/>
          </w:tcPr>
          <w:p w14:paraId="08F01D5E">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10</w:t>
            </w:r>
          </w:p>
        </w:tc>
        <w:tc>
          <w:tcPr>
            <w:tcW w:w="1516" w:type="pct"/>
            <w:noWrap w:val="0"/>
            <w:vAlign w:val="center"/>
          </w:tcPr>
          <w:p w14:paraId="43D5E9A1">
            <w:pPr>
              <w:shd w:val="clear" w:color="auto" w:fill="auto"/>
              <w:spacing w:line="400" w:lineRule="atLeast"/>
              <w:ind w:left="-105" w:leftChars="-50" w:right="-105" w:rightChars="-50"/>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逾期付款违约金的利率</w:t>
            </w:r>
          </w:p>
        </w:tc>
        <w:tc>
          <w:tcPr>
            <w:tcW w:w="663" w:type="pct"/>
            <w:noWrap w:val="0"/>
            <w:vAlign w:val="center"/>
          </w:tcPr>
          <w:p w14:paraId="05CA2F1F">
            <w:pPr>
              <w:shd w:val="clear" w:color="auto" w:fill="auto"/>
              <w:snapToGrid w:val="0"/>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17.3.3（2）</w:t>
            </w:r>
          </w:p>
        </w:tc>
        <w:tc>
          <w:tcPr>
            <w:tcW w:w="3613" w:type="dxa"/>
            <w:noWrap w:val="0"/>
            <w:vAlign w:val="center"/>
          </w:tcPr>
          <w:p w14:paraId="5A9536D3">
            <w:pPr>
              <w:rPr>
                <w:rFonts w:hint="eastAsia" w:ascii="黑体" w:hAnsi="黑体" w:eastAsia="黑体" w:cs="黑体"/>
                <w:color w:val="auto"/>
                <w:szCs w:val="21"/>
                <w:highlight w:val="none"/>
              </w:rPr>
            </w:pPr>
            <w:r>
              <w:rPr>
                <w:rStyle w:val="35"/>
                <w:rFonts w:hint="eastAsia" w:ascii="黑体" w:hAnsi="黑体" w:eastAsia="黑体" w:cs="黑体"/>
                <w:b/>
                <w:bCs/>
                <w:color w:val="auto"/>
                <w:sz w:val="21"/>
                <w:szCs w:val="21"/>
                <w:highlight w:val="none"/>
                <w:lang w:val="zh-TW" w:eastAsia="zh-TW"/>
              </w:rPr>
              <w:t>中国人民银行短期贷款利率加手续费</w:t>
            </w:r>
          </w:p>
        </w:tc>
        <w:tc>
          <w:tcPr>
            <w:tcW w:w="419" w:type="pct"/>
            <w:noWrap w:val="0"/>
            <w:vAlign w:val="center"/>
          </w:tcPr>
          <w:p w14:paraId="0A03B1DF">
            <w:pPr>
              <w:shd w:val="clear" w:color="auto" w:fill="auto"/>
              <w:spacing w:line="400" w:lineRule="atLeast"/>
              <w:jc w:val="center"/>
              <w:rPr>
                <w:rFonts w:hint="eastAsia" w:ascii="黑体" w:hAnsi="黑体" w:eastAsia="黑体" w:cs="黑体"/>
                <w:color w:val="auto"/>
                <w:szCs w:val="21"/>
                <w:highlight w:val="none"/>
              </w:rPr>
            </w:pPr>
          </w:p>
        </w:tc>
      </w:tr>
      <w:tr w14:paraId="2F51C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81" w:type="pct"/>
            <w:noWrap w:val="0"/>
            <w:vAlign w:val="center"/>
          </w:tcPr>
          <w:p w14:paraId="34985EC7">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11</w:t>
            </w:r>
          </w:p>
        </w:tc>
        <w:tc>
          <w:tcPr>
            <w:tcW w:w="1516" w:type="pct"/>
            <w:noWrap w:val="0"/>
            <w:vAlign w:val="center"/>
          </w:tcPr>
          <w:p w14:paraId="5B278181">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质量保证金金额</w:t>
            </w:r>
          </w:p>
        </w:tc>
        <w:tc>
          <w:tcPr>
            <w:tcW w:w="663" w:type="pct"/>
            <w:noWrap w:val="0"/>
            <w:vAlign w:val="center"/>
          </w:tcPr>
          <w:p w14:paraId="4A79C601">
            <w:pPr>
              <w:shd w:val="clear" w:color="auto" w:fill="auto"/>
              <w:snapToGrid w:val="0"/>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17.4.1</w:t>
            </w:r>
          </w:p>
        </w:tc>
        <w:tc>
          <w:tcPr>
            <w:tcW w:w="2021" w:type="pct"/>
            <w:noWrap w:val="0"/>
            <w:vAlign w:val="center"/>
          </w:tcPr>
          <w:p w14:paraId="7CF2E005">
            <w:pPr>
              <w:shd w:val="clear" w:color="auto" w:fill="auto"/>
              <w:snapToGrid w:val="0"/>
              <w:spacing w:line="400" w:lineRule="atLeas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u w:val="single"/>
              </w:rPr>
              <w:t xml:space="preserve"> </w:t>
            </w:r>
            <w:r>
              <w:rPr>
                <w:rFonts w:hint="eastAsia" w:ascii="黑体" w:hAnsi="黑体" w:eastAsia="黑体" w:cs="黑体"/>
                <w:b/>
                <w:color w:val="auto"/>
                <w:szCs w:val="21"/>
                <w:highlight w:val="none"/>
                <w:u w:val="single"/>
              </w:rPr>
              <w:t>3</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%合同价格</w:t>
            </w:r>
            <w:r>
              <w:rPr>
                <w:rFonts w:hint="eastAsia" w:ascii="黑体" w:hAnsi="黑体" w:eastAsia="黑体" w:cs="黑体"/>
                <w:color w:val="auto"/>
                <w:szCs w:val="21"/>
                <w:highlight w:val="none"/>
                <w:lang w:eastAsia="zh-CN"/>
              </w:rPr>
              <w:t>。</w:t>
            </w:r>
          </w:p>
        </w:tc>
        <w:tc>
          <w:tcPr>
            <w:tcW w:w="419" w:type="pct"/>
            <w:noWrap w:val="0"/>
            <w:vAlign w:val="center"/>
          </w:tcPr>
          <w:p w14:paraId="550B1A60">
            <w:pPr>
              <w:shd w:val="clear" w:color="auto" w:fill="auto"/>
              <w:spacing w:line="400" w:lineRule="atLeast"/>
              <w:jc w:val="center"/>
              <w:rPr>
                <w:rFonts w:hint="eastAsia" w:ascii="黑体" w:hAnsi="黑体" w:eastAsia="黑体" w:cs="黑体"/>
                <w:color w:val="auto"/>
                <w:szCs w:val="21"/>
                <w:highlight w:val="none"/>
              </w:rPr>
            </w:pPr>
          </w:p>
        </w:tc>
      </w:tr>
      <w:tr w14:paraId="1F116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81" w:type="pct"/>
            <w:noWrap w:val="0"/>
            <w:vAlign w:val="center"/>
          </w:tcPr>
          <w:p w14:paraId="4AEC1CFE">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12</w:t>
            </w:r>
          </w:p>
        </w:tc>
        <w:tc>
          <w:tcPr>
            <w:tcW w:w="1516" w:type="pct"/>
            <w:noWrap w:val="0"/>
            <w:vAlign w:val="center"/>
          </w:tcPr>
          <w:p w14:paraId="6EFFD7EB">
            <w:pPr>
              <w:shd w:val="clear" w:color="auto" w:fill="auto"/>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保修期</w:t>
            </w:r>
          </w:p>
        </w:tc>
        <w:tc>
          <w:tcPr>
            <w:tcW w:w="663" w:type="pct"/>
            <w:noWrap w:val="0"/>
            <w:vAlign w:val="center"/>
          </w:tcPr>
          <w:p w14:paraId="5FEB70CF">
            <w:pPr>
              <w:shd w:val="clear" w:color="auto" w:fill="auto"/>
              <w:snapToGrid w:val="0"/>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19.7（1）</w:t>
            </w:r>
          </w:p>
        </w:tc>
        <w:tc>
          <w:tcPr>
            <w:tcW w:w="2021" w:type="pct"/>
            <w:noWrap w:val="0"/>
            <w:vAlign w:val="center"/>
          </w:tcPr>
          <w:p w14:paraId="402F9542">
            <w:pPr>
              <w:shd w:val="clear" w:color="auto" w:fill="auto"/>
              <w:snapToGrid w:val="0"/>
              <w:spacing w:line="400" w:lineRule="atLeas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自实际交工日期起计算</w:t>
            </w:r>
            <w:r>
              <w:rPr>
                <w:rFonts w:hint="eastAsia" w:ascii="黑体" w:hAnsi="黑体" w:eastAsia="黑体" w:cs="黑体"/>
                <w:b/>
                <w:color w:val="auto"/>
                <w:szCs w:val="21"/>
                <w:highlight w:val="none"/>
                <w:u w:val="single"/>
                <w:lang w:val="en-US" w:eastAsia="zh-CN"/>
              </w:rPr>
              <w:t>1</w:t>
            </w:r>
            <w:r>
              <w:rPr>
                <w:rFonts w:hint="eastAsia" w:ascii="黑体" w:hAnsi="黑体" w:eastAsia="黑体" w:cs="黑体"/>
                <w:b/>
                <w:color w:val="auto"/>
                <w:szCs w:val="21"/>
                <w:highlight w:val="none"/>
                <w:u w:val="none"/>
                <w:lang w:val="en-US" w:eastAsia="zh-CN"/>
              </w:rPr>
              <w:t>年</w:t>
            </w:r>
          </w:p>
        </w:tc>
        <w:tc>
          <w:tcPr>
            <w:tcW w:w="419" w:type="pct"/>
            <w:noWrap w:val="0"/>
            <w:vAlign w:val="center"/>
          </w:tcPr>
          <w:p w14:paraId="31E0302D">
            <w:pPr>
              <w:shd w:val="clear" w:color="auto" w:fill="auto"/>
              <w:spacing w:line="400" w:lineRule="atLeast"/>
              <w:jc w:val="center"/>
              <w:rPr>
                <w:rFonts w:hint="eastAsia" w:ascii="黑体" w:hAnsi="黑体" w:eastAsia="黑体" w:cs="黑体"/>
                <w:color w:val="auto"/>
                <w:szCs w:val="21"/>
                <w:highlight w:val="none"/>
              </w:rPr>
            </w:pPr>
          </w:p>
        </w:tc>
      </w:tr>
    </w:tbl>
    <w:p w14:paraId="01E73FCD">
      <w:pPr>
        <w:shd w:val="clear" w:color="auto" w:fill="auto"/>
        <w:snapToGrid w:val="0"/>
        <w:spacing w:line="400" w:lineRule="atLeast"/>
        <w:ind w:firstLine="3240" w:firstLineChars="1350"/>
        <w:rPr>
          <w:rFonts w:hint="eastAsia" w:ascii="黑体" w:hAnsi="黑体" w:eastAsia="黑体" w:cs="黑体"/>
          <w:color w:val="auto"/>
          <w:sz w:val="24"/>
          <w:highlight w:val="none"/>
        </w:rPr>
      </w:pPr>
    </w:p>
    <w:p w14:paraId="37924345">
      <w:pPr>
        <w:shd w:val="clear" w:color="auto" w:fill="auto"/>
        <w:spacing w:line="440" w:lineRule="exact"/>
        <w:rPr>
          <w:rFonts w:hint="eastAsia" w:ascii="黑体" w:hAnsi="黑体" w:eastAsia="黑体" w:cs="黑体"/>
          <w:color w:val="auto"/>
          <w:sz w:val="20"/>
          <w:szCs w:val="20"/>
          <w:highlight w:val="none"/>
        </w:rPr>
      </w:pPr>
    </w:p>
    <w:p w14:paraId="57E1AD79">
      <w:pPr>
        <w:pStyle w:val="3"/>
        <w:bidi w:val="0"/>
        <w:rPr>
          <w:rFonts w:hint="eastAsia" w:ascii="黑体" w:hAnsi="黑体" w:eastAsia="黑体" w:cs="黑体"/>
          <w:b/>
          <w:bCs w:val="0"/>
          <w:color w:val="auto"/>
          <w:szCs w:val="32"/>
          <w:highlight w:val="none"/>
        </w:rPr>
      </w:pPr>
      <w:r>
        <w:rPr>
          <w:rFonts w:hint="eastAsia" w:ascii="黑体" w:hAnsi="黑体" w:eastAsia="黑体" w:cs="黑体"/>
          <w:color w:val="auto"/>
          <w:highlight w:val="none"/>
        </w:rPr>
        <w:br w:type="page"/>
      </w:r>
      <w:bookmarkStart w:id="791" w:name="_Toc12372"/>
      <w:bookmarkStart w:id="792" w:name="_Toc501257481"/>
      <w:bookmarkStart w:id="793" w:name="_Toc234833258"/>
      <w:r>
        <w:rPr>
          <w:rFonts w:hint="eastAsia"/>
          <w:highlight w:val="none"/>
        </w:rPr>
        <w:t>二、授权委托书或法定代表人身份证明</w:t>
      </w:r>
      <w:bookmarkEnd w:id="791"/>
      <w:bookmarkEnd w:id="792"/>
      <w:bookmarkEnd w:id="793"/>
    </w:p>
    <w:p w14:paraId="6135130D">
      <w:pPr>
        <w:pStyle w:val="2"/>
        <w:shd w:val="clear" w:color="auto" w:fill="auto"/>
        <w:spacing w:before="360" w:beforeLines="150" w:after="240" w:afterLines="100" w:line="380" w:lineRule="atLeast"/>
        <w:jc w:val="center"/>
        <w:rPr>
          <w:rFonts w:hint="eastAsia" w:ascii="黑体" w:hAnsi="黑体" w:eastAsia="黑体" w:cs="黑体"/>
          <w:b/>
          <w:bCs w:val="0"/>
          <w:color w:val="auto"/>
          <w:sz w:val="28"/>
          <w:szCs w:val="28"/>
          <w:highlight w:val="none"/>
        </w:rPr>
      </w:pPr>
      <w:bookmarkStart w:id="794" w:name="_Toc21187"/>
      <w:bookmarkStart w:id="795" w:name="_Toc501257482"/>
      <w:bookmarkStart w:id="796" w:name="_Toc234833259"/>
      <w:r>
        <w:rPr>
          <w:rFonts w:hint="eastAsia" w:ascii="黑体" w:hAnsi="黑体" w:eastAsia="黑体" w:cs="黑体"/>
          <w:b/>
          <w:bCs w:val="0"/>
          <w:color w:val="auto"/>
          <w:sz w:val="28"/>
          <w:szCs w:val="28"/>
          <w:highlight w:val="none"/>
        </w:rPr>
        <w:t>（一）授权委托书</w:t>
      </w:r>
      <w:r>
        <w:rPr>
          <w:rStyle w:val="28"/>
          <w:rFonts w:hint="eastAsia" w:ascii="黑体" w:hAnsi="黑体" w:eastAsia="黑体" w:cs="黑体"/>
          <w:b/>
          <w:bCs w:val="0"/>
          <w:color w:val="auto"/>
          <w:sz w:val="28"/>
          <w:szCs w:val="28"/>
          <w:highlight w:val="none"/>
        </w:rPr>
        <w:footnoteReference w:id="10"/>
      </w:r>
      <w:bookmarkEnd w:id="794"/>
      <w:bookmarkEnd w:id="795"/>
    </w:p>
    <w:p w14:paraId="1485F8E5">
      <w:pPr>
        <w:shd w:val="clear" w:color="auto" w:fill="auto"/>
        <w:spacing w:line="440" w:lineRule="exact"/>
        <w:rPr>
          <w:rFonts w:hint="eastAsia" w:ascii="黑体" w:hAnsi="黑体" w:eastAsia="黑体" w:cs="黑体"/>
          <w:color w:val="auto"/>
          <w:sz w:val="24"/>
          <w:highlight w:val="none"/>
        </w:rPr>
      </w:pPr>
    </w:p>
    <w:p w14:paraId="6C926392">
      <w:pPr>
        <w:shd w:val="clear" w:color="auto" w:fill="auto"/>
        <w:topLinePunct/>
        <w:spacing w:line="440" w:lineRule="exac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本人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（姓名）系</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（投标人名称）的法定代表人，现委托</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（姓名）为我方代理人。代理人根据授权，以我方名义签署、澄清确认、递交、撤回、修改</w:t>
      </w:r>
      <w:r>
        <w:rPr>
          <w:rFonts w:hint="eastAsia" w:ascii="黑体" w:hAnsi="黑体" w:eastAsia="黑体" w:cs="黑体"/>
          <w:color w:val="auto"/>
          <w:sz w:val="21"/>
          <w:szCs w:val="21"/>
          <w:highlight w:val="none"/>
          <w:u w:val="single"/>
        </w:rPr>
        <w:t xml:space="preserve">                     </w:t>
      </w:r>
      <w:r>
        <w:rPr>
          <w:rFonts w:hint="eastAsia" w:ascii="黑体" w:hAnsi="黑体" w:eastAsia="黑体" w:cs="黑体"/>
          <w:b/>
          <w:bCs/>
          <w:color w:val="auto"/>
          <w:sz w:val="21"/>
          <w:szCs w:val="21"/>
          <w:highlight w:val="none"/>
          <w:u w:val="single"/>
          <w:lang w:eastAsia="zh-CN"/>
        </w:rPr>
        <w:t>2026年新巴尔虎左旗生命安全防护工程</w:t>
      </w:r>
      <w:r>
        <w:rPr>
          <w:rFonts w:hint="eastAsia" w:ascii="黑体" w:hAnsi="黑体" w:eastAsia="黑体" w:cs="黑体"/>
          <w:b/>
          <w:bCs/>
          <w:color w:val="auto"/>
          <w:sz w:val="21"/>
          <w:szCs w:val="21"/>
          <w:highlight w:val="none"/>
          <w:u w:val="single"/>
          <w:lang w:val="en-US" w:eastAsia="zh-CN"/>
        </w:rPr>
        <w:t>施工第   标段</w:t>
      </w:r>
      <w:r>
        <w:rPr>
          <w:rFonts w:hint="eastAsia" w:ascii="黑体" w:hAnsi="黑体" w:eastAsia="黑体" w:cs="黑体"/>
          <w:color w:val="auto"/>
          <w:sz w:val="21"/>
          <w:szCs w:val="21"/>
          <w:highlight w:val="none"/>
        </w:rPr>
        <w:t>投标文件、签订合同和处理有关事宜，其法律后果由我方承担。</w:t>
      </w:r>
    </w:p>
    <w:p w14:paraId="2903ECB6">
      <w:pPr>
        <w:shd w:val="clear" w:color="auto" w:fill="auto"/>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委托期限：自本委托书签署之日起至投标有效期期满。</w:t>
      </w:r>
    </w:p>
    <w:p w14:paraId="7B4C5990">
      <w:pPr>
        <w:shd w:val="clear" w:color="auto" w:fill="auto"/>
        <w:spacing w:line="440" w:lineRule="exac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代理人无转委托权。</w:t>
      </w:r>
    </w:p>
    <w:p w14:paraId="0679BF9E">
      <w:pPr>
        <w:shd w:val="clear" w:color="auto" w:fill="auto"/>
        <w:spacing w:line="440" w:lineRule="exact"/>
        <w:rPr>
          <w:rFonts w:hint="eastAsia" w:ascii="黑体" w:hAnsi="黑体" w:eastAsia="黑体" w:cs="黑体"/>
          <w:color w:val="auto"/>
          <w:sz w:val="21"/>
          <w:szCs w:val="21"/>
          <w:highlight w:val="none"/>
        </w:rPr>
      </w:pPr>
    </w:p>
    <w:p w14:paraId="26498A2B">
      <w:pPr>
        <w:shd w:val="clear" w:color="auto" w:fill="auto"/>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附：法定代表人身份证复印件及委托代理人身份证复印件。</w:t>
      </w:r>
    </w:p>
    <w:p w14:paraId="4E688F5A">
      <w:pPr>
        <w:shd w:val="clear" w:color="auto" w:fill="auto"/>
        <w:spacing w:line="440" w:lineRule="exact"/>
        <w:rPr>
          <w:rFonts w:hint="eastAsia" w:ascii="黑体" w:hAnsi="黑体" w:eastAsia="黑体" w:cs="黑体"/>
          <w:color w:val="auto"/>
          <w:sz w:val="21"/>
          <w:szCs w:val="21"/>
          <w:highlight w:val="none"/>
        </w:rPr>
      </w:pPr>
    </w:p>
    <w:p w14:paraId="16E374A8">
      <w:pPr>
        <w:shd w:val="clear" w:color="auto" w:fill="auto"/>
        <w:topLinePunct/>
        <w:spacing w:line="400" w:lineRule="atLeast"/>
        <w:ind w:firstLine="3360" w:firstLineChars="16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w:t>
      </w:r>
      <w:r>
        <w:rPr>
          <w:rFonts w:hint="eastAsia" w:ascii="黑体" w:hAnsi="黑体" w:eastAsia="黑体" w:cs="黑体"/>
          <w:color w:val="auto"/>
          <w:sz w:val="21"/>
          <w:szCs w:val="21"/>
          <w:highlight w:val="none"/>
          <w:lang w:val="en-US" w:eastAsia="zh-CN"/>
        </w:rPr>
        <w:t xml:space="preserve">  </w:t>
      </w:r>
      <w:r>
        <w:rPr>
          <w:rFonts w:hint="eastAsia" w:ascii="黑体" w:hAnsi="黑体" w:eastAsia="黑体" w:cs="黑体"/>
          <w:color w:val="auto"/>
          <w:sz w:val="21"/>
          <w:szCs w:val="21"/>
          <w:highlight w:val="none"/>
        </w:rPr>
        <w:t>标</w:t>
      </w:r>
      <w:r>
        <w:rPr>
          <w:rFonts w:hint="eastAsia" w:ascii="黑体" w:hAnsi="黑体" w:eastAsia="黑体" w:cs="黑体"/>
          <w:color w:val="auto"/>
          <w:sz w:val="21"/>
          <w:szCs w:val="21"/>
          <w:highlight w:val="none"/>
          <w:lang w:val="en-US" w:eastAsia="zh-CN"/>
        </w:rPr>
        <w:t xml:space="preserve">  </w:t>
      </w:r>
      <w:r>
        <w:rPr>
          <w:rFonts w:hint="eastAsia" w:ascii="黑体" w:hAnsi="黑体" w:eastAsia="黑体" w:cs="黑体"/>
          <w:color w:val="auto"/>
          <w:sz w:val="21"/>
          <w:szCs w:val="21"/>
          <w:highlight w:val="none"/>
        </w:rPr>
        <w:t>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（盖单位章）</w:t>
      </w:r>
    </w:p>
    <w:p w14:paraId="0D9343B4">
      <w:pPr>
        <w:shd w:val="clear" w:color="auto" w:fill="auto"/>
        <w:topLinePunct/>
        <w:spacing w:line="400" w:lineRule="atLeast"/>
        <w:ind w:firstLine="2879" w:firstLineChars="1371"/>
        <w:rPr>
          <w:rFonts w:hint="eastAsia" w:ascii="黑体" w:hAnsi="黑体" w:eastAsia="黑体" w:cs="黑体"/>
          <w:color w:val="auto"/>
          <w:sz w:val="21"/>
          <w:szCs w:val="21"/>
          <w:highlight w:val="none"/>
        </w:rPr>
      </w:pPr>
    </w:p>
    <w:p w14:paraId="318678C9">
      <w:pPr>
        <w:shd w:val="clear" w:color="auto" w:fill="auto"/>
        <w:topLinePunct/>
        <w:spacing w:line="400" w:lineRule="atLeast"/>
        <w:ind w:firstLine="3360" w:firstLineChars="16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法定代表人：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（签字）</w:t>
      </w:r>
    </w:p>
    <w:p w14:paraId="47960673">
      <w:pPr>
        <w:shd w:val="clear" w:color="auto" w:fill="auto"/>
        <w:topLinePunct/>
        <w:spacing w:line="400" w:lineRule="atLeast"/>
        <w:ind w:firstLine="2879" w:firstLineChars="1371"/>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w:t>
      </w:r>
    </w:p>
    <w:p w14:paraId="1F08CADB">
      <w:pPr>
        <w:shd w:val="clear" w:color="auto" w:fill="auto"/>
        <w:topLinePunct/>
        <w:spacing w:line="400" w:lineRule="atLeast"/>
        <w:ind w:firstLine="3360" w:firstLineChars="1600"/>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身份证号码：</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w:t>
      </w:r>
    </w:p>
    <w:p w14:paraId="6BDB7C75">
      <w:pPr>
        <w:shd w:val="clear" w:color="auto" w:fill="auto"/>
        <w:topLinePunct/>
        <w:spacing w:line="400" w:lineRule="atLeast"/>
        <w:ind w:firstLine="2879" w:firstLineChars="1371"/>
        <w:rPr>
          <w:rFonts w:hint="eastAsia" w:ascii="黑体" w:hAnsi="黑体" w:eastAsia="黑体" w:cs="黑体"/>
          <w:color w:val="auto"/>
          <w:sz w:val="21"/>
          <w:szCs w:val="21"/>
          <w:highlight w:val="none"/>
        </w:rPr>
      </w:pPr>
    </w:p>
    <w:p w14:paraId="599596E5">
      <w:pPr>
        <w:shd w:val="clear" w:color="auto" w:fill="auto"/>
        <w:topLinePunct/>
        <w:spacing w:line="400" w:lineRule="atLeast"/>
        <w:ind w:firstLine="3360" w:firstLineChars="16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委托代理人：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（签字）   </w:t>
      </w:r>
    </w:p>
    <w:p w14:paraId="1C93AA2F">
      <w:pPr>
        <w:shd w:val="clear" w:color="auto" w:fill="auto"/>
        <w:topLinePunct/>
        <w:spacing w:line="400" w:lineRule="atLeast"/>
        <w:ind w:left="2699" w:firstLine="2879" w:firstLineChars="1371"/>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w:t>
      </w:r>
    </w:p>
    <w:p w14:paraId="0EB1C283">
      <w:pPr>
        <w:shd w:val="clear" w:color="auto" w:fill="auto"/>
        <w:topLinePunct/>
        <w:spacing w:line="400" w:lineRule="atLeast"/>
        <w:ind w:firstLine="3360" w:firstLineChars="1600"/>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身份证号码：</w:t>
      </w:r>
      <w:r>
        <w:rPr>
          <w:rFonts w:hint="eastAsia" w:ascii="黑体" w:hAnsi="黑体" w:eastAsia="黑体" w:cs="黑体"/>
          <w:color w:val="auto"/>
          <w:sz w:val="21"/>
          <w:szCs w:val="21"/>
          <w:highlight w:val="none"/>
          <w:u w:val="single"/>
        </w:rPr>
        <w:t xml:space="preserve">                          </w:t>
      </w:r>
    </w:p>
    <w:p w14:paraId="2AC92B04">
      <w:pPr>
        <w:shd w:val="clear" w:color="auto" w:fill="auto"/>
        <w:topLinePunct/>
        <w:spacing w:line="400" w:lineRule="atLeast"/>
        <w:rPr>
          <w:rFonts w:hint="eastAsia" w:ascii="黑体" w:hAnsi="黑体" w:eastAsia="黑体" w:cs="黑体"/>
          <w:color w:val="auto"/>
          <w:sz w:val="21"/>
          <w:szCs w:val="21"/>
          <w:highlight w:val="none"/>
        </w:rPr>
      </w:pPr>
    </w:p>
    <w:p w14:paraId="1E982227">
      <w:pPr>
        <w:shd w:val="clear" w:color="auto" w:fill="auto"/>
        <w:topLinePunct/>
        <w:spacing w:line="400" w:lineRule="atLeast"/>
        <w:ind w:left="418" w:leftChars="199" w:firstLine="3675" w:firstLineChars="1750"/>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年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月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日</w:t>
      </w:r>
    </w:p>
    <w:p w14:paraId="58BDF6C2">
      <w:pPr>
        <w:shd w:val="clear" w:color="auto" w:fill="auto"/>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w:t>
      </w:r>
    </w:p>
    <w:p w14:paraId="0AA002BF">
      <w:pPr>
        <w:pStyle w:val="15"/>
        <w:shd w:val="clear" w:color="auto" w:fill="auto"/>
        <w:adjustRightInd/>
        <w:spacing w:line="240" w:lineRule="auto"/>
        <w:ind w:firstLine="0"/>
        <w:textAlignment w:val="auto"/>
        <w:rPr>
          <w:rFonts w:hint="eastAsia" w:ascii="黑体" w:hAnsi="黑体" w:eastAsia="黑体" w:cs="黑体"/>
          <w:color w:val="auto"/>
          <w:kern w:val="2"/>
          <w:sz w:val="21"/>
          <w:szCs w:val="21"/>
          <w:highlight w:val="none"/>
        </w:rPr>
      </w:pPr>
      <w:r>
        <w:rPr>
          <w:rFonts w:hint="eastAsia" w:ascii="黑体" w:hAnsi="黑体" w:eastAsia="黑体" w:cs="黑体"/>
          <w:color w:val="auto"/>
          <w:kern w:val="2"/>
          <w:sz w:val="21"/>
          <w:szCs w:val="21"/>
          <w:highlight w:val="none"/>
        </w:rPr>
        <w:t>注：</w:t>
      </w:r>
    </w:p>
    <w:p w14:paraId="033B1821">
      <w:pPr>
        <w:shd w:val="clear" w:color="auto" w:fill="auto"/>
        <w:spacing w:line="40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lang w:val="en-US" w:eastAsia="zh-CN"/>
        </w:rPr>
        <w:t>1</w:t>
      </w:r>
      <w:r>
        <w:rPr>
          <w:rFonts w:hint="eastAsia" w:ascii="黑体" w:hAnsi="黑体" w:eastAsia="黑体" w:cs="黑体"/>
          <w:color w:val="auto"/>
          <w:sz w:val="21"/>
          <w:szCs w:val="21"/>
          <w:highlight w:val="none"/>
        </w:rPr>
        <w:t>.以联合体形式投标的，本授权委托书应由联合体牵头人的法定代表人按上述规定签署。</w:t>
      </w:r>
    </w:p>
    <w:p w14:paraId="2FC1508D">
      <w:pPr>
        <w:pStyle w:val="2"/>
        <w:shd w:val="clear" w:color="auto" w:fill="auto"/>
        <w:spacing w:before="360" w:beforeLines="150" w:after="240" w:afterLines="100" w:line="380" w:lineRule="atLeast"/>
        <w:jc w:val="center"/>
        <w:rPr>
          <w:rFonts w:hint="eastAsia" w:ascii="黑体" w:hAnsi="黑体" w:eastAsia="黑体" w:cs="黑体"/>
          <w:b w:val="0"/>
          <w:color w:val="auto"/>
          <w:sz w:val="28"/>
          <w:szCs w:val="28"/>
          <w:highlight w:val="none"/>
        </w:rPr>
      </w:pPr>
      <w:r>
        <w:rPr>
          <w:rFonts w:hint="eastAsia" w:ascii="黑体" w:hAnsi="黑体" w:eastAsia="黑体" w:cs="黑体"/>
          <w:color w:val="auto"/>
          <w:sz w:val="21"/>
          <w:szCs w:val="21"/>
          <w:highlight w:val="none"/>
        </w:rPr>
        <w:br w:type="page"/>
      </w:r>
      <w:bookmarkStart w:id="797" w:name="_Toc29505"/>
      <w:bookmarkStart w:id="798" w:name="_Toc501257483"/>
      <w:r>
        <w:rPr>
          <w:rFonts w:hint="eastAsia" w:ascii="黑体" w:hAnsi="黑体" w:eastAsia="黑体" w:cs="黑体"/>
          <w:b/>
          <w:bCs w:val="0"/>
          <w:color w:val="auto"/>
          <w:sz w:val="28"/>
          <w:szCs w:val="28"/>
          <w:highlight w:val="none"/>
        </w:rPr>
        <w:t>（二）法定代表人身份证明</w:t>
      </w:r>
      <w:bookmarkEnd w:id="796"/>
      <w:bookmarkEnd w:id="797"/>
      <w:bookmarkEnd w:id="798"/>
    </w:p>
    <w:p w14:paraId="172AAC70">
      <w:pPr>
        <w:shd w:val="clear" w:color="auto" w:fill="auto"/>
        <w:spacing w:line="440" w:lineRule="exact"/>
        <w:rPr>
          <w:rFonts w:hint="eastAsia" w:ascii="黑体" w:hAnsi="黑体" w:eastAsia="黑体" w:cs="黑体"/>
          <w:color w:val="auto"/>
          <w:sz w:val="20"/>
          <w:szCs w:val="20"/>
          <w:highlight w:val="none"/>
        </w:rPr>
      </w:pPr>
    </w:p>
    <w:p w14:paraId="6E2D5C6B">
      <w:pPr>
        <w:keepNext w:val="0"/>
        <w:keepLines w:val="0"/>
        <w:pageBreakBefore w:val="0"/>
        <w:widowControl w:val="0"/>
        <w:shd w:val="clear" w:color="auto" w:fill="auto"/>
        <w:kinsoku/>
        <w:wordWrap/>
        <w:overflowPunct/>
        <w:topLinePunct w:val="0"/>
        <w:autoSpaceDE/>
        <w:autoSpaceDN/>
        <w:bidi w:val="0"/>
        <w:adjustRightInd/>
        <w:snapToGrid/>
        <w:spacing w:line="480" w:lineRule="auto"/>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投标人名称：</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w:t>
      </w:r>
    </w:p>
    <w:p w14:paraId="0D85716B">
      <w:pPr>
        <w:keepNext w:val="0"/>
        <w:keepLines w:val="0"/>
        <w:pageBreakBefore w:val="0"/>
        <w:widowControl w:val="0"/>
        <w:shd w:val="clear" w:color="auto" w:fill="auto"/>
        <w:kinsoku/>
        <w:wordWrap/>
        <w:overflowPunct/>
        <w:topLinePunct w:val="0"/>
        <w:autoSpaceDE/>
        <w:autoSpaceDN/>
        <w:bidi w:val="0"/>
        <w:adjustRightInd/>
        <w:snapToGrid/>
        <w:spacing w:line="480" w:lineRule="auto"/>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姓名：</w:t>
      </w:r>
      <w:r>
        <w:rPr>
          <w:rFonts w:hint="eastAsia" w:ascii="黑体" w:hAnsi="黑体" w:eastAsia="黑体" w:cs="黑体"/>
          <w:color w:val="auto"/>
          <w:sz w:val="21"/>
          <w:szCs w:val="21"/>
          <w:highlight w:val="none"/>
          <w:u w:val="single"/>
        </w:rPr>
        <w:t xml:space="preserve">  </w:t>
      </w:r>
      <w:r>
        <w:rPr>
          <w:rFonts w:hint="eastAsia" w:ascii="黑体" w:hAnsi="黑体" w:eastAsia="黑体" w:cs="黑体"/>
          <w:bCs/>
          <w:color w:val="auto"/>
          <w:sz w:val="21"/>
          <w:szCs w:val="21"/>
          <w:highlight w:val="none"/>
          <w:u w:val="single"/>
        </w:rPr>
        <w:t>（法定代表人签字）</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性别：</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年龄：</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职务：</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p>
    <w:p w14:paraId="33720FCA">
      <w:pPr>
        <w:keepNext w:val="0"/>
        <w:keepLines w:val="0"/>
        <w:pageBreakBefore w:val="0"/>
        <w:widowControl w:val="0"/>
        <w:shd w:val="clear" w:color="auto" w:fill="auto"/>
        <w:kinsoku/>
        <w:wordWrap/>
        <w:overflowPunct/>
        <w:topLinePunct w:val="0"/>
        <w:autoSpaceDE/>
        <w:autoSpaceDN/>
        <w:bidi w:val="0"/>
        <w:adjustRightInd/>
        <w:snapToGrid/>
        <w:spacing w:line="480" w:lineRule="auto"/>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系</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（投标人名称）的法定代表人。</w:t>
      </w:r>
    </w:p>
    <w:p w14:paraId="4426B868">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200"/>
        <w:textAlignment w:val="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特此证明。</w:t>
      </w:r>
    </w:p>
    <w:p w14:paraId="6984750F">
      <w:pPr>
        <w:shd w:val="clear" w:color="auto" w:fill="auto"/>
        <w:spacing w:line="440" w:lineRule="exact"/>
        <w:rPr>
          <w:rFonts w:hint="eastAsia" w:ascii="黑体" w:hAnsi="黑体" w:eastAsia="黑体" w:cs="黑体"/>
          <w:color w:val="auto"/>
          <w:sz w:val="21"/>
          <w:szCs w:val="21"/>
          <w:highlight w:val="none"/>
        </w:rPr>
      </w:pPr>
    </w:p>
    <w:p w14:paraId="61F3453D">
      <w:pPr>
        <w:shd w:val="clear" w:color="auto" w:fill="auto"/>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附：法定代表人身份证复印件。</w:t>
      </w:r>
    </w:p>
    <w:p w14:paraId="046C750A">
      <w:pPr>
        <w:shd w:val="clear" w:color="auto" w:fill="auto"/>
        <w:spacing w:line="440" w:lineRule="exact"/>
        <w:rPr>
          <w:rFonts w:hint="eastAsia" w:ascii="黑体" w:hAnsi="黑体" w:eastAsia="黑体" w:cs="黑体"/>
          <w:color w:val="auto"/>
          <w:sz w:val="21"/>
          <w:szCs w:val="21"/>
          <w:highlight w:val="none"/>
        </w:rPr>
      </w:pPr>
    </w:p>
    <w:p w14:paraId="68A8DA5B">
      <w:pPr>
        <w:shd w:val="clear" w:color="auto" w:fill="auto"/>
        <w:spacing w:line="440" w:lineRule="exact"/>
        <w:rPr>
          <w:rFonts w:hint="eastAsia" w:ascii="黑体" w:hAnsi="黑体" w:eastAsia="黑体" w:cs="黑体"/>
          <w:color w:val="auto"/>
          <w:sz w:val="21"/>
          <w:szCs w:val="21"/>
          <w:highlight w:val="none"/>
        </w:rPr>
      </w:pPr>
    </w:p>
    <w:p w14:paraId="3669F7DD">
      <w:pPr>
        <w:pStyle w:val="21"/>
        <w:rPr>
          <w:rFonts w:hint="eastAsia" w:ascii="黑体" w:hAnsi="黑体" w:eastAsia="黑体" w:cs="黑体"/>
          <w:color w:val="auto"/>
          <w:sz w:val="21"/>
          <w:szCs w:val="21"/>
          <w:highlight w:val="none"/>
        </w:rPr>
      </w:pPr>
    </w:p>
    <w:p w14:paraId="7BB23CC3">
      <w:pPr>
        <w:pStyle w:val="21"/>
        <w:rPr>
          <w:rFonts w:hint="eastAsia" w:ascii="黑体" w:hAnsi="黑体" w:eastAsia="黑体" w:cs="黑体"/>
          <w:color w:val="auto"/>
          <w:sz w:val="21"/>
          <w:szCs w:val="21"/>
          <w:highlight w:val="none"/>
        </w:rPr>
      </w:pPr>
    </w:p>
    <w:p w14:paraId="7D2A1002">
      <w:pPr>
        <w:shd w:val="clear" w:color="auto" w:fill="auto"/>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投标人：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（盖单位章）</w:t>
      </w:r>
    </w:p>
    <w:p w14:paraId="0AEE6A4A">
      <w:pPr>
        <w:shd w:val="clear" w:color="auto" w:fill="auto"/>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年</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月</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日           </w:t>
      </w:r>
    </w:p>
    <w:p w14:paraId="695326CA">
      <w:pPr>
        <w:shd w:val="clear" w:color="auto" w:fill="auto"/>
        <w:topLinePunct/>
        <w:spacing w:line="440" w:lineRule="exact"/>
        <w:rPr>
          <w:rFonts w:hint="eastAsia" w:ascii="黑体" w:hAnsi="黑体" w:eastAsia="黑体" w:cs="黑体"/>
          <w:color w:val="auto"/>
          <w:sz w:val="21"/>
          <w:szCs w:val="21"/>
          <w:highlight w:val="none"/>
        </w:rPr>
      </w:pPr>
    </w:p>
    <w:p w14:paraId="27CC32D2">
      <w:pPr>
        <w:shd w:val="clear" w:color="auto" w:fill="auto"/>
        <w:topLinePunct/>
        <w:spacing w:line="440" w:lineRule="exact"/>
        <w:rPr>
          <w:rFonts w:hint="eastAsia" w:ascii="黑体" w:hAnsi="黑体" w:eastAsia="黑体" w:cs="黑体"/>
          <w:color w:val="auto"/>
          <w:sz w:val="24"/>
          <w:highlight w:val="none"/>
        </w:rPr>
      </w:pPr>
    </w:p>
    <w:p w14:paraId="5A64DAB2">
      <w:pPr>
        <w:shd w:val="clear" w:color="auto" w:fill="auto"/>
        <w:topLinePunct/>
        <w:spacing w:line="440" w:lineRule="exact"/>
        <w:rPr>
          <w:rFonts w:hint="eastAsia" w:ascii="黑体" w:hAnsi="黑体" w:eastAsia="黑体" w:cs="黑体"/>
          <w:color w:val="auto"/>
          <w:sz w:val="24"/>
          <w:highlight w:val="none"/>
        </w:rPr>
      </w:pPr>
    </w:p>
    <w:p w14:paraId="781C0076">
      <w:pPr>
        <w:shd w:val="clear" w:color="auto" w:fill="auto"/>
        <w:topLinePunct/>
        <w:spacing w:line="440" w:lineRule="exact"/>
        <w:rPr>
          <w:rFonts w:hint="eastAsia" w:ascii="黑体" w:hAnsi="黑体" w:eastAsia="黑体" w:cs="黑体"/>
          <w:color w:val="auto"/>
          <w:sz w:val="24"/>
          <w:highlight w:val="none"/>
        </w:rPr>
      </w:pPr>
    </w:p>
    <w:p w14:paraId="60A3D6EF">
      <w:pPr>
        <w:shd w:val="clear" w:color="auto" w:fill="auto"/>
        <w:spacing w:line="400" w:lineRule="atLeast"/>
        <w:jc w:val="left"/>
        <w:rPr>
          <w:rFonts w:hint="eastAsia" w:ascii="黑体" w:hAnsi="黑体" w:eastAsia="黑体" w:cs="黑体"/>
          <w:color w:val="auto"/>
          <w:szCs w:val="21"/>
          <w:highlight w:val="none"/>
        </w:rPr>
      </w:pPr>
    </w:p>
    <w:p w14:paraId="2AD7F422">
      <w:pPr>
        <w:shd w:val="clear" w:color="auto" w:fill="auto"/>
        <w:spacing w:line="440" w:lineRule="exact"/>
        <w:jc w:val="center"/>
        <w:rPr>
          <w:rFonts w:hint="eastAsia" w:ascii="黑体" w:hAnsi="黑体" w:eastAsia="黑体" w:cs="黑体"/>
          <w:color w:val="auto"/>
          <w:sz w:val="24"/>
          <w:highlight w:val="none"/>
        </w:rPr>
      </w:pPr>
    </w:p>
    <w:p w14:paraId="4910800A">
      <w:pPr>
        <w:pStyle w:val="3"/>
        <w:bidi w:val="0"/>
        <w:rPr>
          <w:rFonts w:hint="eastAsia" w:ascii="黑体" w:hAnsi="黑体" w:eastAsia="黑体" w:cs="黑体"/>
          <w:color w:val="auto"/>
          <w:highlight w:val="none"/>
        </w:rPr>
      </w:pPr>
      <w:r>
        <w:rPr>
          <w:rFonts w:hint="eastAsia" w:ascii="黑体" w:hAnsi="黑体" w:eastAsia="黑体" w:cs="黑体"/>
          <w:bCs w:val="0"/>
          <w:color w:val="auto"/>
          <w:szCs w:val="28"/>
          <w:highlight w:val="none"/>
        </w:rPr>
        <w:br w:type="page"/>
      </w:r>
      <w:bookmarkStart w:id="799" w:name="_Toc234833261"/>
      <w:bookmarkStart w:id="800" w:name="_Toc501257484"/>
      <w:bookmarkStart w:id="801" w:name="_Toc1436"/>
      <w:r>
        <w:rPr>
          <w:rFonts w:hint="eastAsia"/>
          <w:highlight w:val="none"/>
        </w:rPr>
        <w:t>三、联合体协议书</w:t>
      </w:r>
      <w:r>
        <w:rPr>
          <w:rStyle w:val="28"/>
          <w:rFonts w:hint="eastAsia" w:ascii="黑体" w:hAnsi="黑体" w:eastAsia="黑体" w:cs="黑体"/>
          <w:color w:val="auto"/>
          <w:szCs w:val="32"/>
          <w:highlight w:val="none"/>
        </w:rPr>
        <w:footnoteReference w:id="11"/>
      </w:r>
      <w:bookmarkEnd w:id="799"/>
      <w:bookmarkEnd w:id="800"/>
      <w:r>
        <w:rPr>
          <w:rFonts w:hint="eastAsia"/>
          <w:highlight w:val="none"/>
          <w:lang w:eastAsia="zh-CN"/>
        </w:rPr>
        <w:t>（</w:t>
      </w:r>
      <w:r>
        <w:rPr>
          <w:rFonts w:hint="eastAsia"/>
          <w:highlight w:val="none"/>
          <w:lang w:val="en-US" w:eastAsia="zh-CN"/>
        </w:rPr>
        <w:t>不适用</w:t>
      </w:r>
      <w:r>
        <w:rPr>
          <w:rFonts w:hint="eastAsia"/>
          <w:highlight w:val="none"/>
          <w:lang w:eastAsia="zh-CN"/>
        </w:rPr>
        <w:t>）</w:t>
      </w:r>
      <w:bookmarkEnd w:id="801"/>
    </w:p>
    <w:p w14:paraId="62E6AAD0">
      <w:pPr>
        <w:shd w:val="clear" w:color="auto" w:fill="auto"/>
        <w:spacing w:line="400" w:lineRule="atLeast"/>
        <w:ind w:firstLine="36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（所有成员单位名称）自愿组成</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（联合体名称）联合体，共同参加</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（项目名称）</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标段施工投标。现就联合体投标事宜订立如下协议。</w:t>
      </w:r>
    </w:p>
    <w:p w14:paraId="529EFB13">
      <w:pPr>
        <w:shd w:val="clear" w:color="auto" w:fill="auto"/>
        <w:spacing w:line="400" w:lineRule="atLeast"/>
        <w:ind w:firstLine="39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（某成员单位名称）为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（联合体名称）牵头人。</w:t>
      </w:r>
    </w:p>
    <w:p w14:paraId="48D9BC3E">
      <w:pPr>
        <w:shd w:val="clear" w:color="auto" w:fill="auto"/>
        <w:spacing w:line="400" w:lineRule="atLeast"/>
        <w:ind w:firstLine="39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2.联合体各成员授权牵头人代表联合体参加投标活动，签署文件，提交和接收相</w:t>
      </w:r>
      <w:bookmarkStart w:id="802" w:name="_Toc384308378"/>
      <w:bookmarkStart w:id="803" w:name="_Toc152045790"/>
      <w:bookmarkStart w:id="804" w:name="_Toc247527830"/>
      <w:bookmarkStart w:id="805" w:name="_Toc361508755"/>
      <w:bookmarkStart w:id="806" w:name="_Toc152042579"/>
      <w:bookmarkStart w:id="807" w:name="_Toc300835212"/>
      <w:bookmarkStart w:id="808" w:name="_Toc144974859"/>
      <w:bookmarkStart w:id="809" w:name="_Toc247514249"/>
      <w:r>
        <w:rPr>
          <w:rFonts w:hint="eastAsia" w:ascii="黑体" w:hAnsi="黑体" w:eastAsia="黑体" w:cs="黑体"/>
          <w:color w:val="auto"/>
          <w:sz w:val="21"/>
          <w:szCs w:val="21"/>
          <w:highlight w:val="none"/>
        </w:rPr>
        <w:t>关的</w:t>
      </w:r>
      <w:bookmarkStart w:id="810" w:name="_Toc7749"/>
      <w:bookmarkStart w:id="811" w:name="_Toc369531700"/>
      <w:bookmarkStart w:id="812" w:name="_Toc352691664"/>
      <w:r>
        <w:rPr>
          <w:rFonts w:hint="eastAsia" w:ascii="黑体" w:hAnsi="黑体" w:eastAsia="黑体" w:cs="黑体"/>
          <w:color w:val="auto"/>
          <w:sz w:val="21"/>
          <w:szCs w:val="21"/>
          <w:highlight w:val="none"/>
        </w:rPr>
        <w:t>资料、信息及</w:t>
      </w:r>
      <w:bookmarkEnd w:id="810"/>
      <w:bookmarkEnd w:id="811"/>
      <w:bookmarkEnd w:id="812"/>
      <w:r>
        <w:rPr>
          <w:rFonts w:hint="eastAsia" w:ascii="黑体" w:hAnsi="黑体" w:eastAsia="黑体" w:cs="黑体"/>
          <w:color w:val="auto"/>
          <w:sz w:val="21"/>
          <w:szCs w:val="21"/>
          <w:highlight w:val="none"/>
        </w:rPr>
        <w:t>指</w:t>
      </w:r>
      <w:bookmarkEnd w:id="802"/>
      <w:bookmarkEnd w:id="803"/>
      <w:bookmarkEnd w:id="804"/>
      <w:bookmarkEnd w:id="805"/>
      <w:bookmarkEnd w:id="806"/>
      <w:bookmarkEnd w:id="807"/>
      <w:bookmarkEnd w:id="808"/>
      <w:bookmarkEnd w:id="809"/>
      <w:r>
        <w:rPr>
          <w:rFonts w:hint="eastAsia" w:ascii="黑体" w:hAnsi="黑体" w:eastAsia="黑体" w:cs="黑体"/>
          <w:color w:val="auto"/>
          <w:sz w:val="21"/>
          <w:szCs w:val="21"/>
          <w:highlight w:val="none"/>
        </w:rPr>
        <w:t>示，进行合同谈判活动，负责合同实施阶段的组织和协调工作，以及处理与本招标项目有关的一切事宜。</w:t>
      </w:r>
    </w:p>
    <w:p w14:paraId="62C246B6">
      <w:pPr>
        <w:shd w:val="clear" w:color="auto" w:fill="auto"/>
        <w:spacing w:line="400" w:lineRule="atLeast"/>
        <w:ind w:firstLine="39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3.联合体牵头人在本项目中签署的一切文件和处理的一切事宜，联合体各成员均予以承认。联合体各成员将严格按照招标文件、投标文件和合同的要求全面履行义务，并向招标人承担连带责任。</w:t>
      </w:r>
    </w:p>
    <w:p w14:paraId="5CD53B02">
      <w:pPr>
        <w:shd w:val="clear" w:color="auto" w:fill="auto"/>
        <w:topLinePunct/>
        <w:spacing w:line="40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4.联合体各成员单位内部的职责分工如下：</w:t>
      </w:r>
      <w:r>
        <w:rPr>
          <w:rFonts w:hint="eastAsia" w:ascii="黑体" w:hAnsi="黑体" w:eastAsia="黑体" w:cs="黑体"/>
          <w:color w:val="auto"/>
          <w:sz w:val="21"/>
          <w:szCs w:val="21"/>
          <w:highlight w:val="none"/>
          <w:u w:val="single"/>
        </w:rPr>
        <w:t>（牵头人名称）</w:t>
      </w:r>
      <w:r>
        <w:rPr>
          <w:rFonts w:hint="eastAsia" w:ascii="黑体" w:hAnsi="黑体" w:eastAsia="黑体" w:cs="黑体"/>
          <w:color w:val="auto"/>
          <w:sz w:val="21"/>
          <w:szCs w:val="21"/>
          <w:highlight w:val="none"/>
        </w:rPr>
        <w:t>承担</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专业工程，占总工程量的</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w:t>
      </w:r>
      <w:r>
        <w:rPr>
          <w:rFonts w:hint="eastAsia" w:ascii="黑体" w:hAnsi="黑体" w:eastAsia="黑体" w:cs="黑体"/>
          <w:color w:val="auto"/>
          <w:sz w:val="21"/>
          <w:szCs w:val="21"/>
          <w:highlight w:val="none"/>
          <w:u w:val="single"/>
        </w:rPr>
        <w:t>（成员一名称）</w:t>
      </w:r>
      <w:r>
        <w:rPr>
          <w:rFonts w:hint="eastAsia" w:ascii="黑体" w:hAnsi="黑体" w:eastAsia="黑体" w:cs="黑体"/>
          <w:color w:val="auto"/>
          <w:sz w:val="21"/>
          <w:szCs w:val="21"/>
          <w:highlight w:val="none"/>
        </w:rPr>
        <w:t>承担</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专业工程，占总工程量的</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w:t>
      </w:r>
    </w:p>
    <w:p w14:paraId="2D61F6FC">
      <w:pPr>
        <w:shd w:val="clear" w:color="auto" w:fill="auto"/>
        <w:topLinePunct/>
        <w:spacing w:line="40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5.投标工作和联合体在中标后工程实施过程中的有关费用按各自承担的工作量分摊。</w:t>
      </w:r>
    </w:p>
    <w:p w14:paraId="1D3E7BFD">
      <w:pPr>
        <w:shd w:val="clear" w:color="auto" w:fill="auto"/>
        <w:spacing w:line="40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6.本协议书自所有成员单位法定代表人签字并加盖单位章之日起生效，合同履行完毕后自动失效。</w:t>
      </w:r>
    </w:p>
    <w:p w14:paraId="2D938FDC">
      <w:pPr>
        <w:shd w:val="clear" w:color="auto" w:fill="auto"/>
        <w:spacing w:line="40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7.本协议书一式</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份，联合体成员和招标人各执一份。</w:t>
      </w:r>
    </w:p>
    <w:p w14:paraId="2F54A3AC">
      <w:pPr>
        <w:shd w:val="clear" w:color="auto" w:fill="auto"/>
        <w:spacing w:line="400" w:lineRule="atLeast"/>
        <w:ind w:firstLine="420" w:firstLineChars="200"/>
        <w:rPr>
          <w:rFonts w:hint="eastAsia" w:ascii="黑体" w:hAnsi="黑体" w:eastAsia="黑体" w:cs="黑体"/>
          <w:color w:val="auto"/>
          <w:sz w:val="21"/>
          <w:szCs w:val="21"/>
          <w:highlight w:val="none"/>
        </w:rPr>
      </w:pPr>
    </w:p>
    <w:p w14:paraId="7D5DB26E">
      <w:pPr>
        <w:shd w:val="clear" w:color="auto" w:fill="auto"/>
        <w:topLinePunct/>
        <w:spacing w:line="400" w:lineRule="atLeast"/>
        <w:ind w:firstLine="2931" w:firstLineChars="1396"/>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联合体牵头人名称：</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（盖单位章）</w:t>
      </w:r>
    </w:p>
    <w:p w14:paraId="646F7E07">
      <w:pPr>
        <w:shd w:val="clear" w:color="auto" w:fill="auto"/>
        <w:topLinePunct/>
        <w:spacing w:line="400" w:lineRule="atLeast"/>
        <w:ind w:firstLine="2931" w:firstLineChars="1396"/>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法定代表人：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（签字）</w:t>
      </w:r>
    </w:p>
    <w:p w14:paraId="50AD3FBC">
      <w:pPr>
        <w:shd w:val="clear" w:color="auto" w:fill="auto"/>
        <w:topLinePunct/>
        <w:spacing w:line="400" w:lineRule="atLeast"/>
        <w:ind w:firstLine="411" w:firstLineChars="196"/>
        <w:rPr>
          <w:rFonts w:hint="eastAsia" w:ascii="黑体" w:hAnsi="黑体" w:eastAsia="黑体" w:cs="黑体"/>
          <w:color w:val="auto"/>
          <w:sz w:val="21"/>
          <w:szCs w:val="21"/>
          <w:highlight w:val="none"/>
        </w:rPr>
      </w:pPr>
    </w:p>
    <w:p w14:paraId="5CC286C7">
      <w:pPr>
        <w:shd w:val="clear" w:color="auto" w:fill="auto"/>
        <w:topLinePunct/>
        <w:spacing w:line="400" w:lineRule="atLeast"/>
        <w:ind w:firstLine="2940" w:firstLineChars="14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联合体成员名称：</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（盖单位章）</w:t>
      </w:r>
    </w:p>
    <w:p w14:paraId="772EC0E3">
      <w:pPr>
        <w:shd w:val="clear" w:color="auto" w:fill="auto"/>
        <w:topLinePunct/>
        <w:spacing w:line="400" w:lineRule="atLeast"/>
        <w:ind w:firstLine="2931" w:firstLineChars="1396"/>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法定代表人：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（签字）</w:t>
      </w:r>
    </w:p>
    <w:p w14:paraId="1C3C3566">
      <w:pPr>
        <w:shd w:val="clear" w:color="auto" w:fill="auto"/>
        <w:topLinePunct/>
        <w:spacing w:line="400" w:lineRule="atLeast"/>
        <w:ind w:firstLine="411" w:firstLineChars="196"/>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w:t>
      </w:r>
    </w:p>
    <w:p w14:paraId="34406D23">
      <w:pPr>
        <w:shd w:val="clear" w:color="auto" w:fill="auto"/>
        <w:topLinePunct/>
        <w:spacing w:line="400" w:lineRule="atLeast"/>
        <w:ind w:firstLine="2931" w:firstLineChars="1396"/>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联合体成员名称：</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（盖单位章）</w:t>
      </w:r>
    </w:p>
    <w:p w14:paraId="3975AF37">
      <w:pPr>
        <w:shd w:val="clear" w:color="auto" w:fill="auto"/>
        <w:spacing w:line="400" w:lineRule="atLeast"/>
        <w:ind w:firstLine="2940" w:firstLineChars="14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法定代表人：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（签字）</w:t>
      </w:r>
    </w:p>
    <w:p w14:paraId="2F33932D">
      <w:pPr>
        <w:shd w:val="clear" w:color="auto" w:fill="auto"/>
        <w:spacing w:line="400" w:lineRule="atLeast"/>
        <w:ind w:firstLine="2940" w:firstLineChars="14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w:t>
      </w:r>
    </w:p>
    <w:p w14:paraId="3107471E">
      <w:pPr>
        <w:shd w:val="clear" w:color="auto" w:fill="auto"/>
        <w:spacing w:line="400" w:lineRule="atLeast"/>
        <w:ind w:firstLine="4042" w:firstLineChars="1925"/>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年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月</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日</w:t>
      </w:r>
    </w:p>
    <w:p w14:paraId="7764C287">
      <w:pPr>
        <w:pStyle w:val="3"/>
        <w:bidi w:val="0"/>
        <w:rPr>
          <w:rFonts w:hint="eastAsia" w:ascii="黑体" w:hAnsi="黑体" w:eastAsia="黑体" w:cs="黑体"/>
          <w:b w:val="0"/>
          <w:color w:val="auto"/>
          <w:szCs w:val="28"/>
          <w:highlight w:val="none"/>
        </w:rPr>
      </w:pPr>
      <w:bookmarkStart w:id="813" w:name="_Toc234833262"/>
      <w:r>
        <w:rPr>
          <w:rFonts w:hint="eastAsia" w:ascii="黑体" w:hAnsi="黑体" w:eastAsia="黑体" w:cs="黑体"/>
          <w:b w:val="0"/>
          <w:color w:val="auto"/>
          <w:szCs w:val="28"/>
          <w:highlight w:val="none"/>
        </w:rPr>
        <w:br w:type="page"/>
      </w:r>
      <w:bookmarkStart w:id="814" w:name="_Toc4475"/>
      <w:bookmarkStart w:id="815" w:name="_Toc501257485"/>
      <w:r>
        <w:rPr>
          <w:rFonts w:hint="eastAsia"/>
          <w:highlight w:val="none"/>
        </w:rPr>
        <w:t>四、投标保证金</w:t>
      </w:r>
      <w:bookmarkEnd w:id="813"/>
      <w:bookmarkEnd w:id="814"/>
      <w:bookmarkEnd w:id="815"/>
    </w:p>
    <w:p w14:paraId="1B24BA64">
      <w:pPr>
        <w:shd w:val="clear" w:color="auto" w:fill="auto"/>
        <w:spacing w:line="440" w:lineRule="exact"/>
        <w:jc w:val="center"/>
        <w:rPr>
          <w:rFonts w:hint="eastAsia" w:ascii="黑体" w:hAnsi="黑体" w:eastAsia="黑体" w:cs="黑体"/>
          <w:color w:val="auto"/>
          <w:sz w:val="28"/>
          <w:szCs w:val="28"/>
          <w:highlight w:val="none"/>
        </w:rPr>
      </w:pPr>
    </w:p>
    <w:p w14:paraId="274C96E9">
      <w:pPr>
        <w:spacing w:line="360" w:lineRule="exact"/>
        <w:rPr>
          <w:rFonts w:hint="eastAsia" w:ascii="黑体" w:hAnsi="黑体" w:eastAsia="黑体" w:cs="华文中宋"/>
          <w:b/>
          <w:color w:val="auto"/>
          <w:szCs w:val="21"/>
          <w:highlight w:val="none"/>
          <w:u w:val="single"/>
        </w:rPr>
      </w:pPr>
      <w:r>
        <w:rPr>
          <w:rFonts w:hint="eastAsia" w:ascii="黑体" w:hAnsi="黑体" w:eastAsia="黑体" w:cs="华文中宋"/>
          <w:color w:val="auto"/>
          <w:szCs w:val="21"/>
          <w:highlight w:val="none"/>
        </w:rPr>
        <w:t>致：</w:t>
      </w:r>
      <w:r>
        <w:rPr>
          <w:rFonts w:hint="eastAsia" w:ascii="黑体" w:hAnsi="黑体" w:eastAsia="黑体" w:cs="华文中宋"/>
          <w:color w:val="auto"/>
          <w:szCs w:val="21"/>
          <w:highlight w:val="none"/>
          <w:u w:val="single"/>
        </w:rPr>
        <w:t xml:space="preserve">             </w:t>
      </w:r>
      <w:r>
        <w:rPr>
          <w:rFonts w:hint="eastAsia" w:ascii="黑体" w:hAnsi="黑体" w:eastAsia="黑体" w:cs="华文中宋"/>
          <w:color w:val="auto"/>
          <w:szCs w:val="21"/>
          <w:highlight w:val="none"/>
        </w:rPr>
        <w:t>（招标人名称）：</w:t>
      </w:r>
    </w:p>
    <w:p w14:paraId="6E4F8B58">
      <w:pPr>
        <w:spacing w:line="360" w:lineRule="exact"/>
        <w:rPr>
          <w:rFonts w:hint="eastAsia" w:ascii="黑体" w:hAnsi="黑体" w:eastAsia="黑体" w:cs="华文中宋"/>
          <w:color w:val="auto"/>
          <w:szCs w:val="21"/>
          <w:highlight w:val="none"/>
        </w:rPr>
      </w:pPr>
    </w:p>
    <w:p w14:paraId="7D08DB1C">
      <w:pPr>
        <w:spacing w:line="380" w:lineRule="exact"/>
        <w:ind w:firstLine="420" w:firstLineChars="200"/>
        <w:rPr>
          <w:rFonts w:hint="eastAsia" w:ascii="黑体" w:hAnsi="黑体" w:eastAsia="黑体" w:cs="华文中宋"/>
          <w:color w:val="auto"/>
          <w:szCs w:val="21"/>
          <w:highlight w:val="none"/>
        </w:rPr>
      </w:pPr>
      <w:r>
        <w:rPr>
          <w:rFonts w:hint="eastAsia" w:ascii="黑体" w:hAnsi="黑体" w:eastAsia="黑体" w:cs="华文中宋"/>
          <w:color w:val="auto"/>
          <w:szCs w:val="21"/>
          <w:highlight w:val="none"/>
        </w:rPr>
        <w:t>我方随同投标文件一并递交本标段投标保证金人民币（大写）</w:t>
      </w:r>
      <w:r>
        <w:rPr>
          <w:rFonts w:hint="eastAsia" w:ascii="黑体" w:hAnsi="黑体" w:eastAsia="黑体" w:cs="华文中宋"/>
          <w:color w:val="auto"/>
          <w:szCs w:val="21"/>
          <w:highlight w:val="none"/>
          <w:u w:val="single"/>
        </w:rPr>
        <w:t xml:space="preserve">        </w:t>
      </w:r>
      <w:r>
        <w:rPr>
          <w:rFonts w:hint="eastAsia" w:ascii="黑体" w:hAnsi="黑体" w:eastAsia="黑体" w:cs="华文中宋"/>
          <w:color w:val="auto"/>
          <w:szCs w:val="21"/>
          <w:highlight w:val="none"/>
        </w:rPr>
        <w:t>元。汇款凭证复印件如下。</w:t>
      </w:r>
    </w:p>
    <w:p w14:paraId="3CD39783">
      <w:pPr>
        <w:spacing w:line="380" w:lineRule="exact"/>
        <w:ind w:firstLine="420" w:firstLineChars="200"/>
        <w:rPr>
          <w:rFonts w:hint="eastAsia" w:ascii="黑体" w:hAnsi="黑体" w:eastAsia="黑体" w:cs="华文中宋"/>
          <w:color w:val="auto"/>
          <w:szCs w:val="21"/>
          <w:highlight w:val="none"/>
        </w:rPr>
      </w:pPr>
    </w:p>
    <w:p w14:paraId="2F063F78">
      <w:pPr>
        <w:spacing w:line="360" w:lineRule="exact"/>
        <w:rPr>
          <w:rFonts w:hint="eastAsia" w:ascii="黑体" w:hAnsi="黑体" w:eastAsia="黑体" w:cs="华文中宋"/>
          <w:color w:val="auto"/>
          <w:szCs w:val="21"/>
          <w:highlight w:val="none"/>
        </w:rPr>
      </w:pPr>
    </w:p>
    <w:tbl>
      <w:tblPr>
        <w:tblStyle w:val="22"/>
        <w:tblW w:w="0" w:type="auto"/>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8294"/>
      </w:tblGrid>
      <w:tr w14:paraId="355B3257">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2656" w:hRule="atLeast"/>
          <w:jc w:val="center"/>
        </w:trPr>
        <w:tc>
          <w:tcPr>
            <w:tcW w:w="8294" w:type="dxa"/>
            <w:noWrap w:val="0"/>
            <w:vAlign w:val="top"/>
          </w:tcPr>
          <w:p w14:paraId="310177D3">
            <w:pPr>
              <w:jc w:val="center"/>
              <w:rPr>
                <w:rFonts w:hint="eastAsia" w:ascii="黑体" w:hAnsi="黑体" w:eastAsia="黑体" w:cs="华文中宋"/>
                <w:color w:val="auto"/>
                <w:szCs w:val="21"/>
                <w:highlight w:val="none"/>
              </w:rPr>
            </w:pPr>
          </w:p>
          <w:p w14:paraId="1E0D1B61">
            <w:pPr>
              <w:jc w:val="center"/>
              <w:rPr>
                <w:rFonts w:hint="eastAsia" w:ascii="黑体" w:hAnsi="黑体" w:eastAsia="黑体" w:cs="华文中宋"/>
                <w:color w:val="auto"/>
                <w:szCs w:val="21"/>
                <w:highlight w:val="none"/>
              </w:rPr>
            </w:pPr>
          </w:p>
          <w:p w14:paraId="1AC16BE0">
            <w:pPr>
              <w:jc w:val="center"/>
              <w:rPr>
                <w:rFonts w:hint="eastAsia" w:ascii="黑体" w:hAnsi="黑体" w:eastAsia="黑体" w:cs="华文中宋"/>
                <w:color w:val="auto"/>
                <w:szCs w:val="21"/>
                <w:highlight w:val="none"/>
              </w:rPr>
            </w:pPr>
          </w:p>
          <w:p w14:paraId="626AC552">
            <w:pPr>
              <w:jc w:val="center"/>
              <w:rPr>
                <w:rFonts w:hint="eastAsia" w:ascii="黑体" w:hAnsi="黑体" w:eastAsia="黑体" w:cs="华文中宋"/>
                <w:color w:val="auto"/>
                <w:szCs w:val="21"/>
                <w:highlight w:val="none"/>
              </w:rPr>
            </w:pPr>
          </w:p>
          <w:p w14:paraId="710E4BE4">
            <w:pPr>
              <w:jc w:val="center"/>
              <w:rPr>
                <w:rFonts w:hint="eastAsia" w:ascii="黑体" w:hAnsi="黑体" w:eastAsia="黑体" w:cs="华文中宋"/>
                <w:color w:val="auto"/>
                <w:szCs w:val="21"/>
                <w:highlight w:val="none"/>
              </w:rPr>
            </w:pPr>
            <w:r>
              <w:rPr>
                <w:rFonts w:hint="eastAsia" w:ascii="黑体" w:hAnsi="黑体" w:eastAsia="黑体" w:cs="黑体"/>
                <w:b/>
                <w:bCs/>
                <w:color w:val="auto"/>
                <w:kern w:val="0"/>
                <w:sz w:val="21"/>
                <w:szCs w:val="21"/>
                <w:highlight w:val="none"/>
                <w:lang w:val="en-US" w:eastAsia="zh-CN" w:bidi="ar"/>
              </w:rPr>
              <w:t>银行电汇或电子保函</w:t>
            </w:r>
          </w:p>
          <w:p w14:paraId="49E15B9E">
            <w:pPr>
              <w:spacing w:line="360" w:lineRule="exact"/>
              <w:jc w:val="center"/>
              <w:rPr>
                <w:rFonts w:hint="eastAsia" w:ascii="黑体" w:hAnsi="黑体" w:eastAsia="黑体" w:cs="华文中宋"/>
                <w:color w:val="auto"/>
                <w:szCs w:val="21"/>
                <w:highlight w:val="none"/>
              </w:rPr>
            </w:pPr>
          </w:p>
          <w:p w14:paraId="3E6157E1">
            <w:pPr>
              <w:spacing w:line="360" w:lineRule="exact"/>
              <w:jc w:val="center"/>
              <w:rPr>
                <w:rFonts w:hint="eastAsia" w:ascii="黑体" w:hAnsi="黑体" w:eastAsia="黑体" w:cs="华文中宋"/>
                <w:color w:val="auto"/>
                <w:szCs w:val="21"/>
                <w:highlight w:val="none"/>
              </w:rPr>
            </w:pPr>
          </w:p>
          <w:p w14:paraId="687213D8">
            <w:pPr>
              <w:pStyle w:val="21"/>
              <w:ind w:left="0" w:leftChars="0" w:firstLine="0" w:firstLineChars="0"/>
              <w:rPr>
                <w:rFonts w:hint="eastAsia" w:ascii="黑体" w:hAnsi="黑体" w:eastAsia="黑体" w:cs="华文中宋"/>
                <w:color w:val="auto"/>
                <w:szCs w:val="21"/>
                <w:highlight w:val="none"/>
              </w:rPr>
            </w:pPr>
          </w:p>
          <w:p w14:paraId="3EC750D7">
            <w:pPr>
              <w:pStyle w:val="21"/>
              <w:rPr>
                <w:rFonts w:hint="eastAsia" w:ascii="黑体" w:hAnsi="黑体" w:eastAsia="黑体" w:cs="华文中宋"/>
                <w:color w:val="auto"/>
                <w:szCs w:val="21"/>
                <w:highlight w:val="none"/>
              </w:rPr>
            </w:pPr>
          </w:p>
          <w:p w14:paraId="2600AB42">
            <w:pPr>
              <w:pStyle w:val="21"/>
              <w:rPr>
                <w:rFonts w:hint="eastAsia" w:ascii="黑体" w:hAnsi="黑体" w:eastAsia="黑体" w:cs="华文中宋"/>
                <w:color w:val="auto"/>
                <w:szCs w:val="21"/>
                <w:highlight w:val="none"/>
              </w:rPr>
            </w:pPr>
          </w:p>
          <w:p w14:paraId="6546BFFF">
            <w:pPr>
              <w:rPr>
                <w:rFonts w:hint="eastAsia" w:ascii="黑体" w:hAnsi="黑体" w:eastAsia="黑体" w:cs="华文中宋"/>
                <w:color w:val="auto"/>
                <w:szCs w:val="21"/>
                <w:highlight w:val="none"/>
              </w:rPr>
            </w:pPr>
          </w:p>
        </w:tc>
      </w:tr>
    </w:tbl>
    <w:p w14:paraId="318619E6">
      <w:pPr>
        <w:shd w:val="clear" w:color="auto" w:fill="auto"/>
        <w:spacing w:line="440" w:lineRule="exact"/>
        <w:rPr>
          <w:rFonts w:hint="eastAsia" w:ascii="黑体" w:hAnsi="黑体" w:eastAsia="黑体" w:cs="黑体"/>
          <w:color w:val="auto"/>
          <w:sz w:val="24"/>
          <w:highlight w:val="none"/>
        </w:rPr>
      </w:pPr>
    </w:p>
    <w:p w14:paraId="72E5AEF4">
      <w:pPr>
        <w:shd w:val="clear" w:color="auto" w:fill="auto"/>
        <w:spacing w:line="440" w:lineRule="exact"/>
        <w:rPr>
          <w:rFonts w:hint="eastAsia" w:ascii="黑体" w:hAnsi="黑体" w:eastAsia="黑体" w:cs="黑体"/>
          <w:color w:val="auto"/>
          <w:sz w:val="24"/>
          <w:highlight w:val="none"/>
        </w:rPr>
      </w:pPr>
    </w:p>
    <w:p w14:paraId="300D16CE">
      <w:pPr>
        <w:shd w:val="clear" w:color="auto" w:fill="auto"/>
        <w:spacing w:line="440" w:lineRule="exact"/>
        <w:rPr>
          <w:rFonts w:hint="eastAsia" w:ascii="黑体" w:hAnsi="黑体" w:eastAsia="黑体" w:cs="黑体"/>
          <w:color w:val="auto"/>
          <w:sz w:val="24"/>
          <w:highlight w:val="none"/>
        </w:rPr>
      </w:pPr>
    </w:p>
    <w:p w14:paraId="03457E47">
      <w:pPr>
        <w:pStyle w:val="3"/>
        <w:bidi w:val="0"/>
        <w:rPr>
          <w:rFonts w:hint="eastAsia" w:ascii="黑体" w:hAnsi="黑体" w:eastAsia="黑体" w:cs="黑体"/>
          <w:b w:val="0"/>
          <w:bCs w:val="0"/>
          <w:color w:val="auto"/>
          <w:kern w:val="44"/>
          <w:szCs w:val="28"/>
          <w:highlight w:val="none"/>
          <w:lang w:val="en-US" w:eastAsia="zh-CN" w:bidi="ar-SA"/>
        </w:rPr>
      </w:pPr>
      <w:bookmarkStart w:id="816" w:name="_Toc234833264"/>
      <w:r>
        <w:rPr>
          <w:rFonts w:hint="eastAsia" w:ascii="黑体" w:hAnsi="黑体" w:eastAsia="黑体" w:cs="黑体"/>
          <w:b/>
          <w:color w:val="auto"/>
          <w:szCs w:val="28"/>
          <w:highlight w:val="none"/>
        </w:rPr>
        <w:br w:type="page"/>
      </w:r>
      <w:bookmarkEnd w:id="816"/>
      <w:bookmarkStart w:id="817" w:name="_Toc29728441"/>
      <w:bookmarkStart w:id="818" w:name="_Toc40725634"/>
      <w:bookmarkStart w:id="819" w:name="_Toc31660659"/>
      <w:bookmarkStart w:id="820" w:name="_Toc2489"/>
      <w:bookmarkStart w:id="821" w:name="_Toc234833275"/>
      <w:bookmarkStart w:id="822" w:name="_Toc501257496"/>
      <w:r>
        <w:rPr>
          <w:rFonts w:hint="eastAsia"/>
          <w:highlight w:val="none"/>
          <w:lang w:val="en-US" w:eastAsia="zh-CN"/>
        </w:rPr>
        <w:t>五、施工组织设计</w:t>
      </w:r>
      <w:bookmarkEnd w:id="817"/>
      <w:bookmarkEnd w:id="818"/>
      <w:bookmarkEnd w:id="819"/>
      <w:bookmarkEnd w:id="820"/>
    </w:p>
    <w:p w14:paraId="0245B6B7">
      <w:pPr>
        <w:shd w:val="clear" w:color="auto" w:fill="auto"/>
        <w:spacing w:line="360" w:lineRule="auto"/>
        <w:jc w:val="center"/>
        <w:rPr>
          <w:rFonts w:hint="eastAsia" w:ascii="黑体" w:hAnsi="黑体" w:eastAsia="黑体" w:cs="黑体"/>
          <w:color w:val="auto"/>
          <w:sz w:val="18"/>
          <w:szCs w:val="18"/>
          <w:highlight w:val="none"/>
        </w:rPr>
      </w:pPr>
    </w:p>
    <w:p w14:paraId="6082BC78">
      <w:pPr>
        <w:shd w:val="clear" w:color="auto" w:fill="auto"/>
        <w:spacing w:line="360" w:lineRule="auto"/>
        <w:jc w:val="center"/>
        <w:rPr>
          <w:rFonts w:hint="eastAsia" w:ascii="黑体" w:hAnsi="黑体" w:eastAsia="黑体" w:cs="黑体"/>
          <w:color w:val="auto"/>
          <w:sz w:val="18"/>
          <w:szCs w:val="18"/>
          <w:highlight w:val="none"/>
        </w:rPr>
      </w:pPr>
    </w:p>
    <w:p w14:paraId="151A9A30">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 投标人应按以下要点编制施工组织设计（文字宜精炼、内容具有针对性）：</w:t>
      </w:r>
    </w:p>
    <w:p w14:paraId="6C2FDED6">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 总体施工组织布置及规划</w:t>
      </w:r>
    </w:p>
    <w:p w14:paraId="76D0AC66">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 主要工程项目的施工方案、方法与技术措施（尤其对重点、关键和难点工程的施工方案、方法及措施）</w:t>
      </w:r>
    </w:p>
    <w:p w14:paraId="62E89197">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（3） 工期保证体系及保证措施</w:t>
      </w:r>
    </w:p>
    <w:p w14:paraId="2B0EEB9F">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（4） 工程质量管理体系及保证措施</w:t>
      </w:r>
    </w:p>
    <w:p w14:paraId="71F540EA">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（5） 安全生产管理体系及保证措施</w:t>
      </w:r>
    </w:p>
    <w:p w14:paraId="5776FBC2">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（6） 环境保护、水土保持保证体系及保证措施</w:t>
      </w:r>
    </w:p>
    <w:p w14:paraId="13909C49">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（7） 文明施工、文物保护保证体系及保证措施</w:t>
      </w:r>
    </w:p>
    <w:p w14:paraId="189D1642">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（8） 项目风险预测与防范，事故应急预案</w:t>
      </w:r>
    </w:p>
    <w:p w14:paraId="53F34C56">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（9） 其他应说明的事项</w:t>
      </w:r>
    </w:p>
    <w:p w14:paraId="451AF8EA">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2.施工组织设计除采用文字表述外可附下列图表，图表及格式见交通运输部《公路工程标准招标文件》（2018年版）的相关内容</w:t>
      </w:r>
    </w:p>
    <w:p w14:paraId="42365D54">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附表一  施工总体计划表</w:t>
      </w:r>
    </w:p>
    <w:p w14:paraId="0C82857B">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附表二  分项工程进度率计划（斜率图）</w:t>
      </w:r>
    </w:p>
    <w:p w14:paraId="5AC8325C">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附表三  工程管理曲线</w:t>
      </w:r>
    </w:p>
    <w:p w14:paraId="4D52839A">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附表四  分项工程生产率和施工周期表</w:t>
      </w:r>
    </w:p>
    <w:p w14:paraId="3DD24DF9">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附表五  施工总平面图</w:t>
      </w:r>
    </w:p>
    <w:p w14:paraId="78B70584">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附表六  劳动力计划表</w:t>
      </w:r>
    </w:p>
    <w:p w14:paraId="69B16BC9">
      <w:pPr>
        <w:shd w:val="clear" w:color="auto" w:fill="auto"/>
        <w:spacing w:line="360" w:lineRule="auto"/>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附表七  临时占地计划表</w:t>
      </w:r>
    </w:p>
    <w:p w14:paraId="7A2BE903">
      <w:pPr>
        <w:shd w:val="clear" w:color="auto" w:fill="auto"/>
        <w:spacing w:line="360" w:lineRule="auto"/>
        <w:ind w:firstLine="420" w:firstLineChars="200"/>
        <w:rPr>
          <w:rFonts w:hint="eastAsia" w:ascii="黑体" w:hAnsi="黑体" w:eastAsia="黑体" w:cs="黑体"/>
          <w:color w:val="auto"/>
          <w:sz w:val="24"/>
          <w:highlight w:val="none"/>
        </w:rPr>
      </w:pPr>
      <w:r>
        <w:rPr>
          <w:rFonts w:hint="eastAsia" w:ascii="黑体" w:hAnsi="黑体" w:eastAsia="黑体" w:cs="黑体"/>
          <w:color w:val="auto"/>
          <w:sz w:val="21"/>
          <w:szCs w:val="21"/>
          <w:highlight w:val="none"/>
        </w:rPr>
        <w:t>附表八  外供电力需求计划表</w:t>
      </w:r>
    </w:p>
    <w:p w14:paraId="2CE3E13A">
      <w:pPr>
        <w:pStyle w:val="3"/>
        <w:bidi w:val="0"/>
        <w:rPr>
          <w:rFonts w:hint="eastAsia" w:ascii="黑体" w:hAnsi="黑体" w:eastAsia="黑体" w:cs="黑体"/>
          <w:b/>
          <w:bCs w:val="0"/>
          <w:color w:val="auto"/>
          <w:szCs w:val="32"/>
          <w:highlight w:val="none"/>
        </w:rPr>
      </w:pPr>
      <w:r>
        <w:rPr>
          <w:rFonts w:hint="eastAsia" w:ascii="黑体" w:hAnsi="黑体" w:eastAsia="黑体" w:cs="黑体"/>
          <w:b w:val="0"/>
          <w:color w:val="auto"/>
          <w:szCs w:val="28"/>
          <w:highlight w:val="none"/>
        </w:rPr>
        <w:br w:type="page"/>
      </w:r>
      <w:bookmarkStart w:id="823" w:name="_Toc24413"/>
      <w:r>
        <w:rPr>
          <w:rFonts w:hint="eastAsia"/>
          <w:highlight w:val="none"/>
          <w:lang w:val="en-US" w:eastAsia="zh-CN"/>
        </w:rPr>
        <w:t>六</w:t>
      </w:r>
      <w:r>
        <w:rPr>
          <w:rFonts w:hint="eastAsia"/>
          <w:highlight w:val="none"/>
        </w:rPr>
        <w:t>、项目管理机构</w:t>
      </w:r>
      <w:bookmarkEnd w:id="821"/>
      <w:bookmarkEnd w:id="822"/>
      <w:bookmarkEnd w:id="823"/>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14:paraId="48BDF2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68" w:hRule="atLeast"/>
        </w:trPr>
        <w:tc>
          <w:tcPr>
            <w:tcW w:w="9286" w:type="dxa"/>
            <w:noWrap w:val="0"/>
            <w:vAlign w:val="top"/>
          </w:tcPr>
          <w:p w14:paraId="6C144578">
            <w:pPr>
              <w:autoSpaceDE w:val="0"/>
              <w:autoSpaceDN w:val="0"/>
              <w:adjustRightInd w:val="0"/>
              <w:spacing w:line="360" w:lineRule="auto"/>
              <w:rPr>
                <w:rFonts w:hint="eastAsia" w:ascii="黑体" w:hAnsi="黑体" w:eastAsia="黑体" w:cs="黑体"/>
                <w:b w:val="0"/>
                <w:bCs w:val="0"/>
                <w:color w:val="auto"/>
                <w:sz w:val="21"/>
                <w:szCs w:val="21"/>
                <w:highlight w:val="none"/>
              </w:rPr>
            </w:pPr>
            <w:r>
              <w:rPr>
                <w:rFonts w:hint="eastAsia" w:ascii="黑体" w:hAnsi="黑体" w:eastAsia="黑体" w:cs="黑体"/>
                <w:b w:val="0"/>
                <w:bCs w:val="0"/>
                <w:color w:val="auto"/>
                <w:sz w:val="21"/>
                <w:szCs w:val="21"/>
                <w:highlight w:val="none"/>
              </w:rPr>
              <w:t>拟为承包本标段工程设立的组织机构以框图方式表示。</w:t>
            </w:r>
          </w:p>
        </w:tc>
      </w:tr>
      <w:tr w14:paraId="4830D9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35" w:hRule="atLeast"/>
        </w:trPr>
        <w:tc>
          <w:tcPr>
            <w:tcW w:w="9286" w:type="dxa"/>
            <w:noWrap w:val="0"/>
            <w:vAlign w:val="top"/>
          </w:tcPr>
          <w:p w14:paraId="170A4CD7">
            <w:pPr>
              <w:autoSpaceDE w:val="0"/>
              <w:autoSpaceDN w:val="0"/>
              <w:adjustRightInd w:val="0"/>
              <w:spacing w:line="360" w:lineRule="auto"/>
              <w:rPr>
                <w:rFonts w:hint="eastAsia" w:ascii="黑体" w:hAnsi="黑体" w:eastAsia="黑体" w:cs="黑体"/>
                <w:b w:val="0"/>
                <w:bCs w:val="0"/>
                <w:color w:val="auto"/>
                <w:sz w:val="21"/>
                <w:szCs w:val="21"/>
                <w:highlight w:val="none"/>
              </w:rPr>
            </w:pPr>
            <w:r>
              <w:rPr>
                <w:rFonts w:hint="eastAsia" w:ascii="黑体" w:hAnsi="黑体" w:eastAsia="黑体" w:cs="黑体"/>
                <w:b w:val="0"/>
                <w:bCs w:val="0"/>
                <w:color w:val="auto"/>
                <w:sz w:val="21"/>
                <w:szCs w:val="21"/>
                <w:highlight w:val="none"/>
              </w:rPr>
              <w:t>说明</w:t>
            </w:r>
          </w:p>
        </w:tc>
      </w:tr>
    </w:tbl>
    <w:p w14:paraId="41333DD3">
      <w:pPr>
        <w:shd w:val="clear" w:color="auto" w:fill="auto"/>
        <w:spacing w:line="440" w:lineRule="exact"/>
        <w:jc w:val="center"/>
        <w:rPr>
          <w:rFonts w:hint="eastAsia" w:ascii="黑体" w:hAnsi="黑体" w:eastAsia="黑体" w:cs="黑体"/>
          <w:color w:val="auto"/>
          <w:sz w:val="20"/>
          <w:szCs w:val="20"/>
          <w:highlight w:val="none"/>
        </w:rPr>
      </w:pPr>
    </w:p>
    <w:p w14:paraId="405A79C7">
      <w:pPr>
        <w:pStyle w:val="3"/>
        <w:bidi w:val="0"/>
        <w:rPr>
          <w:rFonts w:hint="eastAsia" w:ascii="黑体" w:hAnsi="黑体" w:eastAsia="黑体" w:cs="黑体"/>
          <w:b w:val="0"/>
          <w:color w:val="auto"/>
          <w:szCs w:val="28"/>
          <w:highlight w:val="none"/>
        </w:rPr>
      </w:pPr>
      <w:bookmarkStart w:id="824" w:name="_Toc234833276"/>
      <w:bookmarkStart w:id="825" w:name="_Toc11658"/>
      <w:bookmarkStart w:id="826" w:name="_Toc501257497"/>
      <w:r>
        <w:rPr>
          <w:rFonts w:hint="eastAsia"/>
          <w:highlight w:val="none"/>
          <w:lang w:val="en-US" w:eastAsia="zh-CN"/>
        </w:rPr>
        <w:t>七</w:t>
      </w:r>
      <w:r>
        <w:rPr>
          <w:rFonts w:hint="eastAsia"/>
          <w:highlight w:val="none"/>
        </w:rPr>
        <w:t>、拟分包项目情况表</w:t>
      </w:r>
      <w:bookmarkEnd w:id="824"/>
      <w:bookmarkEnd w:id="825"/>
      <w:bookmarkEnd w:id="826"/>
    </w:p>
    <w:p w14:paraId="60211F8B">
      <w:pPr>
        <w:shd w:val="clear" w:color="auto" w:fill="auto"/>
        <w:spacing w:line="440" w:lineRule="exact"/>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t xml:space="preserve">      </w:t>
      </w:r>
    </w:p>
    <w:tbl>
      <w:tblPr>
        <w:tblStyle w:val="22"/>
        <w:tblW w:w="9252" w:type="dxa"/>
        <w:tblInd w:w="-17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520"/>
        <w:gridCol w:w="2442"/>
        <w:gridCol w:w="2199"/>
        <w:gridCol w:w="2091"/>
      </w:tblGrid>
      <w:tr w14:paraId="11BD55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bottom"/>
          </w:tcPr>
          <w:p w14:paraId="6E23DA8A">
            <w:pPr>
              <w:autoSpaceDE w:val="0"/>
              <w:autoSpaceDN w:val="0"/>
              <w:adjustRightInd w:val="0"/>
              <w:spacing w:line="360" w:lineRule="auto"/>
              <w:jc w:val="center"/>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拟分包的工程项目</w:t>
            </w:r>
          </w:p>
        </w:tc>
        <w:tc>
          <w:tcPr>
            <w:tcW w:w="2442" w:type="dxa"/>
            <w:noWrap w:val="0"/>
            <w:vAlign w:val="bottom"/>
          </w:tcPr>
          <w:p w14:paraId="76ADA123">
            <w:pPr>
              <w:autoSpaceDE w:val="0"/>
              <w:autoSpaceDN w:val="0"/>
              <w:adjustRightInd w:val="0"/>
              <w:spacing w:line="360" w:lineRule="auto"/>
              <w:jc w:val="center"/>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主要工程内容</w:t>
            </w:r>
          </w:p>
        </w:tc>
        <w:tc>
          <w:tcPr>
            <w:tcW w:w="2199" w:type="dxa"/>
            <w:noWrap w:val="0"/>
            <w:vAlign w:val="bottom"/>
          </w:tcPr>
          <w:p w14:paraId="7D29DAE8">
            <w:pPr>
              <w:autoSpaceDE w:val="0"/>
              <w:autoSpaceDN w:val="0"/>
              <w:adjustRightInd w:val="0"/>
              <w:spacing w:line="360" w:lineRule="auto"/>
              <w:jc w:val="center"/>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预计造价（万元）</w:t>
            </w:r>
          </w:p>
        </w:tc>
        <w:tc>
          <w:tcPr>
            <w:tcW w:w="2091" w:type="dxa"/>
            <w:noWrap w:val="0"/>
            <w:vAlign w:val="bottom"/>
          </w:tcPr>
          <w:p w14:paraId="36D97883">
            <w:pPr>
              <w:autoSpaceDE w:val="0"/>
              <w:autoSpaceDN w:val="0"/>
              <w:adjustRightInd w:val="0"/>
              <w:spacing w:line="360" w:lineRule="auto"/>
              <w:jc w:val="center"/>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备注</w:t>
            </w:r>
          </w:p>
        </w:tc>
      </w:tr>
      <w:tr w14:paraId="2846F0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22846687">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4F1B3711">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15A110E9">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restart"/>
            <w:noWrap w:val="0"/>
            <w:vAlign w:val="center"/>
          </w:tcPr>
          <w:p w14:paraId="777139D3">
            <w:pPr>
              <w:autoSpaceDE w:val="0"/>
              <w:autoSpaceDN w:val="0"/>
              <w:adjustRightInd w:val="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注：若无分包计划，则投标人应在本表填写“无”</w:t>
            </w:r>
          </w:p>
        </w:tc>
      </w:tr>
      <w:tr w14:paraId="697AAD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4844D7A4">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5FC1E962">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0829D89F">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4FD33778">
            <w:pPr>
              <w:autoSpaceDE w:val="0"/>
              <w:autoSpaceDN w:val="0"/>
              <w:adjustRightInd w:val="0"/>
              <w:spacing w:line="360" w:lineRule="auto"/>
              <w:rPr>
                <w:rFonts w:hint="eastAsia" w:ascii="黑体" w:hAnsi="黑体" w:eastAsia="黑体" w:cs="黑体"/>
                <w:color w:val="auto"/>
                <w:sz w:val="21"/>
                <w:szCs w:val="21"/>
                <w:highlight w:val="none"/>
              </w:rPr>
            </w:pPr>
          </w:p>
        </w:tc>
      </w:tr>
      <w:tr w14:paraId="7162BE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6A1DD93A">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0247A47B">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14021043">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40A39569">
            <w:pPr>
              <w:autoSpaceDE w:val="0"/>
              <w:autoSpaceDN w:val="0"/>
              <w:adjustRightInd w:val="0"/>
              <w:spacing w:line="360" w:lineRule="auto"/>
              <w:rPr>
                <w:rFonts w:hint="eastAsia" w:ascii="黑体" w:hAnsi="黑体" w:eastAsia="黑体" w:cs="黑体"/>
                <w:color w:val="auto"/>
                <w:sz w:val="21"/>
                <w:szCs w:val="21"/>
                <w:highlight w:val="none"/>
              </w:rPr>
            </w:pPr>
          </w:p>
        </w:tc>
      </w:tr>
      <w:tr w14:paraId="0A3FE6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059C100D">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1BA0C6D5">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1140A8F6">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1E0BF0A3">
            <w:pPr>
              <w:autoSpaceDE w:val="0"/>
              <w:autoSpaceDN w:val="0"/>
              <w:adjustRightInd w:val="0"/>
              <w:spacing w:line="360" w:lineRule="auto"/>
              <w:rPr>
                <w:rFonts w:hint="eastAsia" w:ascii="黑体" w:hAnsi="黑体" w:eastAsia="黑体" w:cs="黑体"/>
                <w:color w:val="auto"/>
                <w:sz w:val="21"/>
                <w:szCs w:val="21"/>
                <w:highlight w:val="none"/>
              </w:rPr>
            </w:pPr>
          </w:p>
        </w:tc>
      </w:tr>
      <w:tr w14:paraId="076EFB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21D5B914">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556352A7">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5FC37CFD">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57520A8E">
            <w:pPr>
              <w:autoSpaceDE w:val="0"/>
              <w:autoSpaceDN w:val="0"/>
              <w:adjustRightInd w:val="0"/>
              <w:spacing w:line="360" w:lineRule="auto"/>
              <w:rPr>
                <w:rFonts w:hint="eastAsia" w:ascii="黑体" w:hAnsi="黑体" w:eastAsia="黑体" w:cs="黑体"/>
                <w:color w:val="auto"/>
                <w:sz w:val="21"/>
                <w:szCs w:val="21"/>
                <w:highlight w:val="none"/>
              </w:rPr>
            </w:pPr>
          </w:p>
        </w:tc>
      </w:tr>
      <w:tr w14:paraId="3F3C6C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31D5A4A6">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2075ACB1">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123F8EB1">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410FA8F3">
            <w:pPr>
              <w:autoSpaceDE w:val="0"/>
              <w:autoSpaceDN w:val="0"/>
              <w:adjustRightInd w:val="0"/>
              <w:spacing w:line="360" w:lineRule="auto"/>
              <w:rPr>
                <w:rFonts w:hint="eastAsia" w:ascii="黑体" w:hAnsi="黑体" w:eastAsia="黑体" w:cs="黑体"/>
                <w:color w:val="auto"/>
                <w:sz w:val="21"/>
                <w:szCs w:val="21"/>
                <w:highlight w:val="none"/>
              </w:rPr>
            </w:pPr>
          </w:p>
        </w:tc>
      </w:tr>
      <w:tr w14:paraId="6A1C6A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19A8589E">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67A79D8F">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05D53314">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06DAA784">
            <w:pPr>
              <w:autoSpaceDE w:val="0"/>
              <w:autoSpaceDN w:val="0"/>
              <w:adjustRightInd w:val="0"/>
              <w:spacing w:line="360" w:lineRule="auto"/>
              <w:rPr>
                <w:rFonts w:hint="eastAsia" w:ascii="黑体" w:hAnsi="黑体" w:eastAsia="黑体" w:cs="黑体"/>
                <w:color w:val="auto"/>
                <w:sz w:val="21"/>
                <w:szCs w:val="21"/>
                <w:highlight w:val="none"/>
              </w:rPr>
            </w:pPr>
          </w:p>
        </w:tc>
      </w:tr>
      <w:tr w14:paraId="260B8E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01E807E0">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28BD0A0E">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153E4BBC">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03C8AD84">
            <w:pPr>
              <w:autoSpaceDE w:val="0"/>
              <w:autoSpaceDN w:val="0"/>
              <w:adjustRightInd w:val="0"/>
              <w:spacing w:line="360" w:lineRule="auto"/>
              <w:rPr>
                <w:rFonts w:hint="eastAsia" w:ascii="黑体" w:hAnsi="黑体" w:eastAsia="黑体" w:cs="黑体"/>
                <w:color w:val="auto"/>
                <w:sz w:val="21"/>
                <w:szCs w:val="21"/>
                <w:highlight w:val="none"/>
              </w:rPr>
            </w:pPr>
          </w:p>
        </w:tc>
      </w:tr>
      <w:tr w14:paraId="0AC554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404988F8">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74236643">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4CACE56C">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3FAD8EAC">
            <w:pPr>
              <w:autoSpaceDE w:val="0"/>
              <w:autoSpaceDN w:val="0"/>
              <w:adjustRightInd w:val="0"/>
              <w:spacing w:line="360" w:lineRule="auto"/>
              <w:rPr>
                <w:rFonts w:hint="eastAsia" w:ascii="黑体" w:hAnsi="黑体" w:eastAsia="黑体" w:cs="黑体"/>
                <w:color w:val="auto"/>
                <w:sz w:val="21"/>
                <w:szCs w:val="21"/>
                <w:highlight w:val="none"/>
              </w:rPr>
            </w:pPr>
          </w:p>
        </w:tc>
      </w:tr>
      <w:tr w14:paraId="61CE58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20A3722A">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1B6FA9E0">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44D10D5E">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759A36C5">
            <w:pPr>
              <w:autoSpaceDE w:val="0"/>
              <w:autoSpaceDN w:val="0"/>
              <w:adjustRightInd w:val="0"/>
              <w:spacing w:line="360" w:lineRule="auto"/>
              <w:rPr>
                <w:rFonts w:hint="eastAsia" w:ascii="黑体" w:hAnsi="黑体" w:eastAsia="黑体" w:cs="黑体"/>
                <w:color w:val="auto"/>
                <w:sz w:val="21"/>
                <w:szCs w:val="21"/>
                <w:highlight w:val="none"/>
              </w:rPr>
            </w:pPr>
          </w:p>
        </w:tc>
      </w:tr>
      <w:tr w14:paraId="2F59F7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0F1CA88E">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4AED6540">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00E3663E">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335D808C">
            <w:pPr>
              <w:autoSpaceDE w:val="0"/>
              <w:autoSpaceDN w:val="0"/>
              <w:adjustRightInd w:val="0"/>
              <w:spacing w:line="360" w:lineRule="auto"/>
              <w:rPr>
                <w:rFonts w:hint="eastAsia" w:ascii="黑体" w:hAnsi="黑体" w:eastAsia="黑体" w:cs="黑体"/>
                <w:color w:val="auto"/>
                <w:sz w:val="21"/>
                <w:szCs w:val="21"/>
                <w:highlight w:val="none"/>
              </w:rPr>
            </w:pPr>
          </w:p>
        </w:tc>
      </w:tr>
      <w:tr w14:paraId="7A8AB9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7B12D0E5">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51785CED">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0A46FCD1">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11C02DBE">
            <w:pPr>
              <w:autoSpaceDE w:val="0"/>
              <w:autoSpaceDN w:val="0"/>
              <w:adjustRightInd w:val="0"/>
              <w:spacing w:line="360" w:lineRule="auto"/>
              <w:rPr>
                <w:rFonts w:hint="eastAsia" w:ascii="黑体" w:hAnsi="黑体" w:eastAsia="黑体" w:cs="黑体"/>
                <w:color w:val="auto"/>
                <w:sz w:val="21"/>
                <w:szCs w:val="21"/>
                <w:highlight w:val="none"/>
              </w:rPr>
            </w:pPr>
          </w:p>
        </w:tc>
      </w:tr>
      <w:tr w14:paraId="15A00C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65B880A9">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76F7FC5A">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6FBCD6D8">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26693035">
            <w:pPr>
              <w:autoSpaceDE w:val="0"/>
              <w:autoSpaceDN w:val="0"/>
              <w:adjustRightInd w:val="0"/>
              <w:spacing w:line="360" w:lineRule="auto"/>
              <w:rPr>
                <w:rFonts w:hint="eastAsia" w:ascii="黑体" w:hAnsi="黑体" w:eastAsia="黑体" w:cs="黑体"/>
                <w:color w:val="auto"/>
                <w:sz w:val="21"/>
                <w:szCs w:val="21"/>
                <w:highlight w:val="none"/>
              </w:rPr>
            </w:pPr>
          </w:p>
        </w:tc>
      </w:tr>
      <w:tr w14:paraId="7E7C25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3744DB85">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76F3F7D5">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2BFF5D77">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72236500">
            <w:pPr>
              <w:autoSpaceDE w:val="0"/>
              <w:autoSpaceDN w:val="0"/>
              <w:adjustRightInd w:val="0"/>
              <w:spacing w:line="360" w:lineRule="auto"/>
              <w:rPr>
                <w:rFonts w:hint="eastAsia" w:ascii="黑体" w:hAnsi="黑体" w:eastAsia="黑体" w:cs="黑体"/>
                <w:color w:val="auto"/>
                <w:sz w:val="21"/>
                <w:szCs w:val="21"/>
                <w:highlight w:val="none"/>
              </w:rPr>
            </w:pPr>
          </w:p>
        </w:tc>
      </w:tr>
      <w:tr w14:paraId="56E69B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3B1DC2FA">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565DEE09">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043E389E">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129EFA98">
            <w:pPr>
              <w:autoSpaceDE w:val="0"/>
              <w:autoSpaceDN w:val="0"/>
              <w:adjustRightInd w:val="0"/>
              <w:spacing w:line="360" w:lineRule="auto"/>
              <w:rPr>
                <w:rFonts w:hint="eastAsia" w:ascii="黑体" w:hAnsi="黑体" w:eastAsia="黑体" w:cs="黑体"/>
                <w:color w:val="auto"/>
                <w:sz w:val="21"/>
                <w:szCs w:val="21"/>
                <w:highlight w:val="none"/>
              </w:rPr>
            </w:pPr>
          </w:p>
        </w:tc>
      </w:tr>
      <w:tr w14:paraId="43D003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6F8C27A0">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4D6C6545">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1EEC9BD7">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25F8EA9C">
            <w:pPr>
              <w:autoSpaceDE w:val="0"/>
              <w:autoSpaceDN w:val="0"/>
              <w:adjustRightInd w:val="0"/>
              <w:spacing w:line="360" w:lineRule="auto"/>
              <w:rPr>
                <w:rFonts w:hint="eastAsia" w:ascii="黑体" w:hAnsi="黑体" w:eastAsia="黑体" w:cs="黑体"/>
                <w:color w:val="auto"/>
                <w:sz w:val="21"/>
                <w:szCs w:val="21"/>
                <w:highlight w:val="none"/>
              </w:rPr>
            </w:pPr>
          </w:p>
        </w:tc>
      </w:tr>
      <w:tr w14:paraId="5F8133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4F929923">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6E978C3A">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56ED2E1C">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2330A396">
            <w:pPr>
              <w:autoSpaceDE w:val="0"/>
              <w:autoSpaceDN w:val="0"/>
              <w:adjustRightInd w:val="0"/>
              <w:spacing w:line="360" w:lineRule="auto"/>
              <w:rPr>
                <w:rFonts w:hint="eastAsia" w:ascii="黑体" w:hAnsi="黑体" w:eastAsia="黑体" w:cs="黑体"/>
                <w:color w:val="auto"/>
                <w:sz w:val="21"/>
                <w:szCs w:val="21"/>
                <w:highlight w:val="none"/>
              </w:rPr>
            </w:pPr>
          </w:p>
        </w:tc>
      </w:tr>
      <w:tr w14:paraId="5FC1B8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2A137CC2">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576C35B8">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5C170DCB">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566B58F4">
            <w:pPr>
              <w:autoSpaceDE w:val="0"/>
              <w:autoSpaceDN w:val="0"/>
              <w:adjustRightInd w:val="0"/>
              <w:spacing w:line="360" w:lineRule="auto"/>
              <w:rPr>
                <w:rFonts w:hint="eastAsia" w:ascii="黑体" w:hAnsi="黑体" w:eastAsia="黑体" w:cs="黑体"/>
                <w:color w:val="auto"/>
                <w:sz w:val="21"/>
                <w:szCs w:val="21"/>
                <w:highlight w:val="none"/>
              </w:rPr>
            </w:pPr>
          </w:p>
        </w:tc>
      </w:tr>
      <w:tr w14:paraId="0ADB4F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768E05F2">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75110522">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6290D70D">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5DDF5B4C">
            <w:pPr>
              <w:autoSpaceDE w:val="0"/>
              <w:autoSpaceDN w:val="0"/>
              <w:adjustRightInd w:val="0"/>
              <w:spacing w:line="360" w:lineRule="auto"/>
              <w:rPr>
                <w:rFonts w:hint="eastAsia" w:ascii="黑体" w:hAnsi="黑体" w:eastAsia="黑体" w:cs="黑体"/>
                <w:color w:val="auto"/>
                <w:sz w:val="21"/>
                <w:szCs w:val="21"/>
                <w:highlight w:val="none"/>
              </w:rPr>
            </w:pPr>
          </w:p>
        </w:tc>
      </w:tr>
      <w:tr w14:paraId="0ED8CD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00E81A5F">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3DB1FD6D">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4069E24A">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31C4E480">
            <w:pPr>
              <w:autoSpaceDE w:val="0"/>
              <w:autoSpaceDN w:val="0"/>
              <w:adjustRightInd w:val="0"/>
              <w:spacing w:line="360" w:lineRule="auto"/>
              <w:rPr>
                <w:rFonts w:hint="eastAsia" w:ascii="黑体" w:hAnsi="黑体" w:eastAsia="黑体" w:cs="黑体"/>
                <w:color w:val="auto"/>
                <w:sz w:val="21"/>
                <w:szCs w:val="21"/>
                <w:highlight w:val="none"/>
              </w:rPr>
            </w:pPr>
          </w:p>
        </w:tc>
      </w:tr>
      <w:tr w14:paraId="632496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14E36CB3">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695E6863">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62467639">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75402B23">
            <w:pPr>
              <w:autoSpaceDE w:val="0"/>
              <w:autoSpaceDN w:val="0"/>
              <w:adjustRightInd w:val="0"/>
              <w:spacing w:line="360" w:lineRule="auto"/>
              <w:rPr>
                <w:rFonts w:hint="eastAsia" w:ascii="黑体" w:hAnsi="黑体" w:eastAsia="黑体" w:cs="黑体"/>
                <w:color w:val="auto"/>
                <w:sz w:val="21"/>
                <w:szCs w:val="21"/>
                <w:highlight w:val="none"/>
              </w:rPr>
            </w:pPr>
          </w:p>
        </w:tc>
      </w:tr>
      <w:tr w14:paraId="3CC10F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4D700160">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3DF3A107">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65FC0219">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6E4976F8">
            <w:pPr>
              <w:autoSpaceDE w:val="0"/>
              <w:autoSpaceDN w:val="0"/>
              <w:adjustRightInd w:val="0"/>
              <w:spacing w:line="360" w:lineRule="auto"/>
              <w:rPr>
                <w:rFonts w:hint="eastAsia" w:ascii="黑体" w:hAnsi="黑体" w:eastAsia="黑体" w:cs="黑体"/>
                <w:color w:val="auto"/>
                <w:sz w:val="21"/>
                <w:szCs w:val="21"/>
                <w:highlight w:val="none"/>
              </w:rPr>
            </w:pPr>
          </w:p>
        </w:tc>
      </w:tr>
      <w:tr w14:paraId="41B101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45F9A4F0">
            <w:pPr>
              <w:autoSpaceDE w:val="0"/>
              <w:autoSpaceDN w:val="0"/>
              <w:adjustRightInd w:val="0"/>
              <w:spacing w:line="360" w:lineRule="auto"/>
              <w:rPr>
                <w:rFonts w:hint="eastAsia" w:ascii="黑体" w:hAnsi="黑体" w:eastAsia="黑体" w:cs="黑体"/>
                <w:color w:val="auto"/>
                <w:sz w:val="21"/>
                <w:szCs w:val="21"/>
                <w:highlight w:val="none"/>
              </w:rPr>
            </w:pPr>
          </w:p>
        </w:tc>
        <w:tc>
          <w:tcPr>
            <w:tcW w:w="2442" w:type="dxa"/>
            <w:noWrap w:val="0"/>
            <w:vAlign w:val="top"/>
          </w:tcPr>
          <w:p w14:paraId="3A5C9075">
            <w:pPr>
              <w:autoSpaceDE w:val="0"/>
              <w:autoSpaceDN w:val="0"/>
              <w:adjustRightInd w:val="0"/>
              <w:spacing w:line="360" w:lineRule="auto"/>
              <w:rPr>
                <w:rFonts w:hint="eastAsia" w:ascii="黑体" w:hAnsi="黑体" w:eastAsia="黑体" w:cs="黑体"/>
                <w:color w:val="auto"/>
                <w:sz w:val="21"/>
                <w:szCs w:val="21"/>
                <w:highlight w:val="none"/>
              </w:rPr>
            </w:pPr>
          </w:p>
        </w:tc>
        <w:tc>
          <w:tcPr>
            <w:tcW w:w="2199" w:type="dxa"/>
            <w:noWrap w:val="0"/>
            <w:vAlign w:val="top"/>
          </w:tcPr>
          <w:p w14:paraId="73706998">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0AC15492">
            <w:pPr>
              <w:autoSpaceDE w:val="0"/>
              <w:autoSpaceDN w:val="0"/>
              <w:adjustRightInd w:val="0"/>
              <w:spacing w:line="360" w:lineRule="auto"/>
              <w:rPr>
                <w:rFonts w:hint="eastAsia" w:ascii="黑体" w:hAnsi="黑体" w:eastAsia="黑体" w:cs="黑体"/>
                <w:color w:val="auto"/>
                <w:sz w:val="21"/>
                <w:szCs w:val="21"/>
                <w:highlight w:val="none"/>
              </w:rPr>
            </w:pPr>
          </w:p>
        </w:tc>
      </w:tr>
      <w:tr w14:paraId="6F2E7E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962" w:type="dxa"/>
            <w:gridSpan w:val="2"/>
            <w:noWrap w:val="0"/>
            <w:vAlign w:val="top"/>
          </w:tcPr>
          <w:p w14:paraId="2B9ECE34">
            <w:pPr>
              <w:autoSpaceDE w:val="0"/>
              <w:autoSpaceDN w:val="0"/>
              <w:adjustRightInd w:val="0"/>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拟分包工程造价合计（万元）</w:t>
            </w:r>
          </w:p>
        </w:tc>
        <w:tc>
          <w:tcPr>
            <w:tcW w:w="2199" w:type="dxa"/>
            <w:noWrap w:val="0"/>
            <w:vAlign w:val="top"/>
          </w:tcPr>
          <w:p w14:paraId="3095DE8B">
            <w:pPr>
              <w:autoSpaceDE w:val="0"/>
              <w:autoSpaceDN w:val="0"/>
              <w:adjustRightInd w:val="0"/>
              <w:spacing w:line="360" w:lineRule="auto"/>
              <w:rPr>
                <w:rFonts w:hint="eastAsia" w:ascii="黑体" w:hAnsi="黑体" w:eastAsia="黑体" w:cs="黑体"/>
                <w:color w:val="auto"/>
                <w:sz w:val="21"/>
                <w:szCs w:val="21"/>
                <w:highlight w:val="none"/>
              </w:rPr>
            </w:pPr>
          </w:p>
        </w:tc>
        <w:tc>
          <w:tcPr>
            <w:tcW w:w="2091" w:type="dxa"/>
            <w:vMerge w:val="continue"/>
            <w:noWrap w:val="0"/>
            <w:vAlign w:val="top"/>
          </w:tcPr>
          <w:p w14:paraId="3E62B76F">
            <w:pPr>
              <w:autoSpaceDE w:val="0"/>
              <w:autoSpaceDN w:val="0"/>
              <w:adjustRightInd w:val="0"/>
              <w:spacing w:line="360" w:lineRule="auto"/>
              <w:rPr>
                <w:rFonts w:hint="eastAsia" w:ascii="黑体" w:hAnsi="黑体" w:eastAsia="黑体" w:cs="黑体"/>
                <w:color w:val="auto"/>
                <w:sz w:val="21"/>
                <w:szCs w:val="21"/>
                <w:highlight w:val="none"/>
              </w:rPr>
            </w:pPr>
          </w:p>
        </w:tc>
      </w:tr>
    </w:tbl>
    <w:p w14:paraId="582815A0">
      <w:pPr>
        <w:shd w:val="clear" w:color="auto" w:fill="auto"/>
        <w:spacing w:line="440" w:lineRule="exact"/>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t xml:space="preserve">                    </w:t>
      </w:r>
    </w:p>
    <w:p w14:paraId="01BCF280">
      <w:pPr>
        <w:pStyle w:val="3"/>
        <w:bidi w:val="0"/>
        <w:rPr>
          <w:rFonts w:hint="eastAsia" w:ascii="黑体" w:hAnsi="黑体" w:eastAsia="黑体" w:cs="黑体"/>
          <w:b w:val="0"/>
          <w:color w:val="auto"/>
          <w:sz w:val="28"/>
          <w:szCs w:val="28"/>
          <w:highlight w:val="none"/>
        </w:rPr>
      </w:pPr>
      <w:r>
        <w:rPr>
          <w:rFonts w:hint="eastAsia" w:ascii="黑体" w:hAnsi="黑体" w:eastAsia="黑体" w:cs="黑体"/>
          <w:color w:val="auto"/>
          <w:szCs w:val="27"/>
          <w:highlight w:val="none"/>
        </w:rPr>
        <w:br w:type="page"/>
      </w:r>
      <w:bookmarkStart w:id="827" w:name="_Toc501257498"/>
      <w:bookmarkStart w:id="828" w:name="_Toc234833277"/>
      <w:bookmarkStart w:id="829" w:name="_Toc30503"/>
      <w:r>
        <w:rPr>
          <w:rFonts w:hint="eastAsia"/>
          <w:highlight w:val="none"/>
          <w:lang w:val="en-US" w:eastAsia="zh-CN"/>
        </w:rPr>
        <w:t>八</w:t>
      </w:r>
      <w:r>
        <w:rPr>
          <w:rFonts w:hint="eastAsia"/>
          <w:highlight w:val="none"/>
        </w:rPr>
        <w:t>、</w:t>
      </w:r>
      <w:bookmarkEnd w:id="827"/>
      <w:bookmarkEnd w:id="828"/>
      <w:bookmarkStart w:id="830" w:name="_Toc501257499"/>
      <w:bookmarkStart w:id="831" w:name="_Toc234833278"/>
      <w:r>
        <w:rPr>
          <w:rFonts w:hint="eastAsia"/>
          <w:highlight w:val="none"/>
        </w:rPr>
        <w:t>资格审查资料</w:t>
      </w:r>
      <w:bookmarkEnd w:id="829"/>
      <w:bookmarkEnd w:id="830"/>
      <w:bookmarkEnd w:id="831"/>
    </w:p>
    <w:p w14:paraId="7CF42347">
      <w:pPr>
        <w:pStyle w:val="2"/>
        <w:shd w:val="clear" w:color="auto" w:fill="auto"/>
        <w:spacing w:before="0" w:after="0" w:line="380" w:lineRule="atLeast"/>
        <w:jc w:val="center"/>
        <w:rPr>
          <w:rFonts w:hint="eastAsia" w:ascii="黑体" w:hAnsi="黑体" w:eastAsia="黑体" w:cs="黑体"/>
          <w:b/>
          <w:bCs w:val="0"/>
          <w:color w:val="auto"/>
          <w:sz w:val="28"/>
          <w:szCs w:val="28"/>
          <w:highlight w:val="none"/>
        </w:rPr>
      </w:pPr>
      <w:bookmarkStart w:id="832" w:name="_Toc501257500"/>
      <w:bookmarkStart w:id="833" w:name="_Toc234833279"/>
      <w:bookmarkStart w:id="834" w:name="_Toc22933"/>
      <w:r>
        <w:rPr>
          <w:rFonts w:hint="eastAsia" w:ascii="黑体" w:hAnsi="黑体" w:eastAsia="黑体" w:cs="黑体"/>
          <w:b/>
          <w:bCs w:val="0"/>
          <w:color w:val="auto"/>
          <w:sz w:val="28"/>
          <w:szCs w:val="28"/>
          <w:highlight w:val="none"/>
        </w:rPr>
        <w:t>（一）投标人基本情况表</w:t>
      </w:r>
      <w:bookmarkEnd w:id="832"/>
      <w:bookmarkEnd w:id="833"/>
      <w:bookmarkEnd w:id="834"/>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823"/>
        <w:gridCol w:w="1130"/>
        <w:gridCol w:w="838"/>
        <w:gridCol w:w="1258"/>
        <w:gridCol w:w="1398"/>
        <w:gridCol w:w="498"/>
        <w:gridCol w:w="734"/>
        <w:gridCol w:w="1447"/>
      </w:tblGrid>
      <w:tr w14:paraId="4F1325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823" w:type="dxa"/>
            <w:noWrap w:val="0"/>
            <w:vAlign w:val="center"/>
          </w:tcPr>
          <w:p w14:paraId="3666A098">
            <w:pPr>
              <w:spacing w:line="360" w:lineRule="auto"/>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投标人名称</w:t>
            </w:r>
          </w:p>
        </w:tc>
        <w:tc>
          <w:tcPr>
            <w:tcW w:w="7303" w:type="dxa"/>
            <w:gridSpan w:val="7"/>
            <w:noWrap w:val="0"/>
            <w:vAlign w:val="center"/>
          </w:tcPr>
          <w:p w14:paraId="0B4C88C4">
            <w:pPr>
              <w:spacing w:line="360" w:lineRule="auto"/>
              <w:jc w:val="center"/>
              <w:rPr>
                <w:rFonts w:hint="eastAsia" w:ascii="黑体" w:hAnsi="黑体" w:eastAsia="黑体" w:cs="黑体"/>
                <w:color w:val="auto"/>
                <w:szCs w:val="21"/>
                <w:highlight w:val="none"/>
              </w:rPr>
            </w:pPr>
          </w:p>
        </w:tc>
      </w:tr>
      <w:tr w14:paraId="499C79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823" w:type="dxa"/>
            <w:noWrap w:val="0"/>
            <w:vAlign w:val="center"/>
          </w:tcPr>
          <w:p w14:paraId="5FEBEB6E">
            <w:pPr>
              <w:spacing w:line="360" w:lineRule="auto"/>
              <w:jc w:val="center"/>
              <w:rPr>
                <w:rFonts w:hint="eastAsia" w:ascii="黑体" w:hAnsi="黑体" w:eastAsia="黑体" w:cs="黑体"/>
                <w:color w:val="auto"/>
                <w:szCs w:val="21"/>
                <w:highlight w:val="none"/>
              </w:rPr>
            </w:pPr>
            <w:r>
              <w:rPr>
                <w:rStyle w:val="47"/>
                <w:rFonts w:hint="eastAsia" w:ascii="黑体" w:hAnsi="黑体" w:eastAsia="黑体" w:cs="黑体"/>
                <w:color w:val="auto"/>
                <w:sz w:val="21"/>
                <w:szCs w:val="21"/>
                <w:highlight w:val="none"/>
                <w:lang w:val="zh-TW" w:eastAsia="zh-TW"/>
              </w:rPr>
              <w:t>注册地址</w:t>
            </w:r>
          </w:p>
        </w:tc>
        <w:tc>
          <w:tcPr>
            <w:tcW w:w="3226" w:type="dxa"/>
            <w:gridSpan w:val="3"/>
            <w:noWrap w:val="0"/>
            <w:vAlign w:val="center"/>
          </w:tcPr>
          <w:p w14:paraId="6B7740F2">
            <w:pPr>
              <w:spacing w:line="360" w:lineRule="auto"/>
              <w:jc w:val="center"/>
              <w:rPr>
                <w:rFonts w:hint="eastAsia" w:ascii="黑体" w:hAnsi="黑体" w:eastAsia="黑体" w:cs="黑体"/>
                <w:color w:val="auto"/>
                <w:szCs w:val="21"/>
                <w:highlight w:val="none"/>
              </w:rPr>
            </w:pPr>
          </w:p>
        </w:tc>
        <w:tc>
          <w:tcPr>
            <w:tcW w:w="1398" w:type="dxa"/>
            <w:noWrap w:val="0"/>
            <w:vAlign w:val="center"/>
          </w:tcPr>
          <w:p w14:paraId="294716CD">
            <w:pPr>
              <w:spacing w:line="360" w:lineRule="auto"/>
              <w:jc w:val="center"/>
              <w:rPr>
                <w:rFonts w:hint="eastAsia" w:ascii="黑体" w:hAnsi="黑体" w:eastAsia="黑体" w:cs="黑体"/>
                <w:color w:val="auto"/>
                <w:szCs w:val="21"/>
                <w:highlight w:val="none"/>
              </w:rPr>
            </w:pPr>
            <w:r>
              <w:rPr>
                <w:rStyle w:val="47"/>
                <w:rFonts w:hint="eastAsia" w:ascii="黑体" w:hAnsi="黑体" w:eastAsia="黑体" w:cs="黑体"/>
                <w:color w:val="auto"/>
                <w:sz w:val="21"/>
                <w:szCs w:val="21"/>
                <w:highlight w:val="none"/>
                <w:lang w:val="zh-TW" w:eastAsia="zh-TW"/>
              </w:rPr>
              <w:t>邮政编码</w:t>
            </w:r>
          </w:p>
        </w:tc>
        <w:tc>
          <w:tcPr>
            <w:tcW w:w="2679" w:type="dxa"/>
            <w:gridSpan w:val="3"/>
            <w:noWrap w:val="0"/>
            <w:vAlign w:val="center"/>
          </w:tcPr>
          <w:p w14:paraId="10A98A59">
            <w:pPr>
              <w:spacing w:line="360" w:lineRule="auto"/>
              <w:jc w:val="center"/>
              <w:rPr>
                <w:rFonts w:hint="eastAsia" w:ascii="黑体" w:hAnsi="黑体" w:eastAsia="黑体" w:cs="黑体"/>
                <w:color w:val="auto"/>
                <w:szCs w:val="21"/>
                <w:highlight w:val="none"/>
              </w:rPr>
            </w:pPr>
          </w:p>
        </w:tc>
      </w:tr>
      <w:tr w14:paraId="245A4A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823" w:type="dxa"/>
            <w:vMerge w:val="restart"/>
            <w:noWrap w:val="0"/>
            <w:vAlign w:val="center"/>
          </w:tcPr>
          <w:p w14:paraId="72C3737E">
            <w:pPr>
              <w:spacing w:line="360" w:lineRule="auto"/>
              <w:jc w:val="center"/>
              <w:rPr>
                <w:rFonts w:hint="eastAsia" w:ascii="黑体" w:hAnsi="黑体" w:eastAsia="黑体" w:cs="黑体"/>
                <w:color w:val="auto"/>
                <w:szCs w:val="21"/>
                <w:highlight w:val="none"/>
              </w:rPr>
            </w:pPr>
            <w:r>
              <w:rPr>
                <w:rStyle w:val="47"/>
                <w:rFonts w:hint="eastAsia" w:ascii="黑体" w:hAnsi="黑体" w:eastAsia="黑体" w:cs="黑体"/>
                <w:color w:val="auto"/>
                <w:sz w:val="21"/>
                <w:szCs w:val="21"/>
                <w:highlight w:val="none"/>
                <w:lang w:val="zh-TW" w:eastAsia="zh-TW"/>
              </w:rPr>
              <w:t>联系方式</w:t>
            </w:r>
          </w:p>
        </w:tc>
        <w:tc>
          <w:tcPr>
            <w:tcW w:w="1130" w:type="dxa"/>
            <w:noWrap w:val="0"/>
            <w:vAlign w:val="center"/>
          </w:tcPr>
          <w:p w14:paraId="7B116EB8">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联系人</w:t>
            </w:r>
          </w:p>
        </w:tc>
        <w:tc>
          <w:tcPr>
            <w:tcW w:w="2096" w:type="dxa"/>
            <w:gridSpan w:val="2"/>
            <w:noWrap w:val="0"/>
            <w:vAlign w:val="center"/>
          </w:tcPr>
          <w:p w14:paraId="3BCEB1F5">
            <w:pPr>
              <w:spacing w:line="360" w:lineRule="auto"/>
              <w:jc w:val="center"/>
              <w:rPr>
                <w:rFonts w:hint="eastAsia" w:ascii="黑体" w:hAnsi="黑体" w:eastAsia="黑体" w:cs="黑体"/>
                <w:color w:val="auto"/>
                <w:szCs w:val="21"/>
                <w:highlight w:val="none"/>
              </w:rPr>
            </w:pPr>
          </w:p>
        </w:tc>
        <w:tc>
          <w:tcPr>
            <w:tcW w:w="1398" w:type="dxa"/>
            <w:noWrap w:val="0"/>
            <w:vAlign w:val="center"/>
          </w:tcPr>
          <w:p w14:paraId="2B07F2C3">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电话</w:t>
            </w:r>
          </w:p>
        </w:tc>
        <w:tc>
          <w:tcPr>
            <w:tcW w:w="2679" w:type="dxa"/>
            <w:gridSpan w:val="3"/>
            <w:noWrap w:val="0"/>
            <w:vAlign w:val="center"/>
          </w:tcPr>
          <w:p w14:paraId="2161B5D3">
            <w:pPr>
              <w:spacing w:line="360" w:lineRule="auto"/>
              <w:jc w:val="center"/>
              <w:rPr>
                <w:rFonts w:hint="eastAsia" w:ascii="黑体" w:hAnsi="黑体" w:eastAsia="黑体" w:cs="黑体"/>
                <w:color w:val="auto"/>
                <w:szCs w:val="21"/>
                <w:highlight w:val="none"/>
              </w:rPr>
            </w:pPr>
          </w:p>
        </w:tc>
      </w:tr>
      <w:tr w14:paraId="6F4D1E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823" w:type="dxa"/>
            <w:vMerge w:val="continue"/>
            <w:noWrap w:val="0"/>
            <w:vAlign w:val="center"/>
          </w:tcPr>
          <w:p w14:paraId="1B8DE299">
            <w:pPr>
              <w:spacing w:line="360" w:lineRule="auto"/>
              <w:jc w:val="center"/>
              <w:rPr>
                <w:rFonts w:hint="eastAsia" w:ascii="黑体" w:hAnsi="黑体" w:eastAsia="黑体" w:cs="黑体"/>
                <w:color w:val="auto"/>
                <w:szCs w:val="21"/>
                <w:highlight w:val="none"/>
              </w:rPr>
            </w:pPr>
          </w:p>
        </w:tc>
        <w:tc>
          <w:tcPr>
            <w:tcW w:w="1130" w:type="dxa"/>
            <w:noWrap w:val="0"/>
            <w:vAlign w:val="center"/>
          </w:tcPr>
          <w:p w14:paraId="349F6337">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传真</w:t>
            </w:r>
          </w:p>
        </w:tc>
        <w:tc>
          <w:tcPr>
            <w:tcW w:w="2096" w:type="dxa"/>
            <w:gridSpan w:val="2"/>
            <w:noWrap w:val="0"/>
            <w:vAlign w:val="center"/>
          </w:tcPr>
          <w:p w14:paraId="29A4AC08">
            <w:pPr>
              <w:spacing w:line="360" w:lineRule="auto"/>
              <w:jc w:val="center"/>
              <w:rPr>
                <w:rFonts w:hint="eastAsia" w:ascii="黑体" w:hAnsi="黑体" w:eastAsia="黑体" w:cs="黑体"/>
                <w:color w:val="auto"/>
                <w:szCs w:val="21"/>
                <w:highlight w:val="none"/>
              </w:rPr>
            </w:pPr>
          </w:p>
        </w:tc>
        <w:tc>
          <w:tcPr>
            <w:tcW w:w="1398" w:type="dxa"/>
            <w:noWrap w:val="0"/>
            <w:vAlign w:val="center"/>
          </w:tcPr>
          <w:p w14:paraId="3D0C0464">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电子邮件</w:t>
            </w:r>
          </w:p>
        </w:tc>
        <w:tc>
          <w:tcPr>
            <w:tcW w:w="2679" w:type="dxa"/>
            <w:gridSpan w:val="3"/>
            <w:noWrap w:val="0"/>
            <w:vAlign w:val="center"/>
          </w:tcPr>
          <w:p w14:paraId="071A607B">
            <w:pPr>
              <w:spacing w:line="360" w:lineRule="auto"/>
              <w:jc w:val="center"/>
              <w:rPr>
                <w:rFonts w:hint="eastAsia" w:ascii="黑体" w:hAnsi="黑体" w:eastAsia="黑体" w:cs="黑体"/>
                <w:color w:val="auto"/>
                <w:szCs w:val="21"/>
                <w:highlight w:val="none"/>
              </w:rPr>
            </w:pPr>
          </w:p>
        </w:tc>
      </w:tr>
      <w:tr w14:paraId="315168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823" w:type="dxa"/>
            <w:noWrap w:val="0"/>
            <w:vAlign w:val="center"/>
          </w:tcPr>
          <w:p w14:paraId="1E7EB791">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法定代表人</w:t>
            </w:r>
          </w:p>
        </w:tc>
        <w:tc>
          <w:tcPr>
            <w:tcW w:w="1130" w:type="dxa"/>
            <w:noWrap w:val="0"/>
            <w:vAlign w:val="center"/>
          </w:tcPr>
          <w:p w14:paraId="7AB7448B">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姓名</w:t>
            </w:r>
          </w:p>
        </w:tc>
        <w:tc>
          <w:tcPr>
            <w:tcW w:w="838" w:type="dxa"/>
            <w:noWrap w:val="0"/>
            <w:vAlign w:val="center"/>
          </w:tcPr>
          <w:p w14:paraId="3D00323B">
            <w:pPr>
              <w:spacing w:line="360" w:lineRule="auto"/>
              <w:jc w:val="center"/>
              <w:rPr>
                <w:rFonts w:hint="eastAsia" w:ascii="黑体" w:hAnsi="黑体" w:eastAsia="黑体" w:cs="黑体"/>
                <w:color w:val="auto"/>
                <w:szCs w:val="21"/>
                <w:highlight w:val="none"/>
              </w:rPr>
            </w:pPr>
          </w:p>
        </w:tc>
        <w:tc>
          <w:tcPr>
            <w:tcW w:w="1258" w:type="dxa"/>
            <w:noWrap w:val="0"/>
            <w:vAlign w:val="center"/>
          </w:tcPr>
          <w:p w14:paraId="64C541DC">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技术职称</w:t>
            </w:r>
          </w:p>
        </w:tc>
        <w:tc>
          <w:tcPr>
            <w:tcW w:w="1398" w:type="dxa"/>
            <w:noWrap w:val="0"/>
            <w:vAlign w:val="center"/>
          </w:tcPr>
          <w:p w14:paraId="4A1EC34F">
            <w:pPr>
              <w:spacing w:line="360" w:lineRule="auto"/>
              <w:jc w:val="center"/>
              <w:rPr>
                <w:rStyle w:val="47"/>
                <w:rFonts w:hint="eastAsia" w:ascii="黑体" w:hAnsi="黑体" w:eastAsia="黑体" w:cs="黑体"/>
                <w:color w:val="auto"/>
                <w:sz w:val="21"/>
                <w:szCs w:val="21"/>
                <w:highlight w:val="none"/>
                <w:lang w:val="zh-TW" w:eastAsia="zh-TW"/>
              </w:rPr>
            </w:pPr>
          </w:p>
        </w:tc>
        <w:tc>
          <w:tcPr>
            <w:tcW w:w="1232" w:type="dxa"/>
            <w:gridSpan w:val="2"/>
            <w:noWrap w:val="0"/>
            <w:vAlign w:val="center"/>
          </w:tcPr>
          <w:p w14:paraId="0FFFF29F">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电话</w:t>
            </w:r>
          </w:p>
        </w:tc>
        <w:tc>
          <w:tcPr>
            <w:tcW w:w="1447" w:type="dxa"/>
            <w:noWrap w:val="0"/>
            <w:vAlign w:val="center"/>
          </w:tcPr>
          <w:p w14:paraId="534EC8DB">
            <w:pPr>
              <w:spacing w:line="360" w:lineRule="auto"/>
              <w:jc w:val="center"/>
              <w:rPr>
                <w:rFonts w:hint="eastAsia" w:ascii="黑体" w:hAnsi="黑体" w:eastAsia="黑体" w:cs="黑体"/>
                <w:color w:val="auto"/>
                <w:szCs w:val="21"/>
                <w:highlight w:val="none"/>
              </w:rPr>
            </w:pPr>
          </w:p>
        </w:tc>
      </w:tr>
      <w:tr w14:paraId="3DB41B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823" w:type="dxa"/>
            <w:noWrap w:val="0"/>
            <w:vAlign w:val="center"/>
          </w:tcPr>
          <w:p w14:paraId="55F2B21F">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技术负责人</w:t>
            </w:r>
          </w:p>
        </w:tc>
        <w:tc>
          <w:tcPr>
            <w:tcW w:w="1130" w:type="dxa"/>
            <w:noWrap w:val="0"/>
            <w:vAlign w:val="center"/>
          </w:tcPr>
          <w:p w14:paraId="2E28F632">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姓名</w:t>
            </w:r>
          </w:p>
        </w:tc>
        <w:tc>
          <w:tcPr>
            <w:tcW w:w="838" w:type="dxa"/>
            <w:noWrap w:val="0"/>
            <w:vAlign w:val="center"/>
          </w:tcPr>
          <w:p w14:paraId="07CF7B33">
            <w:pPr>
              <w:spacing w:line="360" w:lineRule="auto"/>
              <w:jc w:val="center"/>
              <w:rPr>
                <w:rFonts w:hint="eastAsia" w:ascii="黑体" w:hAnsi="黑体" w:eastAsia="黑体" w:cs="黑体"/>
                <w:color w:val="auto"/>
                <w:szCs w:val="21"/>
                <w:highlight w:val="none"/>
              </w:rPr>
            </w:pPr>
          </w:p>
        </w:tc>
        <w:tc>
          <w:tcPr>
            <w:tcW w:w="1258" w:type="dxa"/>
            <w:noWrap w:val="0"/>
            <w:vAlign w:val="center"/>
          </w:tcPr>
          <w:p w14:paraId="5AF4D2D7">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技术职称</w:t>
            </w:r>
          </w:p>
        </w:tc>
        <w:tc>
          <w:tcPr>
            <w:tcW w:w="1398" w:type="dxa"/>
            <w:noWrap w:val="0"/>
            <w:vAlign w:val="center"/>
          </w:tcPr>
          <w:p w14:paraId="00D67F25">
            <w:pPr>
              <w:spacing w:line="360" w:lineRule="auto"/>
              <w:jc w:val="center"/>
              <w:rPr>
                <w:rStyle w:val="47"/>
                <w:rFonts w:hint="eastAsia" w:ascii="黑体" w:hAnsi="黑体" w:eastAsia="黑体" w:cs="黑体"/>
                <w:color w:val="auto"/>
                <w:sz w:val="21"/>
                <w:szCs w:val="21"/>
                <w:highlight w:val="none"/>
                <w:lang w:val="zh-TW" w:eastAsia="zh-TW"/>
              </w:rPr>
            </w:pPr>
          </w:p>
        </w:tc>
        <w:tc>
          <w:tcPr>
            <w:tcW w:w="1232" w:type="dxa"/>
            <w:gridSpan w:val="2"/>
            <w:noWrap w:val="0"/>
            <w:vAlign w:val="center"/>
          </w:tcPr>
          <w:p w14:paraId="797F929F">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电话</w:t>
            </w:r>
          </w:p>
        </w:tc>
        <w:tc>
          <w:tcPr>
            <w:tcW w:w="1447" w:type="dxa"/>
            <w:noWrap w:val="0"/>
            <w:vAlign w:val="center"/>
          </w:tcPr>
          <w:p w14:paraId="21EC695C">
            <w:pPr>
              <w:spacing w:line="360" w:lineRule="auto"/>
              <w:jc w:val="center"/>
              <w:rPr>
                <w:rFonts w:hint="eastAsia" w:ascii="黑体" w:hAnsi="黑体" w:eastAsia="黑体" w:cs="黑体"/>
                <w:color w:val="auto"/>
                <w:szCs w:val="21"/>
                <w:highlight w:val="none"/>
              </w:rPr>
            </w:pPr>
          </w:p>
        </w:tc>
      </w:tr>
      <w:tr w14:paraId="2DD7AB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823" w:type="dxa"/>
            <w:noWrap w:val="0"/>
            <w:vAlign w:val="center"/>
          </w:tcPr>
          <w:p w14:paraId="177E0B07">
            <w:pPr>
              <w:pStyle w:val="34"/>
              <w:shd w:val="clear" w:color="auto" w:fill="auto"/>
              <w:spacing w:before="0" w:line="360" w:lineRule="auto"/>
              <w:jc w:val="center"/>
              <w:rPr>
                <w:rStyle w:val="47"/>
                <w:rFonts w:hint="eastAsia" w:ascii="黑体" w:hAnsi="黑体" w:eastAsia="黑体" w:cs="黑体"/>
                <w:color w:val="auto"/>
                <w:sz w:val="21"/>
                <w:szCs w:val="21"/>
                <w:highlight w:val="none"/>
                <w:lang w:val="zh-TW" w:eastAsia="zh-TW"/>
              </w:rPr>
            </w:pPr>
            <w:r>
              <w:rPr>
                <w:rStyle w:val="47"/>
                <w:rFonts w:hint="eastAsia" w:ascii="黑体" w:hAnsi="黑体" w:eastAsia="黑体" w:cs="黑体"/>
                <w:color w:val="auto"/>
                <w:sz w:val="21"/>
                <w:szCs w:val="21"/>
                <w:highlight w:val="none"/>
                <w:lang w:val="zh-TW" w:eastAsia="zh-TW"/>
              </w:rPr>
              <w:t>营业执照号</w:t>
            </w:r>
          </w:p>
        </w:tc>
        <w:tc>
          <w:tcPr>
            <w:tcW w:w="1968" w:type="dxa"/>
            <w:gridSpan w:val="2"/>
            <w:noWrap w:val="0"/>
            <w:vAlign w:val="center"/>
          </w:tcPr>
          <w:p w14:paraId="4D71846E">
            <w:pPr>
              <w:spacing w:line="360" w:lineRule="auto"/>
              <w:jc w:val="center"/>
              <w:rPr>
                <w:rFonts w:hint="eastAsia" w:ascii="黑体" w:hAnsi="黑体" w:eastAsia="黑体" w:cs="黑体"/>
                <w:color w:val="auto"/>
                <w:szCs w:val="21"/>
                <w:highlight w:val="none"/>
              </w:rPr>
            </w:pPr>
          </w:p>
        </w:tc>
        <w:tc>
          <w:tcPr>
            <w:tcW w:w="5335" w:type="dxa"/>
            <w:gridSpan w:val="5"/>
            <w:noWrap w:val="0"/>
            <w:vAlign w:val="center"/>
          </w:tcPr>
          <w:p w14:paraId="2E585B98">
            <w:pPr>
              <w:spacing w:line="360" w:lineRule="auto"/>
              <w:jc w:val="center"/>
              <w:rPr>
                <w:rFonts w:hint="eastAsia" w:ascii="黑体" w:hAnsi="黑体" w:eastAsia="黑体" w:cs="黑体"/>
                <w:color w:val="auto"/>
                <w:szCs w:val="21"/>
                <w:highlight w:val="none"/>
              </w:rPr>
            </w:pPr>
            <w:r>
              <w:rPr>
                <w:rStyle w:val="47"/>
                <w:rFonts w:hint="eastAsia" w:ascii="黑体" w:hAnsi="黑体" w:eastAsia="黑体" w:cs="黑体"/>
                <w:color w:val="auto"/>
                <w:sz w:val="21"/>
                <w:szCs w:val="21"/>
                <w:highlight w:val="none"/>
                <w:lang w:val="zh-TW" w:eastAsia="zh-TW"/>
              </w:rPr>
              <w:t>员工总人数：</w:t>
            </w:r>
          </w:p>
        </w:tc>
      </w:tr>
      <w:tr w14:paraId="462ADD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823" w:type="dxa"/>
            <w:noWrap w:val="0"/>
            <w:vAlign w:val="center"/>
          </w:tcPr>
          <w:p w14:paraId="6C9F4E1A">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企业资质等级</w:t>
            </w:r>
          </w:p>
        </w:tc>
        <w:tc>
          <w:tcPr>
            <w:tcW w:w="1968" w:type="dxa"/>
            <w:gridSpan w:val="2"/>
            <w:noWrap w:val="0"/>
            <w:vAlign w:val="center"/>
          </w:tcPr>
          <w:p w14:paraId="5FBE7703">
            <w:pPr>
              <w:spacing w:line="360" w:lineRule="auto"/>
              <w:jc w:val="center"/>
              <w:rPr>
                <w:rFonts w:hint="eastAsia" w:ascii="黑体" w:hAnsi="黑体" w:eastAsia="黑体" w:cs="黑体"/>
                <w:color w:val="auto"/>
                <w:szCs w:val="21"/>
                <w:highlight w:val="none"/>
              </w:rPr>
            </w:pPr>
          </w:p>
        </w:tc>
        <w:tc>
          <w:tcPr>
            <w:tcW w:w="1258" w:type="dxa"/>
            <w:vMerge w:val="restart"/>
            <w:noWrap w:val="0"/>
            <w:vAlign w:val="center"/>
          </w:tcPr>
          <w:p w14:paraId="26564923">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其</w:t>
            </w:r>
          </w:p>
          <w:p w14:paraId="3E20C15F">
            <w:pPr>
              <w:pStyle w:val="34"/>
              <w:shd w:val="clear" w:color="auto" w:fill="auto"/>
              <w:spacing w:before="0" w:line="360" w:lineRule="auto"/>
              <w:jc w:val="center"/>
              <w:rPr>
                <w:rStyle w:val="47"/>
                <w:rFonts w:hint="eastAsia" w:ascii="黑体" w:hAnsi="黑体" w:eastAsia="黑体" w:cs="黑体"/>
                <w:color w:val="auto"/>
                <w:sz w:val="21"/>
                <w:szCs w:val="21"/>
                <w:highlight w:val="none"/>
                <w:lang w:val="zh-TW" w:eastAsia="zh-TW"/>
              </w:rPr>
            </w:pPr>
            <w:r>
              <w:rPr>
                <w:rStyle w:val="47"/>
                <w:rFonts w:hint="eastAsia" w:ascii="黑体" w:hAnsi="黑体" w:eastAsia="黑体" w:cs="黑体"/>
                <w:color w:val="auto"/>
                <w:sz w:val="21"/>
                <w:szCs w:val="21"/>
                <w:highlight w:val="none"/>
                <w:lang w:val="zh-TW" w:eastAsia="zh-TW"/>
              </w:rPr>
              <w:t>中</w:t>
            </w:r>
          </w:p>
        </w:tc>
        <w:tc>
          <w:tcPr>
            <w:tcW w:w="1896" w:type="dxa"/>
            <w:gridSpan w:val="2"/>
            <w:noWrap w:val="0"/>
            <w:vAlign w:val="center"/>
          </w:tcPr>
          <w:p w14:paraId="32C60B40">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项目经理</w:t>
            </w:r>
          </w:p>
        </w:tc>
        <w:tc>
          <w:tcPr>
            <w:tcW w:w="2181" w:type="dxa"/>
            <w:gridSpan w:val="2"/>
            <w:noWrap w:val="0"/>
            <w:vAlign w:val="center"/>
          </w:tcPr>
          <w:p w14:paraId="177BBCEC">
            <w:pPr>
              <w:spacing w:line="360" w:lineRule="auto"/>
              <w:jc w:val="center"/>
              <w:rPr>
                <w:rFonts w:hint="eastAsia" w:ascii="黑体" w:hAnsi="黑体" w:eastAsia="黑体" w:cs="黑体"/>
                <w:color w:val="auto"/>
                <w:szCs w:val="21"/>
                <w:highlight w:val="none"/>
              </w:rPr>
            </w:pPr>
          </w:p>
        </w:tc>
      </w:tr>
      <w:tr w14:paraId="42EC79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823" w:type="dxa"/>
            <w:noWrap w:val="0"/>
            <w:vAlign w:val="center"/>
          </w:tcPr>
          <w:p w14:paraId="18FF7EAA">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注册资本</w:t>
            </w:r>
          </w:p>
        </w:tc>
        <w:tc>
          <w:tcPr>
            <w:tcW w:w="1968" w:type="dxa"/>
            <w:gridSpan w:val="2"/>
            <w:noWrap w:val="0"/>
            <w:vAlign w:val="center"/>
          </w:tcPr>
          <w:p w14:paraId="23996286">
            <w:pPr>
              <w:spacing w:line="360" w:lineRule="auto"/>
              <w:jc w:val="center"/>
              <w:rPr>
                <w:rFonts w:hint="eastAsia" w:ascii="黑体" w:hAnsi="黑体" w:eastAsia="黑体" w:cs="黑体"/>
                <w:color w:val="auto"/>
                <w:szCs w:val="21"/>
                <w:highlight w:val="none"/>
              </w:rPr>
            </w:pPr>
          </w:p>
        </w:tc>
        <w:tc>
          <w:tcPr>
            <w:tcW w:w="1258" w:type="dxa"/>
            <w:vMerge w:val="continue"/>
            <w:noWrap w:val="0"/>
            <w:vAlign w:val="center"/>
          </w:tcPr>
          <w:p w14:paraId="670214B7">
            <w:pPr>
              <w:pStyle w:val="34"/>
              <w:shd w:val="clear" w:color="auto" w:fill="auto"/>
              <w:spacing w:before="0" w:line="360" w:lineRule="auto"/>
              <w:jc w:val="center"/>
              <w:rPr>
                <w:rStyle w:val="47"/>
                <w:rFonts w:hint="eastAsia" w:ascii="黑体" w:hAnsi="黑体" w:eastAsia="黑体" w:cs="黑体"/>
                <w:color w:val="auto"/>
                <w:sz w:val="21"/>
                <w:szCs w:val="21"/>
                <w:highlight w:val="none"/>
                <w:lang w:val="zh-TW" w:eastAsia="zh-TW"/>
              </w:rPr>
            </w:pPr>
          </w:p>
        </w:tc>
        <w:tc>
          <w:tcPr>
            <w:tcW w:w="1896" w:type="dxa"/>
            <w:gridSpan w:val="2"/>
            <w:noWrap w:val="0"/>
            <w:vAlign w:val="center"/>
          </w:tcPr>
          <w:p w14:paraId="132760B1">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高级职称人员</w:t>
            </w:r>
          </w:p>
        </w:tc>
        <w:tc>
          <w:tcPr>
            <w:tcW w:w="2181" w:type="dxa"/>
            <w:gridSpan w:val="2"/>
            <w:noWrap w:val="0"/>
            <w:vAlign w:val="center"/>
          </w:tcPr>
          <w:p w14:paraId="00A53311">
            <w:pPr>
              <w:spacing w:line="360" w:lineRule="auto"/>
              <w:jc w:val="center"/>
              <w:rPr>
                <w:rFonts w:hint="eastAsia" w:ascii="黑体" w:hAnsi="黑体" w:eastAsia="黑体" w:cs="黑体"/>
                <w:color w:val="auto"/>
                <w:szCs w:val="21"/>
                <w:highlight w:val="none"/>
              </w:rPr>
            </w:pPr>
          </w:p>
        </w:tc>
      </w:tr>
      <w:tr w14:paraId="5C07F7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823" w:type="dxa"/>
            <w:noWrap w:val="0"/>
            <w:vAlign w:val="center"/>
          </w:tcPr>
          <w:p w14:paraId="4B072940">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成立日期</w:t>
            </w:r>
          </w:p>
        </w:tc>
        <w:tc>
          <w:tcPr>
            <w:tcW w:w="1968" w:type="dxa"/>
            <w:gridSpan w:val="2"/>
            <w:noWrap w:val="0"/>
            <w:vAlign w:val="center"/>
          </w:tcPr>
          <w:p w14:paraId="72DB0B35">
            <w:pPr>
              <w:spacing w:line="360" w:lineRule="auto"/>
              <w:jc w:val="center"/>
              <w:rPr>
                <w:rFonts w:hint="eastAsia" w:ascii="黑体" w:hAnsi="黑体" w:eastAsia="黑体" w:cs="黑体"/>
                <w:color w:val="auto"/>
                <w:szCs w:val="21"/>
                <w:highlight w:val="none"/>
              </w:rPr>
            </w:pPr>
          </w:p>
        </w:tc>
        <w:tc>
          <w:tcPr>
            <w:tcW w:w="1258" w:type="dxa"/>
            <w:vMerge w:val="continue"/>
            <w:noWrap w:val="0"/>
            <w:vAlign w:val="center"/>
          </w:tcPr>
          <w:p w14:paraId="025093B0">
            <w:pPr>
              <w:pStyle w:val="34"/>
              <w:shd w:val="clear" w:color="auto" w:fill="auto"/>
              <w:spacing w:before="0" w:line="360" w:lineRule="auto"/>
              <w:jc w:val="center"/>
              <w:rPr>
                <w:rStyle w:val="47"/>
                <w:rFonts w:hint="eastAsia" w:ascii="黑体" w:hAnsi="黑体" w:eastAsia="黑体" w:cs="黑体"/>
                <w:color w:val="auto"/>
                <w:sz w:val="21"/>
                <w:szCs w:val="21"/>
                <w:highlight w:val="none"/>
                <w:lang w:val="zh-TW" w:eastAsia="zh-TW"/>
              </w:rPr>
            </w:pPr>
          </w:p>
        </w:tc>
        <w:tc>
          <w:tcPr>
            <w:tcW w:w="1896" w:type="dxa"/>
            <w:gridSpan w:val="2"/>
            <w:noWrap w:val="0"/>
            <w:vAlign w:val="center"/>
          </w:tcPr>
          <w:p w14:paraId="6368BAEC">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中级职称人员</w:t>
            </w:r>
          </w:p>
        </w:tc>
        <w:tc>
          <w:tcPr>
            <w:tcW w:w="2181" w:type="dxa"/>
            <w:gridSpan w:val="2"/>
            <w:noWrap w:val="0"/>
            <w:vAlign w:val="center"/>
          </w:tcPr>
          <w:p w14:paraId="5039D6F3">
            <w:pPr>
              <w:spacing w:line="360" w:lineRule="auto"/>
              <w:jc w:val="center"/>
              <w:rPr>
                <w:rFonts w:hint="eastAsia" w:ascii="黑体" w:hAnsi="黑体" w:eastAsia="黑体" w:cs="黑体"/>
                <w:color w:val="auto"/>
                <w:szCs w:val="21"/>
                <w:highlight w:val="none"/>
              </w:rPr>
            </w:pPr>
          </w:p>
        </w:tc>
      </w:tr>
      <w:tr w14:paraId="3C11A1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823" w:type="dxa"/>
            <w:noWrap w:val="0"/>
            <w:vAlign w:val="center"/>
          </w:tcPr>
          <w:p w14:paraId="3575464C">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基本账户开户银行</w:t>
            </w:r>
          </w:p>
        </w:tc>
        <w:tc>
          <w:tcPr>
            <w:tcW w:w="1968" w:type="dxa"/>
            <w:gridSpan w:val="2"/>
            <w:noWrap w:val="0"/>
            <w:vAlign w:val="center"/>
          </w:tcPr>
          <w:p w14:paraId="227F8B11">
            <w:pPr>
              <w:spacing w:line="360" w:lineRule="auto"/>
              <w:jc w:val="center"/>
              <w:rPr>
                <w:rFonts w:hint="eastAsia" w:ascii="黑体" w:hAnsi="黑体" w:eastAsia="黑体" w:cs="黑体"/>
                <w:color w:val="auto"/>
                <w:szCs w:val="21"/>
                <w:highlight w:val="none"/>
              </w:rPr>
            </w:pPr>
          </w:p>
        </w:tc>
        <w:tc>
          <w:tcPr>
            <w:tcW w:w="1258" w:type="dxa"/>
            <w:vMerge w:val="continue"/>
            <w:noWrap w:val="0"/>
            <w:vAlign w:val="center"/>
          </w:tcPr>
          <w:p w14:paraId="15B36262">
            <w:pPr>
              <w:pStyle w:val="34"/>
              <w:shd w:val="clear" w:color="auto" w:fill="auto"/>
              <w:spacing w:before="0" w:line="360" w:lineRule="auto"/>
              <w:jc w:val="center"/>
              <w:rPr>
                <w:rStyle w:val="47"/>
                <w:rFonts w:hint="eastAsia" w:ascii="黑体" w:hAnsi="黑体" w:eastAsia="黑体" w:cs="黑体"/>
                <w:color w:val="auto"/>
                <w:sz w:val="21"/>
                <w:szCs w:val="21"/>
                <w:highlight w:val="none"/>
                <w:lang w:val="zh-TW" w:eastAsia="zh-TW"/>
              </w:rPr>
            </w:pPr>
          </w:p>
        </w:tc>
        <w:tc>
          <w:tcPr>
            <w:tcW w:w="1896" w:type="dxa"/>
            <w:gridSpan w:val="2"/>
            <w:noWrap w:val="0"/>
            <w:vAlign w:val="center"/>
          </w:tcPr>
          <w:p w14:paraId="76C38623">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初级职称人员</w:t>
            </w:r>
          </w:p>
        </w:tc>
        <w:tc>
          <w:tcPr>
            <w:tcW w:w="2181" w:type="dxa"/>
            <w:gridSpan w:val="2"/>
            <w:noWrap w:val="0"/>
            <w:vAlign w:val="center"/>
          </w:tcPr>
          <w:p w14:paraId="3C99DC08">
            <w:pPr>
              <w:spacing w:line="360" w:lineRule="auto"/>
              <w:jc w:val="center"/>
              <w:rPr>
                <w:rFonts w:hint="eastAsia" w:ascii="黑体" w:hAnsi="黑体" w:eastAsia="黑体" w:cs="黑体"/>
                <w:color w:val="auto"/>
                <w:szCs w:val="21"/>
                <w:highlight w:val="none"/>
              </w:rPr>
            </w:pPr>
          </w:p>
        </w:tc>
      </w:tr>
      <w:tr w14:paraId="24B4FC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823" w:type="dxa"/>
            <w:noWrap w:val="0"/>
            <w:vAlign w:val="center"/>
          </w:tcPr>
          <w:p w14:paraId="1D35485E">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基本账户银行账号</w:t>
            </w:r>
          </w:p>
        </w:tc>
        <w:tc>
          <w:tcPr>
            <w:tcW w:w="1968" w:type="dxa"/>
            <w:gridSpan w:val="2"/>
            <w:noWrap w:val="0"/>
            <w:vAlign w:val="center"/>
          </w:tcPr>
          <w:p w14:paraId="6DF220F7">
            <w:pPr>
              <w:spacing w:line="360" w:lineRule="auto"/>
              <w:jc w:val="center"/>
              <w:rPr>
                <w:rFonts w:hint="eastAsia" w:ascii="黑体" w:hAnsi="黑体" w:eastAsia="黑体" w:cs="黑体"/>
                <w:color w:val="auto"/>
                <w:szCs w:val="21"/>
                <w:highlight w:val="none"/>
              </w:rPr>
            </w:pPr>
          </w:p>
        </w:tc>
        <w:tc>
          <w:tcPr>
            <w:tcW w:w="1258" w:type="dxa"/>
            <w:vMerge w:val="continue"/>
            <w:noWrap w:val="0"/>
            <w:vAlign w:val="center"/>
          </w:tcPr>
          <w:p w14:paraId="0FE51F72">
            <w:pPr>
              <w:pStyle w:val="34"/>
              <w:shd w:val="clear" w:color="auto" w:fill="auto"/>
              <w:spacing w:before="0" w:line="360" w:lineRule="auto"/>
              <w:jc w:val="center"/>
              <w:rPr>
                <w:rStyle w:val="47"/>
                <w:rFonts w:hint="eastAsia" w:ascii="黑体" w:hAnsi="黑体" w:eastAsia="黑体" w:cs="黑体"/>
                <w:color w:val="auto"/>
                <w:sz w:val="21"/>
                <w:szCs w:val="21"/>
                <w:highlight w:val="none"/>
                <w:lang w:val="zh-TW" w:eastAsia="zh-TW"/>
              </w:rPr>
            </w:pPr>
          </w:p>
        </w:tc>
        <w:tc>
          <w:tcPr>
            <w:tcW w:w="1896" w:type="dxa"/>
            <w:gridSpan w:val="2"/>
            <w:noWrap w:val="0"/>
            <w:vAlign w:val="center"/>
          </w:tcPr>
          <w:p w14:paraId="023F8012">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技工</w:t>
            </w:r>
          </w:p>
        </w:tc>
        <w:tc>
          <w:tcPr>
            <w:tcW w:w="2181" w:type="dxa"/>
            <w:gridSpan w:val="2"/>
            <w:noWrap w:val="0"/>
            <w:vAlign w:val="center"/>
          </w:tcPr>
          <w:p w14:paraId="1B39E130">
            <w:pPr>
              <w:spacing w:line="360" w:lineRule="auto"/>
              <w:jc w:val="center"/>
              <w:rPr>
                <w:rFonts w:hint="eastAsia" w:ascii="黑体" w:hAnsi="黑体" w:eastAsia="黑体" w:cs="黑体"/>
                <w:color w:val="auto"/>
                <w:szCs w:val="21"/>
                <w:highlight w:val="none"/>
              </w:rPr>
            </w:pPr>
          </w:p>
        </w:tc>
      </w:tr>
      <w:tr w14:paraId="5A8ACE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1302" w:hRule="atLeast"/>
        </w:trPr>
        <w:tc>
          <w:tcPr>
            <w:tcW w:w="1823" w:type="dxa"/>
            <w:noWrap w:val="0"/>
            <w:vAlign w:val="center"/>
          </w:tcPr>
          <w:p w14:paraId="70334051">
            <w:pPr>
              <w:pStyle w:val="34"/>
              <w:shd w:val="clear" w:color="auto" w:fill="auto"/>
              <w:spacing w:before="0" w:line="360" w:lineRule="auto"/>
              <w:jc w:val="center"/>
              <w:rPr>
                <w:rStyle w:val="47"/>
                <w:rFonts w:hint="eastAsia" w:ascii="黑体" w:hAnsi="黑体" w:eastAsia="黑体" w:cs="黑体"/>
                <w:color w:val="auto"/>
                <w:sz w:val="21"/>
                <w:szCs w:val="21"/>
                <w:highlight w:val="none"/>
                <w:lang w:val="zh-TW" w:eastAsia="zh-TW"/>
              </w:rPr>
            </w:pPr>
            <w:r>
              <w:rPr>
                <w:rStyle w:val="47"/>
                <w:rFonts w:hint="eastAsia" w:ascii="黑体" w:hAnsi="黑体" w:eastAsia="黑体" w:cs="黑体"/>
                <w:color w:val="auto"/>
                <w:sz w:val="21"/>
                <w:szCs w:val="21"/>
                <w:highlight w:val="none"/>
                <w:lang w:val="zh-TW" w:eastAsia="zh-TW"/>
              </w:rPr>
              <w:t>经营范围</w:t>
            </w:r>
          </w:p>
        </w:tc>
        <w:tc>
          <w:tcPr>
            <w:tcW w:w="7303" w:type="dxa"/>
            <w:gridSpan w:val="7"/>
            <w:noWrap w:val="0"/>
            <w:vAlign w:val="center"/>
          </w:tcPr>
          <w:p w14:paraId="59D2BC28">
            <w:pPr>
              <w:spacing w:line="360" w:lineRule="auto"/>
              <w:jc w:val="center"/>
              <w:rPr>
                <w:rFonts w:hint="eastAsia" w:ascii="黑体" w:hAnsi="黑体" w:eastAsia="黑体" w:cs="黑体"/>
                <w:color w:val="auto"/>
                <w:szCs w:val="21"/>
                <w:highlight w:val="none"/>
              </w:rPr>
            </w:pPr>
          </w:p>
        </w:tc>
      </w:tr>
      <w:tr w14:paraId="79A05B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823" w:type="dxa"/>
            <w:noWrap w:val="0"/>
            <w:vAlign w:val="center"/>
          </w:tcPr>
          <w:p w14:paraId="0D2388C5">
            <w:pPr>
              <w:pStyle w:val="34"/>
              <w:shd w:val="clear" w:color="auto" w:fill="auto"/>
              <w:spacing w:before="0" w:line="360" w:lineRule="auto"/>
              <w:jc w:val="center"/>
              <w:rPr>
                <w:rStyle w:val="47"/>
                <w:rFonts w:hint="eastAsia" w:ascii="黑体" w:hAnsi="黑体" w:eastAsia="黑体" w:cs="黑体"/>
                <w:color w:val="auto"/>
                <w:sz w:val="21"/>
                <w:szCs w:val="21"/>
                <w:highlight w:val="none"/>
                <w:lang w:val="zh-TW" w:eastAsia="zh-CN"/>
              </w:rPr>
            </w:pPr>
            <w:r>
              <w:rPr>
                <w:rStyle w:val="47"/>
                <w:rFonts w:hint="eastAsia" w:ascii="黑体" w:hAnsi="黑体" w:eastAsia="黑体" w:cs="黑体"/>
                <w:color w:val="auto"/>
                <w:sz w:val="21"/>
                <w:szCs w:val="21"/>
                <w:highlight w:val="none"/>
                <w:lang w:val="zh-TW" w:eastAsia="zh-TW"/>
              </w:rPr>
              <w:t>投标人关联企业</w:t>
            </w:r>
          </w:p>
          <w:p w14:paraId="2242F37E">
            <w:pPr>
              <w:pStyle w:val="34"/>
              <w:shd w:val="clear" w:color="auto" w:fill="auto"/>
              <w:spacing w:before="0" w:line="360" w:lineRule="auto"/>
              <w:jc w:val="center"/>
              <w:rPr>
                <w:rFonts w:hint="eastAsia" w:ascii="黑体" w:hAnsi="黑体" w:eastAsia="黑体" w:cs="黑体"/>
                <w:color w:val="auto"/>
                <w:sz w:val="21"/>
                <w:szCs w:val="21"/>
                <w:highlight w:val="none"/>
                <w:lang w:val="en-US" w:eastAsia="zh-CN"/>
              </w:rPr>
            </w:pPr>
            <w:r>
              <w:rPr>
                <w:rStyle w:val="47"/>
                <w:rFonts w:hint="eastAsia" w:ascii="黑体" w:hAnsi="黑体" w:eastAsia="黑体" w:cs="黑体"/>
                <w:color w:val="auto"/>
                <w:sz w:val="21"/>
                <w:szCs w:val="21"/>
                <w:highlight w:val="none"/>
                <w:lang w:val="zh-TW" w:eastAsia="zh-TW"/>
              </w:rPr>
              <w:t>情况</w:t>
            </w:r>
          </w:p>
        </w:tc>
        <w:tc>
          <w:tcPr>
            <w:tcW w:w="7303" w:type="dxa"/>
            <w:gridSpan w:val="7"/>
            <w:noWrap w:val="0"/>
            <w:vAlign w:val="center"/>
          </w:tcPr>
          <w:p w14:paraId="05D7D9CB">
            <w:pPr>
              <w:pStyle w:val="34"/>
              <w:shd w:val="clear" w:color="auto" w:fill="auto"/>
              <w:spacing w:before="0" w:line="360" w:lineRule="auto"/>
              <w:jc w:val="both"/>
              <w:rPr>
                <w:rStyle w:val="47"/>
                <w:rFonts w:hint="eastAsia" w:ascii="黑体" w:hAnsi="黑体" w:eastAsia="黑体" w:cs="黑体"/>
                <w:color w:val="auto"/>
                <w:sz w:val="21"/>
                <w:szCs w:val="21"/>
                <w:highlight w:val="none"/>
                <w:lang w:val="zh-TW" w:eastAsia="zh-TW"/>
              </w:rPr>
            </w:pPr>
            <w:r>
              <w:rPr>
                <w:rStyle w:val="47"/>
                <w:rFonts w:hint="eastAsia" w:ascii="黑体" w:hAnsi="黑体" w:eastAsia="黑体" w:cs="黑体"/>
                <w:color w:val="auto"/>
                <w:sz w:val="21"/>
                <w:szCs w:val="21"/>
                <w:highlight w:val="none"/>
                <w:lang w:val="zh-TW" w:eastAsia="zh-TW"/>
              </w:rPr>
              <w:t>投标人应提供关联企业情况，包括：</w:t>
            </w:r>
          </w:p>
          <w:p w14:paraId="3DAC5A80">
            <w:pPr>
              <w:pStyle w:val="34"/>
              <w:shd w:val="clear" w:color="auto" w:fill="auto"/>
              <w:spacing w:before="0" w:line="360" w:lineRule="auto"/>
              <w:jc w:val="both"/>
              <w:rPr>
                <w:rStyle w:val="47"/>
                <w:rFonts w:hint="eastAsia" w:ascii="黑体" w:hAnsi="黑体" w:eastAsia="黑体" w:cs="黑体"/>
                <w:color w:val="auto"/>
                <w:sz w:val="21"/>
                <w:szCs w:val="21"/>
                <w:highlight w:val="none"/>
                <w:lang w:val="zh-TW" w:eastAsia="zh-TW"/>
              </w:rPr>
            </w:pPr>
            <w:r>
              <w:rPr>
                <w:rStyle w:val="47"/>
                <w:rFonts w:hint="eastAsia" w:ascii="黑体" w:hAnsi="黑体" w:eastAsia="黑体" w:cs="黑体"/>
                <w:color w:val="auto"/>
                <w:sz w:val="21"/>
                <w:szCs w:val="21"/>
                <w:highlight w:val="none"/>
                <w:lang w:val="zh-TW" w:eastAsia="zh-TW"/>
              </w:rPr>
              <w:t>（1）投标人的所有股东名称及相应股权（出资额）比例；如投标人为上市公司，投标人应提供股权占公司股份总数</w:t>
            </w:r>
            <w:r>
              <w:rPr>
                <w:rStyle w:val="47"/>
                <w:rFonts w:hint="eastAsia" w:ascii="黑体" w:hAnsi="黑体" w:eastAsia="黑体" w:cs="黑体"/>
                <w:color w:val="auto"/>
                <w:sz w:val="21"/>
                <w:szCs w:val="21"/>
                <w:highlight w:val="none"/>
                <w:u w:val="single"/>
                <w:lang w:val="en-US" w:eastAsia="zh-CN"/>
              </w:rPr>
              <w:t>1</w:t>
            </w:r>
            <w:r>
              <w:rPr>
                <w:rStyle w:val="47"/>
                <w:rFonts w:hint="eastAsia" w:ascii="黑体" w:hAnsi="黑体" w:eastAsia="黑体" w:cs="黑体"/>
                <w:color w:val="auto"/>
                <w:sz w:val="21"/>
                <w:szCs w:val="21"/>
                <w:highlight w:val="none"/>
                <w:lang w:val="zh-TW" w:eastAsia="zh-TW"/>
              </w:rPr>
              <w:t>%以上的所有股东名称及相应股权比例；</w:t>
            </w:r>
          </w:p>
          <w:p w14:paraId="03FDC322">
            <w:pPr>
              <w:pStyle w:val="34"/>
              <w:shd w:val="clear" w:color="auto" w:fill="auto"/>
              <w:spacing w:before="0" w:line="360" w:lineRule="auto"/>
              <w:jc w:val="both"/>
              <w:rPr>
                <w:rStyle w:val="47"/>
                <w:rFonts w:hint="eastAsia" w:ascii="黑体" w:hAnsi="黑体" w:eastAsia="黑体" w:cs="黑体"/>
                <w:color w:val="auto"/>
                <w:sz w:val="21"/>
                <w:szCs w:val="21"/>
                <w:highlight w:val="none"/>
                <w:lang w:val="zh-TW" w:eastAsia="zh-TW"/>
              </w:rPr>
            </w:pPr>
            <w:r>
              <w:rPr>
                <w:rStyle w:val="47"/>
                <w:rFonts w:hint="eastAsia" w:ascii="黑体" w:hAnsi="黑体" w:eastAsia="黑体" w:cs="黑体"/>
                <w:color w:val="auto"/>
                <w:sz w:val="21"/>
                <w:szCs w:val="21"/>
                <w:highlight w:val="none"/>
                <w:lang w:val="zh-TW" w:eastAsia="zh-TW"/>
              </w:rPr>
              <w:t>（2）投标人投资（控股）或管理的下属企业名称、持有股权（出资额）比例；</w:t>
            </w:r>
          </w:p>
          <w:p w14:paraId="163228C3">
            <w:pPr>
              <w:pStyle w:val="34"/>
              <w:shd w:val="clear" w:color="auto" w:fill="auto"/>
              <w:spacing w:before="0" w:line="360" w:lineRule="auto"/>
              <w:jc w:val="both"/>
              <w:rPr>
                <w:rStyle w:val="47"/>
                <w:rFonts w:hint="eastAsia" w:ascii="黑体" w:hAnsi="黑体" w:eastAsia="黑体" w:cs="黑体"/>
                <w:color w:val="auto"/>
                <w:sz w:val="21"/>
                <w:szCs w:val="21"/>
                <w:highlight w:val="none"/>
                <w:lang w:val="zh-TW" w:eastAsia="zh-TW"/>
              </w:rPr>
            </w:pPr>
            <w:r>
              <w:rPr>
                <w:rStyle w:val="47"/>
                <w:rFonts w:hint="eastAsia" w:ascii="黑体" w:hAnsi="黑体" w:eastAsia="黑体" w:cs="黑体"/>
                <w:color w:val="auto"/>
                <w:sz w:val="21"/>
                <w:szCs w:val="21"/>
                <w:highlight w:val="none"/>
                <w:lang w:val="zh-TW" w:eastAsia="zh-TW"/>
              </w:rPr>
              <w:t>（3）与投标人单位负责人（即法定代表人）为同一人的其他单位名称。</w:t>
            </w:r>
          </w:p>
        </w:tc>
      </w:tr>
      <w:tr w14:paraId="417549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823" w:type="dxa"/>
            <w:noWrap w:val="0"/>
            <w:vAlign w:val="center"/>
          </w:tcPr>
          <w:p w14:paraId="5AFEBBD5">
            <w:pPr>
              <w:pStyle w:val="34"/>
              <w:shd w:val="clear" w:color="auto" w:fill="auto"/>
              <w:spacing w:before="0" w:line="360" w:lineRule="auto"/>
              <w:jc w:val="center"/>
              <w:rPr>
                <w:rStyle w:val="47"/>
                <w:rFonts w:hint="eastAsia" w:ascii="黑体" w:hAnsi="黑体" w:eastAsia="黑体" w:cs="黑体"/>
                <w:color w:val="auto"/>
                <w:sz w:val="21"/>
                <w:szCs w:val="21"/>
                <w:highlight w:val="none"/>
                <w:lang w:val="zh-TW" w:eastAsia="zh-TW"/>
              </w:rPr>
            </w:pPr>
            <w:r>
              <w:rPr>
                <w:rStyle w:val="47"/>
                <w:rFonts w:hint="eastAsia" w:ascii="黑体" w:hAnsi="黑体" w:eastAsia="黑体" w:cs="黑体"/>
                <w:color w:val="auto"/>
                <w:sz w:val="21"/>
                <w:szCs w:val="21"/>
                <w:highlight w:val="none"/>
                <w:lang w:val="zh-TW" w:eastAsia="zh-TW"/>
              </w:rPr>
              <w:t>备注</w:t>
            </w:r>
          </w:p>
        </w:tc>
        <w:tc>
          <w:tcPr>
            <w:tcW w:w="7303" w:type="dxa"/>
            <w:gridSpan w:val="7"/>
            <w:noWrap w:val="0"/>
            <w:vAlign w:val="center"/>
          </w:tcPr>
          <w:p w14:paraId="7959673B">
            <w:pPr>
              <w:pStyle w:val="34"/>
              <w:shd w:val="clear" w:color="auto" w:fill="auto"/>
              <w:spacing w:before="0" w:line="360" w:lineRule="auto"/>
              <w:jc w:val="center"/>
              <w:rPr>
                <w:rStyle w:val="47"/>
                <w:rFonts w:hint="eastAsia" w:ascii="黑体" w:hAnsi="黑体" w:eastAsia="黑体" w:cs="黑体"/>
                <w:color w:val="auto"/>
                <w:sz w:val="21"/>
                <w:szCs w:val="21"/>
                <w:highlight w:val="none"/>
                <w:lang w:val="zh-TW" w:eastAsia="zh-TW"/>
              </w:rPr>
            </w:pPr>
          </w:p>
        </w:tc>
      </w:tr>
    </w:tbl>
    <w:p w14:paraId="6A06B3A3">
      <w:pPr>
        <w:widowControl/>
        <w:shd w:val="clear" w:color="auto" w:fill="auto"/>
        <w:autoSpaceDE w:val="0"/>
        <w:autoSpaceDN w:val="0"/>
        <w:spacing w:line="400" w:lineRule="atLeast"/>
        <w:ind w:left="630" w:hanging="630" w:hangingChars="300"/>
        <w:textAlignment w:val="bottom"/>
        <w:rPr>
          <w:rFonts w:hint="eastAsia" w:ascii="黑体" w:hAnsi="黑体" w:eastAsia="黑体" w:cs="黑体"/>
          <w:color w:val="auto"/>
          <w:szCs w:val="21"/>
          <w:highlight w:val="none"/>
        </w:rPr>
      </w:pPr>
    </w:p>
    <w:p w14:paraId="53E523F4">
      <w:pPr>
        <w:widowControl/>
        <w:shd w:val="clear" w:color="auto" w:fill="auto"/>
        <w:autoSpaceDE w:val="0"/>
        <w:autoSpaceDN w:val="0"/>
        <w:spacing w:line="400" w:lineRule="atLeast"/>
        <w:ind w:left="630" w:hanging="630" w:hangingChars="300"/>
        <w:textAlignment w:val="bottom"/>
        <w:rPr>
          <w:rFonts w:hint="eastAsia" w:ascii="黑体" w:hAnsi="黑体" w:eastAsia="黑体" w:cs="黑体"/>
          <w:color w:val="auto"/>
          <w:szCs w:val="21"/>
          <w:highlight w:val="none"/>
        </w:rPr>
      </w:pPr>
      <w:r>
        <w:rPr>
          <w:rFonts w:hint="eastAsia" w:ascii="黑体" w:hAnsi="黑体" w:eastAsia="黑体" w:cs="黑体"/>
          <w:color w:val="auto"/>
          <w:szCs w:val="21"/>
          <w:highlight w:val="none"/>
        </w:rPr>
        <w:t>注：1.</w:t>
      </w:r>
      <w:r>
        <w:rPr>
          <w:rFonts w:hint="eastAsia" w:ascii="黑体" w:hAnsi="黑体" w:eastAsia="黑体" w:cs="黑体"/>
          <w:color w:val="auto"/>
          <w:highlight w:val="none"/>
        </w:rPr>
        <w:t>投标人应根据招标文件第二章“投标人须知”第3.5.1项的要求在本表后附相关证明材料。</w:t>
      </w:r>
    </w:p>
    <w:p w14:paraId="62E68052">
      <w:pPr>
        <w:shd w:val="clear" w:color="auto" w:fill="auto"/>
        <w:spacing w:line="400" w:lineRule="atLeast"/>
        <w:ind w:firstLine="420" w:firstLineChars="200"/>
        <w:rPr>
          <w:rFonts w:hint="eastAsia" w:ascii="黑体" w:hAnsi="黑体" w:eastAsia="黑体" w:cs="黑体"/>
          <w:color w:val="auto"/>
          <w:szCs w:val="21"/>
          <w:highlight w:val="none"/>
        </w:rPr>
      </w:pPr>
      <w:r>
        <w:rPr>
          <w:rFonts w:hint="eastAsia" w:ascii="黑体" w:hAnsi="黑体" w:eastAsia="黑体" w:cs="黑体"/>
          <w:color w:val="auto"/>
          <w:szCs w:val="21"/>
          <w:highlight w:val="none"/>
        </w:rPr>
        <w:t>2.以联合体形式参与投标的，联合体各成员应分别填写。</w:t>
      </w:r>
    </w:p>
    <w:p w14:paraId="3D91F8A0">
      <w:pPr>
        <w:shd w:val="clear" w:color="auto" w:fill="auto"/>
        <w:spacing w:line="440" w:lineRule="exact"/>
        <w:jc w:val="center"/>
        <w:rPr>
          <w:rFonts w:hint="eastAsia" w:ascii="黑体" w:hAnsi="黑体" w:eastAsia="黑体" w:cs="黑体"/>
          <w:color w:val="auto"/>
          <w:szCs w:val="21"/>
          <w:highlight w:val="none"/>
        </w:rPr>
      </w:pPr>
    </w:p>
    <w:p w14:paraId="38D1F6CB">
      <w:pPr>
        <w:pStyle w:val="21"/>
        <w:rPr>
          <w:rFonts w:hint="eastAsia" w:ascii="黑体" w:hAnsi="黑体" w:eastAsia="黑体" w:cs="黑体"/>
          <w:color w:val="auto"/>
          <w:szCs w:val="21"/>
          <w:highlight w:val="none"/>
        </w:rPr>
      </w:pPr>
    </w:p>
    <w:p w14:paraId="54D8013A">
      <w:pPr>
        <w:pStyle w:val="21"/>
        <w:rPr>
          <w:rFonts w:hint="eastAsia" w:ascii="黑体" w:hAnsi="黑体" w:eastAsia="黑体" w:cs="黑体"/>
          <w:color w:val="auto"/>
          <w:szCs w:val="21"/>
          <w:highlight w:val="none"/>
        </w:rPr>
      </w:pPr>
    </w:p>
    <w:p w14:paraId="53B197AF">
      <w:pPr>
        <w:pStyle w:val="21"/>
        <w:rPr>
          <w:rFonts w:hint="eastAsia" w:ascii="黑体" w:hAnsi="黑体" w:eastAsia="黑体" w:cs="黑体"/>
          <w:color w:val="auto"/>
          <w:szCs w:val="21"/>
          <w:highlight w:val="none"/>
        </w:rPr>
      </w:pPr>
    </w:p>
    <w:p w14:paraId="0D54D68D">
      <w:pPr>
        <w:pStyle w:val="21"/>
        <w:rPr>
          <w:rFonts w:hint="eastAsia" w:ascii="黑体" w:hAnsi="黑体" w:eastAsia="黑体" w:cs="黑体"/>
          <w:color w:val="auto"/>
          <w:szCs w:val="21"/>
          <w:highlight w:val="none"/>
        </w:rPr>
      </w:pPr>
    </w:p>
    <w:p w14:paraId="27F6D532">
      <w:pPr>
        <w:pStyle w:val="2"/>
        <w:shd w:val="clear" w:color="auto" w:fill="auto"/>
        <w:spacing w:before="0" w:after="0" w:line="380" w:lineRule="atLeast"/>
        <w:jc w:val="center"/>
        <w:rPr>
          <w:rFonts w:hint="eastAsia" w:ascii="黑体" w:hAnsi="黑体" w:eastAsia="黑体" w:cs="黑体"/>
          <w:b/>
          <w:bCs w:val="0"/>
          <w:color w:val="auto"/>
          <w:sz w:val="28"/>
          <w:szCs w:val="28"/>
          <w:highlight w:val="none"/>
        </w:rPr>
      </w:pPr>
      <w:bookmarkStart w:id="835" w:name="_Toc501257501"/>
      <w:bookmarkStart w:id="836" w:name="_Toc8554"/>
      <w:bookmarkStart w:id="837" w:name="_Toc234833280"/>
      <w:r>
        <w:rPr>
          <w:rFonts w:hint="eastAsia" w:ascii="黑体" w:hAnsi="黑体" w:eastAsia="黑体" w:cs="黑体"/>
          <w:b/>
          <w:bCs w:val="0"/>
          <w:color w:val="auto"/>
          <w:sz w:val="28"/>
          <w:szCs w:val="28"/>
          <w:highlight w:val="none"/>
        </w:rPr>
        <w:t>（二）投标人企业组织机构框图</w:t>
      </w:r>
      <w:bookmarkEnd w:id="835"/>
      <w:bookmarkEnd w:id="836"/>
      <w:bookmarkEnd w:id="837"/>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14:paraId="203BD9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6" w:hRule="atLeast"/>
        </w:trPr>
        <w:tc>
          <w:tcPr>
            <w:tcW w:w="9286" w:type="dxa"/>
            <w:noWrap w:val="0"/>
            <w:vAlign w:val="top"/>
          </w:tcPr>
          <w:p w14:paraId="5D864413">
            <w:pPr>
              <w:autoSpaceDE w:val="0"/>
              <w:autoSpaceDN w:val="0"/>
              <w:adjustRightInd w:val="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以框图方式表示</w:t>
            </w:r>
          </w:p>
        </w:tc>
      </w:tr>
      <w:tr w14:paraId="75F4A8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35" w:hRule="atLeast"/>
        </w:trPr>
        <w:tc>
          <w:tcPr>
            <w:tcW w:w="9286" w:type="dxa"/>
            <w:noWrap w:val="0"/>
            <w:vAlign w:val="top"/>
          </w:tcPr>
          <w:p w14:paraId="60DE12CC">
            <w:pPr>
              <w:autoSpaceDE w:val="0"/>
              <w:autoSpaceDN w:val="0"/>
              <w:adjustRightInd w:val="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说明</w:t>
            </w:r>
          </w:p>
        </w:tc>
      </w:tr>
    </w:tbl>
    <w:p w14:paraId="5FFC5DC5">
      <w:pPr>
        <w:widowControl/>
        <w:shd w:val="clear" w:color="auto" w:fill="auto"/>
        <w:autoSpaceDE w:val="0"/>
        <w:autoSpaceDN w:val="0"/>
        <w:spacing w:line="400" w:lineRule="atLeast"/>
        <w:ind w:left="180"/>
        <w:jc w:val="center"/>
        <w:textAlignment w:val="bottom"/>
        <w:rPr>
          <w:rFonts w:hint="eastAsia" w:ascii="黑体" w:hAnsi="黑体" w:eastAsia="黑体" w:cs="黑体"/>
          <w:color w:val="auto"/>
          <w:sz w:val="20"/>
          <w:szCs w:val="20"/>
          <w:highlight w:val="none"/>
        </w:rPr>
      </w:pPr>
    </w:p>
    <w:p w14:paraId="4FC672F5">
      <w:pPr>
        <w:pStyle w:val="2"/>
        <w:shd w:val="clear" w:color="auto" w:fill="auto"/>
        <w:spacing w:before="0" w:after="0" w:line="380" w:lineRule="atLeast"/>
        <w:jc w:val="center"/>
        <w:rPr>
          <w:rFonts w:hint="eastAsia" w:ascii="黑体" w:hAnsi="黑体" w:eastAsia="黑体" w:cs="黑体"/>
          <w:b/>
          <w:bCs w:val="0"/>
          <w:color w:val="auto"/>
          <w:sz w:val="32"/>
          <w:szCs w:val="32"/>
          <w:highlight w:val="none"/>
        </w:rPr>
      </w:pPr>
      <w:r>
        <w:rPr>
          <w:rFonts w:hint="eastAsia" w:ascii="黑体" w:hAnsi="黑体" w:eastAsia="黑体" w:cs="黑体"/>
          <w:color w:val="auto"/>
          <w:sz w:val="24"/>
          <w:highlight w:val="none"/>
        </w:rPr>
        <w:br w:type="page"/>
      </w:r>
      <w:bookmarkStart w:id="838" w:name="_Toc234833282"/>
      <w:bookmarkStart w:id="839" w:name="_Toc501257502"/>
      <w:bookmarkStart w:id="840" w:name="_Toc13765"/>
      <w:bookmarkStart w:id="841" w:name="_Toc234833281"/>
      <w:r>
        <w:rPr>
          <w:rFonts w:hint="eastAsia" w:ascii="黑体" w:hAnsi="黑体" w:eastAsia="黑体" w:cs="黑体"/>
          <w:b/>
          <w:bCs w:val="0"/>
          <w:color w:val="auto"/>
          <w:sz w:val="28"/>
          <w:szCs w:val="28"/>
          <w:highlight w:val="none"/>
        </w:rPr>
        <w:t>（</w:t>
      </w:r>
      <w:r>
        <w:rPr>
          <w:rFonts w:hint="eastAsia" w:ascii="黑体" w:hAnsi="黑体" w:eastAsia="黑体" w:cs="黑体"/>
          <w:b/>
          <w:bCs w:val="0"/>
          <w:color w:val="auto"/>
          <w:sz w:val="28"/>
          <w:szCs w:val="28"/>
          <w:highlight w:val="none"/>
          <w:lang w:eastAsia="zh-CN"/>
        </w:rPr>
        <w:t>三</w:t>
      </w:r>
      <w:r>
        <w:rPr>
          <w:rFonts w:hint="eastAsia" w:ascii="黑体" w:hAnsi="黑体" w:eastAsia="黑体" w:cs="黑体"/>
          <w:b/>
          <w:bCs w:val="0"/>
          <w:color w:val="auto"/>
          <w:sz w:val="28"/>
          <w:szCs w:val="28"/>
          <w:highlight w:val="none"/>
        </w:rPr>
        <w:t>）近年财务状况</w:t>
      </w:r>
      <w:bookmarkEnd w:id="838"/>
      <w:bookmarkEnd w:id="839"/>
      <w:bookmarkEnd w:id="840"/>
    </w:p>
    <w:p w14:paraId="2455EA56">
      <w:pPr>
        <w:jc w:val="center"/>
        <w:rPr>
          <w:rFonts w:hint="eastAsia" w:ascii="黑体" w:hAnsi="黑体" w:eastAsia="黑体" w:cs="黑体"/>
          <w:b/>
          <w:color w:val="auto"/>
          <w:sz w:val="24"/>
          <w:highlight w:val="none"/>
        </w:rPr>
      </w:pPr>
      <w:r>
        <w:rPr>
          <w:rFonts w:hint="eastAsia" w:ascii="黑体" w:hAnsi="黑体" w:eastAsia="黑体" w:cs="黑体"/>
          <w:b/>
          <w:color w:val="auto"/>
          <w:sz w:val="24"/>
          <w:highlight w:val="none"/>
        </w:rPr>
        <w:t>财务状况表</w:t>
      </w:r>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128"/>
        <w:gridCol w:w="717"/>
        <w:gridCol w:w="1761"/>
        <w:gridCol w:w="1761"/>
        <w:gridCol w:w="1759"/>
      </w:tblGrid>
      <w:tr w14:paraId="5A900F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76" w:hRule="atLeast"/>
          <w:jc w:val="center"/>
        </w:trPr>
        <w:tc>
          <w:tcPr>
            <w:tcW w:w="3128" w:type="dxa"/>
            <w:noWrap w:val="0"/>
            <w:vAlign w:val="center"/>
          </w:tcPr>
          <w:p w14:paraId="06C3E42A">
            <w:pPr>
              <w:jc w:val="center"/>
              <w:rPr>
                <w:rFonts w:hint="eastAsia" w:ascii="黑体" w:hAnsi="黑体" w:eastAsia="黑体" w:cs="黑体"/>
                <w:color w:val="auto"/>
                <w:kern w:val="0"/>
                <w:szCs w:val="21"/>
                <w:highlight w:val="none"/>
              </w:rPr>
            </w:pPr>
            <w:r>
              <w:rPr>
                <w:rFonts w:hint="eastAsia" w:ascii="黑体" w:hAnsi="黑体" w:eastAsia="黑体" w:cs="黑体"/>
                <w:color w:val="auto"/>
                <w:kern w:val="0"/>
                <w:szCs w:val="21"/>
                <w:highlight w:val="none"/>
              </w:rPr>
              <w:t>项目或指标</w:t>
            </w:r>
          </w:p>
        </w:tc>
        <w:tc>
          <w:tcPr>
            <w:tcW w:w="717" w:type="dxa"/>
            <w:noWrap w:val="0"/>
            <w:vAlign w:val="center"/>
          </w:tcPr>
          <w:p w14:paraId="33A1971E">
            <w:pPr>
              <w:jc w:val="center"/>
              <w:rPr>
                <w:rFonts w:hint="eastAsia" w:ascii="黑体" w:hAnsi="黑体" w:eastAsia="黑体" w:cs="黑体"/>
                <w:color w:val="auto"/>
                <w:kern w:val="0"/>
                <w:szCs w:val="21"/>
                <w:highlight w:val="none"/>
              </w:rPr>
            </w:pPr>
            <w:r>
              <w:rPr>
                <w:rFonts w:hint="eastAsia" w:ascii="黑体" w:hAnsi="黑体" w:eastAsia="黑体" w:cs="黑体"/>
                <w:color w:val="auto"/>
                <w:kern w:val="0"/>
                <w:szCs w:val="21"/>
                <w:highlight w:val="none"/>
              </w:rPr>
              <w:t>单位</w:t>
            </w:r>
          </w:p>
        </w:tc>
        <w:tc>
          <w:tcPr>
            <w:tcW w:w="1761" w:type="dxa"/>
            <w:noWrap w:val="0"/>
            <w:vAlign w:val="center"/>
          </w:tcPr>
          <w:p w14:paraId="4C695F80">
            <w:pPr>
              <w:jc w:val="center"/>
              <w:rPr>
                <w:rFonts w:hint="eastAsia" w:ascii="黑体" w:hAnsi="黑体" w:eastAsia="黑体" w:cs="黑体"/>
                <w:color w:val="auto"/>
                <w:kern w:val="0"/>
                <w:szCs w:val="21"/>
                <w:highlight w:val="none"/>
              </w:rPr>
            </w:pPr>
            <w:r>
              <w:rPr>
                <w:rFonts w:hint="eastAsia" w:ascii="黑体" w:hAnsi="黑体" w:eastAsia="黑体" w:cs="黑体"/>
                <w:color w:val="auto"/>
                <w:kern w:val="0"/>
                <w:szCs w:val="21"/>
                <w:highlight w:val="none"/>
                <w:u w:val="single"/>
              </w:rPr>
              <w:t xml:space="preserve">      </w:t>
            </w:r>
            <w:r>
              <w:rPr>
                <w:rFonts w:hint="eastAsia" w:ascii="黑体" w:hAnsi="黑体" w:eastAsia="黑体" w:cs="黑体"/>
                <w:color w:val="auto"/>
                <w:kern w:val="0"/>
                <w:szCs w:val="21"/>
                <w:highlight w:val="none"/>
              </w:rPr>
              <w:t>年</w:t>
            </w:r>
          </w:p>
        </w:tc>
        <w:tc>
          <w:tcPr>
            <w:tcW w:w="1761" w:type="dxa"/>
            <w:noWrap w:val="0"/>
            <w:vAlign w:val="center"/>
          </w:tcPr>
          <w:p w14:paraId="22424595">
            <w:pPr>
              <w:jc w:val="center"/>
              <w:rPr>
                <w:rFonts w:hint="eastAsia" w:ascii="黑体" w:hAnsi="黑体" w:eastAsia="黑体" w:cs="黑体"/>
                <w:color w:val="auto"/>
                <w:kern w:val="0"/>
                <w:szCs w:val="21"/>
                <w:highlight w:val="none"/>
              </w:rPr>
            </w:pPr>
            <w:r>
              <w:rPr>
                <w:rFonts w:hint="eastAsia" w:ascii="黑体" w:hAnsi="黑体" w:eastAsia="黑体" w:cs="黑体"/>
                <w:color w:val="auto"/>
                <w:kern w:val="0"/>
                <w:szCs w:val="21"/>
                <w:highlight w:val="none"/>
                <w:u w:val="single"/>
              </w:rPr>
              <w:t xml:space="preserve">      </w:t>
            </w:r>
            <w:r>
              <w:rPr>
                <w:rFonts w:hint="eastAsia" w:ascii="黑体" w:hAnsi="黑体" w:eastAsia="黑体" w:cs="黑体"/>
                <w:color w:val="auto"/>
                <w:kern w:val="0"/>
                <w:szCs w:val="21"/>
                <w:highlight w:val="none"/>
              </w:rPr>
              <w:t>年</w:t>
            </w:r>
          </w:p>
        </w:tc>
        <w:tc>
          <w:tcPr>
            <w:tcW w:w="1759" w:type="dxa"/>
            <w:noWrap w:val="0"/>
            <w:vAlign w:val="center"/>
          </w:tcPr>
          <w:p w14:paraId="44300554">
            <w:pPr>
              <w:jc w:val="center"/>
              <w:rPr>
                <w:rFonts w:hint="eastAsia" w:ascii="黑体" w:hAnsi="黑体" w:eastAsia="黑体" w:cs="黑体"/>
                <w:color w:val="auto"/>
                <w:kern w:val="0"/>
                <w:szCs w:val="21"/>
                <w:highlight w:val="none"/>
              </w:rPr>
            </w:pPr>
            <w:r>
              <w:rPr>
                <w:rFonts w:hint="eastAsia" w:ascii="黑体" w:hAnsi="黑体" w:eastAsia="黑体" w:cs="黑体"/>
                <w:color w:val="auto"/>
                <w:kern w:val="0"/>
                <w:szCs w:val="21"/>
                <w:highlight w:val="none"/>
                <w:u w:val="single"/>
              </w:rPr>
              <w:t xml:space="preserve">      </w:t>
            </w:r>
            <w:r>
              <w:rPr>
                <w:rFonts w:hint="eastAsia" w:ascii="黑体" w:hAnsi="黑体" w:eastAsia="黑体" w:cs="黑体"/>
                <w:color w:val="auto"/>
                <w:kern w:val="0"/>
                <w:szCs w:val="21"/>
                <w:highlight w:val="none"/>
              </w:rPr>
              <w:t>年</w:t>
            </w:r>
          </w:p>
        </w:tc>
      </w:tr>
      <w:tr w14:paraId="680100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52C1EB57">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一、注册资本</w:t>
            </w:r>
          </w:p>
        </w:tc>
        <w:tc>
          <w:tcPr>
            <w:tcW w:w="717" w:type="dxa"/>
            <w:noWrap w:val="0"/>
            <w:vAlign w:val="center"/>
          </w:tcPr>
          <w:p w14:paraId="7178A52A">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万元</w:t>
            </w:r>
          </w:p>
        </w:tc>
        <w:tc>
          <w:tcPr>
            <w:tcW w:w="1761" w:type="dxa"/>
            <w:noWrap w:val="0"/>
            <w:vAlign w:val="center"/>
          </w:tcPr>
          <w:p w14:paraId="5323045D">
            <w:pPr>
              <w:jc w:val="center"/>
              <w:rPr>
                <w:rFonts w:hint="eastAsia" w:ascii="黑体" w:hAnsi="黑体" w:eastAsia="黑体" w:cs="黑体"/>
                <w:b/>
                <w:color w:val="auto"/>
                <w:szCs w:val="21"/>
                <w:highlight w:val="none"/>
              </w:rPr>
            </w:pPr>
          </w:p>
        </w:tc>
        <w:tc>
          <w:tcPr>
            <w:tcW w:w="1761" w:type="dxa"/>
            <w:noWrap w:val="0"/>
            <w:vAlign w:val="center"/>
          </w:tcPr>
          <w:p w14:paraId="29AE43E7">
            <w:pPr>
              <w:jc w:val="center"/>
              <w:rPr>
                <w:rFonts w:hint="eastAsia" w:ascii="黑体" w:hAnsi="黑体" w:eastAsia="黑体" w:cs="黑体"/>
                <w:b/>
                <w:color w:val="auto"/>
                <w:szCs w:val="21"/>
                <w:highlight w:val="none"/>
              </w:rPr>
            </w:pPr>
          </w:p>
        </w:tc>
        <w:tc>
          <w:tcPr>
            <w:tcW w:w="1759" w:type="dxa"/>
            <w:noWrap w:val="0"/>
            <w:vAlign w:val="center"/>
          </w:tcPr>
          <w:p w14:paraId="5B163FD2">
            <w:pPr>
              <w:jc w:val="center"/>
              <w:rPr>
                <w:rFonts w:hint="eastAsia" w:ascii="黑体" w:hAnsi="黑体" w:eastAsia="黑体" w:cs="黑体"/>
                <w:b/>
                <w:color w:val="auto"/>
                <w:szCs w:val="21"/>
                <w:highlight w:val="none"/>
              </w:rPr>
            </w:pPr>
          </w:p>
        </w:tc>
      </w:tr>
      <w:tr w14:paraId="7E3705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376A3401">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二、净资产</w:t>
            </w:r>
          </w:p>
        </w:tc>
        <w:tc>
          <w:tcPr>
            <w:tcW w:w="717" w:type="dxa"/>
            <w:noWrap w:val="0"/>
            <w:vAlign w:val="center"/>
          </w:tcPr>
          <w:p w14:paraId="51AC3EAD">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万元</w:t>
            </w:r>
          </w:p>
        </w:tc>
        <w:tc>
          <w:tcPr>
            <w:tcW w:w="1761" w:type="dxa"/>
            <w:noWrap w:val="0"/>
            <w:vAlign w:val="center"/>
          </w:tcPr>
          <w:p w14:paraId="04D3F975">
            <w:pPr>
              <w:jc w:val="center"/>
              <w:rPr>
                <w:rFonts w:hint="eastAsia" w:ascii="黑体" w:hAnsi="黑体" w:eastAsia="黑体" w:cs="黑体"/>
                <w:b/>
                <w:color w:val="auto"/>
                <w:szCs w:val="21"/>
                <w:highlight w:val="none"/>
              </w:rPr>
            </w:pPr>
          </w:p>
        </w:tc>
        <w:tc>
          <w:tcPr>
            <w:tcW w:w="1761" w:type="dxa"/>
            <w:noWrap w:val="0"/>
            <w:vAlign w:val="center"/>
          </w:tcPr>
          <w:p w14:paraId="04D4B4ED">
            <w:pPr>
              <w:jc w:val="center"/>
              <w:rPr>
                <w:rFonts w:hint="eastAsia" w:ascii="黑体" w:hAnsi="黑体" w:eastAsia="黑体" w:cs="黑体"/>
                <w:b/>
                <w:color w:val="auto"/>
                <w:szCs w:val="21"/>
                <w:highlight w:val="none"/>
              </w:rPr>
            </w:pPr>
          </w:p>
        </w:tc>
        <w:tc>
          <w:tcPr>
            <w:tcW w:w="1759" w:type="dxa"/>
            <w:noWrap w:val="0"/>
            <w:vAlign w:val="center"/>
          </w:tcPr>
          <w:p w14:paraId="6CB676D1">
            <w:pPr>
              <w:jc w:val="center"/>
              <w:rPr>
                <w:rFonts w:hint="eastAsia" w:ascii="黑体" w:hAnsi="黑体" w:eastAsia="黑体" w:cs="黑体"/>
                <w:b/>
                <w:color w:val="auto"/>
                <w:szCs w:val="21"/>
                <w:highlight w:val="none"/>
              </w:rPr>
            </w:pPr>
          </w:p>
        </w:tc>
      </w:tr>
      <w:tr w14:paraId="243FFF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41E5A7DE">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三、总资产</w:t>
            </w:r>
          </w:p>
        </w:tc>
        <w:tc>
          <w:tcPr>
            <w:tcW w:w="717" w:type="dxa"/>
            <w:noWrap w:val="0"/>
            <w:vAlign w:val="center"/>
          </w:tcPr>
          <w:p w14:paraId="193E2FDD">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万元</w:t>
            </w:r>
          </w:p>
        </w:tc>
        <w:tc>
          <w:tcPr>
            <w:tcW w:w="1761" w:type="dxa"/>
            <w:noWrap w:val="0"/>
            <w:vAlign w:val="center"/>
          </w:tcPr>
          <w:p w14:paraId="4108C778">
            <w:pPr>
              <w:jc w:val="center"/>
              <w:rPr>
                <w:rFonts w:hint="eastAsia" w:ascii="黑体" w:hAnsi="黑体" w:eastAsia="黑体" w:cs="黑体"/>
                <w:b/>
                <w:color w:val="auto"/>
                <w:szCs w:val="21"/>
                <w:highlight w:val="none"/>
              </w:rPr>
            </w:pPr>
          </w:p>
        </w:tc>
        <w:tc>
          <w:tcPr>
            <w:tcW w:w="1761" w:type="dxa"/>
            <w:noWrap w:val="0"/>
            <w:vAlign w:val="center"/>
          </w:tcPr>
          <w:p w14:paraId="11D8535D">
            <w:pPr>
              <w:jc w:val="center"/>
              <w:rPr>
                <w:rFonts w:hint="eastAsia" w:ascii="黑体" w:hAnsi="黑体" w:eastAsia="黑体" w:cs="黑体"/>
                <w:b/>
                <w:color w:val="auto"/>
                <w:szCs w:val="21"/>
                <w:highlight w:val="none"/>
              </w:rPr>
            </w:pPr>
          </w:p>
        </w:tc>
        <w:tc>
          <w:tcPr>
            <w:tcW w:w="1759" w:type="dxa"/>
            <w:noWrap w:val="0"/>
            <w:vAlign w:val="center"/>
          </w:tcPr>
          <w:p w14:paraId="6B368634">
            <w:pPr>
              <w:jc w:val="center"/>
              <w:rPr>
                <w:rFonts w:hint="eastAsia" w:ascii="黑体" w:hAnsi="黑体" w:eastAsia="黑体" w:cs="黑体"/>
                <w:b/>
                <w:color w:val="auto"/>
                <w:szCs w:val="21"/>
                <w:highlight w:val="none"/>
              </w:rPr>
            </w:pPr>
          </w:p>
        </w:tc>
      </w:tr>
      <w:tr w14:paraId="26509F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40E692D8">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四、固定资产</w:t>
            </w:r>
          </w:p>
        </w:tc>
        <w:tc>
          <w:tcPr>
            <w:tcW w:w="717" w:type="dxa"/>
            <w:noWrap w:val="0"/>
            <w:vAlign w:val="center"/>
          </w:tcPr>
          <w:p w14:paraId="535B504B">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万元</w:t>
            </w:r>
          </w:p>
        </w:tc>
        <w:tc>
          <w:tcPr>
            <w:tcW w:w="1761" w:type="dxa"/>
            <w:noWrap w:val="0"/>
            <w:vAlign w:val="center"/>
          </w:tcPr>
          <w:p w14:paraId="1E6400B1">
            <w:pPr>
              <w:jc w:val="center"/>
              <w:rPr>
                <w:rFonts w:hint="eastAsia" w:ascii="黑体" w:hAnsi="黑体" w:eastAsia="黑体" w:cs="黑体"/>
                <w:b/>
                <w:color w:val="auto"/>
                <w:szCs w:val="21"/>
                <w:highlight w:val="none"/>
              </w:rPr>
            </w:pPr>
          </w:p>
        </w:tc>
        <w:tc>
          <w:tcPr>
            <w:tcW w:w="1761" w:type="dxa"/>
            <w:noWrap w:val="0"/>
            <w:vAlign w:val="center"/>
          </w:tcPr>
          <w:p w14:paraId="5FB9B6A1">
            <w:pPr>
              <w:jc w:val="center"/>
              <w:rPr>
                <w:rFonts w:hint="eastAsia" w:ascii="黑体" w:hAnsi="黑体" w:eastAsia="黑体" w:cs="黑体"/>
                <w:b/>
                <w:color w:val="auto"/>
                <w:szCs w:val="21"/>
                <w:highlight w:val="none"/>
              </w:rPr>
            </w:pPr>
          </w:p>
        </w:tc>
        <w:tc>
          <w:tcPr>
            <w:tcW w:w="1759" w:type="dxa"/>
            <w:noWrap w:val="0"/>
            <w:vAlign w:val="center"/>
          </w:tcPr>
          <w:p w14:paraId="45773300">
            <w:pPr>
              <w:jc w:val="center"/>
              <w:rPr>
                <w:rFonts w:hint="eastAsia" w:ascii="黑体" w:hAnsi="黑体" w:eastAsia="黑体" w:cs="黑体"/>
                <w:b/>
                <w:color w:val="auto"/>
                <w:szCs w:val="21"/>
                <w:highlight w:val="none"/>
              </w:rPr>
            </w:pPr>
          </w:p>
        </w:tc>
      </w:tr>
      <w:tr w14:paraId="0B8822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355FC0E1">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五、流动资产</w:t>
            </w:r>
          </w:p>
        </w:tc>
        <w:tc>
          <w:tcPr>
            <w:tcW w:w="717" w:type="dxa"/>
            <w:noWrap w:val="0"/>
            <w:vAlign w:val="center"/>
          </w:tcPr>
          <w:p w14:paraId="1D07DF94">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万元</w:t>
            </w:r>
          </w:p>
        </w:tc>
        <w:tc>
          <w:tcPr>
            <w:tcW w:w="1761" w:type="dxa"/>
            <w:noWrap w:val="0"/>
            <w:vAlign w:val="center"/>
          </w:tcPr>
          <w:p w14:paraId="76E82430">
            <w:pPr>
              <w:jc w:val="center"/>
              <w:rPr>
                <w:rFonts w:hint="eastAsia" w:ascii="黑体" w:hAnsi="黑体" w:eastAsia="黑体" w:cs="黑体"/>
                <w:b/>
                <w:color w:val="auto"/>
                <w:szCs w:val="21"/>
                <w:highlight w:val="none"/>
              </w:rPr>
            </w:pPr>
          </w:p>
        </w:tc>
        <w:tc>
          <w:tcPr>
            <w:tcW w:w="1761" w:type="dxa"/>
            <w:noWrap w:val="0"/>
            <w:vAlign w:val="center"/>
          </w:tcPr>
          <w:p w14:paraId="37AE4A10">
            <w:pPr>
              <w:jc w:val="center"/>
              <w:rPr>
                <w:rFonts w:hint="eastAsia" w:ascii="黑体" w:hAnsi="黑体" w:eastAsia="黑体" w:cs="黑体"/>
                <w:b/>
                <w:color w:val="auto"/>
                <w:szCs w:val="21"/>
                <w:highlight w:val="none"/>
              </w:rPr>
            </w:pPr>
          </w:p>
        </w:tc>
        <w:tc>
          <w:tcPr>
            <w:tcW w:w="1759" w:type="dxa"/>
            <w:noWrap w:val="0"/>
            <w:vAlign w:val="center"/>
          </w:tcPr>
          <w:p w14:paraId="5F41AC59">
            <w:pPr>
              <w:jc w:val="center"/>
              <w:rPr>
                <w:rFonts w:hint="eastAsia" w:ascii="黑体" w:hAnsi="黑体" w:eastAsia="黑体" w:cs="黑体"/>
                <w:b/>
                <w:color w:val="auto"/>
                <w:szCs w:val="21"/>
                <w:highlight w:val="none"/>
              </w:rPr>
            </w:pPr>
          </w:p>
        </w:tc>
      </w:tr>
      <w:tr w14:paraId="265F36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3877D095">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六、流动负债</w:t>
            </w:r>
          </w:p>
        </w:tc>
        <w:tc>
          <w:tcPr>
            <w:tcW w:w="717" w:type="dxa"/>
            <w:noWrap w:val="0"/>
            <w:vAlign w:val="center"/>
          </w:tcPr>
          <w:p w14:paraId="21E751F1">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万元</w:t>
            </w:r>
          </w:p>
        </w:tc>
        <w:tc>
          <w:tcPr>
            <w:tcW w:w="1761" w:type="dxa"/>
            <w:noWrap w:val="0"/>
            <w:vAlign w:val="center"/>
          </w:tcPr>
          <w:p w14:paraId="0FFEC296">
            <w:pPr>
              <w:jc w:val="center"/>
              <w:rPr>
                <w:rFonts w:hint="eastAsia" w:ascii="黑体" w:hAnsi="黑体" w:eastAsia="黑体" w:cs="黑体"/>
                <w:b/>
                <w:color w:val="auto"/>
                <w:szCs w:val="21"/>
                <w:highlight w:val="none"/>
              </w:rPr>
            </w:pPr>
          </w:p>
        </w:tc>
        <w:tc>
          <w:tcPr>
            <w:tcW w:w="1761" w:type="dxa"/>
            <w:noWrap w:val="0"/>
            <w:vAlign w:val="center"/>
          </w:tcPr>
          <w:p w14:paraId="72E2AB4E">
            <w:pPr>
              <w:jc w:val="center"/>
              <w:rPr>
                <w:rFonts w:hint="eastAsia" w:ascii="黑体" w:hAnsi="黑体" w:eastAsia="黑体" w:cs="黑体"/>
                <w:b/>
                <w:color w:val="auto"/>
                <w:szCs w:val="21"/>
                <w:highlight w:val="none"/>
              </w:rPr>
            </w:pPr>
          </w:p>
        </w:tc>
        <w:tc>
          <w:tcPr>
            <w:tcW w:w="1759" w:type="dxa"/>
            <w:noWrap w:val="0"/>
            <w:vAlign w:val="center"/>
          </w:tcPr>
          <w:p w14:paraId="13237702">
            <w:pPr>
              <w:jc w:val="center"/>
              <w:rPr>
                <w:rFonts w:hint="eastAsia" w:ascii="黑体" w:hAnsi="黑体" w:eastAsia="黑体" w:cs="黑体"/>
                <w:b/>
                <w:color w:val="auto"/>
                <w:szCs w:val="21"/>
                <w:highlight w:val="none"/>
              </w:rPr>
            </w:pPr>
          </w:p>
        </w:tc>
      </w:tr>
      <w:tr w14:paraId="3DCF52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34FFFF1B">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七、负债合计</w:t>
            </w:r>
          </w:p>
        </w:tc>
        <w:tc>
          <w:tcPr>
            <w:tcW w:w="717" w:type="dxa"/>
            <w:noWrap w:val="0"/>
            <w:vAlign w:val="center"/>
          </w:tcPr>
          <w:p w14:paraId="42EBFB8D">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万元</w:t>
            </w:r>
          </w:p>
        </w:tc>
        <w:tc>
          <w:tcPr>
            <w:tcW w:w="1761" w:type="dxa"/>
            <w:noWrap w:val="0"/>
            <w:vAlign w:val="center"/>
          </w:tcPr>
          <w:p w14:paraId="7F154F5B">
            <w:pPr>
              <w:jc w:val="center"/>
              <w:rPr>
                <w:rFonts w:hint="eastAsia" w:ascii="黑体" w:hAnsi="黑体" w:eastAsia="黑体" w:cs="黑体"/>
                <w:b/>
                <w:color w:val="auto"/>
                <w:szCs w:val="21"/>
                <w:highlight w:val="none"/>
              </w:rPr>
            </w:pPr>
          </w:p>
        </w:tc>
        <w:tc>
          <w:tcPr>
            <w:tcW w:w="1761" w:type="dxa"/>
            <w:noWrap w:val="0"/>
            <w:vAlign w:val="center"/>
          </w:tcPr>
          <w:p w14:paraId="7EB1C2E2">
            <w:pPr>
              <w:jc w:val="center"/>
              <w:rPr>
                <w:rFonts w:hint="eastAsia" w:ascii="黑体" w:hAnsi="黑体" w:eastAsia="黑体" w:cs="黑体"/>
                <w:b/>
                <w:color w:val="auto"/>
                <w:szCs w:val="21"/>
                <w:highlight w:val="none"/>
              </w:rPr>
            </w:pPr>
          </w:p>
        </w:tc>
        <w:tc>
          <w:tcPr>
            <w:tcW w:w="1759" w:type="dxa"/>
            <w:noWrap w:val="0"/>
            <w:vAlign w:val="center"/>
          </w:tcPr>
          <w:p w14:paraId="617B7EC8">
            <w:pPr>
              <w:jc w:val="center"/>
              <w:rPr>
                <w:rFonts w:hint="eastAsia" w:ascii="黑体" w:hAnsi="黑体" w:eastAsia="黑体" w:cs="黑体"/>
                <w:b/>
                <w:color w:val="auto"/>
                <w:szCs w:val="21"/>
                <w:highlight w:val="none"/>
              </w:rPr>
            </w:pPr>
          </w:p>
        </w:tc>
      </w:tr>
      <w:tr w14:paraId="22FDD6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45AD72E5">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八、营业收入</w:t>
            </w:r>
          </w:p>
        </w:tc>
        <w:tc>
          <w:tcPr>
            <w:tcW w:w="717" w:type="dxa"/>
            <w:noWrap w:val="0"/>
            <w:vAlign w:val="center"/>
          </w:tcPr>
          <w:p w14:paraId="3708E865">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万元</w:t>
            </w:r>
          </w:p>
        </w:tc>
        <w:tc>
          <w:tcPr>
            <w:tcW w:w="1761" w:type="dxa"/>
            <w:noWrap w:val="0"/>
            <w:vAlign w:val="center"/>
          </w:tcPr>
          <w:p w14:paraId="10545C5D">
            <w:pPr>
              <w:jc w:val="center"/>
              <w:rPr>
                <w:rFonts w:hint="eastAsia" w:ascii="黑体" w:hAnsi="黑体" w:eastAsia="黑体" w:cs="黑体"/>
                <w:b/>
                <w:color w:val="auto"/>
                <w:szCs w:val="21"/>
                <w:highlight w:val="none"/>
              </w:rPr>
            </w:pPr>
          </w:p>
        </w:tc>
        <w:tc>
          <w:tcPr>
            <w:tcW w:w="1761" w:type="dxa"/>
            <w:noWrap w:val="0"/>
            <w:vAlign w:val="center"/>
          </w:tcPr>
          <w:p w14:paraId="6E0EB678">
            <w:pPr>
              <w:jc w:val="center"/>
              <w:rPr>
                <w:rFonts w:hint="eastAsia" w:ascii="黑体" w:hAnsi="黑体" w:eastAsia="黑体" w:cs="黑体"/>
                <w:b/>
                <w:color w:val="auto"/>
                <w:szCs w:val="21"/>
                <w:highlight w:val="none"/>
              </w:rPr>
            </w:pPr>
          </w:p>
        </w:tc>
        <w:tc>
          <w:tcPr>
            <w:tcW w:w="1759" w:type="dxa"/>
            <w:noWrap w:val="0"/>
            <w:vAlign w:val="center"/>
          </w:tcPr>
          <w:p w14:paraId="2F503D24">
            <w:pPr>
              <w:jc w:val="center"/>
              <w:rPr>
                <w:rFonts w:hint="eastAsia" w:ascii="黑体" w:hAnsi="黑体" w:eastAsia="黑体" w:cs="黑体"/>
                <w:b/>
                <w:color w:val="auto"/>
                <w:szCs w:val="21"/>
                <w:highlight w:val="none"/>
              </w:rPr>
            </w:pPr>
          </w:p>
        </w:tc>
      </w:tr>
      <w:tr w14:paraId="5754ED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64B74B57">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九、净利润</w:t>
            </w:r>
          </w:p>
        </w:tc>
        <w:tc>
          <w:tcPr>
            <w:tcW w:w="717" w:type="dxa"/>
            <w:noWrap w:val="0"/>
            <w:vAlign w:val="center"/>
          </w:tcPr>
          <w:p w14:paraId="13DEC0BB">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万元</w:t>
            </w:r>
          </w:p>
        </w:tc>
        <w:tc>
          <w:tcPr>
            <w:tcW w:w="1761" w:type="dxa"/>
            <w:noWrap w:val="0"/>
            <w:vAlign w:val="center"/>
          </w:tcPr>
          <w:p w14:paraId="6BB65CCF">
            <w:pPr>
              <w:jc w:val="center"/>
              <w:rPr>
                <w:rFonts w:hint="eastAsia" w:ascii="黑体" w:hAnsi="黑体" w:eastAsia="黑体" w:cs="黑体"/>
                <w:b/>
                <w:color w:val="auto"/>
                <w:szCs w:val="21"/>
                <w:highlight w:val="none"/>
              </w:rPr>
            </w:pPr>
          </w:p>
        </w:tc>
        <w:tc>
          <w:tcPr>
            <w:tcW w:w="1761" w:type="dxa"/>
            <w:noWrap w:val="0"/>
            <w:vAlign w:val="center"/>
          </w:tcPr>
          <w:p w14:paraId="0B52B0AD">
            <w:pPr>
              <w:jc w:val="center"/>
              <w:rPr>
                <w:rFonts w:hint="eastAsia" w:ascii="黑体" w:hAnsi="黑体" w:eastAsia="黑体" w:cs="黑体"/>
                <w:b/>
                <w:color w:val="auto"/>
                <w:szCs w:val="21"/>
                <w:highlight w:val="none"/>
              </w:rPr>
            </w:pPr>
          </w:p>
        </w:tc>
        <w:tc>
          <w:tcPr>
            <w:tcW w:w="1759" w:type="dxa"/>
            <w:noWrap w:val="0"/>
            <w:vAlign w:val="center"/>
          </w:tcPr>
          <w:p w14:paraId="16C0501D">
            <w:pPr>
              <w:jc w:val="center"/>
              <w:rPr>
                <w:rFonts w:hint="eastAsia" w:ascii="黑体" w:hAnsi="黑体" w:eastAsia="黑体" w:cs="黑体"/>
                <w:b/>
                <w:color w:val="auto"/>
                <w:szCs w:val="21"/>
                <w:highlight w:val="none"/>
              </w:rPr>
            </w:pPr>
          </w:p>
        </w:tc>
      </w:tr>
      <w:tr w14:paraId="4F540B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19008AD8">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十、现金流量净额</w:t>
            </w:r>
          </w:p>
        </w:tc>
        <w:tc>
          <w:tcPr>
            <w:tcW w:w="717" w:type="dxa"/>
            <w:noWrap w:val="0"/>
            <w:vAlign w:val="center"/>
          </w:tcPr>
          <w:p w14:paraId="5A65F198">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万元</w:t>
            </w:r>
          </w:p>
        </w:tc>
        <w:tc>
          <w:tcPr>
            <w:tcW w:w="1761" w:type="dxa"/>
            <w:noWrap w:val="0"/>
            <w:vAlign w:val="center"/>
          </w:tcPr>
          <w:p w14:paraId="64F5C853">
            <w:pPr>
              <w:jc w:val="center"/>
              <w:rPr>
                <w:rFonts w:hint="eastAsia" w:ascii="黑体" w:hAnsi="黑体" w:eastAsia="黑体" w:cs="黑体"/>
                <w:b/>
                <w:color w:val="auto"/>
                <w:szCs w:val="21"/>
                <w:highlight w:val="none"/>
              </w:rPr>
            </w:pPr>
          </w:p>
        </w:tc>
        <w:tc>
          <w:tcPr>
            <w:tcW w:w="1761" w:type="dxa"/>
            <w:noWrap w:val="0"/>
            <w:vAlign w:val="center"/>
          </w:tcPr>
          <w:p w14:paraId="60919B4C">
            <w:pPr>
              <w:jc w:val="center"/>
              <w:rPr>
                <w:rFonts w:hint="eastAsia" w:ascii="黑体" w:hAnsi="黑体" w:eastAsia="黑体" w:cs="黑体"/>
                <w:b/>
                <w:color w:val="auto"/>
                <w:szCs w:val="21"/>
                <w:highlight w:val="none"/>
              </w:rPr>
            </w:pPr>
          </w:p>
        </w:tc>
        <w:tc>
          <w:tcPr>
            <w:tcW w:w="1759" w:type="dxa"/>
            <w:noWrap w:val="0"/>
            <w:vAlign w:val="center"/>
          </w:tcPr>
          <w:p w14:paraId="69D74439">
            <w:pPr>
              <w:jc w:val="center"/>
              <w:rPr>
                <w:rFonts w:hint="eastAsia" w:ascii="黑体" w:hAnsi="黑体" w:eastAsia="黑体" w:cs="黑体"/>
                <w:b/>
                <w:color w:val="auto"/>
                <w:szCs w:val="21"/>
                <w:highlight w:val="none"/>
              </w:rPr>
            </w:pPr>
          </w:p>
        </w:tc>
      </w:tr>
      <w:tr w14:paraId="006D3D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39" w:hRule="atLeast"/>
          <w:jc w:val="center"/>
        </w:trPr>
        <w:tc>
          <w:tcPr>
            <w:tcW w:w="3128" w:type="dxa"/>
            <w:noWrap w:val="0"/>
            <w:vAlign w:val="center"/>
          </w:tcPr>
          <w:p w14:paraId="00177C5A">
            <w:pPr>
              <w:rPr>
                <w:rFonts w:hint="eastAsia" w:ascii="黑体" w:hAnsi="黑体" w:eastAsia="黑体" w:cs="黑体"/>
                <w:color w:val="auto"/>
                <w:szCs w:val="21"/>
                <w:highlight w:val="none"/>
              </w:rPr>
            </w:pPr>
            <w:r>
              <w:rPr>
                <w:rFonts w:hint="eastAsia" w:ascii="黑体" w:hAnsi="黑体" w:eastAsia="黑体" w:cs="黑体"/>
                <w:color w:val="auto"/>
                <w:szCs w:val="21"/>
                <w:highlight w:val="none"/>
              </w:rPr>
              <w:t>十一、主要财务指标</w:t>
            </w:r>
          </w:p>
        </w:tc>
        <w:tc>
          <w:tcPr>
            <w:tcW w:w="717" w:type="dxa"/>
            <w:noWrap w:val="0"/>
            <w:vAlign w:val="center"/>
          </w:tcPr>
          <w:p w14:paraId="6F280068">
            <w:pPr>
              <w:jc w:val="center"/>
              <w:rPr>
                <w:rFonts w:hint="eastAsia" w:ascii="黑体" w:hAnsi="黑体" w:eastAsia="黑体" w:cs="黑体"/>
                <w:color w:val="auto"/>
                <w:szCs w:val="21"/>
                <w:highlight w:val="none"/>
              </w:rPr>
            </w:pPr>
          </w:p>
        </w:tc>
        <w:tc>
          <w:tcPr>
            <w:tcW w:w="1761" w:type="dxa"/>
            <w:noWrap w:val="0"/>
            <w:vAlign w:val="center"/>
          </w:tcPr>
          <w:p w14:paraId="75B4A32B">
            <w:pPr>
              <w:jc w:val="center"/>
              <w:rPr>
                <w:rFonts w:hint="eastAsia" w:ascii="黑体" w:hAnsi="黑体" w:eastAsia="黑体" w:cs="黑体"/>
                <w:b/>
                <w:color w:val="auto"/>
                <w:szCs w:val="21"/>
                <w:highlight w:val="none"/>
              </w:rPr>
            </w:pPr>
          </w:p>
        </w:tc>
        <w:tc>
          <w:tcPr>
            <w:tcW w:w="1761" w:type="dxa"/>
            <w:noWrap w:val="0"/>
            <w:vAlign w:val="center"/>
          </w:tcPr>
          <w:p w14:paraId="26C05B8C">
            <w:pPr>
              <w:jc w:val="center"/>
              <w:rPr>
                <w:rFonts w:hint="eastAsia" w:ascii="黑体" w:hAnsi="黑体" w:eastAsia="黑体" w:cs="黑体"/>
                <w:b/>
                <w:color w:val="auto"/>
                <w:szCs w:val="21"/>
                <w:highlight w:val="none"/>
              </w:rPr>
            </w:pPr>
          </w:p>
        </w:tc>
        <w:tc>
          <w:tcPr>
            <w:tcW w:w="1759" w:type="dxa"/>
            <w:noWrap w:val="0"/>
            <w:vAlign w:val="center"/>
          </w:tcPr>
          <w:p w14:paraId="4A1B13C5">
            <w:pPr>
              <w:jc w:val="center"/>
              <w:rPr>
                <w:rFonts w:hint="eastAsia" w:ascii="黑体" w:hAnsi="黑体" w:eastAsia="黑体" w:cs="黑体"/>
                <w:b/>
                <w:color w:val="auto"/>
                <w:szCs w:val="21"/>
                <w:highlight w:val="none"/>
              </w:rPr>
            </w:pPr>
          </w:p>
        </w:tc>
      </w:tr>
      <w:tr w14:paraId="574624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5AF8FA86">
            <w:pPr>
              <w:ind w:firstLine="630" w:firstLineChars="300"/>
              <w:rPr>
                <w:rFonts w:hint="eastAsia" w:ascii="黑体" w:hAnsi="黑体" w:eastAsia="黑体" w:cs="黑体"/>
                <w:color w:val="auto"/>
                <w:szCs w:val="21"/>
                <w:highlight w:val="none"/>
              </w:rPr>
            </w:pPr>
            <w:r>
              <w:rPr>
                <w:rFonts w:hint="eastAsia" w:ascii="黑体" w:hAnsi="黑体" w:eastAsia="黑体" w:cs="黑体"/>
                <w:color w:val="auto"/>
                <w:szCs w:val="21"/>
                <w:highlight w:val="none"/>
              </w:rPr>
              <w:t>1.净资产收益率</w:t>
            </w:r>
          </w:p>
        </w:tc>
        <w:tc>
          <w:tcPr>
            <w:tcW w:w="717" w:type="dxa"/>
            <w:noWrap w:val="0"/>
            <w:vAlign w:val="center"/>
          </w:tcPr>
          <w:p w14:paraId="412C860C">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p>
        </w:tc>
        <w:tc>
          <w:tcPr>
            <w:tcW w:w="1761" w:type="dxa"/>
            <w:noWrap w:val="0"/>
            <w:vAlign w:val="center"/>
          </w:tcPr>
          <w:p w14:paraId="4A9FF0D6">
            <w:pPr>
              <w:jc w:val="center"/>
              <w:rPr>
                <w:rFonts w:hint="eastAsia" w:ascii="黑体" w:hAnsi="黑体" w:eastAsia="黑体" w:cs="黑体"/>
                <w:b/>
                <w:color w:val="auto"/>
                <w:szCs w:val="21"/>
                <w:highlight w:val="none"/>
              </w:rPr>
            </w:pPr>
          </w:p>
        </w:tc>
        <w:tc>
          <w:tcPr>
            <w:tcW w:w="1761" w:type="dxa"/>
            <w:noWrap w:val="0"/>
            <w:vAlign w:val="center"/>
          </w:tcPr>
          <w:p w14:paraId="396F8EAB">
            <w:pPr>
              <w:jc w:val="center"/>
              <w:rPr>
                <w:rFonts w:hint="eastAsia" w:ascii="黑体" w:hAnsi="黑体" w:eastAsia="黑体" w:cs="黑体"/>
                <w:b/>
                <w:color w:val="auto"/>
                <w:szCs w:val="21"/>
                <w:highlight w:val="none"/>
              </w:rPr>
            </w:pPr>
          </w:p>
        </w:tc>
        <w:tc>
          <w:tcPr>
            <w:tcW w:w="1759" w:type="dxa"/>
            <w:noWrap w:val="0"/>
            <w:vAlign w:val="center"/>
          </w:tcPr>
          <w:p w14:paraId="14124E86">
            <w:pPr>
              <w:jc w:val="center"/>
              <w:rPr>
                <w:rFonts w:hint="eastAsia" w:ascii="黑体" w:hAnsi="黑体" w:eastAsia="黑体" w:cs="黑体"/>
                <w:b/>
                <w:color w:val="auto"/>
                <w:szCs w:val="21"/>
                <w:highlight w:val="none"/>
              </w:rPr>
            </w:pPr>
          </w:p>
        </w:tc>
      </w:tr>
      <w:tr w14:paraId="4F19D5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07F2404C">
            <w:pPr>
              <w:ind w:firstLine="630" w:firstLineChars="300"/>
              <w:rPr>
                <w:rFonts w:hint="eastAsia" w:ascii="黑体" w:hAnsi="黑体" w:eastAsia="黑体" w:cs="黑体"/>
                <w:color w:val="auto"/>
                <w:szCs w:val="21"/>
                <w:highlight w:val="none"/>
              </w:rPr>
            </w:pPr>
            <w:r>
              <w:rPr>
                <w:rFonts w:hint="eastAsia" w:ascii="黑体" w:hAnsi="黑体" w:eastAsia="黑体" w:cs="黑体"/>
                <w:color w:val="auto"/>
                <w:szCs w:val="21"/>
                <w:highlight w:val="none"/>
              </w:rPr>
              <w:t>2.总资产报酬率</w:t>
            </w:r>
          </w:p>
        </w:tc>
        <w:tc>
          <w:tcPr>
            <w:tcW w:w="717" w:type="dxa"/>
            <w:noWrap w:val="0"/>
            <w:vAlign w:val="center"/>
          </w:tcPr>
          <w:p w14:paraId="4F43503A">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p>
        </w:tc>
        <w:tc>
          <w:tcPr>
            <w:tcW w:w="1761" w:type="dxa"/>
            <w:noWrap w:val="0"/>
            <w:vAlign w:val="center"/>
          </w:tcPr>
          <w:p w14:paraId="02F30527">
            <w:pPr>
              <w:jc w:val="center"/>
              <w:rPr>
                <w:rFonts w:hint="eastAsia" w:ascii="黑体" w:hAnsi="黑体" w:eastAsia="黑体" w:cs="黑体"/>
                <w:b/>
                <w:color w:val="auto"/>
                <w:szCs w:val="21"/>
                <w:highlight w:val="none"/>
              </w:rPr>
            </w:pPr>
          </w:p>
        </w:tc>
        <w:tc>
          <w:tcPr>
            <w:tcW w:w="1761" w:type="dxa"/>
            <w:noWrap w:val="0"/>
            <w:vAlign w:val="center"/>
          </w:tcPr>
          <w:p w14:paraId="5ECDC886">
            <w:pPr>
              <w:jc w:val="center"/>
              <w:rPr>
                <w:rFonts w:hint="eastAsia" w:ascii="黑体" w:hAnsi="黑体" w:eastAsia="黑体" w:cs="黑体"/>
                <w:b/>
                <w:color w:val="auto"/>
                <w:szCs w:val="21"/>
                <w:highlight w:val="none"/>
              </w:rPr>
            </w:pPr>
          </w:p>
        </w:tc>
        <w:tc>
          <w:tcPr>
            <w:tcW w:w="1759" w:type="dxa"/>
            <w:noWrap w:val="0"/>
            <w:vAlign w:val="center"/>
          </w:tcPr>
          <w:p w14:paraId="1D5BB990">
            <w:pPr>
              <w:jc w:val="center"/>
              <w:rPr>
                <w:rFonts w:hint="eastAsia" w:ascii="黑体" w:hAnsi="黑体" w:eastAsia="黑体" w:cs="黑体"/>
                <w:b/>
                <w:color w:val="auto"/>
                <w:szCs w:val="21"/>
                <w:highlight w:val="none"/>
              </w:rPr>
            </w:pPr>
          </w:p>
        </w:tc>
      </w:tr>
      <w:tr w14:paraId="38482F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1D67D0B9">
            <w:pPr>
              <w:ind w:firstLine="630" w:firstLineChars="300"/>
              <w:rPr>
                <w:rFonts w:hint="eastAsia" w:ascii="黑体" w:hAnsi="黑体" w:eastAsia="黑体" w:cs="黑体"/>
                <w:color w:val="auto"/>
                <w:szCs w:val="21"/>
                <w:highlight w:val="none"/>
              </w:rPr>
            </w:pPr>
            <w:r>
              <w:rPr>
                <w:rFonts w:hint="eastAsia" w:ascii="黑体" w:hAnsi="黑体" w:eastAsia="黑体" w:cs="黑体"/>
                <w:color w:val="auto"/>
                <w:szCs w:val="21"/>
                <w:highlight w:val="none"/>
              </w:rPr>
              <w:t>3.主营业务利润率</w:t>
            </w:r>
          </w:p>
        </w:tc>
        <w:tc>
          <w:tcPr>
            <w:tcW w:w="717" w:type="dxa"/>
            <w:noWrap w:val="0"/>
            <w:vAlign w:val="center"/>
          </w:tcPr>
          <w:p w14:paraId="5245D813">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p>
        </w:tc>
        <w:tc>
          <w:tcPr>
            <w:tcW w:w="1761" w:type="dxa"/>
            <w:noWrap w:val="0"/>
            <w:vAlign w:val="center"/>
          </w:tcPr>
          <w:p w14:paraId="7A46608E">
            <w:pPr>
              <w:jc w:val="center"/>
              <w:rPr>
                <w:rFonts w:hint="eastAsia" w:ascii="黑体" w:hAnsi="黑体" w:eastAsia="黑体" w:cs="黑体"/>
                <w:b/>
                <w:color w:val="auto"/>
                <w:szCs w:val="21"/>
                <w:highlight w:val="none"/>
              </w:rPr>
            </w:pPr>
          </w:p>
        </w:tc>
        <w:tc>
          <w:tcPr>
            <w:tcW w:w="1761" w:type="dxa"/>
            <w:noWrap w:val="0"/>
            <w:vAlign w:val="center"/>
          </w:tcPr>
          <w:p w14:paraId="3E4F9920">
            <w:pPr>
              <w:jc w:val="center"/>
              <w:rPr>
                <w:rFonts w:hint="eastAsia" w:ascii="黑体" w:hAnsi="黑体" w:eastAsia="黑体" w:cs="黑体"/>
                <w:b/>
                <w:color w:val="auto"/>
                <w:szCs w:val="21"/>
                <w:highlight w:val="none"/>
              </w:rPr>
            </w:pPr>
          </w:p>
        </w:tc>
        <w:tc>
          <w:tcPr>
            <w:tcW w:w="1759" w:type="dxa"/>
            <w:noWrap w:val="0"/>
            <w:vAlign w:val="center"/>
          </w:tcPr>
          <w:p w14:paraId="54886964">
            <w:pPr>
              <w:jc w:val="center"/>
              <w:rPr>
                <w:rFonts w:hint="eastAsia" w:ascii="黑体" w:hAnsi="黑体" w:eastAsia="黑体" w:cs="黑体"/>
                <w:b/>
                <w:color w:val="auto"/>
                <w:szCs w:val="21"/>
                <w:highlight w:val="none"/>
              </w:rPr>
            </w:pPr>
          </w:p>
        </w:tc>
      </w:tr>
      <w:tr w14:paraId="1CC3C5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37C6207D">
            <w:pPr>
              <w:ind w:firstLine="630" w:firstLineChars="300"/>
              <w:rPr>
                <w:rFonts w:hint="eastAsia" w:ascii="黑体" w:hAnsi="黑体" w:eastAsia="黑体" w:cs="黑体"/>
                <w:color w:val="auto"/>
                <w:szCs w:val="21"/>
                <w:highlight w:val="none"/>
              </w:rPr>
            </w:pPr>
            <w:r>
              <w:rPr>
                <w:rFonts w:hint="eastAsia" w:ascii="黑体" w:hAnsi="黑体" w:eastAsia="黑体" w:cs="黑体"/>
                <w:color w:val="auto"/>
                <w:szCs w:val="21"/>
                <w:highlight w:val="none"/>
              </w:rPr>
              <w:t>4.资产负债率</w:t>
            </w:r>
          </w:p>
        </w:tc>
        <w:tc>
          <w:tcPr>
            <w:tcW w:w="717" w:type="dxa"/>
            <w:noWrap w:val="0"/>
            <w:vAlign w:val="center"/>
          </w:tcPr>
          <w:p w14:paraId="05445B90">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p>
        </w:tc>
        <w:tc>
          <w:tcPr>
            <w:tcW w:w="1761" w:type="dxa"/>
            <w:noWrap w:val="0"/>
            <w:vAlign w:val="center"/>
          </w:tcPr>
          <w:p w14:paraId="597DF7B2">
            <w:pPr>
              <w:jc w:val="center"/>
              <w:rPr>
                <w:rFonts w:hint="eastAsia" w:ascii="黑体" w:hAnsi="黑体" w:eastAsia="黑体" w:cs="黑体"/>
                <w:b/>
                <w:color w:val="auto"/>
                <w:szCs w:val="21"/>
                <w:highlight w:val="none"/>
              </w:rPr>
            </w:pPr>
          </w:p>
        </w:tc>
        <w:tc>
          <w:tcPr>
            <w:tcW w:w="1761" w:type="dxa"/>
            <w:noWrap w:val="0"/>
            <w:vAlign w:val="center"/>
          </w:tcPr>
          <w:p w14:paraId="3C8B7E97">
            <w:pPr>
              <w:jc w:val="center"/>
              <w:rPr>
                <w:rFonts w:hint="eastAsia" w:ascii="黑体" w:hAnsi="黑体" w:eastAsia="黑体" w:cs="黑体"/>
                <w:b/>
                <w:color w:val="auto"/>
                <w:szCs w:val="21"/>
                <w:highlight w:val="none"/>
              </w:rPr>
            </w:pPr>
          </w:p>
        </w:tc>
        <w:tc>
          <w:tcPr>
            <w:tcW w:w="1759" w:type="dxa"/>
            <w:noWrap w:val="0"/>
            <w:vAlign w:val="center"/>
          </w:tcPr>
          <w:p w14:paraId="28977CFA">
            <w:pPr>
              <w:jc w:val="center"/>
              <w:rPr>
                <w:rFonts w:hint="eastAsia" w:ascii="黑体" w:hAnsi="黑体" w:eastAsia="黑体" w:cs="黑体"/>
                <w:b/>
                <w:color w:val="auto"/>
                <w:szCs w:val="21"/>
                <w:highlight w:val="none"/>
              </w:rPr>
            </w:pPr>
          </w:p>
        </w:tc>
      </w:tr>
      <w:tr w14:paraId="031B4C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3D60495C">
            <w:pPr>
              <w:ind w:firstLine="630" w:firstLineChars="300"/>
              <w:rPr>
                <w:rFonts w:hint="eastAsia" w:ascii="黑体" w:hAnsi="黑体" w:eastAsia="黑体" w:cs="黑体"/>
                <w:color w:val="auto"/>
                <w:szCs w:val="21"/>
                <w:highlight w:val="none"/>
              </w:rPr>
            </w:pPr>
            <w:r>
              <w:rPr>
                <w:rFonts w:hint="eastAsia" w:ascii="黑体" w:hAnsi="黑体" w:eastAsia="黑体" w:cs="黑体"/>
                <w:color w:val="auto"/>
                <w:szCs w:val="21"/>
                <w:highlight w:val="none"/>
              </w:rPr>
              <w:t>5.流动比率</w:t>
            </w:r>
          </w:p>
        </w:tc>
        <w:tc>
          <w:tcPr>
            <w:tcW w:w="717" w:type="dxa"/>
            <w:noWrap w:val="0"/>
            <w:vAlign w:val="center"/>
          </w:tcPr>
          <w:p w14:paraId="48576FD5">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p>
        </w:tc>
        <w:tc>
          <w:tcPr>
            <w:tcW w:w="1761" w:type="dxa"/>
            <w:noWrap w:val="0"/>
            <w:vAlign w:val="center"/>
          </w:tcPr>
          <w:p w14:paraId="7AFE1CDB">
            <w:pPr>
              <w:jc w:val="center"/>
              <w:rPr>
                <w:rFonts w:hint="eastAsia" w:ascii="黑体" w:hAnsi="黑体" w:eastAsia="黑体" w:cs="黑体"/>
                <w:b/>
                <w:color w:val="auto"/>
                <w:szCs w:val="21"/>
                <w:highlight w:val="none"/>
              </w:rPr>
            </w:pPr>
          </w:p>
        </w:tc>
        <w:tc>
          <w:tcPr>
            <w:tcW w:w="1761" w:type="dxa"/>
            <w:noWrap w:val="0"/>
            <w:vAlign w:val="center"/>
          </w:tcPr>
          <w:p w14:paraId="6302BE0C">
            <w:pPr>
              <w:jc w:val="center"/>
              <w:rPr>
                <w:rFonts w:hint="eastAsia" w:ascii="黑体" w:hAnsi="黑体" w:eastAsia="黑体" w:cs="黑体"/>
                <w:b/>
                <w:color w:val="auto"/>
                <w:szCs w:val="21"/>
                <w:highlight w:val="none"/>
              </w:rPr>
            </w:pPr>
          </w:p>
        </w:tc>
        <w:tc>
          <w:tcPr>
            <w:tcW w:w="1759" w:type="dxa"/>
            <w:noWrap w:val="0"/>
            <w:vAlign w:val="center"/>
          </w:tcPr>
          <w:p w14:paraId="445012EC">
            <w:pPr>
              <w:jc w:val="center"/>
              <w:rPr>
                <w:rFonts w:hint="eastAsia" w:ascii="黑体" w:hAnsi="黑体" w:eastAsia="黑体" w:cs="黑体"/>
                <w:b/>
                <w:color w:val="auto"/>
                <w:szCs w:val="21"/>
                <w:highlight w:val="none"/>
              </w:rPr>
            </w:pPr>
          </w:p>
        </w:tc>
      </w:tr>
      <w:tr w14:paraId="102482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9" w:hRule="atLeast"/>
          <w:jc w:val="center"/>
        </w:trPr>
        <w:tc>
          <w:tcPr>
            <w:tcW w:w="3128" w:type="dxa"/>
            <w:noWrap w:val="0"/>
            <w:vAlign w:val="center"/>
          </w:tcPr>
          <w:p w14:paraId="571B3AE1">
            <w:pPr>
              <w:ind w:firstLine="630" w:firstLineChars="300"/>
              <w:rPr>
                <w:rFonts w:hint="eastAsia" w:ascii="黑体" w:hAnsi="黑体" w:eastAsia="黑体" w:cs="黑体"/>
                <w:color w:val="auto"/>
                <w:szCs w:val="21"/>
                <w:highlight w:val="none"/>
              </w:rPr>
            </w:pPr>
            <w:r>
              <w:rPr>
                <w:rFonts w:hint="eastAsia" w:ascii="黑体" w:hAnsi="黑体" w:eastAsia="黑体" w:cs="黑体"/>
                <w:color w:val="auto"/>
                <w:szCs w:val="21"/>
                <w:highlight w:val="none"/>
              </w:rPr>
              <w:t>6.速动比率</w:t>
            </w:r>
          </w:p>
        </w:tc>
        <w:tc>
          <w:tcPr>
            <w:tcW w:w="717" w:type="dxa"/>
            <w:noWrap w:val="0"/>
            <w:vAlign w:val="center"/>
          </w:tcPr>
          <w:p w14:paraId="5EC01EB6">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p>
        </w:tc>
        <w:tc>
          <w:tcPr>
            <w:tcW w:w="1761" w:type="dxa"/>
            <w:noWrap w:val="0"/>
            <w:vAlign w:val="center"/>
          </w:tcPr>
          <w:p w14:paraId="65BAAB9B">
            <w:pPr>
              <w:jc w:val="center"/>
              <w:rPr>
                <w:rFonts w:hint="eastAsia" w:ascii="黑体" w:hAnsi="黑体" w:eastAsia="黑体" w:cs="黑体"/>
                <w:b/>
                <w:color w:val="auto"/>
                <w:szCs w:val="21"/>
                <w:highlight w:val="none"/>
              </w:rPr>
            </w:pPr>
          </w:p>
        </w:tc>
        <w:tc>
          <w:tcPr>
            <w:tcW w:w="1761" w:type="dxa"/>
            <w:noWrap w:val="0"/>
            <w:vAlign w:val="center"/>
          </w:tcPr>
          <w:p w14:paraId="00B6343C">
            <w:pPr>
              <w:jc w:val="center"/>
              <w:rPr>
                <w:rFonts w:hint="eastAsia" w:ascii="黑体" w:hAnsi="黑体" w:eastAsia="黑体" w:cs="黑体"/>
                <w:b/>
                <w:color w:val="auto"/>
                <w:szCs w:val="21"/>
                <w:highlight w:val="none"/>
              </w:rPr>
            </w:pPr>
          </w:p>
        </w:tc>
        <w:tc>
          <w:tcPr>
            <w:tcW w:w="1759" w:type="dxa"/>
            <w:noWrap w:val="0"/>
            <w:vAlign w:val="center"/>
          </w:tcPr>
          <w:p w14:paraId="02E133F5">
            <w:pPr>
              <w:jc w:val="center"/>
              <w:rPr>
                <w:rFonts w:hint="eastAsia" w:ascii="黑体" w:hAnsi="黑体" w:eastAsia="黑体" w:cs="黑体"/>
                <w:b/>
                <w:color w:val="auto"/>
                <w:szCs w:val="21"/>
                <w:highlight w:val="none"/>
              </w:rPr>
            </w:pPr>
          </w:p>
        </w:tc>
      </w:tr>
    </w:tbl>
    <w:p w14:paraId="5FC5377A">
      <w:pPr>
        <w:shd w:val="clear" w:color="auto" w:fill="auto"/>
        <w:spacing w:line="400" w:lineRule="atLeast"/>
        <w:jc w:val="left"/>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t>注：1.</w:t>
      </w:r>
      <w:r>
        <w:rPr>
          <w:rFonts w:hint="eastAsia" w:ascii="黑体" w:hAnsi="黑体" w:eastAsia="黑体" w:cs="黑体"/>
          <w:color w:val="auto"/>
          <w:sz w:val="20"/>
          <w:szCs w:val="22"/>
          <w:highlight w:val="none"/>
        </w:rPr>
        <w:t>投标人应根据招标文件第二章“投标人须知”第3.5.2项的要求在本表后附相关证明材料。</w:t>
      </w:r>
    </w:p>
    <w:p w14:paraId="7BC0C4E2">
      <w:pPr>
        <w:shd w:val="clear" w:color="auto" w:fill="auto"/>
        <w:spacing w:line="400" w:lineRule="atLeast"/>
        <w:ind w:firstLine="400" w:firstLineChars="200"/>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t>2.本表所列数据必须与本表各附件中的数据相一致。</w:t>
      </w:r>
    </w:p>
    <w:p w14:paraId="528A96B8">
      <w:pPr>
        <w:shd w:val="clear" w:color="auto" w:fill="auto"/>
        <w:spacing w:line="400" w:lineRule="atLeast"/>
        <w:ind w:firstLine="400" w:firstLineChars="200"/>
        <w:rPr>
          <w:rFonts w:hint="eastAsia" w:ascii="黑体" w:hAnsi="黑体" w:eastAsia="黑体" w:cs="黑体"/>
          <w:color w:val="auto"/>
          <w:szCs w:val="21"/>
          <w:highlight w:val="none"/>
        </w:rPr>
      </w:pPr>
      <w:r>
        <w:rPr>
          <w:rFonts w:hint="eastAsia" w:ascii="黑体" w:hAnsi="黑体" w:eastAsia="黑体" w:cs="黑体"/>
          <w:color w:val="auto"/>
          <w:sz w:val="20"/>
          <w:szCs w:val="20"/>
          <w:highlight w:val="none"/>
        </w:rPr>
        <w:t>3.以联合体形式参与投标的，联合体各成员应分别填写。</w:t>
      </w:r>
    </w:p>
    <w:p w14:paraId="47222440">
      <w:pPr>
        <w:shd w:val="clear" w:color="auto" w:fill="auto"/>
        <w:spacing w:line="320" w:lineRule="atLeast"/>
        <w:jc w:val="center"/>
        <w:rPr>
          <w:rFonts w:hint="eastAsia" w:ascii="黑体" w:hAnsi="黑体" w:eastAsia="黑体" w:cs="黑体"/>
          <w:b/>
          <w:color w:val="auto"/>
          <w:sz w:val="28"/>
          <w:szCs w:val="28"/>
          <w:highlight w:val="none"/>
        </w:rPr>
      </w:pPr>
      <w:r>
        <w:rPr>
          <w:rFonts w:hint="eastAsia" w:ascii="黑体" w:hAnsi="黑体" w:eastAsia="黑体" w:cs="黑体"/>
          <w:color w:val="auto"/>
          <w:highlight w:val="none"/>
        </w:rPr>
        <w:br w:type="page"/>
      </w:r>
      <w:bookmarkStart w:id="842" w:name="_Toc501257503"/>
      <w:bookmarkStart w:id="843" w:name="_Toc234833283"/>
      <w:r>
        <w:rPr>
          <w:rFonts w:hint="eastAsia" w:ascii="黑体" w:hAnsi="黑体" w:eastAsia="黑体" w:cs="黑体"/>
          <w:b/>
          <w:color w:val="auto"/>
          <w:sz w:val="28"/>
          <w:szCs w:val="28"/>
          <w:highlight w:val="none"/>
        </w:rPr>
        <w:t>（</w:t>
      </w:r>
      <w:r>
        <w:rPr>
          <w:rFonts w:hint="eastAsia" w:ascii="黑体" w:hAnsi="黑体" w:eastAsia="黑体" w:cs="黑体"/>
          <w:b/>
          <w:color w:val="auto"/>
          <w:sz w:val="28"/>
          <w:szCs w:val="28"/>
          <w:highlight w:val="none"/>
          <w:lang w:eastAsia="zh-CN"/>
        </w:rPr>
        <w:t>四</w:t>
      </w:r>
      <w:r>
        <w:rPr>
          <w:rFonts w:hint="eastAsia" w:ascii="黑体" w:hAnsi="黑体" w:eastAsia="黑体" w:cs="黑体"/>
          <w:b/>
          <w:color w:val="auto"/>
          <w:sz w:val="28"/>
          <w:szCs w:val="28"/>
          <w:highlight w:val="none"/>
        </w:rPr>
        <w:t>）近年完成的类似项目情况表</w:t>
      </w:r>
      <w:bookmarkEnd w:id="842"/>
      <w:bookmarkEnd w:id="843"/>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614"/>
        <w:gridCol w:w="6672"/>
      </w:tblGrid>
      <w:tr w14:paraId="654C83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614" w:type="dxa"/>
            <w:noWrap w:val="0"/>
            <w:vAlign w:val="center"/>
          </w:tcPr>
          <w:p w14:paraId="337D1A23">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序 号</w:t>
            </w:r>
          </w:p>
        </w:tc>
        <w:tc>
          <w:tcPr>
            <w:tcW w:w="6672" w:type="dxa"/>
            <w:noWrap w:val="0"/>
            <w:vAlign w:val="center"/>
          </w:tcPr>
          <w:p w14:paraId="313F2340">
            <w:pPr>
              <w:spacing w:line="360" w:lineRule="auto"/>
              <w:jc w:val="center"/>
              <w:rPr>
                <w:rFonts w:hint="eastAsia" w:ascii="黑体" w:hAnsi="黑体" w:eastAsia="黑体" w:cs="黑体"/>
                <w:color w:val="auto"/>
                <w:sz w:val="21"/>
                <w:szCs w:val="21"/>
                <w:highlight w:val="none"/>
              </w:rPr>
            </w:pPr>
          </w:p>
        </w:tc>
      </w:tr>
      <w:tr w14:paraId="3B1CEC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614" w:type="dxa"/>
            <w:noWrap w:val="0"/>
            <w:vAlign w:val="center"/>
          </w:tcPr>
          <w:p w14:paraId="06F8CBBB">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项目名称</w:t>
            </w:r>
          </w:p>
        </w:tc>
        <w:tc>
          <w:tcPr>
            <w:tcW w:w="6672" w:type="dxa"/>
            <w:noWrap w:val="0"/>
            <w:vAlign w:val="center"/>
          </w:tcPr>
          <w:p w14:paraId="4FCB644B">
            <w:pPr>
              <w:spacing w:line="360" w:lineRule="auto"/>
              <w:jc w:val="center"/>
              <w:rPr>
                <w:rFonts w:hint="eastAsia" w:ascii="黑体" w:hAnsi="黑体" w:eastAsia="黑体" w:cs="黑体"/>
                <w:color w:val="auto"/>
                <w:sz w:val="21"/>
                <w:szCs w:val="21"/>
                <w:highlight w:val="none"/>
              </w:rPr>
            </w:pPr>
          </w:p>
        </w:tc>
      </w:tr>
      <w:tr w14:paraId="2B86D3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614" w:type="dxa"/>
            <w:noWrap w:val="0"/>
            <w:vAlign w:val="center"/>
          </w:tcPr>
          <w:p w14:paraId="60119969">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项目所在地</w:t>
            </w:r>
          </w:p>
        </w:tc>
        <w:tc>
          <w:tcPr>
            <w:tcW w:w="6672" w:type="dxa"/>
            <w:noWrap w:val="0"/>
            <w:vAlign w:val="center"/>
          </w:tcPr>
          <w:p w14:paraId="45BB858C">
            <w:pPr>
              <w:spacing w:line="360" w:lineRule="auto"/>
              <w:jc w:val="center"/>
              <w:rPr>
                <w:rFonts w:hint="eastAsia" w:ascii="黑体" w:hAnsi="黑体" w:eastAsia="黑体" w:cs="黑体"/>
                <w:color w:val="auto"/>
                <w:sz w:val="21"/>
                <w:szCs w:val="21"/>
                <w:highlight w:val="none"/>
              </w:rPr>
            </w:pPr>
          </w:p>
        </w:tc>
      </w:tr>
      <w:tr w14:paraId="0C23D0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614" w:type="dxa"/>
            <w:noWrap w:val="0"/>
            <w:vAlign w:val="center"/>
          </w:tcPr>
          <w:p w14:paraId="4D8147A4">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发包人名称</w:t>
            </w:r>
          </w:p>
        </w:tc>
        <w:tc>
          <w:tcPr>
            <w:tcW w:w="6672" w:type="dxa"/>
            <w:noWrap w:val="0"/>
            <w:vAlign w:val="center"/>
          </w:tcPr>
          <w:p w14:paraId="3C55ED6D">
            <w:pPr>
              <w:spacing w:line="360" w:lineRule="auto"/>
              <w:jc w:val="center"/>
              <w:rPr>
                <w:rFonts w:hint="eastAsia" w:ascii="黑体" w:hAnsi="黑体" w:eastAsia="黑体" w:cs="黑体"/>
                <w:color w:val="auto"/>
                <w:sz w:val="21"/>
                <w:szCs w:val="21"/>
                <w:highlight w:val="none"/>
              </w:rPr>
            </w:pPr>
          </w:p>
        </w:tc>
      </w:tr>
      <w:tr w14:paraId="342547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614" w:type="dxa"/>
            <w:noWrap w:val="0"/>
            <w:vAlign w:val="center"/>
          </w:tcPr>
          <w:p w14:paraId="315817BF">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发包人地址</w:t>
            </w:r>
          </w:p>
        </w:tc>
        <w:tc>
          <w:tcPr>
            <w:tcW w:w="6672" w:type="dxa"/>
            <w:noWrap w:val="0"/>
            <w:vAlign w:val="center"/>
          </w:tcPr>
          <w:p w14:paraId="2934C80C">
            <w:pPr>
              <w:spacing w:line="360" w:lineRule="auto"/>
              <w:jc w:val="center"/>
              <w:rPr>
                <w:rFonts w:hint="eastAsia" w:ascii="黑体" w:hAnsi="黑体" w:eastAsia="黑体" w:cs="黑体"/>
                <w:color w:val="auto"/>
                <w:sz w:val="21"/>
                <w:szCs w:val="21"/>
                <w:highlight w:val="none"/>
              </w:rPr>
            </w:pPr>
          </w:p>
        </w:tc>
      </w:tr>
      <w:tr w14:paraId="68EC0C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614" w:type="dxa"/>
            <w:noWrap w:val="0"/>
            <w:vAlign w:val="center"/>
          </w:tcPr>
          <w:p w14:paraId="70543A12">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发包人电话</w:t>
            </w:r>
          </w:p>
        </w:tc>
        <w:tc>
          <w:tcPr>
            <w:tcW w:w="6672" w:type="dxa"/>
            <w:noWrap w:val="0"/>
            <w:vAlign w:val="center"/>
          </w:tcPr>
          <w:p w14:paraId="6B2947CC">
            <w:pPr>
              <w:spacing w:line="360" w:lineRule="auto"/>
              <w:jc w:val="center"/>
              <w:rPr>
                <w:rFonts w:hint="eastAsia" w:ascii="黑体" w:hAnsi="黑体" w:eastAsia="黑体" w:cs="黑体"/>
                <w:color w:val="auto"/>
                <w:sz w:val="21"/>
                <w:szCs w:val="21"/>
                <w:highlight w:val="none"/>
              </w:rPr>
            </w:pPr>
          </w:p>
        </w:tc>
      </w:tr>
      <w:tr w14:paraId="497B39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614" w:type="dxa"/>
            <w:noWrap w:val="0"/>
            <w:vAlign w:val="center"/>
          </w:tcPr>
          <w:p w14:paraId="5E622D61">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合同价格</w:t>
            </w:r>
          </w:p>
        </w:tc>
        <w:tc>
          <w:tcPr>
            <w:tcW w:w="6672" w:type="dxa"/>
            <w:noWrap w:val="0"/>
            <w:vAlign w:val="center"/>
          </w:tcPr>
          <w:p w14:paraId="1E238E01">
            <w:pPr>
              <w:spacing w:line="360" w:lineRule="auto"/>
              <w:jc w:val="center"/>
              <w:rPr>
                <w:rFonts w:hint="eastAsia" w:ascii="黑体" w:hAnsi="黑体" w:eastAsia="黑体" w:cs="黑体"/>
                <w:color w:val="auto"/>
                <w:sz w:val="21"/>
                <w:szCs w:val="21"/>
                <w:highlight w:val="none"/>
              </w:rPr>
            </w:pPr>
          </w:p>
        </w:tc>
      </w:tr>
      <w:tr w14:paraId="60B08D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614" w:type="dxa"/>
            <w:noWrap w:val="0"/>
            <w:vAlign w:val="center"/>
          </w:tcPr>
          <w:p w14:paraId="30FECF6D">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开工日期</w:t>
            </w:r>
          </w:p>
        </w:tc>
        <w:tc>
          <w:tcPr>
            <w:tcW w:w="6672" w:type="dxa"/>
            <w:noWrap w:val="0"/>
            <w:vAlign w:val="center"/>
          </w:tcPr>
          <w:p w14:paraId="17DAC727">
            <w:pPr>
              <w:spacing w:line="360" w:lineRule="auto"/>
              <w:jc w:val="center"/>
              <w:rPr>
                <w:rFonts w:hint="eastAsia" w:ascii="黑体" w:hAnsi="黑体" w:eastAsia="黑体" w:cs="黑体"/>
                <w:color w:val="auto"/>
                <w:sz w:val="21"/>
                <w:szCs w:val="21"/>
                <w:highlight w:val="none"/>
              </w:rPr>
            </w:pPr>
          </w:p>
        </w:tc>
      </w:tr>
      <w:tr w14:paraId="141D94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614" w:type="dxa"/>
            <w:noWrap w:val="0"/>
            <w:vAlign w:val="center"/>
          </w:tcPr>
          <w:p w14:paraId="1EEFEA46">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交工日期</w:t>
            </w:r>
          </w:p>
        </w:tc>
        <w:tc>
          <w:tcPr>
            <w:tcW w:w="6672" w:type="dxa"/>
            <w:noWrap w:val="0"/>
            <w:vAlign w:val="center"/>
          </w:tcPr>
          <w:p w14:paraId="7B9D5870">
            <w:pPr>
              <w:spacing w:line="360" w:lineRule="auto"/>
              <w:jc w:val="center"/>
              <w:rPr>
                <w:rFonts w:hint="eastAsia" w:ascii="黑体" w:hAnsi="黑体" w:eastAsia="黑体" w:cs="黑体"/>
                <w:color w:val="auto"/>
                <w:sz w:val="21"/>
                <w:szCs w:val="21"/>
                <w:highlight w:val="none"/>
              </w:rPr>
            </w:pPr>
          </w:p>
        </w:tc>
      </w:tr>
      <w:tr w14:paraId="72B792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614" w:type="dxa"/>
            <w:noWrap w:val="0"/>
            <w:vAlign w:val="center"/>
          </w:tcPr>
          <w:p w14:paraId="56F91CCA">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承担的工作</w:t>
            </w:r>
          </w:p>
        </w:tc>
        <w:tc>
          <w:tcPr>
            <w:tcW w:w="6672" w:type="dxa"/>
            <w:noWrap w:val="0"/>
            <w:vAlign w:val="center"/>
          </w:tcPr>
          <w:p w14:paraId="284AC711">
            <w:pPr>
              <w:spacing w:line="360" w:lineRule="auto"/>
              <w:jc w:val="center"/>
              <w:rPr>
                <w:rFonts w:hint="eastAsia" w:ascii="黑体" w:hAnsi="黑体" w:eastAsia="黑体" w:cs="黑体"/>
                <w:color w:val="auto"/>
                <w:sz w:val="21"/>
                <w:szCs w:val="21"/>
                <w:highlight w:val="none"/>
              </w:rPr>
            </w:pPr>
          </w:p>
        </w:tc>
      </w:tr>
      <w:tr w14:paraId="7B4EE4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614" w:type="dxa"/>
            <w:noWrap w:val="0"/>
            <w:vAlign w:val="center"/>
          </w:tcPr>
          <w:p w14:paraId="4B016FCE">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工程质量</w:t>
            </w:r>
          </w:p>
        </w:tc>
        <w:tc>
          <w:tcPr>
            <w:tcW w:w="6672" w:type="dxa"/>
            <w:noWrap w:val="0"/>
            <w:vAlign w:val="center"/>
          </w:tcPr>
          <w:p w14:paraId="0CA6F59B">
            <w:pPr>
              <w:spacing w:line="360" w:lineRule="auto"/>
              <w:jc w:val="center"/>
              <w:rPr>
                <w:rFonts w:hint="eastAsia" w:ascii="黑体" w:hAnsi="黑体" w:eastAsia="黑体" w:cs="黑体"/>
                <w:color w:val="auto"/>
                <w:sz w:val="21"/>
                <w:szCs w:val="21"/>
                <w:highlight w:val="none"/>
              </w:rPr>
            </w:pPr>
          </w:p>
        </w:tc>
      </w:tr>
      <w:tr w14:paraId="6DE74E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614" w:type="dxa"/>
            <w:noWrap w:val="0"/>
            <w:vAlign w:val="center"/>
          </w:tcPr>
          <w:p w14:paraId="7BB22218">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项目经理</w:t>
            </w:r>
          </w:p>
        </w:tc>
        <w:tc>
          <w:tcPr>
            <w:tcW w:w="6672" w:type="dxa"/>
            <w:noWrap w:val="0"/>
            <w:vAlign w:val="center"/>
          </w:tcPr>
          <w:p w14:paraId="75099E8E">
            <w:pPr>
              <w:spacing w:line="360" w:lineRule="auto"/>
              <w:jc w:val="center"/>
              <w:rPr>
                <w:rFonts w:hint="eastAsia" w:ascii="黑体" w:hAnsi="黑体" w:eastAsia="黑体" w:cs="黑体"/>
                <w:color w:val="auto"/>
                <w:sz w:val="21"/>
                <w:szCs w:val="21"/>
                <w:highlight w:val="none"/>
              </w:rPr>
            </w:pPr>
          </w:p>
        </w:tc>
      </w:tr>
      <w:tr w14:paraId="67B4DC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614" w:type="dxa"/>
            <w:noWrap w:val="0"/>
            <w:vAlign w:val="center"/>
          </w:tcPr>
          <w:p w14:paraId="4E3968D2">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项目总工</w:t>
            </w:r>
          </w:p>
        </w:tc>
        <w:tc>
          <w:tcPr>
            <w:tcW w:w="6672" w:type="dxa"/>
            <w:noWrap w:val="0"/>
            <w:vAlign w:val="center"/>
          </w:tcPr>
          <w:p w14:paraId="0E729338">
            <w:pPr>
              <w:spacing w:line="360" w:lineRule="auto"/>
              <w:jc w:val="center"/>
              <w:rPr>
                <w:rFonts w:hint="eastAsia" w:ascii="黑体" w:hAnsi="黑体" w:eastAsia="黑体" w:cs="黑体"/>
                <w:color w:val="auto"/>
                <w:sz w:val="21"/>
                <w:szCs w:val="21"/>
                <w:highlight w:val="none"/>
              </w:rPr>
            </w:pPr>
          </w:p>
        </w:tc>
      </w:tr>
      <w:tr w14:paraId="0F02EA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614" w:type="dxa"/>
            <w:noWrap w:val="0"/>
            <w:vAlign w:val="center"/>
          </w:tcPr>
          <w:p w14:paraId="397E9C26">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总监理工程师及电话</w:t>
            </w:r>
          </w:p>
        </w:tc>
        <w:tc>
          <w:tcPr>
            <w:tcW w:w="6672" w:type="dxa"/>
            <w:noWrap w:val="0"/>
            <w:vAlign w:val="center"/>
          </w:tcPr>
          <w:p w14:paraId="6CDABE78">
            <w:pPr>
              <w:spacing w:line="360" w:lineRule="auto"/>
              <w:jc w:val="center"/>
              <w:rPr>
                <w:rFonts w:hint="eastAsia" w:ascii="黑体" w:hAnsi="黑体" w:eastAsia="黑体" w:cs="黑体"/>
                <w:color w:val="auto"/>
                <w:sz w:val="21"/>
                <w:szCs w:val="21"/>
                <w:highlight w:val="none"/>
              </w:rPr>
            </w:pPr>
          </w:p>
        </w:tc>
      </w:tr>
      <w:tr w14:paraId="1FAECC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66" w:hRule="atLeast"/>
        </w:trPr>
        <w:tc>
          <w:tcPr>
            <w:tcW w:w="2614" w:type="dxa"/>
            <w:noWrap w:val="0"/>
            <w:vAlign w:val="center"/>
          </w:tcPr>
          <w:p w14:paraId="07C051B0">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项目描述</w:t>
            </w:r>
          </w:p>
        </w:tc>
        <w:tc>
          <w:tcPr>
            <w:tcW w:w="6672" w:type="dxa"/>
            <w:noWrap w:val="0"/>
            <w:vAlign w:val="center"/>
          </w:tcPr>
          <w:p w14:paraId="7FA9D0B5">
            <w:pPr>
              <w:spacing w:line="360" w:lineRule="auto"/>
              <w:jc w:val="center"/>
              <w:rPr>
                <w:rFonts w:hint="eastAsia" w:ascii="黑体" w:hAnsi="黑体" w:eastAsia="黑体" w:cs="黑体"/>
                <w:color w:val="auto"/>
                <w:sz w:val="21"/>
                <w:szCs w:val="21"/>
                <w:highlight w:val="none"/>
              </w:rPr>
            </w:pPr>
          </w:p>
        </w:tc>
      </w:tr>
      <w:tr w14:paraId="54A816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614" w:type="dxa"/>
            <w:noWrap w:val="0"/>
            <w:vAlign w:val="center"/>
          </w:tcPr>
          <w:p w14:paraId="25D82516">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备注</w:t>
            </w:r>
          </w:p>
        </w:tc>
        <w:tc>
          <w:tcPr>
            <w:tcW w:w="6672" w:type="dxa"/>
            <w:noWrap w:val="0"/>
            <w:vAlign w:val="center"/>
          </w:tcPr>
          <w:p w14:paraId="450F4A0E">
            <w:pPr>
              <w:spacing w:line="360" w:lineRule="auto"/>
              <w:jc w:val="center"/>
              <w:rPr>
                <w:rFonts w:hint="eastAsia" w:ascii="黑体" w:hAnsi="黑体" w:eastAsia="黑体" w:cs="黑体"/>
                <w:color w:val="auto"/>
                <w:sz w:val="21"/>
                <w:szCs w:val="21"/>
                <w:highlight w:val="none"/>
              </w:rPr>
            </w:pPr>
            <w:r>
              <w:rPr>
                <w:rFonts w:ascii="Arial" w:hAnsi="Arial" w:eastAsia="黑体" w:cs="Arial"/>
                <w:b/>
                <w:color w:val="auto"/>
                <w:sz w:val="21"/>
                <w:szCs w:val="21"/>
                <w:highlight w:val="none"/>
                <w:u w:val="single"/>
              </w:rPr>
              <w:t>（写明网上查询的业绩项目序号）</w:t>
            </w:r>
          </w:p>
        </w:tc>
      </w:tr>
    </w:tbl>
    <w:p w14:paraId="53763A3D">
      <w:pPr>
        <w:shd w:val="clear" w:color="auto" w:fill="auto"/>
        <w:spacing w:line="400" w:lineRule="atLeast"/>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t>注：1.每张表格只填写一个项目，并标明序号。</w:t>
      </w:r>
    </w:p>
    <w:p w14:paraId="5D818033">
      <w:pPr>
        <w:shd w:val="clear" w:color="auto" w:fill="auto"/>
        <w:spacing w:line="400" w:lineRule="atLeast"/>
        <w:ind w:left="580" w:leftChars="200" w:hanging="160" w:hangingChars="80"/>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t>2.</w:t>
      </w:r>
      <w:r>
        <w:rPr>
          <w:rFonts w:hint="eastAsia" w:ascii="黑体" w:hAnsi="黑体" w:eastAsia="黑体" w:cs="黑体"/>
          <w:color w:val="auto"/>
          <w:sz w:val="20"/>
          <w:szCs w:val="22"/>
          <w:highlight w:val="none"/>
        </w:rPr>
        <w:t>投标人应根据招标文件第二章“投标人须知”第3.5.3项的要求在本表后附相关证明材料。</w:t>
      </w:r>
    </w:p>
    <w:p w14:paraId="27C80D4D">
      <w:pPr>
        <w:shd w:val="clear" w:color="auto" w:fill="auto"/>
        <w:spacing w:line="440" w:lineRule="exact"/>
        <w:ind w:firstLine="400" w:firstLineChars="200"/>
        <w:jc w:val="left"/>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t>3.如近年来，投标人法人机构发生合法变更或重组或法人名称变更时，应提供相关部门的合法批件或其他相关证明材料来证明其所附业绩的继承性。</w:t>
      </w:r>
    </w:p>
    <w:p w14:paraId="4F2C741B">
      <w:pPr>
        <w:shd w:val="clear" w:color="auto" w:fill="auto"/>
        <w:spacing w:line="400" w:lineRule="atLeast"/>
        <w:ind w:left="580" w:leftChars="200" w:hanging="160" w:hangingChars="80"/>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t>4.以联合体形式参与投标的，联合体各成员应分别填写。</w:t>
      </w:r>
    </w:p>
    <w:p w14:paraId="5E3856DF">
      <w:pPr>
        <w:shd w:val="clear" w:color="auto" w:fill="auto"/>
        <w:spacing w:line="280" w:lineRule="exact"/>
        <w:rPr>
          <w:rFonts w:hint="eastAsia" w:ascii="黑体" w:hAnsi="黑体" w:eastAsia="黑体" w:cs="黑体"/>
          <w:color w:val="auto"/>
          <w:sz w:val="23"/>
          <w:szCs w:val="23"/>
          <w:highlight w:val="none"/>
        </w:rPr>
      </w:pPr>
      <w:r>
        <w:rPr>
          <w:rFonts w:hint="eastAsia" w:ascii="黑体" w:hAnsi="黑体" w:eastAsia="黑体" w:cs="黑体"/>
          <w:color w:val="auto"/>
          <w:sz w:val="23"/>
          <w:szCs w:val="23"/>
          <w:highlight w:val="none"/>
        </w:rPr>
        <w:br w:type="page"/>
      </w:r>
    </w:p>
    <w:p w14:paraId="74FD6449">
      <w:pPr>
        <w:pStyle w:val="2"/>
        <w:shd w:val="clear" w:color="auto" w:fill="auto"/>
        <w:spacing w:before="0" w:after="0" w:line="380" w:lineRule="atLeast"/>
        <w:jc w:val="center"/>
        <w:rPr>
          <w:rFonts w:hint="eastAsia" w:ascii="黑体" w:hAnsi="黑体" w:eastAsia="黑体" w:cs="黑体"/>
          <w:b/>
          <w:bCs w:val="0"/>
          <w:color w:val="auto"/>
          <w:sz w:val="28"/>
          <w:szCs w:val="28"/>
          <w:highlight w:val="none"/>
        </w:rPr>
      </w:pPr>
      <w:bookmarkStart w:id="844" w:name="_Toc501257504"/>
      <w:bookmarkStart w:id="845" w:name="_Toc18836"/>
      <w:bookmarkStart w:id="846" w:name="_Toc234833285"/>
      <w:r>
        <w:rPr>
          <w:rFonts w:hint="eastAsia" w:ascii="黑体" w:hAnsi="黑体" w:eastAsia="黑体" w:cs="黑体"/>
          <w:b/>
          <w:bCs w:val="0"/>
          <w:color w:val="auto"/>
          <w:sz w:val="28"/>
          <w:szCs w:val="28"/>
          <w:highlight w:val="none"/>
        </w:rPr>
        <w:t>（</w:t>
      </w:r>
      <w:r>
        <w:rPr>
          <w:rFonts w:hint="eastAsia" w:ascii="黑体" w:hAnsi="黑体" w:eastAsia="黑体" w:cs="黑体"/>
          <w:b/>
          <w:bCs w:val="0"/>
          <w:color w:val="auto"/>
          <w:sz w:val="28"/>
          <w:szCs w:val="28"/>
          <w:highlight w:val="none"/>
          <w:lang w:eastAsia="zh-CN"/>
        </w:rPr>
        <w:t>五</w:t>
      </w:r>
      <w:r>
        <w:rPr>
          <w:rFonts w:hint="eastAsia" w:ascii="黑体" w:hAnsi="黑体" w:eastAsia="黑体" w:cs="黑体"/>
          <w:b/>
          <w:bCs w:val="0"/>
          <w:color w:val="auto"/>
          <w:sz w:val="28"/>
          <w:szCs w:val="28"/>
          <w:highlight w:val="none"/>
        </w:rPr>
        <w:t>）投标人的信誉情况</w:t>
      </w:r>
      <w:bookmarkEnd w:id="844"/>
      <w:r>
        <w:rPr>
          <w:rFonts w:hint="eastAsia" w:ascii="黑体" w:hAnsi="黑体" w:eastAsia="黑体" w:cs="黑体"/>
          <w:b/>
          <w:bCs w:val="0"/>
          <w:color w:val="auto"/>
          <w:sz w:val="28"/>
          <w:szCs w:val="28"/>
          <w:highlight w:val="none"/>
        </w:rPr>
        <w:t>表</w:t>
      </w:r>
      <w:bookmarkEnd w:id="845"/>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643"/>
      </w:tblGrid>
      <w:tr w14:paraId="785E69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4643" w:type="dxa"/>
            <w:noWrap w:val="0"/>
            <w:vAlign w:val="center"/>
          </w:tcPr>
          <w:p w14:paraId="7AB2C483">
            <w:pPr>
              <w:spacing w:line="360" w:lineRule="auto"/>
              <w:jc w:val="center"/>
              <w:rPr>
                <w:rFonts w:hint="eastAsia" w:ascii="黑体" w:hAnsi="黑体" w:eastAsia="黑体" w:cs="黑体"/>
                <w:b w:val="0"/>
                <w:bCs w:val="0"/>
                <w:color w:val="auto"/>
                <w:sz w:val="21"/>
                <w:szCs w:val="21"/>
                <w:highlight w:val="none"/>
              </w:rPr>
            </w:pPr>
            <w:r>
              <w:rPr>
                <w:rFonts w:hint="eastAsia" w:ascii="黑体" w:hAnsi="黑体" w:eastAsia="黑体" w:cs="黑体"/>
                <w:b w:val="0"/>
                <w:bCs w:val="0"/>
                <w:color w:val="auto"/>
                <w:sz w:val="21"/>
                <w:szCs w:val="21"/>
                <w:highlight w:val="none"/>
              </w:rPr>
              <w:t>项目</w:t>
            </w:r>
          </w:p>
        </w:tc>
        <w:tc>
          <w:tcPr>
            <w:tcW w:w="4643" w:type="dxa"/>
            <w:noWrap w:val="0"/>
            <w:vAlign w:val="center"/>
          </w:tcPr>
          <w:p w14:paraId="6D10E91D">
            <w:pPr>
              <w:spacing w:line="360" w:lineRule="auto"/>
              <w:jc w:val="center"/>
              <w:rPr>
                <w:rFonts w:hint="eastAsia" w:ascii="黑体" w:hAnsi="黑体" w:eastAsia="黑体" w:cs="黑体"/>
                <w:b w:val="0"/>
                <w:bCs w:val="0"/>
                <w:color w:val="auto"/>
                <w:sz w:val="21"/>
                <w:szCs w:val="21"/>
                <w:highlight w:val="none"/>
              </w:rPr>
            </w:pPr>
            <w:r>
              <w:rPr>
                <w:rFonts w:hint="eastAsia" w:ascii="黑体" w:hAnsi="黑体" w:eastAsia="黑体" w:cs="黑体"/>
                <w:b w:val="0"/>
                <w:bCs w:val="0"/>
                <w:color w:val="auto"/>
                <w:sz w:val="21"/>
                <w:szCs w:val="21"/>
                <w:highlight w:val="none"/>
              </w:rPr>
              <w:t>投标人情况说明</w:t>
            </w:r>
          </w:p>
        </w:tc>
      </w:tr>
      <w:tr w14:paraId="48F380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4643" w:type="dxa"/>
            <w:noWrap w:val="0"/>
            <w:vAlign w:val="center"/>
          </w:tcPr>
          <w:p w14:paraId="5BD79F55">
            <w:pPr>
              <w:spacing w:line="360" w:lineRule="auto"/>
              <w:jc w:val="center"/>
              <w:rPr>
                <w:rFonts w:hint="eastAsia" w:ascii="黑体" w:hAnsi="黑体" w:eastAsia="黑体" w:cs="黑体"/>
                <w:color w:val="auto"/>
                <w:sz w:val="21"/>
                <w:szCs w:val="21"/>
                <w:highlight w:val="none"/>
              </w:rPr>
            </w:pPr>
          </w:p>
        </w:tc>
        <w:tc>
          <w:tcPr>
            <w:tcW w:w="4643" w:type="dxa"/>
            <w:noWrap w:val="0"/>
            <w:vAlign w:val="center"/>
          </w:tcPr>
          <w:p w14:paraId="6239EAA2">
            <w:pPr>
              <w:spacing w:line="360" w:lineRule="auto"/>
              <w:jc w:val="center"/>
              <w:rPr>
                <w:rFonts w:hint="eastAsia" w:ascii="黑体" w:hAnsi="黑体" w:eastAsia="黑体" w:cs="黑体"/>
                <w:color w:val="auto"/>
                <w:sz w:val="21"/>
                <w:szCs w:val="21"/>
                <w:highlight w:val="none"/>
              </w:rPr>
            </w:pPr>
          </w:p>
        </w:tc>
      </w:tr>
      <w:tr w14:paraId="7799B4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4643" w:type="dxa"/>
            <w:noWrap w:val="0"/>
            <w:vAlign w:val="center"/>
          </w:tcPr>
          <w:p w14:paraId="15FC8DCA">
            <w:pPr>
              <w:spacing w:line="360" w:lineRule="auto"/>
              <w:jc w:val="center"/>
              <w:rPr>
                <w:rFonts w:hint="eastAsia" w:ascii="黑体" w:hAnsi="黑体" w:eastAsia="黑体" w:cs="黑体"/>
                <w:color w:val="auto"/>
                <w:sz w:val="21"/>
                <w:szCs w:val="21"/>
                <w:highlight w:val="none"/>
              </w:rPr>
            </w:pPr>
          </w:p>
        </w:tc>
        <w:tc>
          <w:tcPr>
            <w:tcW w:w="4643" w:type="dxa"/>
            <w:noWrap w:val="0"/>
            <w:vAlign w:val="center"/>
          </w:tcPr>
          <w:p w14:paraId="03412AE1">
            <w:pPr>
              <w:spacing w:line="360" w:lineRule="auto"/>
              <w:jc w:val="center"/>
              <w:rPr>
                <w:rFonts w:hint="eastAsia" w:ascii="黑体" w:hAnsi="黑体" w:eastAsia="黑体" w:cs="黑体"/>
                <w:color w:val="auto"/>
                <w:sz w:val="21"/>
                <w:szCs w:val="21"/>
                <w:highlight w:val="none"/>
              </w:rPr>
            </w:pPr>
          </w:p>
        </w:tc>
      </w:tr>
      <w:tr w14:paraId="62A8D2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4643" w:type="dxa"/>
            <w:noWrap w:val="0"/>
            <w:vAlign w:val="center"/>
          </w:tcPr>
          <w:p w14:paraId="49C6FFE3">
            <w:pPr>
              <w:spacing w:line="360" w:lineRule="auto"/>
              <w:jc w:val="center"/>
              <w:rPr>
                <w:rFonts w:hint="eastAsia" w:ascii="黑体" w:hAnsi="黑体" w:eastAsia="黑体" w:cs="黑体"/>
                <w:color w:val="auto"/>
                <w:sz w:val="21"/>
                <w:szCs w:val="21"/>
                <w:highlight w:val="none"/>
              </w:rPr>
            </w:pPr>
          </w:p>
        </w:tc>
        <w:tc>
          <w:tcPr>
            <w:tcW w:w="4643" w:type="dxa"/>
            <w:noWrap w:val="0"/>
            <w:vAlign w:val="center"/>
          </w:tcPr>
          <w:p w14:paraId="5EEEEA26">
            <w:pPr>
              <w:spacing w:line="360" w:lineRule="auto"/>
              <w:jc w:val="center"/>
              <w:rPr>
                <w:rFonts w:hint="eastAsia" w:ascii="黑体" w:hAnsi="黑体" w:eastAsia="黑体" w:cs="黑体"/>
                <w:color w:val="auto"/>
                <w:sz w:val="21"/>
                <w:szCs w:val="21"/>
                <w:highlight w:val="none"/>
              </w:rPr>
            </w:pPr>
          </w:p>
        </w:tc>
      </w:tr>
      <w:tr w14:paraId="438345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4643" w:type="dxa"/>
            <w:noWrap w:val="0"/>
            <w:vAlign w:val="center"/>
          </w:tcPr>
          <w:p w14:paraId="1A4CB712">
            <w:pPr>
              <w:spacing w:line="360" w:lineRule="auto"/>
              <w:jc w:val="center"/>
              <w:rPr>
                <w:rFonts w:hint="eastAsia" w:ascii="黑体" w:hAnsi="黑体" w:eastAsia="黑体" w:cs="黑体"/>
                <w:color w:val="auto"/>
                <w:sz w:val="21"/>
                <w:szCs w:val="21"/>
                <w:highlight w:val="none"/>
              </w:rPr>
            </w:pPr>
          </w:p>
        </w:tc>
        <w:tc>
          <w:tcPr>
            <w:tcW w:w="4643" w:type="dxa"/>
            <w:noWrap w:val="0"/>
            <w:vAlign w:val="center"/>
          </w:tcPr>
          <w:p w14:paraId="5620C043">
            <w:pPr>
              <w:spacing w:line="360" w:lineRule="auto"/>
              <w:jc w:val="center"/>
              <w:rPr>
                <w:rFonts w:hint="eastAsia" w:ascii="黑体" w:hAnsi="黑体" w:eastAsia="黑体" w:cs="黑体"/>
                <w:color w:val="auto"/>
                <w:sz w:val="21"/>
                <w:szCs w:val="21"/>
                <w:highlight w:val="none"/>
              </w:rPr>
            </w:pPr>
          </w:p>
        </w:tc>
      </w:tr>
      <w:tr w14:paraId="57BBE8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4643" w:type="dxa"/>
            <w:noWrap w:val="0"/>
            <w:vAlign w:val="center"/>
          </w:tcPr>
          <w:p w14:paraId="2BC79408">
            <w:pPr>
              <w:spacing w:line="360" w:lineRule="auto"/>
              <w:jc w:val="center"/>
              <w:rPr>
                <w:rFonts w:hint="eastAsia" w:ascii="黑体" w:hAnsi="黑体" w:eastAsia="黑体" w:cs="黑体"/>
                <w:color w:val="auto"/>
                <w:sz w:val="21"/>
                <w:szCs w:val="21"/>
                <w:highlight w:val="none"/>
              </w:rPr>
            </w:pPr>
          </w:p>
        </w:tc>
        <w:tc>
          <w:tcPr>
            <w:tcW w:w="4643" w:type="dxa"/>
            <w:noWrap w:val="0"/>
            <w:vAlign w:val="center"/>
          </w:tcPr>
          <w:p w14:paraId="1D2CBC3C">
            <w:pPr>
              <w:spacing w:line="360" w:lineRule="auto"/>
              <w:jc w:val="center"/>
              <w:rPr>
                <w:rFonts w:hint="eastAsia" w:ascii="黑体" w:hAnsi="黑体" w:eastAsia="黑体" w:cs="黑体"/>
                <w:color w:val="auto"/>
                <w:sz w:val="21"/>
                <w:szCs w:val="21"/>
                <w:highlight w:val="none"/>
              </w:rPr>
            </w:pPr>
          </w:p>
        </w:tc>
      </w:tr>
      <w:tr w14:paraId="2029C3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4643" w:type="dxa"/>
            <w:noWrap w:val="0"/>
            <w:vAlign w:val="center"/>
          </w:tcPr>
          <w:p w14:paraId="4842C20E">
            <w:pPr>
              <w:spacing w:line="360" w:lineRule="auto"/>
              <w:jc w:val="center"/>
              <w:rPr>
                <w:rFonts w:hint="eastAsia" w:ascii="黑体" w:hAnsi="黑体" w:eastAsia="黑体" w:cs="黑体"/>
                <w:color w:val="auto"/>
                <w:sz w:val="21"/>
                <w:szCs w:val="21"/>
                <w:highlight w:val="none"/>
              </w:rPr>
            </w:pPr>
          </w:p>
        </w:tc>
        <w:tc>
          <w:tcPr>
            <w:tcW w:w="4643" w:type="dxa"/>
            <w:noWrap w:val="0"/>
            <w:vAlign w:val="center"/>
          </w:tcPr>
          <w:p w14:paraId="112A9F0B">
            <w:pPr>
              <w:spacing w:line="360" w:lineRule="auto"/>
              <w:jc w:val="center"/>
              <w:rPr>
                <w:rFonts w:hint="eastAsia" w:ascii="黑体" w:hAnsi="黑体" w:eastAsia="黑体" w:cs="黑体"/>
                <w:color w:val="auto"/>
                <w:sz w:val="21"/>
                <w:szCs w:val="21"/>
                <w:highlight w:val="none"/>
              </w:rPr>
            </w:pPr>
          </w:p>
        </w:tc>
      </w:tr>
      <w:tr w14:paraId="1D569C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4643" w:type="dxa"/>
            <w:noWrap w:val="0"/>
            <w:vAlign w:val="center"/>
          </w:tcPr>
          <w:p w14:paraId="22FA9D88">
            <w:pPr>
              <w:spacing w:line="360" w:lineRule="auto"/>
              <w:jc w:val="center"/>
              <w:rPr>
                <w:rFonts w:hint="eastAsia" w:ascii="黑体" w:hAnsi="黑体" w:eastAsia="黑体" w:cs="黑体"/>
                <w:color w:val="auto"/>
                <w:sz w:val="21"/>
                <w:szCs w:val="21"/>
                <w:highlight w:val="none"/>
              </w:rPr>
            </w:pPr>
          </w:p>
        </w:tc>
        <w:tc>
          <w:tcPr>
            <w:tcW w:w="4643" w:type="dxa"/>
            <w:noWrap w:val="0"/>
            <w:vAlign w:val="center"/>
          </w:tcPr>
          <w:p w14:paraId="1601021C">
            <w:pPr>
              <w:spacing w:line="360" w:lineRule="auto"/>
              <w:jc w:val="center"/>
              <w:rPr>
                <w:rFonts w:hint="eastAsia" w:ascii="黑体" w:hAnsi="黑体" w:eastAsia="黑体" w:cs="黑体"/>
                <w:color w:val="auto"/>
                <w:sz w:val="21"/>
                <w:szCs w:val="21"/>
                <w:highlight w:val="none"/>
              </w:rPr>
            </w:pPr>
          </w:p>
        </w:tc>
      </w:tr>
      <w:tr w14:paraId="4E0647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4643" w:type="dxa"/>
            <w:noWrap w:val="0"/>
            <w:vAlign w:val="center"/>
          </w:tcPr>
          <w:p w14:paraId="7FEA8C7F">
            <w:pPr>
              <w:spacing w:line="360" w:lineRule="auto"/>
              <w:jc w:val="center"/>
              <w:rPr>
                <w:rFonts w:hint="eastAsia" w:ascii="黑体" w:hAnsi="黑体" w:eastAsia="黑体" w:cs="黑体"/>
                <w:color w:val="auto"/>
                <w:sz w:val="21"/>
                <w:szCs w:val="21"/>
                <w:highlight w:val="none"/>
              </w:rPr>
            </w:pPr>
          </w:p>
        </w:tc>
        <w:tc>
          <w:tcPr>
            <w:tcW w:w="4643" w:type="dxa"/>
            <w:noWrap w:val="0"/>
            <w:vAlign w:val="center"/>
          </w:tcPr>
          <w:p w14:paraId="7A6AC56C">
            <w:pPr>
              <w:spacing w:line="360" w:lineRule="auto"/>
              <w:jc w:val="center"/>
              <w:rPr>
                <w:rFonts w:hint="eastAsia" w:ascii="黑体" w:hAnsi="黑体" w:eastAsia="黑体" w:cs="黑体"/>
                <w:color w:val="auto"/>
                <w:sz w:val="21"/>
                <w:szCs w:val="21"/>
                <w:highlight w:val="none"/>
              </w:rPr>
            </w:pPr>
          </w:p>
        </w:tc>
      </w:tr>
      <w:tr w14:paraId="234A52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4643" w:type="dxa"/>
            <w:noWrap w:val="0"/>
            <w:vAlign w:val="center"/>
          </w:tcPr>
          <w:p w14:paraId="6B002FCD">
            <w:pPr>
              <w:spacing w:line="360" w:lineRule="auto"/>
              <w:jc w:val="center"/>
              <w:rPr>
                <w:rFonts w:hint="eastAsia" w:ascii="黑体" w:hAnsi="黑体" w:eastAsia="黑体" w:cs="黑体"/>
                <w:color w:val="auto"/>
                <w:sz w:val="21"/>
                <w:szCs w:val="21"/>
                <w:highlight w:val="none"/>
              </w:rPr>
            </w:pPr>
          </w:p>
        </w:tc>
        <w:tc>
          <w:tcPr>
            <w:tcW w:w="4643" w:type="dxa"/>
            <w:noWrap w:val="0"/>
            <w:vAlign w:val="center"/>
          </w:tcPr>
          <w:p w14:paraId="547C07E3">
            <w:pPr>
              <w:spacing w:line="360" w:lineRule="auto"/>
              <w:jc w:val="center"/>
              <w:rPr>
                <w:rFonts w:hint="eastAsia" w:ascii="黑体" w:hAnsi="黑体" w:eastAsia="黑体" w:cs="黑体"/>
                <w:color w:val="auto"/>
                <w:sz w:val="21"/>
                <w:szCs w:val="21"/>
                <w:highlight w:val="none"/>
              </w:rPr>
            </w:pPr>
          </w:p>
        </w:tc>
      </w:tr>
      <w:tr w14:paraId="6E8F7B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4643" w:type="dxa"/>
            <w:noWrap w:val="0"/>
            <w:vAlign w:val="center"/>
          </w:tcPr>
          <w:p w14:paraId="77EF5026">
            <w:pPr>
              <w:spacing w:line="360" w:lineRule="auto"/>
              <w:jc w:val="center"/>
              <w:rPr>
                <w:rFonts w:hint="eastAsia" w:ascii="黑体" w:hAnsi="黑体" w:eastAsia="黑体" w:cs="黑体"/>
                <w:color w:val="auto"/>
                <w:sz w:val="21"/>
                <w:szCs w:val="21"/>
                <w:highlight w:val="none"/>
              </w:rPr>
            </w:pPr>
          </w:p>
        </w:tc>
        <w:tc>
          <w:tcPr>
            <w:tcW w:w="4643" w:type="dxa"/>
            <w:noWrap w:val="0"/>
            <w:vAlign w:val="center"/>
          </w:tcPr>
          <w:p w14:paraId="187E11A3">
            <w:pPr>
              <w:spacing w:line="360" w:lineRule="auto"/>
              <w:jc w:val="center"/>
              <w:rPr>
                <w:rFonts w:hint="eastAsia" w:ascii="黑体" w:hAnsi="黑体" w:eastAsia="黑体" w:cs="黑体"/>
                <w:color w:val="auto"/>
                <w:sz w:val="21"/>
                <w:szCs w:val="21"/>
                <w:highlight w:val="none"/>
              </w:rPr>
            </w:pPr>
          </w:p>
        </w:tc>
      </w:tr>
      <w:tr w14:paraId="1508C6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4643" w:type="dxa"/>
            <w:noWrap w:val="0"/>
            <w:vAlign w:val="center"/>
          </w:tcPr>
          <w:p w14:paraId="68DE254A">
            <w:pPr>
              <w:spacing w:line="360" w:lineRule="auto"/>
              <w:jc w:val="center"/>
              <w:rPr>
                <w:rFonts w:hint="eastAsia" w:ascii="黑体" w:hAnsi="黑体" w:eastAsia="黑体" w:cs="黑体"/>
                <w:color w:val="auto"/>
                <w:sz w:val="21"/>
                <w:szCs w:val="21"/>
                <w:highlight w:val="none"/>
              </w:rPr>
            </w:pPr>
          </w:p>
        </w:tc>
        <w:tc>
          <w:tcPr>
            <w:tcW w:w="4643" w:type="dxa"/>
            <w:noWrap w:val="0"/>
            <w:vAlign w:val="center"/>
          </w:tcPr>
          <w:p w14:paraId="14151EA1">
            <w:pPr>
              <w:spacing w:line="360" w:lineRule="auto"/>
              <w:jc w:val="center"/>
              <w:rPr>
                <w:rFonts w:hint="eastAsia" w:ascii="黑体" w:hAnsi="黑体" w:eastAsia="黑体" w:cs="黑体"/>
                <w:color w:val="auto"/>
                <w:sz w:val="21"/>
                <w:szCs w:val="21"/>
                <w:highlight w:val="none"/>
              </w:rPr>
            </w:pPr>
          </w:p>
        </w:tc>
      </w:tr>
      <w:tr w14:paraId="631DC3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4643" w:type="dxa"/>
            <w:noWrap w:val="0"/>
            <w:vAlign w:val="center"/>
          </w:tcPr>
          <w:p w14:paraId="1285DE71">
            <w:pPr>
              <w:spacing w:line="360" w:lineRule="auto"/>
              <w:jc w:val="center"/>
              <w:rPr>
                <w:rFonts w:hint="eastAsia" w:ascii="黑体" w:hAnsi="黑体" w:eastAsia="黑体" w:cs="黑体"/>
                <w:color w:val="auto"/>
                <w:sz w:val="21"/>
                <w:szCs w:val="21"/>
                <w:highlight w:val="none"/>
              </w:rPr>
            </w:pPr>
          </w:p>
        </w:tc>
        <w:tc>
          <w:tcPr>
            <w:tcW w:w="4643" w:type="dxa"/>
            <w:noWrap w:val="0"/>
            <w:vAlign w:val="center"/>
          </w:tcPr>
          <w:p w14:paraId="5763458C">
            <w:pPr>
              <w:spacing w:line="360" w:lineRule="auto"/>
              <w:jc w:val="center"/>
              <w:rPr>
                <w:rFonts w:hint="eastAsia" w:ascii="黑体" w:hAnsi="黑体" w:eastAsia="黑体" w:cs="黑体"/>
                <w:color w:val="auto"/>
                <w:sz w:val="21"/>
                <w:szCs w:val="21"/>
                <w:highlight w:val="none"/>
              </w:rPr>
            </w:pPr>
          </w:p>
        </w:tc>
      </w:tr>
      <w:tr w14:paraId="17F333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4643" w:type="dxa"/>
            <w:noWrap w:val="0"/>
            <w:vAlign w:val="center"/>
          </w:tcPr>
          <w:p w14:paraId="0F29C1AB">
            <w:pPr>
              <w:spacing w:line="360" w:lineRule="auto"/>
              <w:jc w:val="center"/>
              <w:rPr>
                <w:rFonts w:hint="eastAsia" w:ascii="黑体" w:hAnsi="黑体" w:eastAsia="黑体" w:cs="黑体"/>
                <w:color w:val="auto"/>
                <w:sz w:val="21"/>
                <w:szCs w:val="21"/>
                <w:highlight w:val="none"/>
              </w:rPr>
            </w:pPr>
          </w:p>
        </w:tc>
        <w:tc>
          <w:tcPr>
            <w:tcW w:w="4643" w:type="dxa"/>
            <w:noWrap w:val="0"/>
            <w:vAlign w:val="center"/>
          </w:tcPr>
          <w:p w14:paraId="2F915848">
            <w:pPr>
              <w:spacing w:line="360" w:lineRule="auto"/>
              <w:jc w:val="center"/>
              <w:rPr>
                <w:rFonts w:hint="eastAsia" w:ascii="黑体" w:hAnsi="黑体" w:eastAsia="黑体" w:cs="黑体"/>
                <w:color w:val="auto"/>
                <w:sz w:val="21"/>
                <w:szCs w:val="21"/>
                <w:highlight w:val="none"/>
              </w:rPr>
            </w:pPr>
          </w:p>
        </w:tc>
      </w:tr>
      <w:tr w14:paraId="2C1009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4643" w:type="dxa"/>
            <w:noWrap w:val="0"/>
            <w:vAlign w:val="center"/>
          </w:tcPr>
          <w:p w14:paraId="58D52816">
            <w:pPr>
              <w:spacing w:line="360" w:lineRule="auto"/>
              <w:jc w:val="center"/>
              <w:rPr>
                <w:rFonts w:hint="eastAsia" w:ascii="黑体" w:hAnsi="黑体" w:eastAsia="黑体" w:cs="黑体"/>
                <w:color w:val="auto"/>
                <w:sz w:val="21"/>
                <w:szCs w:val="21"/>
                <w:highlight w:val="none"/>
              </w:rPr>
            </w:pPr>
          </w:p>
        </w:tc>
        <w:tc>
          <w:tcPr>
            <w:tcW w:w="4643" w:type="dxa"/>
            <w:noWrap w:val="0"/>
            <w:vAlign w:val="center"/>
          </w:tcPr>
          <w:p w14:paraId="4A47C346">
            <w:pPr>
              <w:spacing w:line="360" w:lineRule="auto"/>
              <w:jc w:val="center"/>
              <w:rPr>
                <w:rFonts w:hint="eastAsia" w:ascii="黑体" w:hAnsi="黑体" w:eastAsia="黑体" w:cs="黑体"/>
                <w:color w:val="auto"/>
                <w:sz w:val="21"/>
                <w:szCs w:val="21"/>
                <w:highlight w:val="none"/>
              </w:rPr>
            </w:pPr>
          </w:p>
        </w:tc>
      </w:tr>
      <w:tr w14:paraId="1D4B8F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4643" w:type="dxa"/>
            <w:noWrap w:val="0"/>
            <w:vAlign w:val="center"/>
          </w:tcPr>
          <w:p w14:paraId="721F1D0D">
            <w:pPr>
              <w:spacing w:line="360" w:lineRule="auto"/>
              <w:jc w:val="center"/>
              <w:rPr>
                <w:rFonts w:hint="eastAsia" w:ascii="黑体" w:hAnsi="黑体" w:eastAsia="黑体" w:cs="黑体"/>
                <w:color w:val="auto"/>
                <w:sz w:val="21"/>
                <w:szCs w:val="21"/>
                <w:highlight w:val="none"/>
              </w:rPr>
            </w:pPr>
          </w:p>
        </w:tc>
        <w:tc>
          <w:tcPr>
            <w:tcW w:w="4643" w:type="dxa"/>
            <w:noWrap w:val="0"/>
            <w:vAlign w:val="center"/>
          </w:tcPr>
          <w:p w14:paraId="4F3D2D91">
            <w:pPr>
              <w:spacing w:line="360" w:lineRule="auto"/>
              <w:jc w:val="center"/>
              <w:rPr>
                <w:rFonts w:hint="eastAsia" w:ascii="黑体" w:hAnsi="黑体" w:eastAsia="黑体" w:cs="黑体"/>
                <w:color w:val="auto"/>
                <w:sz w:val="21"/>
                <w:szCs w:val="21"/>
                <w:highlight w:val="none"/>
              </w:rPr>
            </w:pPr>
          </w:p>
        </w:tc>
      </w:tr>
    </w:tbl>
    <w:p w14:paraId="0E709748">
      <w:pPr>
        <w:shd w:val="clear" w:color="auto" w:fill="auto"/>
        <w:spacing w:line="400" w:lineRule="atLeast"/>
        <w:rPr>
          <w:rFonts w:hint="eastAsia" w:ascii="黑体" w:hAnsi="黑体" w:eastAsia="黑体" w:cs="黑体"/>
          <w:color w:val="auto"/>
          <w:sz w:val="18"/>
          <w:szCs w:val="18"/>
          <w:highlight w:val="none"/>
        </w:rPr>
      </w:pPr>
      <w:r>
        <w:rPr>
          <w:rFonts w:hint="eastAsia" w:ascii="黑体" w:hAnsi="黑体" w:eastAsia="黑体" w:cs="黑体"/>
          <w:color w:val="auto"/>
          <w:sz w:val="18"/>
          <w:szCs w:val="18"/>
          <w:highlight w:val="none"/>
        </w:rPr>
        <w:t>注：1.投标人应按照招标文件第二章“投标人须知”前附表附录4和“投标人须知”正文第1.4.4项规定，逐条说明其信誉情况。</w:t>
      </w:r>
      <w:bookmarkEnd w:id="846"/>
    </w:p>
    <w:p w14:paraId="23EE4DAC">
      <w:pPr>
        <w:shd w:val="clear" w:color="auto" w:fill="auto"/>
        <w:spacing w:line="400" w:lineRule="atLeast"/>
        <w:ind w:firstLine="360" w:firstLineChars="200"/>
        <w:rPr>
          <w:rFonts w:hint="eastAsia" w:ascii="黑体" w:hAnsi="黑体" w:eastAsia="黑体" w:cs="黑体"/>
          <w:color w:val="auto"/>
          <w:sz w:val="18"/>
          <w:szCs w:val="18"/>
          <w:highlight w:val="none"/>
        </w:rPr>
      </w:pPr>
      <w:bookmarkStart w:id="847" w:name="_Hlk493477915"/>
      <w:r>
        <w:rPr>
          <w:rFonts w:hint="eastAsia" w:ascii="黑体" w:hAnsi="黑体" w:eastAsia="黑体" w:cs="黑体"/>
          <w:color w:val="auto"/>
          <w:sz w:val="18"/>
          <w:szCs w:val="18"/>
          <w:highlight w:val="none"/>
        </w:rPr>
        <w:t>2.投标人应根据招标文件第二章“投标人须知”第3.5.4项的要求在本表后附相关证明材料。</w:t>
      </w:r>
      <w:bookmarkEnd w:id="847"/>
    </w:p>
    <w:p w14:paraId="1AD1636E">
      <w:pPr>
        <w:shd w:val="clear" w:color="auto" w:fill="auto"/>
        <w:spacing w:line="400" w:lineRule="atLeast"/>
        <w:ind w:firstLine="360" w:firstLineChars="200"/>
        <w:rPr>
          <w:rFonts w:hint="eastAsia" w:ascii="黑体" w:hAnsi="黑体" w:eastAsia="黑体" w:cs="黑体"/>
          <w:color w:val="auto"/>
          <w:sz w:val="18"/>
          <w:szCs w:val="18"/>
          <w:highlight w:val="none"/>
        </w:rPr>
      </w:pPr>
      <w:r>
        <w:rPr>
          <w:rFonts w:hint="eastAsia" w:ascii="黑体" w:hAnsi="黑体" w:eastAsia="黑体" w:cs="黑体"/>
          <w:color w:val="auto"/>
          <w:sz w:val="18"/>
          <w:szCs w:val="18"/>
          <w:highlight w:val="none"/>
        </w:rPr>
        <w:t>3.以联合体形式参与投标的，联合体各成员应分别填写。</w:t>
      </w:r>
    </w:p>
    <w:p w14:paraId="0E4B3C54">
      <w:pPr>
        <w:pStyle w:val="2"/>
        <w:shd w:val="clear" w:color="auto" w:fill="auto"/>
        <w:spacing w:before="0" w:after="0" w:line="380" w:lineRule="atLeast"/>
        <w:jc w:val="center"/>
        <w:rPr>
          <w:rFonts w:hint="eastAsia" w:ascii="黑体" w:hAnsi="黑体" w:eastAsia="黑体" w:cs="黑体"/>
          <w:b w:val="0"/>
          <w:color w:val="auto"/>
          <w:sz w:val="24"/>
          <w:szCs w:val="24"/>
          <w:highlight w:val="none"/>
        </w:rPr>
      </w:pPr>
      <w:r>
        <w:rPr>
          <w:rFonts w:hint="eastAsia" w:ascii="黑体" w:hAnsi="黑体" w:eastAsia="黑体" w:cs="黑体"/>
          <w:b w:val="0"/>
          <w:bCs w:val="0"/>
          <w:color w:val="auto"/>
          <w:kern w:val="2"/>
          <w:sz w:val="21"/>
          <w:szCs w:val="21"/>
          <w:highlight w:val="none"/>
          <w:lang w:val="en-US" w:eastAsia="zh-CN"/>
        </w:rPr>
        <w:br w:type="page"/>
      </w:r>
      <w:bookmarkStart w:id="848" w:name="_Toc7730"/>
      <w:bookmarkStart w:id="849" w:name="_Toc501257505"/>
      <w:r>
        <w:rPr>
          <w:rFonts w:hint="eastAsia" w:ascii="黑体" w:hAnsi="黑体" w:eastAsia="黑体" w:cs="黑体"/>
          <w:b/>
          <w:bCs w:val="0"/>
          <w:color w:val="auto"/>
          <w:sz w:val="28"/>
          <w:szCs w:val="28"/>
          <w:highlight w:val="none"/>
        </w:rPr>
        <w:t>（六）拟委任的项目经理和项目总工资历表</w:t>
      </w:r>
      <w:bookmarkEnd w:id="841"/>
      <w:bookmarkEnd w:id="848"/>
      <w:bookmarkEnd w:id="849"/>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82"/>
        <w:gridCol w:w="179"/>
        <w:gridCol w:w="1733"/>
        <w:gridCol w:w="950"/>
        <w:gridCol w:w="1430"/>
        <w:gridCol w:w="1491"/>
        <w:gridCol w:w="1014"/>
        <w:gridCol w:w="1307"/>
      </w:tblGrid>
      <w:tr w14:paraId="40D629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82" w:type="dxa"/>
            <w:noWrap w:val="0"/>
            <w:vAlign w:val="center"/>
          </w:tcPr>
          <w:p w14:paraId="616BE5B0">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姓 名</w:t>
            </w:r>
          </w:p>
        </w:tc>
        <w:tc>
          <w:tcPr>
            <w:tcW w:w="1912" w:type="dxa"/>
            <w:gridSpan w:val="2"/>
            <w:noWrap w:val="0"/>
            <w:vAlign w:val="center"/>
          </w:tcPr>
          <w:p w14:paraId="6C1BA13A">
            <w:pPr>
              <w:spacing w:line="360" w:lineRule="auto"/>
              <w:jc w:val="center"/>
              <w:rPr>
                <w:rFonts w:hint="eastAsia" w:ascii="黑体" w:hAnsi="黑体" w:eastAsia="黑体" w:cs="黑体"/>
                <w:color w:val="auto"/>
                <w:sz w:val="21"/>
                <w:szCs w:val="21"/>
                <w:highlight w:val="none"/>
              </w:rPr>
            </w:pPr>
          </w:p>
        </w:tc>
        <w:tc>
          <w:tcPr>
            <w:tcW w:w="950" w:type="dxa"/>
            <w:noWrap w:val="0"/>
            <w:vAlign w:val="center"/>
          </w:tcPr>
          <w:p w14:paraId="12B61A07">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年 龄</w:t>
            </w:r>
          </w:p>
        </w:tc>
        <w:tc>
          <w:tcPr>
            <w:tcW w:w="1430" w:type="dxa"/>
            <w:noWrap w:val="0"/>
            <w:vAlign w:val="center"/>
          </w:tcPr>
          <w:p w14:paraId="23BAB6F2">
            <w:pPr>
              <w:spacing w:line="360" w:lineRule="auto"/>
              <w:jc w:val="center"/>
              <w:rPr>
                <w:rFonts w:hint="eastAsia" w:ascii="黑体" w:hAnsi="黑体" w:eastAsia="黑体" w:cs="黑体"/>
                <w:color w:val="auto"/>
                <w:sz w:val="21"/>
                <w:szCs w:val="21"/>
                <w:highlight w:val="none"/>
              </w:rPr>
            </w:pPr>
          </w:p>
        </w:tc>
        <w:tc>
          <w:tcPr>
            <w:tcW w:w="2505" w:type="dxa"/>
            <w:gridSpan w:val="2"/>
            <w:noWrap w:val="0"/>
            <w:vAlign w:val="center"/>
          </w:tcPr>
          <w:p w14:paraId="27AE7BDC">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专 业</w:t>
            </w:r>
          </w:p>
        </w:tc>
        <w:tc>
          <w:tcPr>
            <w:tcW w:w="1307" w:type="dxa"/>
            <w:noWrap w:val="0"/>
            <w:vAlign w:val="center"/>
          </w:tcPr>
          <w:p w14:paraId="4D8EB787">
            <w:pPr>
              <w:spacing w:line="360" w:lineRule="auto"/>
              <w:jc w:val="center"/>
              <w:rPr>
                <w:rFonts w:hint="eastAsia" w:ascii="黑体" w:hAnsi="黑体" w:eastAsia="黑体" w:cs="黑体"/>
                <w:color w:val="auto"/>
                <w:sz w:val="21"/>
                <w:szCs w:val="21"/>
                <w:highlight w:val="none"/>
              </w:rPr>
            </w:pPr>
          </w:p>
        </w:tc>
      </w:tr>
      <w:tr w14:paraId="433C14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82" w:type="dxa"/>
            <w:noWrap w:val="0"/>
            <w:vAlign w:val="center"/>
          </w:tcPr>
          <w:p w14:paraId="5AC3838A">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技术职称</w:t>
            </w:r>
          </w:p>
        </w:tc>
        <w:tc>
          <w:tcPr>
            <w:tcW w:w="1912" w:type="dxa"/>
            <w:gridSpan w:val="2"/>
            <w:noWrap w:val="0"/>
            <w:vAlign w:val="center"/>
          </w:tcPr>
          <w:p w14:paraId="2FF08236">
            <w:pPr>
              <w:spacing w:line="360" w:lineRule="auto"/>
              <w:jc w:val="center"/>
              <w:rPr>
                <w:rFonts w:hint="eastAsia" w:ascii="黑体" w:hAnsi="黑体" w:eastAsia="黑体" w:cs="黑体"/>
                <w:color w:val="auto"/>
                <w:sz w:val="21"/>
                <w:szCs w:val="21"/>
                <w:highlight w:val="none"/>
              </w:rPr>
            </w:pPr>
          </w:p>
        </w:tc>
        <w:tc>
          <w:tcPr>
            <w:tcW w:w="950" w:type="dxa"/>
            <w:noWrap w:val="0"/>
            <w:vAlign w:val="center"/>
          </w:tcPr>
          <w:p w14:paraId="7E5E2A89">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学 历</w:t>
            </w:r>
          </w:p>
        </w:tc>
        <w:tc>
          <w:tcPr>
            <w:tcW w:w="1430" w:type="dxa"/>
            <w:noWrap w:val="0"/>
            <w:vAlign w:val="center"/>
          </w:tcPr>
          <w:p w14:paraId="268228DC">
            <w:pPr>
              <w:spacing w:line="360" w:lineRule="auto"/>
              <w:jc w:val="center"/>
              <w:rPr>
                <w:rFonts w:hint="eastAsia" w:ascii="黑体" w:hAnsi="黑体" w:eastAsia="黑体" w:cs="黑体"/>
                <w:color w:val="auto"/>
                <w:sz w:val="21"/>
                <w:szCs w:val="21"/>
                <w:highlight w:val="none"/>
              </w:rPr>
            </w:pPr>
          </w:p>
        </w:tc>
        <w:tc>
          <w:tcPr>
            <w:tcW w:w="2505" w:type="dxa"/>
            <w:gridSpan w:val="2"/>
            <w:noWrap w:val="0"/>
            <w:vAlign w:val="center"/>
          </w:tcPr>
          <w:p w14:paraId="4D4D5C2E">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拟在本标段工程任职</w:t>
            </w:r>
          </w:p>
        </w:tc>
        <w:tc>
          <w:tcPr>
            <w:tcW w:w="1307" w:type="dxa"/>
            <w:noWrap w:val="0"/>
            <w:vAlign w:val="center"/>
          </w:tcPr>
          <w:p w14:paraId="546C80E0">
            <w:pPr>
              <w:spacing w:line="360" w:lineRule="auto"/>
              <w:jc w:val="center"/>
              <w:rPr>
                <w:rFonts w:hint="eastAsia" w:ascii="黑体" w:hAnsi="黑体" w:eastAsia="黑体" w:cs="黑体"/>
                <w:color w:val="auto"/>
                <w:sz w:val="21"/>
                <w:szCs w:val="21"/>
                <w:highlight w:val="none"/>
              </w:rPr>
            </w:pPr>
          </w:p>
        </w:tc>
      </w:tr>
      <w:tr w14:paraId="406AE7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82" w:type="dxa"/>
            <w:noWrap w:val="0"/>
            <w:vAlign w:val="center"/>
          </w:tcPr>
          <w:p w14:paraId="0320DF9E">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工作年限</w:t>
            </w:r>
          </w:p>
        </w:tc>
        <w:tc>
          <w:tcPr>
            <w:tcW w:w="4292" w:type="dxa"/>
            <w:gridSpan w:val="4"/>
            <w:noWrap w:val="0"/>
            <w:vAlign w:val="center"/>
          </w:tcPr>
          <w:p w14:paraId="040271FA">
            <w:pPr>
              <w:spacing w:line="360" w:lineRule="auto"/>
              <w:jc w:val="center"/>
              <w:rPr>
                <w:rFonts w:hint="eastAsia" w:ascii="黑体" w:hAnsi="黑体" w:eastAsia="黑体" w:cs="黑体"/>
                <w:color w:val="auto"/>
                <w:sz w:val="21"/>
                <w:szCs w:val="21"/>
                <w:highlight w:val="none"/>
              </w:rPr>
            </w:pPr>
          </w:p>
        </w:tc>
        <w:tc>
          <w:tcPr>
            <w:tcW w:w="2505" w:type="dxa"/>
            <w:gridSpan w:val="2"/>
            <w:noWrap w:val="0"/>
            <w:vAlign w:val="center"/>
          </w:tcPr>
          <w:p w14:paraId="7F55111A">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类似施工经验年限</w:t>
            </w:r>
          </w:p>
        </w:tc>
        <w:tc>
          <w:tcPr>
            <w:tcW w:w="1307" w:type="dxa"/>
            <w:noWrap w:val="0"/>
            <w:vAlign w:val="center"/>
          </w:tcPr>
          <w:p w14:paraId="74B8A39C">
            <w:pPr>
              <w:spacing w:line="360" w:lineRule="auto"/>
              <w:jc w:val="center"/>
              <w:rPr>
                <w:rFonts w:hint="eastAsia" w:ascii="黑体" w:hAnsi="黑体" w:eastAsia="黑体" w:cs="黑体"/>
                <w:color w:val="auto"/>
                <w:sz w:val="21"/>
                <w:szCs w:val="21"/>
                <w:highlight w:val="none"/>
              </w:rPr>
            </w:pPr>
          </w:p>
        </w:tc>
      </w:tr>
      <w:tr w14:paraId="410541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82" w:type="dxa"/>
            <w:noWrap w:val="0"/>
            <w:vAlign w:val="center"/>
          </w:tcPr>
          <w:p w14:paraId="6FE7BFBC">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毕业学校</w:t>
            </w:r>
          </w:p>
        </w:tc>
        <w:tc>
          <w:tcPr>
            <w:tcW w:w="8104" w:type="dxa"/>
            <w:gridSpan w:val="7"/>
            <w:noWrap w:val="0"/>
            <w:vAlign w:val="center"/>
          </w:tcPr>
          <w:p w14:paraId="022E8059">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年</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月毕业于</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学校</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专业，学制</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年</w:t>
            </w:r>
          </w:p>
        </w:tc>
      </w:tr>
      <w:tr w14:paraId="69C42D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286" w:type="dxa"/>
            <w:gridSpan w:val="8"/>
            <w:noWrap w:val="0"/>
            <w:vAlign w:val="center"/>
          </w:tcPr>
          <w:p w14:paraId="3D30579F">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经   历</w:t>
            </w:r>
          </w:p>
        </w:tc>
      </w:tr>
      <w:tr w14:paraId="34F62B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61" w:type="dxa"/>
            <w:gridSpan w:val="2"/>
            <w:noWrap w:val="0"/>
            <w:vAlign w:val="center"/>
          </w:tcPr>
          <w:p w14:paraId="13378CC9">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时间</w:t>
            </w:r>
          </w:p>
        </w:tc>
        <w:tc>
          <w:tcPr>
            <w:tcW w:w="4113" w:type="dxa"/>
            <w:gridSpan w:val="3"/>
            <w:noWrap w:val="0"/>
            <w:vAlign w:val="center"/>
          </w:tcPr>
          <w:p w14:paraId="51A2DDA0">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参加过的类似工程项目名称</w:t>
            </w:r>
          </w:p>
        </w:tc>
        <w:tc>
          <w:tcPr>
            <w:tcW w:w="1491" w:type="dxa"/>
            <w:noWrap w:val="0"/>
            <w:vAlign w:val="center"/>
          </w:tcPr>
          <w:p w14:paraId="2D125961">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担任职务</w:t>
            </w:r>
          </w:p>
        </w:tc>
        <w:tc>
          <w:tcPr>
            <w:tcW w:w="2321" w:type="dxa"/>
            <w:gridSpan w:val="2"/>
            <w:noWrap w:val="0"/>
            <w:vAlign w:val="bottom"/>
          </w:tcPr>
          <w:p w14:paraId="076D5ED2">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发包人及联系电话</w:t>
            </w:r>
          </w:p>
        </w:tc>
      </w:tr>
      <w:tr w14:paraId="33DADE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61" w:type="dxa"/>
            <w:gridSpan w:val="2"/>
            <w:noWrap w:val="0"/>
            <w:vAlign w:val="center"/>
          </w:tcPr>
          <w:p w14:paraId="19791706">
            <w:pPr>
              <w:spacing w:line="360" w:lineRule="auto"/>
              <w:jc w:val="center"/>
              <w:rPr>
                <w:rFonts w:hint="eastAsia" w:ascii="黑体" w:hAnsi="黑体" w:eastAsia="黑体" w:cs="黑体"/>
                <w:color w:val="auto"/>
                <w:sz w:val="21"/>
                <w:szCs w:val="21"/>
                <w:highlight w:val="none"/>
              </w:rPr>
            </w:pPr>
          </w:p>
        </w:tc>
        <w:tc>
          <w:tcPr>
            <w:tcW w:w="4113" w:type="dxa"/>
            <w:gridSpan w:val="3"/>
            <w:noWrap w:val="0"/>
            <w:vAlign w:val="center"/>
          </w:tcPr>
          <w:p w14:paraId="28A4D909">
            <w:pPr>
              <w:spacing w:line="360" w:lineRule="auto"/>
              <w:jc w:val="center"/>
              <w:rPr>
                <w:rFonts w:hint="eastAsia" w:ascii="黑体" w:hAnsi="黑体" w:eastAsia="黑体" w:cs="黑体"/>
                <w:color w:val="auto"/>
                <w:sz w:val="21"/>
                <w:szCs w:val="21"/>
                <w:highlight w:val="none"/>
              </w:rPr>
            </w:pPr>
          </w:p>
        </w:tc>
        <w:tc>
          <w:tcPr>
            <w:tcW w:w="1491" w:type="dxa"/>
            <w:noWrap w:val="0"/>
            <w:vAlign w:val="center"/>
          </w:tcPr>
          <w:p w14:paraId="42B875CB">
            <w:pPr>
              <w:spacing w:line="360" w:lineRule="auto"/>
              <w:jc w:val="center"/>
              <w:rPr>
                <w:rFonts w:hint="eastAsia" w:ascii="黑体" w:hAnsi="黑体" w:eastAsia="黑体" w:cs="黑体"/>
                <w:color w:val="auto"/>
                <w:sz w:val="21"/>
                <w:szCs w:val="21"/>
                <w:highlight w:val="none"/>
              </w:rPr>
            </w:pPr>
          </w:p>
        </w:tc>
        <w:tc>
          <w:tcPr>
            <w:tcW w:w="2321" w:type="dxa"/>
            <w:gridSpan w:val="2"/>
            <w:noWrap w:val="0"/>
            <w:vAlign w:val="bottom"/>
          </w:tcPr>
          <w:p w14:paraId="19E76C3A">
            <w:pPr>
              <w:spacing w:line="360" w:lineRule="auto"/>
              <w:jc w:val="center"/>
              <w:rPr>
                <w:rFonts w:hint="eastAsia" w:ascii="黑体" w:hAnsi="黑体" w:eastAsia="黑体" w:cs="黑体"/>
                <w:color w:val="auto"/>
                <w:sz w:val="21"/>
                <w:szCs w:val="21"/>
                <w:highlight w:val="none"/>
              </w:rPr>
            </w:pPr>
          </w:p>
        </w:tc>
      </w:tr>
      <w:tr w14:paraId="02EDCD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61" w:type="dxa"/>
            <w:gridSpan w:val="2"/>
            <w:noWrap w:val="0"/>
            <w:vAlign w:val="center"/>
          </w:tcPr>
          <w:p w14:paraId="029F5CE3">
            <w:pPr>
              <w:spacing w:line="360" w:lineRule="auto"/>
              <w:jc w:val="center"/>
              <w:rPr>
                <w:rFonts w:hint="eastAsia" w:ascii="黑体" w:hAnsi="黑体" w:eastAsia="黑体" w:cs="黑体"/>
                <w:color w:val="auto"/>
                <w:sz w:val="21"/>
                <w:szCs w:val="21"/>
                <w:highlight w:val="none"/>
              </w:rPr>
            </w:pPr>
          </w:p>
        </w:tc>
        <w:tc>
          <w:tcPr>
            <w:tcW w:w="4113" w:type="dxa"/>
            <w:gridSpan w:val="3"/>
            <w:noWrap w:val="0"/>
            <w:vAlign w:val="center"/>
          </w:tcPr>
          <w:p w14:paraId="193A502D">
            <w:pPr>
              <w:spacing w:line="360" w:lineRule="auto"/>
              <w:jc w:val="center"/>
              <w:rPr>
                <w:rFonts w:hint="eastAsia" w:ascii="黑体" w:hAnsi="黑体" w:eastAsia="黑体" w:cs="黑体"/>
                <w:color w:val="auto"/>
                <w:sz w:val="21"/>
                <w:szCs w:val="21"/>
                <w:highlight w:val="none"/>
              </w:rPr>
            </w:pPr>
          </w:p>
        </w:tc>
        <w:tc>
          <w:tcPr>
            <w:tcW w:w="1491" w:type="dxa"/>
            <w:noWrap w:val="0"/>
            <w:vAlign w:val="center"/>
          </w:tcPr>
          <w:p w14:paraId="3ED78621">
            <w:pPr>
              <w:spacing w:line="360" w:lineRule="auto"/>
              <w:jc w:val="center"/>
              <w:rPr>
                <w:rFonts w:hint="eastAsia" w:ascii="黑体" w:hAnsi="黑体" w:eastAsia="黑体" w:cs="黑体"/>
                <w:color w:val="auto"/>
                <w:sz w:val="21"/>
                <w:szCs w:val="21"/>
                <w:highlight w:val="none"/>
              </w:rPr>
            </w:pPr>
          </w:p>
        </w:tc>
        <w:tc>
          <w:tcPr>
            <w:tcW w:w="2321" w:type="dxa"/>
            <w:gridSpan w:val="2"/>
            <w:noWrap w:val="0"/>
            <w:vAlign w:val="bottom"/>
          </w:tcPr>
          <w:p w14:paraId="008E101D">
            <w:pPr>
              <w:spacing w:line="360" w:lineRule="auto"/>
              <w:jc w:val="center"/>
              <w:rPr>
                <w:rFonts w:hint="eastAsia" w:ascii="黑体" w:hAnsi="黑体" w:eastAsia="黑体" w:cs="黑体"/>
                <w:color w:val="auto"/>
                <w:sz w:val="21"/>
                <w:szCs w:val="21"/>
                <w:highlight w:val="none"/>
              </w:rPr>
            </w:pPr>
          </w:p>
        </w:tc>
      </w:tr>
      <w:tr w14:paraId="466135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61" w:type="dxa"/>
            <w:gridSpan w:val="2"/>
            <w:noWrap w:val="0"/>
            <w:vAlign w:val="center"/>
          </w:tcPr>
          <w:p w14:paraId="72433608">
            <w:pPr>
              <w:spacing w:line="360" w:lineRule="auto"/>
              <w:jc w:val="center"/>
              <w:rPr>
                <w:rFonts w:hint="eastAsia" w:ascii="黑体" w:hAnsi="黑体" w:eastAsia="黑体" w:cs="黑体"/>
                <w:color w:val="auto"/>
                <w:sz w:val="21"/>
                <w:szCs w:val="21"/>
                <w:highlight w:val="none"/>
              </w:rPr>
            </w:pPr>
          </w:p>
        </w:tc>
        <w:tc>
          <w:tcPr>
            <w:tcW w:w="4113" w:type="dxa"/>
            <w:gridSpan w:val="3"/>
            <w:noWrap w:val="0"/>
            <w:vAlign w:val="center"/>
          </w:tcPr>
          <w:p w14:paraId="639BCCA5">
            <w:pPr>
              <w:spacing w:line="360" w:lineRule="auto"/>
              <w:jc w:val="center"/>
              <w:rPr>
                <w:rFonts w:hint="eastAsia" w:ascii="黑体" w:hAnsi="黑体" w:eastAsia="黑体" w:cs="黑体"/>
                <w:color w:val="auto"/>
                <w:sz w:val="21"/>
                <w:szCs w:val="21"/>
                <w:highlight w:val="none"/>
              </w:rPr>
            </w:pPr>
          </w:p>
        </w:tc>
        <w:tc>
          <w:tcPr>
            <w:tcW w:w="1491" w:type="dxa"/>
            <w:noWrap w:val="0"/>
            <w:vAlign w:val="center"/>
          </w:tcPr>
          <w:p w14:paraId="430C2336">
            <w:pPr>
              <w:spacing w:line="360" w:lineRule="auto"/>
              <w:jc w:val="center"/>
              <w:rPr>
                <w:rFonts w:hint="eastAsia" w:ascii="黑体" w:hAnsi="黑体" w:eastAsia="黑体" w:cs="黑体"/>
                <w:color w:val="auto"/>
                <w:sz w:val="21"/>
                <w:szCs w:val="21"/>
                <w:highlight w:val="none"/>
              </w:rPr>
            </w:pPr>
          </w:p>
        </w:tc>
        <w:tc>
          <w:tcPr>
            <w:tcW w:w="2321" w:type="dxa"/>
            <w:gridSpan w:val="2"/>
            <w:noWrap w:val="0"/>
            <w:vAlign w:val="bottom"/>
          </w:tcPr>
          <w:p w14:paraId="12F39D4C">
            <w:pPr>
              <w:spacing w:line="360" w:lineRule="auto"/>
              <w:jc w:val="center"/>
              <w:rPr>
                <w:rFonts w:hint="eastAsia" w:ascii="黑体" w:hAnsi="黑体" w:eastAsia="黑体" w:cs="黑体"/>
                <w:color w:val="auto"/>
                <w:sz w:val="21"/>
                <w:szCs w:val="21"/>
                <w:highlight w:val="none"/>
              </w:rPr>
            </w:pPr>
          </w:p>
        </w:tc>
      </w:tr>
      <w:tr w14:paraId="659A93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61" w:type="dxa"/>
            <w:gridSpan w:val="2"/>
            <w:noWrap w:val="0"/>
            <w:vAlign w:val="center"/>
          </w:tcPr>
          <w:p w14:paraId="789A09B0">
            <w:pPr>
              <w:spacing w:line="360" w:lineRule="auto"/>
              <w:jc w:val="center"/>
              <w:rPr>
                <w:rFonts w:hint="eastAsia" w:ascii="黑体" w:hAnsi="黑体" w:eastAsia="黑体" w:cs="黑体"/>
                <w:color w:val="auto"/>
                <w:sz w:val="21"/>
                <w:szCs w:val="21"/>
                <w:highlight w:val="none"/>
              </w:rPr>
            </w:pPr>
          </w:p>
        </w:tc>
        <w:tc>
          <w:tcPr>
            <w:tcW w:w="4113" w:type="dxa"/>
            <w:gridSpan w:val="3"/>
            <w:noWrap w:val="0"/>
            <w:vAlign w:val="center"/>
          </w:tcPr>
          <w:p w14:paraId="369E949E">
            <w:pPr>
              <w:spacing w:line="360" w:lineRule="auto"/>
              <w:jc w:val="center"/>
              <w:rPr>
                <w:rFonts w:hint="eastAsia" w:ascii="黑体" w:hAnsi="黑体" w:eastAsia="黑体" w:cs="黑体"/>
                <w:color w:val="auto"/>
                <w:sz w:val="21"/>
                <w:szCs w:val="21"/>
                <w:highlight w:val="none"/>
              </w:rPr>
            </w:pPr>
          </w:p>
        </w:tc>
        <w:tc>
          <w:tcPr>
            <w:tcW w:w="1491" w:type="dxa"/>
            <w:noWrap w:val="0"/>
            <w:vAlign w:val="center"/>
          </w:tcPr>
          <w:p w14:paraId="57E7C9D8">
            <w:pPr>
              <w:spacing w:line="360" w:lineRule="auto"/>
              <w:jc w:val="center"/>
              <w:rPr>
                <w:rFonts w:hint="eastAsia" w:ascii="黑体" w:hAnsi="黑体" w:eastAsia="黑体" w:cs="黑体"/>
                <w:color w:val="auto"/>
                <w:sz w:val="21"/>
                <w:szCs w:val="21"/>
                <w:highlight w:val="none"/>
              </w:rPr>
            </w:pPr>
          </w:p>
        </w:tc>
        <w:tc>
          <w:tcPr>
            <w:tcW w:w="2321" w:type="dxa"/>
            <w:gridSpan w:val="2"/>
            <w:noWrap w:val="0"/>
            <w:vAlign w:val="bottom"/>
          </w:tcPr>
          <w:p w14:paraId="435B5F67">
            <w:pPr>
              <w:spacing w:line="360" w:lineRule="auto"/>
              <w:jc w:val="center"/>
              <w:rPr>
                <w:rFonts w:hint="eastAsia" w:ascii="黑体" w:hAnsi="黑体" w:eastAsia="黑体" w:cs="黑体"/>
                <w:color w:val="auto"/>
                <w:sz w:val="21"/>
                <w:szCs w:val="21"/>
                <w:highlight w:val="none"/>
              </w:rPr>
            </w:pPr>
          </w:p>
        </w:tc>
      </w:tr>
      <w:tr w14:paraId="47B864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61" w:type="dxa"/>
            <w:gridSpan w:val="2"/>
            <w:noWrap w:val="0"/>
            <w:vAlign w:val="center"/>
          </w:tcPr>
          <w:p w14:paraId="7EB38A1F">
            <w:pPr>
              <w:spacing w:line="360" w:lineRule="auto"/>
              <w:jc w:val="center"/>
              <w:rPr>
                <w:rFonts w:hint="eastAsia" w:ascii="黑体" w:hAnsi="黑体" w:eastAsia="黑体" w:cs="黑体"/>
                <w:color w:val="auto"/>
                <w:sz w:val="21"/>
                <w:szCs w:val="21"/>
                <w:highlight w:val="none"/>
              </w:rPr>
            </w:pPr>
          </w:p>
        </w:tc>
        <w:tc>
          <w:tcPr>
            <w:tcW w:w="4113" w:type="dxa"/>
            <w:gridSpan w:val="3"/>
            <w:noWrap w:val="0"/>
            <w:vAlign w:val="center"/>
          </w:tcPr>
          <w:p w14:paraId="643F3D11">
            <w:pPr>
              <w:spacing w:line="360" w:lineRule="auto"/>
              <w:jc w:val="center"/>
              <w:rPr>
                <w:rFonts w:hint="eastAsia" w:ascii="黑体" w:hAnsi="黑体" w:eastAsia="黑体" w:cs="黑体"/>
                <w:color w:val="auto"/>
                <w:sz w:val="21"/>
                <w:szCs w:val="21"/>
                <w:highlight w:val="none"/>
              </w:rPr>
            </w:pPr>
          </w:p>
        </w:tc>
        <w:tc>
          <w:tcPr>
            <w:tcW w:w="1491" w:type="dxa"/>
            <w:noWrap w:val="0"/>
            <w:vAlign w:val="center"/>
          </w:tcPr>
          <w:p w14:paraId="17FE9668">
            <w:pPr>
              <w:spacing w:line="360" w:lineRule="auto"/>
              <w:jc w:val="center"/>
              <w:rPr>
                <w:rFonts w:hint="eastAsia" w:ascii="黑体" w:hAnsi="黑体" w:eastAsia="黑体" w:cs="黑体"/>
                <w:color w:val="auto"/>
                <w:sz w:val="21"/>
                <w:szCs w:val="21"/>
                <w:highlight w:val="none"/>
              </w:rPr>
            </w:pPr>
          </w:p>
        </w:tc>
        <w:tc>
          <w:tcPr>
            <w:tcW w:w="2321" w:type="dxa"/>
            <w:gridSpan w:val="2"/>
            <w:noWrap w:val="0"/>
            <w:vAlign w:val="bottom"/>
          </w:tcPr>
          <w:p w14:paraId="00406FA2">
            <w:pPr>
              <w:spacing w:line="360" w:lineRule="auto"/>
              <w:jc w:val="center"/>
              <w:rPr>
                <w:rFonts w:hint="eastAsia" w:ascii="黑体" w:hAnsi="黑体" w:eastAsia="黑体" w:cs="黑体"/>
                <w:color w:val="auto"/>
                <w:sz w:val="21"/>
                <w:szCs w:val="21"/>
                <w:highlight w:val="none"/>
              </w:rPr>
            </w:pPr>
          </w:p>
        </w:tc>
      </w:tr>
      <w:tr w14:paraId="57CD7B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61" w:type="dxa"/>
            <w:gridSpan w:val="2"/>
            <w:noWrap w:val="0"/>
            <w:vAlign w:val="center"/>
          </w:tcPr>
          <w:p w14:paraId="0EBB3785">
            <w:pPr>
              <w:spacing w:line="360" w:lineRule="auto"/>
              <w:jc w:val="center"/>
              <w:rPr>
                <w:rFonts w:hint="eastAsia" w:ascii="黑体" w:hAnsi="黑体" w:eastAsia="黑体" w:cs="黑体"/>
                <w:color w:val="auto"/>
                <w:sz w:val="21"/>
                <w:szCs w:val="21"/>
                <w:highlight w:val="none"/>
              </w:rPr>
            </w:pPr>
          </w:p>
        </w:tc>
        <w:tc>
          <w:tcPr>
            <w:tcW w:w="4113" w:type="dxa"/>
            <w:gridSpan w:val="3"/>
            <w:noWrap w:val="0"/>
            <w:vAlign w:val="center"/>
          </w:tcPr>
          <w:p w14:paraId="492238AB">
            <w:pPr>
              <w:spacing w:line="360" w:lineRule="auto"/>
              <w:jc w:val="center"/>
              <w:rPr>
                <w:rFonts w:hint="eastAsia" w:ascii="黑体" w:hAnsi="黑体" w:eastAsia="黑体" w:cs="黑体"/>
                <w:color w:val="auto"/>
                <w:sz w:val="21"/>
                <w:szCs w:val="21"/>
                <w:highlight w:val="none"/>
              </w:rPr>
            </w:pPr>
          </w:p>
        </w:tc>
        <w:tc>
          <w:tcPr>
            <w:tcW w:w="1491" w:type="dxa"/>
            <w:noWrap w:val="0"/>
            <w:vAlign w:val="center"/>
          </w:tcPr>
          <w:p w14:paraId="62EB4C6C">
            <w:pPr>
              <w:spacing w:line="360" w:lineRule="auto"/>
              <w:jc w:val="center"/>
              <w:rPr>
                <w:rFonts w:hint="eastAsia" w:ascii="黑体" w:hAnsi="黑体" w:eastAsia="黑体" w:cs="黑体"/>
                <w:color w:val="auto"/>
                <w:sz w:val="21"/>
                <w:szCs w:val="21"/>
                <w:highlight w:val="none"/>
              </w:rPr>
            </w:pPr>
          </w:p>
        </w:tc>
        <w:tc>
          <w:tcPr>
            <w:tcW w:w="2321" w:type="dxa"/>
            <w:gridSpan w:val="2"/>
            <w:noWrap w:val="0"/>
            <w:vAlign w:val="bottom"/>
          </w:tcPr>
          <w:p w14:paraId="1FD9F349">
            <w:pPr>
              <w:spacing w:line="360" w:lineRule="auto"/>
              <w:jc w:val="center"/>
              <w:rPr>
                <w:rFonts w:hint="eastAsia" w:ascii="黑体" w:hAnsi="黑体" w:eastAsia="黑体" w:cs="黑体"/>
                <w:color w:val="auto"/>
                <w:sz w:val="21"/>
                <w:szCs w:val="21"/>
                <w:highlight w:val="none"/>
              </w:rPr>
            </w:pPr>
          </w:p>
        </w:tc>
      </w:tr>
      <w:tr w14:paraId="129EFE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61" w:type="dxa"/>
            <w:gridSpan w:val="2"/>
            <w:noWrap w:val="0"/>
            <w:vAlign w:val="center"/>
          </w:tcPr>
          <w:p w14:paraId="01165831">
            <w:pPr>
              <w:spacing w:line="360" w:lineRule="auto"/>
              <w:jc w:val="center"/>
              <w:rPr>
                <w:rFonts w:hint="eastAsia" w:ascii="黑体" w:hAnsi="黑体" w:eastAsia="黑体" w:cs="黑体"/>
                <w:color w:val="auto"/>
                <w:sz w:val="21"/>
                <w:szCs w:val="21"/>
                <w:highlight w:val="none"/>
              </w:rPr>
            </w:pPr>
          </w:p>
        </w:tc>
        <w:tc>
          <w:tcPr>
            <w:tcW w:w="4113" w:type="dxa"/>
            <w:gridSpan w:val="3"/>
            <w:noWrap w:val="0"/>
            <w:vAlign w:val="center"/>
          </w:tcPr>
          <w:p w14:paraId="227ED8B8">
            <w:pPr>
              <w:spacing w:line="360" w:lineRule="auto"/>
              <w:jc w:val="center"/>
              <w:rPr>
                <w:rFonts w:hint="eastAsia" w:ascii="黑体" w:hAnsi="黑体" w:eastAsia="黑体" w:cs="黑体"/>
                <w:color w:val="auto"/>
                <w:sz w:val="21"/>
                <w:szCs w:val="21"/>
                <w:highlight w:val="none"/>
              </w:rPr>
            </w:pPr>
          </w:p>
        </w:tc>
        <w:tc>
          <w:tcPr>
            <w:tcW w:w="1491" w:type="dxa"/>
            <w:noWrap w:val="0"/>
            <w:vAlign w:val="center"/>
          </w:tcPr>
          <w:p w14:paraId="03678344">
            <w:pPr>
              <w:spacing w:line="360" w:lineRule="auto"/>
              <w:jc w:val="center"/>
              <w:rPr>
                <w:rFonts w:hint="eastAsia" w:ascii="黑体" w:hAnsi="黑体" w:eastAsia="黑体" w:cs="黑体"/>
                <w:color w:val="auto"/>
                <w:sz w:val="21"/>
                <w:szCs w:val="21"/>
                <w:highlight w:val="none"/>
              </w:rPr>
            </w:pPr>
          </w:p>
        </w:tc>
        <w:tc>
          <w:tcPr>
            <w:tcW w:w="2321" w:type="dxa"/>
            <w:gridSpan w:val="2"/>
            <w:noWrap w:val="0"/>
            <w:vAlign w:val="bottom"/>
          </w:tcPr>
          <w:p w14:paraId="5AD61005">
            <w:pPr>
              <w:spacing w:line="360" w:lineRule="auto"/>
              <w:jc w:val="center"/>
              <w:rPr>
                <w:rFonts w:hint="eastAsia" w:ascii="黑体" w:hAnsi="黑体" w:eastAsia="黑体" w:cs="黑体"/>
                <w:color w:val="auto"/>
                <w:sz w:val="21"/>
                <w:szCs w:val="21"/>
                <w:highlight w:val="none"/>
              </w:rPr>
            </w:pPr>
          </w:p>
        </w:tc>
      </w:tr>
      <w:tr w14:paraId="3D53E3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61" w:type="dxa"/>
            <w:gridSpan w:val="2"/>
            <w:noWrap w:val="0"/>
            <w:vAlign w:val="center"/>
          </w:tcPr>
          <w:p w14:paraId="3B6E8970">
            <w:pPr>
              <w:spacing w:line="360" w:lineRule="auto"/>
              <w:jc w:val="center"/>
              <w:rPr>
                <w:rFonts w:hint="eastAsia" w:ascii="黑体" w:hAnsi="黑体" w:eastAsia="黑体" w:cs="黑体"/>
                <w:color w:val="auto"/>
                <w:sz w:val="21"/>
                <w:szCs w:val="21"/>
                <w:highlight w:val="none"/>
              </w:rPr>
            </w:pPr>
          </w:p>
        </w:tc>
        <w:tc>
          <w:tcPr>
            <w:tcW w:w="4113" w:type="dxa"/>
            <w:gridSpan w:val="3"/>
            <w:noWrap w:val="0"/>
            <w:vAlign w:val="center"/>
          </w:tcPr>
          <w:p w14:paraId="0AE54080">
            <w:pPr>
              <w:spacing w:line="360" w:lineRule="auto"/>
              <w:jc w:val="center"/>
              <w:rPr>
                <w:rFonts w:hint="eastAsia" w:ascii="黑体" w:hAnsi="黑体" w:eastAsia="黑体" w:cs="黑体"/>
                <w:color w:val="auto"/>
                <w:sz w:val="21"/>
                <w:szCs w:val="21"/>
                <w:highlight w:val="none"/>
              </w:rPr>
            </w:pPr>
          </w:p>
        </w:tc>
        <w:tc>
          <w:tcPr>
            <w:tcW w:w="1491" w:type="dxa"/>
            <w:noWrap w:val="0"/>
            <w:vAlign w:val="center"/>
          </w:tcPr>
          <w:p w14:paraId="2041A810">
            <w:pPr>
              <w:spacing w:line="360" w:lineRule="auto"/>
              <w:jc w:val="center"/>
              <w:rPr>
                <w:rFonts w:hint="eastAsia" w:ascii="黑体" w:hAnsi="黑体" w:eastAsia="黑体" w:cs="黑体"/>
                <w:color w:val="auto"/>
                <w:sz w:val="21"/>
                <w:szCs w:val="21"/>
                <w:highlight w:val="none"/>
              </w:rPr>
            </w:pPr>
          </w:p>
        </w:tc>
        <w:tc>
          <w:tcPr>
            <w:tcW w:w="2321" w:type="dxa"/>
            <w:gridSpan w:val="2"/>
            <w:noWrap w:val="0"/>
            <w:vAlign w:val="bottom"/>
          </w:tcPr>
          <w:p w14:paraId="13A94112">
            <w:pPr>
              <w:spacing w:line="360" w:lineRule="auto"/>
              <w:jc w:val="center"/>
              <w:rPr>
                <w:rFonts w:hint="eastAsia" w:ascii="黑体" w:hAnsi="黑体" w:eastAsia="黑体" w:cs="黑体"/>
                <w:color w:val="auto"/>
                <w:sz w:val="21"/>
                <w:szCs w:val="21"/>
                <w:highlight w:val="none"/>
              </w:rPr>
            </w:pPr>
          </w:p>
        </w:tc>
      </w:tr>
      <w:tr w14:paraId="72E6FC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094" w:type="dxa"/>
            <w:gridSpan w:val="3"/>
            <w:noWrap w:val="0"/>
            <w:vAlign w:val="bottom"/>
          </w:tcPr>
          <w:p w14:paraId="613EA82C">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获奖情况</w:t>
            </w:r>
          </w:p>
        </w:tc>
        <w:tc>
          <w:tcPr>
            <w:tcW w:w="6192" w:type="dxa"/>
            <w:gridSpan w:val="5"/>
            <w:noWrap w:val="0"/>
            <w:vAlign w:val="center"/>
          </w:tcPr>
          <w:p w14:paraId="3E6F3BF0">
            <w:pPr>
              <w:spacing w:line="360" w:lineRule="auto"/>
              <w:jc w:val="center"/>
              <w:rPr>
                <w:rFonts w:hint="eastAsia" w:ascii="黑体" w:hAnsi="黑体" w:eastAsia="黑体" w:cs="黑体"/>
                <w:color w:val="auto"/>
                <w:sz w:val="21"/>
                <w:szCs w:val="21"/>
                <w:highlight w:val="none"/>
              </w:rPr>
            </w:pPr>
          </w:p>
        </w:tc>
      </w:tr>
      <w:tr w14:paraId="2B6537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094" w:type="dxa"/>
            <w:gridSpan w:val="3"/>
            <w:noWrap w:val="0"/>
            <w:vAlign w:val="center"/>
          </w:tcPr>
          <w:p w14:paraId="47BE757E">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说明在岗情况</w:t>
            </w:r>
          </w:p>
        </w:tc>
        <w:tc>
          <w:tcPr>
            <w:tcW w:w="6192" w:type="dxa"/>
            <w:gridSpan w:val="5"/>
            <w:noWrap w:val="0"/>
            <w:vAlign w:val="center"/>
          </w:tcPr>
          <w:p w14:paraId="0CE73997">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□目前未在其他项目上任职，现从事工作为：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w:t>
            </w:r>
          </w:p>
          <w:p w14:paraId="16AC0384">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□目前虽在其他项目上任职，但本项目中标后能够从该项目撤离，目前任职项目：</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，担任职位：</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w:t>
            </w:r>
          </w:p>
        </w:tc>
      </w:tr>
      <w:tr w14:paraId="240247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094" w:type="dxa"/>
            <w:gridSpan w:val="3"/>
            <w:noWrap w:val="0"/>
            <w:vAlign w:val="center"/>
          </w:tcPr>
          <w:p w14:paraId="3E3ECCB3">
            <w:pPr>
              <w:spacing w:line="360" w:lineRule="auto"/>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备 注</w:t>
            </w:r>
          </w:p>
        </w:tc>
        <w:tc>
          <w:tcPr>
            <w:tcW w:w="6192" w:type="dxa"/>
            <w:gridSpan w:val="5"/>
            <w:noWrap w:val="0"/>
            <w:vAlign w:val="center"/>
          </w:tcPr>
          <w:p w14:paraId="512096FE">
            <w:pPr>
              <w:spacing w:line="360" w:lineRule="auto"/>
              <w:jc w:val="center"/>
              <w:rPr>
                <w:rFonts w:hint="eastAsia" w:ascii="黑体" w:hAnsi="黑体" w:eastAsia="黑体" w:cs="黑体"/>
                <w:color w:val="auto"/>
                <w:sz w:val="21"/>
                <w:szCs w:val="21"/>
                <w:highlight w:val="none"/>
              </w:rPr>
            </w:pPr>
          </w:p>
        </w:tc>
      </w:tr>
    </w:tbl>
    <w:p w14:paraId="43F73DF3">
      <w:pPr>
        <w:pStyle w:val="9"/>
        <w:shd w:val="clear" w:color="auto" w:fill="auto"/>
        <w:spacing w:after="0" w:line="400" w:lineRule="atLeast"/>
        <w:ind w:left="0" w:leftChars="0" w:firstLine="0" w:firstLineChars="0"/>
        <w:rPr>
          <w:rFonts w:hint="eastAsia" w:ascii="黑体" w:hAnsi="黑体" w:eastAsia="黑体" w:cs="黑体"/>
          <w:color w:val="auto"/>
          <w:sz w:val="20"/>
          <w:szCs w:val="22"/>
          <w:highlight w:val="none"/>
        </w:rPr>
      </w:pPr>
      <w:r>
        <w:rPr>
          <w:rFonts w:hint="eastAsia" w:ascii="黑体" w:hAnsi="黑体" w:eastAsia="黑体" w:cs="黑体"/>
          <w:color w:val="auto"/>
          <w:sz w:val="20"/>
          <w:szCs w:val="22"/>
          <w:highlight w:val="none"/>
        </w:rPr>
        <w:t>注：1.本表应填写项目经理和项目总工相关情况。</w:t>
      </w:r>
    </w:p>
    <w:p w14:paraId="0FE6C764">
      <w:pPr>
        <w:shd w:val="clear" w:color="auto" w:fill="auto"/>
        <w:spacing w:line="400" w:lineRule="atLeast"/>
        <w:ind w:firstLine="400" w:firstLineChars="200"/>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t>2.投标人应根据招标文件第二章“投标人须知”第3.5.5项的要求在本表后附相关证明材料。</w:t>
      </w:r>
    </w:p>
    <w:p w14:paraId="22D8EBBE">
      <w:pPr>
        <w:pStyle w:val="9"/>
        <w:shd w:val="clear" w:color="auto" w:fill="auto"/>
        <w:spacing w:after="0" w:line="400" w:lineRule="atLeast"/>
        <w:ind w:left="840" w:leftChars="0" w:hanging="840" w:hangingChars="350"/>
        <w:rPr>
          <w:rFonts w:hint="eastAsia" w:ascii="黑体" w:hAnsi="黑体" w:eastAsia="黑体" w:cs="黑体"/>
          <w:color w:val="auto"/>
          <w:szCs w:val="21"/>
          <w:highlight w:val="none"/>
        </w:rPr>
      </w:pPr>
      <w:r>
        <w:rPr>
          <w:rFonts w:hint="eastAsia" w:ascii="黑体" w:hAnsi="黑体" w:eastAsia="黑体" w:cs="黑体"/>
          <w:color w:val="auto"/>
          <w:sz w:val="24"/>
          <w:highlight w:val="none"/>
        </w:rPr>
        <w:br w:type="page"/>
      </w:r>
    </w:p>
    <w:p w14:paraId="784390C5">
      <w:pPr>
        <w:pStyle w:val="3"/>
        <w:bidi w:val="0"/>
        <w:rPr>
          <w:rFonts w:hint="eastAsia" w:ascii="黑体" w:hAnsi="黑体" w:eastAsia="黑体" w:cs="黑体"/>
          <w:color w:val="auto"/>
          <w:sz w:val="20"/>
          <w:szCs w:val="20"/>
          <w:highlight w:val="none"/>
        </w:rPr>
      </w:pPr>
      <w:bookmarkStart w:id="850" w:name="_Toc234833291"/>
      <w:bookmarkStart w:id="851" w:name="_Toc10273"/>
      <w:bookmarkStart w:id="852" w:name="_Toc501257510"/>
      <w:r>
        <w:rPr>
          <w:rFonts w:hint="eastAsia"/>
          <w:highlight w:val="none"/>
          <w:lang w:val="en-US" w:eastAsia="zh-CN"/>
        </w:rPr>
        <w:t>九</w:t>
      </w:r>
      <w:r>
        <w:rPr>
          <w:rFonts w:hint="eastAsia"/>
          <w:highlight w:val="none"/>
        </w:rPr>
        <w:t>、其他</w:t>
      </w:r>
      <w:bookmarkEnd w:id="850"/>
      <w:r>
        <w:rPr>
          <w:rFonts w:hint="eastAsia"/>
          <w:highlight w:val="none"/>
          <w:lang w:eastAsia="zh-CN"/>
        </w:rPr>
        <w:t>资料</w:t>
      </w:r>
      <w:bookmarkEnd w:id="851"/>
      <w:bookmarkEnd w:id="852"/>
    </w:p>
    <w:p w14:paraId="317E43AC">
      <w:pPr>
        <w:spacing w:line="48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投标人认为应提供的其他资料：</w:t>
      </w:r>
    </w:p>
    <w:p w14:paraId="6C594A26">
      <w:pPr>
        <w:spacing w:line="480" w:lineRule="auto"/>
        <w:ind w:firstLine="508" w:firstLineChars="242"/>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lang w:val="en-US" w:eastAsia="zh-CN"/>
        </w:rPr>
        <w:t>1</w:t>
      </w:r>
      <w:r>
        <w:rPr>
          <w:rFonts w:hint="eastAsia" w:ascii="黑体" w:hAnsi="黑体" w:eastAsia="黑体" w:cs="黑体"/>
          <w:color w:val="auto"/>
          <w:sz w:val="21"/>
          <w:szCs w:val="21"/>
          <w:highlight w:val="none"/>
        </w:rPr>
        <w:t>. 与本标段投标有关的其他资料。</w:t>
      </w:r>
    </w:p>
    <w:p w14:paraId="1EEABC29">
      <w:pPr>
        <w:shd w:val="clear" w:color="auto" w:fill="auto"/>
        <w:spacing w:line="440" w:lineRule="exact"/>
        <w:rPr>
          <w:rFonts w:hint="eastAsia" w:ascii="黑体" w:hAnsi="黑体" w:eastAsia="黑体" w:cs="黑体"/>
          <w:color w:val="auto"/>
          <w:sz w:val="20"/>
          <w:szCs w:val="20"/>
          <w:highlight w:val="none"/>
        </w:rPr>
      </w:pPr>
    </w:p>
    <w:p w14:paraId="17AE6A4E">
      <w:pPr>
        <w:shd w:val="clear" w:color="auto" w:fill="auto"/>
        <w:spacing w:line="440" w:lineRule="exact"/>
        <w:rPr>
          <w:rFonts w:hint="eastAsia" w:ascii="黑体" w:hAnsi="黑体" w:eastAsia="黑体" w:cs="黑体"/>
          <w:color w:val="auto"/>
          <w:sz w:val="20"/>
          <w:szCs w:val="20"/>
          <w:highlight w:val="none"/>
        </w:rPr>
      </w:pPr>
    </w:p>
    <w:p w14:paraId="1911D1AE">
      <w:pPr>
        <w:shd w:val="clear" w:color="auto" w:fill="auto"/>
        <w:spacing w:line="440" w:lineRule="exact"/>
        <w:rPr>
          <w:rFonts w:hint="eastAsia" w:ascii="黑体" w:hAnsi="黑体" w:eastAsia="黑体" w:cs="黑体"/>
          <w:color w:val="auto"/>
          <w:sz w:val="20"/>
          <w:szCs w:val="20"/>
          <w:highlight w:val="none"/>
        </w:rPr>
      </w:pPr>
    </w:p>
    <w:p w14:paraId="2925A31F">
      <w:pPr>
        <w:pStyle w:val="2"/>
        <w:shd w:val="clear" w:color="auto" w:fill="auto"/>
        <w:spacing w:before="0" w:after="0" w:line="380" w:lineRule="atLeast"/>
        <w:rPr>
          <w:rFonts w:hint="eastAsia" w:ascii="黑体" w:hAnsi="黑体" w:eastAsia="黑体" w:cs="黑体"/>
          <w:color w:val="auto"/>
          <w:sz w:val="27"/>
          <w:szCs w:val="27"/>
          <w:highlight w:val="none"/>
        </w:rPr>
      </w:pPr>
      <w:r>
        <w:rPr>
          <w:rFonts w:hint="eastAsia" w:ascii="黑体" w:hAnsi="黑体" w:eastAsia="黑体" w:cs="黑体"/>
          <w:color w:val="auto"/>
          <w:sz w:val="20"/>
          <w:szCs w:val="20"/>
          <w:highlight w:val="none"/>
        </w:rPr>
        <w:br w:type="page"/>
      </w:r>
    </w:p>
    <w:p w14:paraId="5033173E">
      <w:pPr>
        <w:spacing w:line="360" w:lineRule="exact"/>
        <w:ind w:right="-1"/>
        <w:jc w:val="center"/>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lang w:val="en-US" w:eastAsia="zh-CN"/>
        </w:rPr>
        <w:t xml:space="preserve">                                    </w:t>
      </w:r>
      <w:r>
        <w:rPr>
          <w:rFonts w:hint="eastAsia" w:ascii="黑体" w:hAnsi="黑体" w:eastAsia="黑体" w:cs="黑体"/>
          <w:color w:val="auto"/>
          <w:sz w:val="24"/>
          <w:highlight w:val="none"/>
        </w:rPr>
        <w:t>项目编号：</w:t>
      </w:r>
    </w:p>
    <w:p w14:paraId="02265315">
      <w:pPr>
        <w:widowControl/>
        <w:shd w:val="clear" w:color="auto" w:fill="FFFFFF"/>
        <w:spacing w:before="150" w:after="150"/>
        <w:jc w:val="center"/>
        <w:rPr>
          <w:rFonts w:hint="eastAsia" w:ascii="黑体" w:hAnsi="黑体" w:eastAsia="黑体" w:cs="黑体"/>
          <w:b/>
          <w:snapToGrid w:val="0"/>
          <w:color w:val="auto"/>
          <w:sz w:val="24"/>
          <w:highlight w:val="none"/>
          <w:lang w:eastAsia="zh-CN"/>
        </w:rPr>
      </w:pPr>
      <w:r>
        <w:rPr>
          <w:rFonts w:hint="eastAsia" w:ascii="黑体" w:hAnsi="黑体" w:eastAsia="黑体" w:cs="黑体"/>
          <w:color w:val="auto"/>
          <w:sz w:val="24"/>
          <w:highlight w:val="none"/>
          <w:lang w:val="en-US" w:eastAsia="zh-CN"/>
        </w:rPr>
        <w:t xml:space="preserve">                                           标段（包）编号：                                     </w:t>
      </w:r>
    </w:p>
    <w:p w14:paraId="0E82682C">
      <w:pPr>
        <w:widowControl/>
        <w:tabs>
          <w:tab w:val="right" w:leader="middleDot" w:pos="9030"/>
        </w:tabs>
        <w:autoSpaceDE w:val="0"/>
        <w:autoSpaceDN w:val="0"/>
        <w:jc w:val="both"/>
        <w:textAlignment w:val="bottom"/>
        <w:rPr>
          <w:rFonts w:hint="eastAsia" w:ascii="黑体" w:hAnsi="黑体" w:eastAsia="黑体" w:cs="黑体"/>
          <w:b/>
          <w:snapToGrid w:val="0"/>
          <w:color w:val="auto"/>
          <w:spacing w:val="12"/>
          <w:szCs w:val="21"/>
          <w:highlight w:val="none"/>
        </w:rPr>
      </w:pPr>
    </w:p>
    <w:p w14:paraId="70D63086">
      <w:pPr>
        <w:widowControl/>
        <w:tabs>
          <w:tab w:val="right" w:leader="middleDot" w:pos="9030"/>
        </w:tabs>
        <w:autoSpaceDE w:val="0"/>
        <w:autoSpaceDN w:val="0"/>
        <w:jc w:val="center"/>
        <w:textAlignment w:val="bottom"/>
        <w:rPr>
          <w:rFonts w:hint="eastAsia" w:ascii="黑体" w:hAnsi="黑体" w:eastAsia="黑体" w:cs="黑体"/>
          <w:b/>
          <w:snapToGrid w:val="0"/>
          <w:color w:val="auto"/>
          <w:spacing w:val="12"/>
          <w:szCs w:val="21"/>
          <w:highlight w:val="none"/>
        </w:rPr>
      </w:pPr>
    </w:p>
    <w:p w14:paraId="4CA909B1">
      <w:pPr>
        <w:widowControl/>
        <w:tabs>
          <w:tab w:val="left" w:pos="3828"/>
        </w:tabs>
        <w:autoSpaceDE w:val="0"/>
        <w:autoSpaceDN w:val="0"/>
        <w:spacing w:line="640" w:lineRule="exact"/>
        <w:ind w:left="-215" w:right="-414"/>
        <w:jc w:val="center"/>
        <w:textAlignment w:val="bottom"/>
        <w:rPr>
          <w:rFonts w:hint="eastAsia" w:ascii="黑体" w:hAnsi="黑体" w:eastAsia="黑体" w:cs="黑体"/>
          <w:b/>
          <w:snapToGrid w:val="0"/>
          <w:color w:val="auto"/>
          <w:spacing w:val="12"/>
          <w:sz w:val="40"/>
          <w:szCs w:val="28"/>
          <w:highlight w:val="none"/>
        </w:rPr>
      </w:pPr>
      <w:r>
        <w:rPr>
          <w:rFonts w:hint="eastAsia" w:ascii="黑体" w:hAnsi="黑体" w:eastAsia="黑体" w:cs="黑体"/>
          <w:b/>
          <w:snapToGrid w:val="0"/>
          <w:color w:val="auto"/>
          <w:spacing w:val="12"/>
          <w:sz w:val="40"/>
          <w:szCs w:val="28"/>
          <w:highlight w:val="none"/>
        </w:rPr>
        <w:t>中 华 人 民 共 和 国</w:t>
      </w:r>
    </w:p>
    <w:p w14:paraId="65D5B961">
      <w:pPr>
        <w:widowControl/>
        <w:tabs>
          <w:tab w:val="left" w:pos="3828"/>
        </w:tabs>
        <w:autoSpaceDE w:val="0"/>
        <w:autoSpaceDN w:val="0"/>
        <w:spacing w:after="156" w:afterLines="50" w:line="640" w:lineRule="exact"/>
        <w:ind w:left="-215" w:right="-414"/>
        <w:jc w:val="center"/>
        <w:textAlignment w:val="bottom"/>
        <w:rPr>
          <w:rFonts w:hint="eastAsia" w:ascii="黑体" w:hAnsi="黑体" w:eastAsia="黑体" w:cs="黑体"/>
          <w:b/>
          <w:snapToGrid w:val="0"/>
          <w:color w:val="auto"/>
          <w:spacing w:val="12"/>
          <w:sz w:val="40"/>
          <w:szCs w:val="28"/>
          <w:highlight w:val="none"/>
        </w:rPr>
      </w:pPr>
      <w:r>
        <w:rPr>
          <w:rFonts w:hint="eastAsia" w:ascii="黑体" w:hAnsi="黑体" w:eastAsia="黑体" w:cs="黑体"/>
          <w:b/>
          <w:snapToGrid w:val="0"/>
          <w:color w:val="auto"/>
          <w:spacing w:val="12"/>
          <w:sz w:val="40"/>
          <w:szCs w:val="28"/>
          <w:highlight w:val="none"/>
        </w:rPr>
        <w:t>内 蒙 古 自 治 区</w:t>
      </w:r>
    </w:p>
    <w:p w14:paraId="7DC70085">
      <w:pPr>
        <w:widowControl/>
        <w:pBdr>
          <w:top w:val="thinThickSmallGap" w:color="auto" w:sz="18" w:space="1"/>
        </w:pBdr>
        <w:autoSpaceDE w:val="0"/>
        <w:autoSpaceDN w:val="0"/>
        <w:jc w:val="center"/>
        <w:textAlignment w:val="bottom"/>
        <w:rPr>
          <w:rFonts w:hint="eastAsia" w:ascii="黑体" w:hAnsi="黑体" w:eastAsia="黑体" w:cs="黑体"/>
          <w:b/>
          <w:bCs/>
          <w:color w:val="auto"/>
          <w:kern w:val="0"/>
          <w:sz w:val="18"/>
          <w:szCs w:val="18"/>
          <w:highlight w:val="none"/>
        </w:rPr>
      </w:pPr>
    </w:p>
    <w:p w14:paraId="10BE22B0">
      <w:pPr>
        <w:widowControl/>
        <w:autoSpaceDE w:val="0"/>
        <w:autoSpaceDN w:val="0"/>
        <w:spacing w:line="360" w:lineRule="auto"/>
        <w:jc w:val="center"/>
        <w:textAlignment w:val="bottom"/>
        <w:rPr>
          <w:rFonts w:hint="eastAsia" w:ascii="黑体" w:hAnsi="黑体" w:eastAsia="黑体" w:cs="黑体"/>
          <w:color w:val="auto"/>
          <w:sz w:val="40"/>
          <w:szCs w:val="40"/>
          <w:highlight w:val="none"/>
        </w:rPr>
      </w:pPr>
      <w:r>
        <w:rPr>
          <w:rFonts w:hint="eastAsia" w:ascii="黑体" w:hAnsi="黑体" w:eastAsia="黑体" w:cs="黑体"/>
          <w:b/>
          <w:color w:val="auto"/>
          <w:sz w:val="36"/>
          <w:szCs w:val="36"/>
          <w:highlight w:val="none"/>
          <w:lang w:eastAsia="zh-CN"/>
        </w:rPr>
        <w:t>2026年新巴尔虎左旗生命安全防护工程</w:t>
      </w:r>
      <w:r>
        <w:rPr>
          <w:rFonts w:hint="eastAsia" w:ascii="黑体" w:hAnsi="黑体" w:eastAsia="黑体" w:cs="黑体"/>
          <w:b/>
          <w:color w:val="auto"/>
          <w:sz w:val="36"/>
          <w:szCs w:val="36"/>
          <w:highlight w:val="none"/>
          <w:lang w:val="en-US" w:eastAsia="zh-CN"/>
        </w:rPr>
        <w:t>施工第</w:t>
      </w:r>
      <w:r>
        <w:rPr>
          <w:rFonts w:hint="eastAsia" w:ascii="黑体" w:hAnsi="黑体" w:eastAsia="黑体" w:cs="黑体"/>
          <w:b/>
          <w:color w:val="auto"/>
          <w:sz w:val="36"/>
          <w:szCs w:val="36"/>
          <w:highlight w:val="none"/>
          <w:u w:val="single"/>
          <w:lang w:val="en-US" w:eastAsia="zh-CN"/>
        </w:rPr>
        <w:t xml:space="preserve">   </w:t>
      </w:r>
      <w:r>
        <w:rPr>
          <w:rFonts w:hint="eastAsia" w:ascii="黑体" w:hAnsi="黑体" w:eastAsia="黑体" w:cs="黑体"/>
          <w:b/>
          <w:color w:val="auto"/>
          <w:sz w:val="36"/>
          <w:szCs w:val="36"/>
          <w:highlight w:val="none"/>
          <w:lang w:val="en-US" w:eastAsia="zh-CN"/>
        </w:rPr>
        <w:t>标</w:t>
      </w:r>
      <w:r>
        <w:rPr>
          <w:rFonts w:hint="eastAsia" w:ascii="黑体" w:hAnsi="黑体" w:eastAsia="黑体" w:cs="黑体"/>
          <w:b/>
          <w:bCs w:val="0"/>
          <w:color w:val="auto"/>
          <w:sz w:val="36"/>
          <w:szCs w:val="36"/>
          <w:highlight w:val="none"/>
          <w:lang w:val="en-US" w:eastAsia="zh-CN"/>
        </w:rPr>
        <w:t>段</w:t>
      </w:r>
    </w:p>
    <w:p w14:paraId="0C68059C">
      <w:pPr>
        <w:pStyle w:val="21"/>
        <w:rPr>
          <w:rFonts w:hint="eastAsia"/>
          <w:highlight w:val="none"/>
        </w:rPr>
      </w:pPr>
    </w:p>
    <w:p w14:paraId="58525195">
      <w:pPr>
        <w:jc w:val="center"/>
        <w:rPr>
          <w:rFonts w:hint="eastAsia" w:ascii="黑体" w:hAnsi="黑体" w:eastAsia="黑体" w:cs="黑体"/>
          <w:b/>
          <w:color w:val="auto"/>
          <w:sz w:val="36"/>
          <w:szCs w:val="36"/>
          <w:highlight w:val="none"/>
        </w:rPr>
      </w:pPr>
      <w:r>
        <w:rPr>
          <w:rFonts w:hint="eastAsia" w:ascii="黑体" w:hAnsi="黑体" w:eastAsia="黑体" w:cs="黑体"/>
          <w:color w:val="auto"/>
          <w:sz w:val="20"/>
          <w:szCs w:val="20"/>
          <w:highlight w:val="none"/>
        </w:rPr>
        <w:t xml:space="preserve"> </w:t>
      </w:r>
      <w:r>
        <w:rPr>
          <w:rFonts w:hint="eastAsia" w:ascii="黑体" w:hAnsi="黑体" w:eastAsia="黑体" w:cs="黑体"/>
          <w:b/>
          <w:color w:val="auto"/>
          <w:sz w:val="100"/>
          <w:szCs w:val="100"/>
          <w:highlight w:val="none"/>
        </w:rPr>
        <w:t>投 标 文 件</w:t>
      </w:r>
    </w:p>
    <w:p w14:paraId="5A384893">
      <w:pPr>
        <w:spacing w:line="600" w:lineRule="auto"/>
        <w:jc w:val="center"/>
        <w:rPr>
          <w:rFonts w:hint="eastAsia" w:ascii="黑体" w:hAnsi="黑体" w:eastAsia="黑体" w:cs="黑体"/>
          <w:b/>
          <w:color w:val="auto"/>
          <w:sz w:val="36"/>
          <w:szCs w:val="36"/>
          <w:highlight w:val="none"/>
        </w:rPr>
      </w:pPr>
    </w:p>
    <w:p w14:paraId="20FF33C0">
      <w:pPr>
        <w:spacing w:line="600" w:lineRule="auto"/>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《报价文件》</w:t>
      </w:r>
    </w:p>
    <w:p w14:paraId="6674B46A">
      <w:pPr>
        <w:shd w:val="clear" w:color="auto" w:fill="auto"/>
        <w:spacing w:line="440" w:lineRule="exact"/>
        <w:rPr>
          <w:rFonts w:hint="eastAsia" w:ascii="黑体" w:hAnsi="黑体" w:eastAsia="黑体" w:cs="黑体"/>
          <w:color w:val="auto"/>
          <w:sz w:val="20"/>
          <w:szCs w:val="20"/>
          <w:highlight w:val="none"/>
        </w:rPr>
      </w:pPr>
    </w:p>
    <w:p w14:paraId="63369E3C">
      <w:pPr>
        <w:shd w:val="clear" w:color="auto" w:fill="auto"/>
        <w:spacing w:line="440" w:lineRule="exact"/>
        <w:rPr>
          <w:rFonts w:hint="eastAsia" w:ascii="黑体" w:hAnsi="黑体" w:eastAsia="黑体" w:cs="黑体"/>
          <w:color w:val="auto"/>
          <w:sz w:val="20"/>
          <w:szCs w:val="20"/>
          <w:highlight w:val="none"/>
        </w:rPr>
      </w:pPr>
    </w:p>
    <w:p w14:paraId="5176D6BE">
      <w:pPr>
        <w:shd w:val="clear" w:color="auto" w:fill="auto"/>
        <w:spacing w:line="440" w:lineRule="exact"/>
        <w:rPr>
          <w:rFonts w:hint="eastAsia" w:ascii="黑体" w:hAnsi="黑体" w:eastAsia="黑体" w:cs="黑体"/>
          <w:color w:val="auto"/>
          <w:sz w:val="20"/>
          <w:szCs w:val="20"/>
          <w:highlight w:val="none"/>
        </w:rPr>
      </w:pPr>
    </w:p>
    <w:p w14:paraId="07DFD2DA">
      <w:pPr>
        <w:shd w:val="clear" w:color="auto" w:fill="auto"/>
        <w:spacing w:line="440" w:lineRule="exact"/>
        <w:jc w:val="cente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投标人：</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rPr>
        <w:t>（盖单位章）</w:t>
      </w:r>
    </w:p>
    <w:p w14:paraId="6099E998">
      <w:pPr>
        <w:shd w:val="clear" w:color="auto" w:fill="auto"/>
        <w:spacing w:line="440" w:lineRule="exact"/>
        <w:rPr>
          <w:rFonts w:hint="eastAsia" w:ascii="黑体" w:hAnsi="黑体" w:eastAsia="黑体" w:cs="黑体"/>
          <w:color w:val="auto"/>
          <w:sz w:val="28"/>
          <w:szCs w:val="28"/>
          <w:highlight w:val="none"/>
        </w:rPr>
      </w:pPr>
    </w:p>
    <w:p w14:paraId="2C012502">
      <w:pPr>
        <w:shd w:val="clear" w:color="auto" w:fill="auto"/>
        <w:spacing w:line="440" w:lineRule="exact"/>
        <w:jc w:val="cente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rPr>
        <w:t>年</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rPr>
        <w:t>月</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rPr>
        <w:t>日</w:t>
      </w:r>
    </w:p>
    <w:p w14:paraId="11806091">
      <w:pPr>
        <w:shd w:val="clear" w:color="auto" w:fill="auto"/>
        <w:spacing w:line="440" w:lineRule="exact"/>
        <w:ind w:firstLine="140" w:firstLineChars="50"/>
        <w:jc w:val="cente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br w:type="page"/>
      </w:r>
    </w:p>
    <w:p w14:paraId="0BDEBECC">
      <w:pPr>
        <w:shd w:val="clear" w:color="auto" w:fill="auto"/>
        <w:spacing w:line="440" w:lineRule="exact"/>
        <w:ind w:firstLine="161" w:firstLineChars="50"/>
        <w:jc w:val="center"/>
        <w:rPr>
          <w:rFonts w:hint="eastAsia" w:ascii="黑体" w:hAnsi="黑体" w:eastAsia="黑体" w:cs="黑体"/>
          <w:b/>
          <w:color w:val="auto"/>
          <w:sz w:val="30"/>
          <w:szCs w:val="30"/>
          <w:highlight w:val="none"/>
        </w:rPr>
      </w:pPr>
      <w:r>
        <w:rPr>
          <w:rFonts w:hint="eastAsia" w:ascii="黑体" w:hAnsi="黑体" w:eastAsia="黑体" w:cs="黑体"/>
          <w:b/>
          <w:color w:val="auto"/>
          <w:sz w:val="32"/>
          <w:szCs w:val="32"/>
          <w:highlight w:val="none"/>
        </w:rPr>
        <w:t>目   录</w:t>
      </w:r>
    </w:p>
    <w:p w14:paraId="7B2316C7">
      <w:pPr>
        <w:shd w:val="clear" w:color="auto" w:fill="auto"/>
        <w:spacing w:line="440" w:lineRule="exact"/>
        <w:rPr>
          <w:rFonts w:hint="eastAsia" w:ascii="黑体" w:hAnsi="黑体" w:eastAsia="黑体" w:cs="黑体"/>
          <w:color w:val="auto"/>
          <w:sz w:val="24"/>
          <w:highlight w:val="none"/>
        </w:rPr>
      </w:pPr>
    </w:p>
    <w:p w14:paraId="6C010EC3">
      <w:pPr>
        <w:shd w:val="clear" w:color="auto" w:fill="auto"/>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一、投标函</w:t>
      </w:r>
    </w:p>
    <w:p w14:paraId="606C2446">
      <w:pPr>
        <w:shd w:val="clear" w:color="auto" w:fill="auto"/>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二、已标价工程量清单</w:t>
      </w:r>
    </w:p>
    <w:p w14:paraId="5BB22F48">
      <w:pPr>
        <w:shd w:val="clear" w:color="auto" w:fill="auto"/>
        <w:spacing w:line="440" w:lineRule="exact"/>
        <w:rPr>
          <w:rFonts w:hint="eastAsia" w:ascii="黑体" w:hAnsi="黑体" w:eastAsia="黑体" w:cs="黑体"/>
          <w:color w:val="auto"/>
          <w:sz w:val="24"/>
          <w:highlight w:val="none"/>
        </w:rPr>
      </w:pPr>
      <w:r>
        <w:rPr>
          <w:rFonts w:hint="eastAsia" w:ascii="黑体" w:hAnsi="黑体" w:eastAsia="黑体" w:cs="黑体"/>
          <w:color w:val="auto"/>
          <w:sz w:val="21"/>
          <w:szCs w:val="21"/>
          <w:highlight w:val="none"/>
        </w:rPr>
        <w:t>三、合同用款估算表</w:t>
      </w:r>
    </w:p>
    <w:p w14:paraId="05E3D189">
      <w:pPr>
        <w:shd w:val="clear" w:color="auto" w:fill="auto"/>
        <w:spacing w:line="440" w:lineRule="exact"/>
        <w:ind w:left="1619" w:leftChars="771" w:firstLine="1"/>
        <w:rPr>
          <w:rFonts w:hint="eastAsia" w:ascii="黑体" w:hAnsi="黑体" w:eastAsia="黑体" w:cs="黑体"/>
          <w:color w:val="auto"/>
          <w:sz w:val="24"/>
          <w:highlight w:val="none"/>
        </w:rPr>
      </w:pPr>
    </w:p>
    <w:p w14:paraId="5A1F666C">
      <w:pPr>
        <w:pStyle w:val="2"/>
        <w:shd w:val="clear" w:color="auto" w:fill="auto"/>
        <w:spacing w:before="360" w:beforeLines="150" w:after="240" w:afterLines="100" w:line="380" w:lineRule="atLeast"/>
        <w:jc w:val="center"/>
        <w:rPr>
          <w:rFonts w:hint="eastAsia" w:ascii="黑体" w:hAnsi="黑体" w:eastAsia="黑体" w:cs="黑体"/>
          <w:color w:val="auto"/>
          <w:sz w:val="20"/>
          <w:szCs w:val="20"/>
          <w:highlight w:val="none"/>
        </w:rPr>
      </w:pPr>
    </w:p>
    <w:p w14:paraId="1EAD2714">
      <w:pPr>
        <w:shd w:val="clear" w:color="auto" w:fill="auto"/>
        <w:spacing w:line="440" w:lineRule="exact"/>
        <w:rPr>
          <w:rFonts w:hint="eastAsia" w:ascii="黑体" w:hAnsi="黑体" w:eastAsia="黑体" w:cs="黑体"/>
          <w:color w:val="auto"/>
          <w:sz w:val="20"/>
          <w:szCs w:val="20"/>
          <w:highlight w:val="none"/>
        </w:rPr>
      </w:pPr>
    </w:p>
    <w:p w14:paraId="1D575A0D">
      <w:pPr>
        <w:shd w:val="clear" w:color="auto" w:fill="auto"/>
        <w:spacing w:line="440" w:lineRule="exact"/>
        <w:rPr>
          <w:rFonts w:hint="eastAsia" w:ascii="黑体" w:hAnsi="黑体" w:eastAsia="黑体" w:cs="黑体"/>
          <w:color w:val="auto"/>
          <w:sz w:val="20"/>
          <w:szCs w:val="20"/>
          <w:highlight w:val="none"/>
        </w:rPr>
      </w:pPr>
    </w:p>
    <w:p w14:paraId="5CEE4A11">
      <w:pPr>
        <w:shd w:val="clear" w:color="auto" w:fill="auto"/>
        <w:spacing w:line="440" w:lineRule="exact"/>
        <w:rPr>
          <w:rFonts w:hint="eastAsia" w:ascii="黑体" w:hAnsi="黑体" w:eastAsia="黑体" w:cs="黑体"/>
          <w:color w:val="auto"/>
          <w:sz w:val="20"/>
          <w:szCs w:val="20"/>
          <w:highlight w:val="none"/>
        </w:rPr>
      </w:pPr>
    </w:p>
    <w:p w14:paraId="4BCC73D2">
      <w:pPr>
        <w:shd w:val="clear" w:color="auto" w:fill="auto"/>
        <w:spacing w:line="440" w:lineRule="exact"/>
        <w:rPr>
          <w:rFonts w:hint="eastAsia" w:ascii="黑体" w:hAnsi="黑体" w:eastAsia="黑体" w:cs="黑体"/>
          <w:color w:val="auto"/>
          <w:sz w:val="20"/>
          <w:szCs w:val="20"/>
          <w:highlight w:val="none"/>
        </w:rPr>
      </w:pPr>
    </w:p>
    <w:p w14:paraId="11C01AA4">
      <w:pPr>
        <w:shd w:val="clear" w:color="auto" w:fill="auto"/>
        <w:spacing w:line="440" w:lineRule="exact"/>
        <w:rPr>
          <w:rFonts w:hint="eastAsia" w:ascii="黑体" w:hAnsi="黑体" w:eastAsia="黑体" w:cs="黑体"/>
          <w:color w:val="auto"/>
          <w:sz w:val="20"/>
          <w:szCs w:val="20"/>
          <w:highlight w:val="none"/>
        </w:rPr>
      </w:pPr>
    </w:p>
    <w:p w14:paraId="424B013C">
      <w:pPr>
        <w:shd w:val="clear" w:color="auto" w:fill="auto"/>
        <w:spacing w:line="440" w:lineRule="exact"/>
        <w:rPr>
          <w:rFonts w:hint="eastAsia" w:ascii="黑体" w:hAnsi="黑体" w:eastAsia="黑体" w:cs="黑体"/>
          <w:color w:val="auto"/>
          <w:sz w:val="20"/>
          <w:szCs w:val="20"/>
          <w:highlight w:val="none"/>
        </w:rPr>
      </w:pPr>
    </w:p>
    <w:p w14:paraId="5F2471F1">
      <w:pPr>
        <w:shd w:val="clear" w:color="auto" w:fill="auto"/>
        <w:spacing w:line="440" w:lineRule="exact"/>
        <w:rPr>
          <w:rFonts w:hint="eastAsia" w:ascii="黑体" w:hAnsi="黑体" w:eastAsia="黑体" w:cs="黑体"/>
          <w:color w:val="auto"/>
          <w:sz w:val="20"/>
          <w:szCs w:val="20"/>
          <w:highlight w:val="none"/>
        </w:rPr>
      </w:pPr>
    </w:p>
    <w:p w14:paraId="73E4ED48">
      <w:pPr>
        <w:shd w:val="clear" w:color="auto" w:fill="auto"/>
        <w:spacing w:line="440" w:lineRule="exact"/>
        <w:rPr>
          <w:rFonts w:hint="eastAsia" w:ascii="黑体" w:hAnsi="黑体" w:eastAsia="黑体" w:cs="黑体"/>
          <w:color w:val="auto"/>
          <w:sz w:val="20"/>
          <w:szCs w:val="20"/>
          <w:highlight w:val="none"/>
        </w:rPr>
      </w:pPr>
    </w:p>
    <w:p w14:paraId="2FB7FB7C">
      <w:pPr>
        <w:shd w:val="clear" w:color="auto" w:fill="auto"/>
        <w:spacing w:line="440" w:lineRule="exact"/>
        <w:rPr>
          <w:rFonts w:hint="eastAsia" w:ascii="黑体" w:hAnsi="黑体" w:eastAsia="黑体" w:cs="黑体"/>
          <w:color w:val="auto"/>
          <w:sz w:val="20"/>
          <w:szCs w:val="20"/>
          <w:highlight w:val="none"/>
        </w:rPr>
      </w:pPr>
    </w:p>
    <w:p w14:paraId="14C34ACC">
      <w:pPr>
        <w:shd w:val="clear" w:color="auto" w:fill="auto"/>
        <w:spacing w:line="440" w:lineRule="exact"/>
        <w:rPr>
          <w:rFonts w:hint="eastAsia" w:ascii="黑体" w:hAnsi="黑体" w:eastAsia="黑体" w:cs="黑体"/>
          <w:color w:val="auto"/>
          <w:sz w:val="20"/>
          <w:szCs w:val="20"/>
          <w:highlight w:val="none"/>
        </w:rPr>
      </w:pPr>
    </w:p>
    <w:p w14:paraId="5E632519">
      <w:pPr>
        <w:shd w:val="clear" w:color="auto" w:fill="auto"/>
        <w:spacing w:line="440" w:lineRule="exact"/>
        <w:rPr>
          <w:rFonts w:hint="eastAsia" w:ascii="黑体" w:hAnsi="黑体" w:eastAsia="黑体" w:cs="黑体"/>
          <w:color w:val="auto"/>
          <w:sz w:val="20"/>
          <w:szCs w:val="20"/>
          <w:highlight w:val="none"/>
        </w:rPr>
      </w:pPr>
    </w:p>
    <w:p w14:paraId="68F53251">
      <w:pPr>
        <w:shd w:val="clear" w:color="auto" w:fill="auto"/>
        <w:spacing w:line="440" w:lineRule="exact"/>
        <w:rPr>
          <w:rFonts w:hint="eastAsia" w:ascii="黑体" w:hAnsi="黑体" w:eastAsia="黑体" w:cs="黑体"/>
          <w:color w:val="auto"/>
          <w:sz w:val="20"/>
          <w:szCs w:val="20"/>
          <w:highlight w:val="none"/>
        </w:rPr>
      </w:pPr>
    </w:p>
    <w:p w14:paraId="08B0E152">
      <w:pPr>
        <w:shd w:val="clear" w:color="auto" w:fill="auto"/>
        <w:spacing w:line="440" w:lineRule="exact"/>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br w:type="page"/>
      </w:r>
    </w:p>
    <w:p w14:paraId="511C9450">
      <w:pPr>
        <w:pStyle w:val="3"/>
        <w:bidi w:val="0"/>
        <w:rPr>
          <w:rFonts w:hint="eastAsia" w:ascii="黑体" w:hAnsi="黑体" w:eastAsia="黑体" w:cs="黑体"/>
          <w:b w:val="0"/>
          <w:color w:val="auto"/>
          <w:szCs w:val="28"/>
          <w:highlight w:val="none"/>
        </w:rPr>
      </w:pPr>
      <w:bookmarkStart w:id="853" w:name="_Toc2860"/>
      <w:bookmarkStart w:id="854" w:name="_Toc501257513"/>
      <w:r>
        <w:rPr>
          <w:rFonts w:hint="eastAsia"/>
          <w:highlight w:val="none"/>
        </w:rPr>
        <w:t>一、投标函</w:t>
      </w:r>
      <w:bookmarkEnd w:id="853"/>
      <w:bookmarkEnd w:id="854"/>
    </w:p>
    <w:p w14:paraId="08278A6B">
      <w:pPr>
        <w:shd w:val="clear" w:color="auto" w:fill="auto"/>
        <w:spacing w:before="240" w:beforeLines="100" w:after="120" w:afterLines="50" w:line="400" w:lineRule="atLeas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w:t>
      </w:r>
      <w:r>
        <w:rPr>
          <w:rFonts w:hint="eastAsia" w:ascii="黑体" w:hAnsi="黑体" w:eastAsia="黑体" w:cs="黑体"/>
          <w:b/>
          <w:bCs/>
          <w:color w:val="auto"/>
          <w:sz w:val="21"/>
          <w:szCs w:val="21"/>
          <w:highlight w:val="none"/>
          <w:u w:val="single"/>
          <w:lang w:val="en-US" w:eastAsia="zh-CN"/>
        </w:rPr>
        <w:t>新巴尔虎左旗住房建设和交通运输局</w:t>
      </w:r>
      <w:r>
        <w:rPr>
          <w:rFonts w:hint="eastAsia" w:ascii="黑体" w:hAnsi="黑体" w:eastAsia="黑体" w:cs="黑体"/>
          <w:color w:val="auto"/>
          <w:sz w:val="21"/>
          <w:szCs w:val="21"/>
          <w:highlight w:val="none"/>
        </w:rPr>
        <w:t>（招标人名称）：</w:t>
      </w:r>
    </w:p>
    <w:p w14:paraId="0415924E">
      <w:pPr>
        <w:shd w:val="clear" w:color="auto" w:fill="auto"/>
        <w:spacing w:line="40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1．我方已仔细研究</w:t>
      </w:r>
      <w:r>
        <w:rPr>
          <w:rFonts w:hint="eastAsia" w:ascii="黑体" w:hAnsi="黑体" w:eastAsia="黑体" w:cs="黑体"/>
          <w:b/>
          <w:bCs/>
          <w:color w:val="auto"/>
          <w:sz w:val="22"/>
          <w:szCs w:val="22"/>
          <w:highlight w:val="none"/>
          <w:u w:val="single"/>
          <w:lang w:eastAsia="zh-CN"/>
        </w:rPr>
        <w:t>2026年新巴尔虎左旗生命安全防护工程</w:t>
      </w:r>
      <w:r>
        <w:rPr>
          <w:rFonts w:hint="eastAsia" w:ascii="黑体" w:hAnsi="黑体" w:eastAsia="黑体" w:cs="黑体"/>
          <w:b/>
          <w:bCs/>
          <w:color w:val="auto"/>
          <w:sz w:val="21"/>
          <w:szCs w:val="21"/>
          <w:highlight w:val="none"/>
          <w:u w:val="single"/>
          <w:lang w:val="en-US" w:eastAsia="zh-CN"/>
        </w:rPr>
        <w:t>施工第     标段</w:t>
      </w:r>
      <w:r>
        <w:rPr>
          <w:rFonts w:hint="eastAsia" w:ascii="黑体" w:hAnsi="黑体" w:eastAsia="黑体" w:cs="黑体"/>
          <w:color w:val="auto"/>
          <w:sz w:val="21"/>
          <w:szCs w:val="21"/>
          <w:highlight w:val="none"/>
          <w:lang w:eastAsia="zh-CN"/>
        </w:rPr>
        <w:t>招标文件</w:t>
      </w:r>
      <w:r>
        <w:rPr>
          <w:rFonts w:hint="eastAsia" w:ascii="黑体" w:hAnsi="黑体" w:eastAsia="黑体" w:cs="黑体"/>
          <w:color w:val="auto"/>
          <w:sz w:val="21"/>
          <w:szCs w:val="21"/>
          <w:highlight w:val="none"/>
        </w:rPr>
        <w:t>的全部内容（</w:t>
      </w:r>
      <w:r>
        <w:rPr>
          <w:rFonts w:hint="eastAsia" w:ascii="黑体" w:hAnsi="黑体" w:eastAsia="黑体" w:cs="黑体"/>
          <w:color w:val="auto"/>
          <w:szCs w:val="21"/>
          <w:highlight w:val="none"/>
        </w:rPr>
        <w:t>含变更公告或</w:t>
      </w:r>
      <w:r>
        <w:rPr>
          <w:rFonts w:hint="eastAsia" w:ascii="黑体" w:hAnsi="黑体" w:eastAsia="黑体" w:cs="黑体"/>
          <w:color w:val="auto"/>
          <w:sz w:val="21"/>
          <w:szCs w:val="21"/>
          <w:highlight w:val="none"/>
        </w:rPr>
        <w:t>补遗书第___号至第___号），在考察工程现场后，愿意以人民币（大写）</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元（¥</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）的投标总报价（或根据招标文件规定修正核实后确定的另一金额，其中，增值税税率为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），按合同约定实施和完成承包工程，修补工程中的任何缺陷。</w:t>
      </w:r>
    </w:p>
    <w:p w14:paraId="5E606317">
      <w:pPr>
        <w:shd w:val="clear" w:color="auto" w:fill="auto"/>
        <w:spacing w:line="40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2．在合同协议书正式签署生效之前，本投标函连同你方的中标通知书将构成我们双方之间共同遵守的文件，对双方具有约束力。</w:t>
      </w:r>
    </w:p>
    <w:p w14:paraId="0E537680">
      <w:pPr>
        <w:shd w:val="clear" w:color="auto" w:fill="auto"/>
        <w:spacing w:line="40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lang w:val="en-US" w:eastAsia="zh-CN"/>
        </w:rPr>
        <w:t>3.我单位同时对</w:t>
      </w:r>
      <w:r>
        <w:rPr>
          <w:rFonts w:hint="eastAsia" w:ascii="黑体" w:hAnsi="黑体" w:eastAsia="黑体" w:cs="黑体"/>
          <w:color w:val="auto"/>
          <w:sz w:val="21"/>
          <w:szCs w:val="21"/>
          <w:highlight w:val="none"/>
          <w:u w:val="single"/>
          <w:lang w:val="en-US" w:eastAsia="zh-CN"/>
        </w:rPr>
        <w:t xml:space="preserve">     （标段名称）</w:t>
      </w:r>
      <w:r>
        <w:rPr>
          <w:rFonts w:hint="eastAsia" w:ascii="黑体" w:hAnsi="黑体" w:eastAsia="黑体" w:cs="黑体"/>
          <w:color w:val="auto"/>
          <w:sz w:val="21"/>
          <w:szCs w:val="21"/>
          <w:highlight w:val="none"/>
          <w:lang w:val="en-US" w:eastAsia="zh-CN"/>
        </w:rPr>
        <w:t>、</w:t>
      </w:r>
      <w:r>
        <w:rPr>
          <w:rFonts w:hint="eastAsia" w:ascii="黑体" w:hAnsi="黑体" w:eastAsia="黑体" w:cs="黑体"/>
          <w:color w:val="auto"/>
          <w:sz w:val="21"/>
          <w:szCs w:val="21"/>
          <w:highlight w:val="none"/>
          <w:u w:val="single"/>
          <w:lang w:val="en-US" w:eastAsia="zh-CN"/>
        </w:rPr>
        <w:t xml:space="preserve">    （标段名称）</w:t>
      </w:r>
      <w:r>
        <w:rPr>
          <w:rFonts w:hint="eastAsia" w:ascii="黑体" w:hAnsi="黑体" w:eastAsia="黑体" w:cs="黑体"/>
          <w:color w:val="auto"/>
          <w:sz w:val="21"/>
          <w:szCs w:val="21"/>
          <w:highlight w:val="none"/>
          <w:lang w:val="en-US" w:eastAsia="zh-CN"/>
        </w:rPr>
        <w:t>投标，若在两个标段同时排名第一时，我单位优先选择</w:t>
      </w:r>
      <w:r>
        <w:rPr>
          <w:rFonts w:hint="eastAsia" w:ascii="黑体" w:hAnsi="黑体" w:eastAsia="黑体" w:cs="黑体"/>
          <w:color w:val="auto"/>
          <w:sz w:val="21"/>
          <w:szCs w:val="21"/>
          <w:highlight w:val="none"/>
          <w:u w:val="single"/>
          <w:lang w:val="en-US" w:eastAsia="zh-CN"/>
        </w:rPr>
        <w:t xml:space="preserve">     （标段名称）</w:t>
      </w:r>
      <w:r>
        <w:rPr>
          <w:rFonts w:hint="eastAsia" w:ascii="黑体" w:hAnsi="黑体" w:eastAsia="黑体" w:cs="黑体"/>
          <w:color w:val="auto"/>
          <w:sz w:val="21"/>
          <w:szCs w:val="21"/>
          <w:highlight w:val="none"/>
          <w:lang w:val="en-US" w:eastAsia="zh-CN"/>
        </w:rPr>
        <w:t>作为中标候选人，自愿放弃其他标段中标候选人资格。</w:t>
      </w:r>
      <w:r>
        <w:rPr>
          <w:rStyle w:val="28"/>
          <w:rFonts w:hint="eastAsia" w:ascii="黑体" w:hAnsi="黑体" w:eastAsia="黑体" w:cs="黑体"/>
          <w:color w:val="auto"/>
          <w:sz w:val="21"/>
          <w:szCs w:val="21"/>
          <w:highlight w:val="none"/>
          <w:lang w:val="en-US" w:eastAsia="zh-CN"/>
        </w:rPr>
        <w:footnoteReference w:id="12"/>
      </w:r>
    </w:p>
    <w:p w14:paraId="3DE3B800">
      <w:pPr>
        <w:shd w:val="clear" w:color="auto" w:fill="auto"/>
        <w:spacing w:line="400" w:lineRule="atLeast"/>
        <w:ind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lang w:val="en-US" w:eastAsia="zh-CN"/>
        </w:rPr>
        <w:t>4</w:t>
      </w:r>
      <w:r>
        <w:rPr>
          <w:rFonts w:hint="eastAsia" w:ascii="黑体" w:hAnsi="黑体" w:eastAsia="黑体" w:cs="黑体"/>
          <w:color w:val="auto"/>
          <w:sz w:val="21"/>
          <w:szCs w:val="21"/>
          <w:highlight w:val="none"/>
        </w:rPr>
        <w:t>．</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（其他补充说明）。</w:t>
      </w:r>
    </w:p>
    <w:p w14:paraId="16B19F82">
      <w:pPr>
        <w:shd w:val="clear" w:color="auto" w:fill="auto"/>
        <w:spacing w:line="400" w:lineRule="atLeast"/>
        <w:ind w:firstLine="420" w:firstLineChars="200"/>
        <w:rPr>
          <w:rFonts w:hint="eastAsia" w:ascii="黑体" w:hAnsi="黑体" w:eastAsia="黑体" w:cs="黑体"/>
          <w:color w:val="auto"/>
          <w:sz w:val="21"/>
          <w:szCs w:val="21"/>
          <w:highlight w:val="none"/>
        </w:rPr>
      </w:pPr>
    </w:p>
    <w:p w14:paraId="4F361D5F">
      <w:pPr>
        <w:shd w:val="clear" w:color="auto" w:fill="auto"/>
        <w:spacing w:line="400" w:lineRule="atLeast"/>
        <w:ind w:firstLine="2992" w:firstLineChars="1425"/>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 标 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（盖单位章）</w:t>
      </w:r>
    </w:p>
    <w:p w14:paraId="7C340A1D">
      <w:pPr>
        <w:shd w:val="clear" w:color="auto" w:fill="auto"/>
        <w:spacing w:line="400" w:lineRule="atLeast"/>
        <w:ind w:firstLine="2992" w:firstLineChars="1425"/>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法定代表人或其委托代理人：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（签字）</w:t>
      </w:r>
    </w:p>
    <w:p w14:paraId="14AAB92C">
      <w:pPr>
        <w:shd w:val="clear" w:color="auto" w:fill="auto"/>
        <w:spacing w:line="400" w:lineRule="atLeast"/>
        <w:ind w:firstLine="2992" w:firstLineChars="1425"/>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地    址：</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w:t>
      </w:r>
    </w:p>
    <w:p w14:paraId="0FF46250">
      <w:pPr>
        <w:shd w:val="clear" w:color="auto" w:fill="auto"/>
        <w:spacing w:line="400" w:lineRule="atLeast"/>
        <w:ind w:firstLine="2992" w:firstLineChars="1425"/>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网    址：</w:t>
      </w:r>
      <w:r>
        <w:rPr>
          <w:rFonts w:hint="eastAsia" w:ascii="黑体" w:hAnsi="黑体" w:eastAsia="黑体" w:cs="黑体"/>
          <w:color w:val="auto"/>
          <w:sz w:val="21"/>
          <w:szCs w:val="21"/>
          <w:highlight w:val="none"/>
          <w:u w:val="single"/>
        </w:rPr>
        <w:t xml:space="preserve">                                     </w:t>
      </w:r>
    </w:p>
    <w:p w14:paraId="79699516">
      <w:pPr>
        <w:shd w:val="clear" w:color="auto" w:fill="auto"/>
        <w:spacing w:line="400" w:lineRule="atLeast"/>
        <w:ind w:firstLine="2992" w:firstLineChars="1425"/>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电    话：</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w:t>
      </w:r>
    </w:p>
    <w:p w14:paraId="52AA4979">
      <w:pPr>
        <w:shd w:val="clear" w:color="auto" w:fill="auto"/>
        <w:spacing w:line="400" w:lineRule="atLeast"/>
        <w:ind w:firstLine="2992" w:firstLineChars="1425"/>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传    真：</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w:t>
      </w:r>
    </w:p>
    <w:p w14:paraId="31EED9CB">
      <w:pPr>
        <w:shd w:val="clear" w:color="auto" w:fill="auto"/>
        <w:spacing w:line="400" w:lineRule="atLeast"/>
        <w:ind w:firstLine="2992" w:firstLineChars="1425"/>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邮政编码：</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p>
    <w:p w14:paraId="615A7982">
      <w:pPr>
        <w:shd w:val="clear" w:color="auto" w:fill="auto"/>
        <w:spacing w:line="400" w:lineRule="atLeast"/>
        <w:ind w:firstLine="2992" w:firstLineChars="1425"/>
        <w:rPr>
          <w:rFonts w:hint="eastAsia" w:ascii="黑体" w:hAnsi="黑体" w:eastAsia="黑体" w:cs="黑体"/>
          <w:color w:val="auto"/>
          <w:sz w:val="21"/>
          <w:szCs w:val="21"/>
          <w:highlight w:val="none"/>
        </w:rPr>
      </w:pPr>
    </w:p>
    <w:p w14:paraId="6E5B4812">
      <w:pPr>
        <w:shd w:val="clear" w:color="auto" w:fill="auto"/>
        <w:spacing w:line="400" w:lineRule="atLeast"/>
        <w:ind w:firstLine="4147" w:firstLineChars="1975"/>
        <w:rPr>
          <w:rFonts w:hint="eastAsia" w:ascii="黑体" w:hAnsi="黑体" w:eastAsia="黑体" w:cs="黑体"/>
          <w:color w:val="auto"/>
          <w:sz w:val="24"/>
          <w:highlight w:val="none"/>
        </w:rPr>
      </w:pP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年</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月</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日</w:t>
      </w:r>
    </w:p>
    <w:p w14:paraId="259FF79D">
      <w:pPr>
        <w:shd w:val="clear" w:color="auto" w:fill="auto"/>
        <w:spacing w:line="400" w:lineRule="atLeast"/>
        <w:ind w:firstLine="4740" w:firstLineChars="1975"/>
        <w:rPr>
          <w:rFonts w:hint="eastAsia" w:ascii="黑体" w:hAnsi="黑体" w:eastAsia="黑体" w:cs="黑体"/>
          <w:color w:val="auto"/>
          <w:sz w:val="24"/>
          <w:highlight w:val="none"/>
        </w:rPr>
      </w:pPr>
      <w:r>
        <w:rPr>
          <w:rFonts w:hint="eastAsia" w:ascii="黑体" w:hAnsi="黑体" w:eastAsia="黑体" w:cs="黑体"/>
          <w:color w:val="auto"/>
          <w:sz w:val="24"/>
          <w:highlight w:val="none"/>
        </w:rPr>
        <w:br w:type="page"/>
      </w:r>
    </w:p>
    <w:p w14:paraId="691846B1">
      <w:pPr>
        <w:pStyle w:val="3"/>
        <w:bidi w:val="0"/>
        <w:rPr>
          <w:rFonts w:hint="eastAsia" w:ascii="黑体" w:hAnsi="黑体" w:eastAsia="黑体" w:cs="黑体"/>
          <w:color w:val="auto"/>
          <w:sz w:val="24"/>
          <w:highlight w:val="none"/>
        </w:rPr>
      </w:pPr>
      <w:bookmarkStart w:id="855" w:name="_Toc234833263"/>
      <w:bookmarkStart w:id="856" w:name="_Toc501257515"/>
      <w:bookmarkStart w:id="857" w:name="_Toc22262"/>
      <w:r>
        <w:rPr>
          <w:rFonts w:hint="eastAsia"/>
          <w:highlight w:val="none"/>
        </w:rPr>
        <w:t>二、已标价工程量清单</w:t>
      </w:r>
      <w:bookmarkEnd w:id="855"/>
      <w:bookmarkEnd w:id="856"/>
      <w:bookmarkEnd w:id="857"/>
    </w:p>
    <w:p w14:paraId="667FB1ED">
      <w:pPr>
        <w:shd w:val="clear" w:color="auto" w:fill="auto"/>
        <w:spacing w:line="440" w:lineRule="exact"/>
        <w:ind w:firstLine="480" w:firstLineChars="200"/>
        <w:rPr>
          <w:rFonts w:hint="eastAsia" w:ascii="黑体" w:hAnsi="黑体" w:eastAsia="黑体" w:cs="黑体"/>
          <w:color w:val="auto"/>
          <w:sz w:val="24"/>
          <w:highlight w:val="none"/>
        </w:rPr>
      </w:pPr>
      <w:r>
        <w:rPr>
          <w:rFonts w:hint="eastAsia" w:ascii="黑体" w:hAnsi="黑体" w:eastAsia="黑体" w:cs="黑体"/>
          <w:color w:val="000000"/>
          <w:sz w:val="24"/>
          <w:highlight w:val="none"/>
        </w:rPr>
        <w:t>投标人应按照招标人提供的工程量固化清单进行填报，同时附工程量清单各项表格[公路工程标准施工招标文件（2018年版·第一册）工程量清单表5.5]</w:t>
      </w:r>
      <w:r>
        <w:rPr>
          <w:rFonts w:hint="eastAsia" w:ascii="黑体" w:hAnsi="黑体" w:eastAsia="黑体" w:cs="黑体"/>
          <w:color w:val="000000"/>
          <w:sz w:val="24"/>
          <w:highlight w:val="none"/>
          <w:lang w:val="en-US" w:eastAsia="zh-CN"/>
        </w:rPr>
        <w:t>和表A.0.3-3材料预算单价计算表</w:t>
      </w:r>
      <w:r>
        <w:rPr>
          <w:rFonts w:hint="eastAsia" w:ascii="黑体" w:hAnsi="黑体" w:eastAsia="黑体" w:cs="黑体"/>
          <w:color w:val="000000"/>
          <w:sz w:val="24"/>
          <w:highlight w:val="none"/>
        </w:rPr>
        <w:t>（投标人应逐页加盖单位公章，造价人员逐页签字并加盖执业印章）</w:t>
      </w:r>
      <w:r>
        <w:rPr>
          <w:rFonts w:hint="eastAsia" w:ascii="黑体" w:hAnsi="黑体" w:eastAsia="黑体" w:cs="黑体"/>
          <w:color w:val="000000"/>
          <w:sz w:val="24"/>
          <w:highlight w:val="none"/>
          <w:lang w:eastAsia="zh-CN"/>
        </w:rPr>
        <w:t>。</w:t>
      </w:r>
    </w:p>
    <w:p w14:paraId="2A2660D8">
      <w:pPr>
        <w:pStyle w:val="3"/>
        <w:bidi w:val="0"/>
        <w:rPr>
          <w:rFonts w:hint="eastAsia" w:ascii="黑体" w:hAnsi="黑体" w:eastAsia="黑体" w:cs="黑体"/>
          <w:b w:val="0"/>
          <w:color w:val="auto"/>
          <w:highlight w:val="none"/>
        </w:rPr>
      </w:pPr>
      <w:r>
        <w:rPr>
          <w:rFonts w:hint="eastAsia" w:ascii="黑体" w:hAnsi="黑体" w:eastAsia="黑体" w:cs="黑体"/>
          <w:color w:val="auto"/>
          <w:highlight w:val="none"/>
        </w:rPr>
        <w:br w:type="page"/>
      </w:r>
      <w:bookmarkStart w:id="858" w:name="_Toc234833274"/>
      <w:bookmarkStart w:id="859" w:name="_Toc501257516"/>
      <w:bookmarkStart w:id="860" w:name="_Toc28297"/>
      <w:r>
        <w:rPr>
          <w:rFonts w:hint="eastAsia"/>
          <w:highlight w:val="none"/>
        </w:rPr>
        <w:t>三、合同用款估算表</w:t>
      </w:r>
      <w:bookmarkEnd w:id="858"/>
      <w:bookmarkEnd w:id="859"/>
      <w:bookmarkEnd w:id="860"/>
    </w:p>
    <w:tbl>
      <w:tblPr>
        <w:tblStyle w:val="22"/>
        <w:tblW w:w="0" w:type="auto"/>
        <w:tblInd w:w="0"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top w:w="0" w:type="dxa"/>
          <w:left w:w="28" w:type="dxa"/>
          <w:bottom w:w="0" w:type="dxa"/>
          <w:right w:w="28" w:type="dxa"/>
        </w:tblCellMar>
      </w:tblPr>
      <w:tblGrid>
        <w:gridCol w:w="628"/>
        <w:gridCol w:w="2025"/>
        <w:gridCol w:w="1547"/>
        <w:gridCol w:w="1548"/>
        <w:gridCol w:w="1548"/>
        <w:gridCol w:w="1548"/>
      </w:tblGrid>
      <w:tr w14:paraId="7A52C7E1">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rPr>
          <w:cantSplit/>
        </w:trPr>
        <w:tc>
          <w:tcPr>
            <w:tcW w:w="2653" w:type="dxa"/>
            <w:gridSpan w:val="2"/>
            <w:vMerge w:val="restart"/>
            <w:tcBorders>
              <w:top w:val="single" w:color="auto" w:sz="12" w:space="0"/>
              <w:left w:val="single" w:color="auto" w:sz="12" w:space="0"/>
              <w:bottom w:val="single" w:color="auto" w:sz="4" w:space="0"/>
              <w:right w:val="single" w:color="auto" w:sz="4" w:space="0"/>
            </w:tcBorders>
            <w:noWrap w:val="0"/>
            <w:vAlign w:val="center"/>
          </w:tcPr>
          <w:p w14:paraId="7DE12771">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从开工月算起的时间</w:t>
            </w:r>
          </w:p>
          <w:p w14:paraId="31CF9E8E">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（月）</w:t>
            </w:r>
          </w:p>
        </w:tc>
        <w:tc>
          <w:tcPr>
            <w:tcW w:w="6191" w:type="dxa"/>
            <w:gridSpan w:val="4"/>
            <w:tcBorders>
              <w:top w:val="single" w:color="auto" w:sz="12" w:space="0"/>
              <w:left w:val="single" w:color="auto" w:sz="4" w:space="0"/>
              <w:bottom w:val="single" w:color="auto" w:sz="4" w:space="0"/>
              <w:right w:val="single" w:color="auto" w:sz="12" w:space="0"/>
            </w:tcBorders>
            <w:noWrap w:val="0"/>
            <w:vAlign w:val="center"/>
          </w:tcPr>
          <w:p w14:paraId="31571D82">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投标人的估算</w:t>
            </w:r>
          </w:p>
        </w:tc>
      </w:tr>
      <w:tr w14:paraId="143C4495">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rPr>
          <w:cantSplit/>
        </w:trPr>
        <w:tc>
          <w:tcPr>
            <w:tcW w:w="2653" w:type="dxa"/>
            <w:gridSpan w:val="2"/>
            <w:vMerge w:val="continue"/>
            <w:tcBorders>
              <w:top w:val="single" w:color="auto" w:sz="4" w:space="0"/>
              <w:left w:val="single" w:color="auto" w:sz="12" w:space="0"/>
              <w:bottom w:val="single" w:color="auto" w:sz="4" w:space="0"/>
              <w:right w:val="single" w:color="auto" w:sz="4" w:space="0"/>
            </w:tcBorders>
            <w:noWrap w:val="0"/>
            <w:vAlign w:val="center"/>
          </w:tcPr>
          <w:p w14:paraId="13D120CE">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3095" w:type="dxa"/>
            <w:gridSpan w:val="2"/>
            <w:tcBorders>
              <w:top w:val="single" w:color="auto" w:sz="4" w:space="0"/>
              <w:left w:val="single" w:color="auto" w:sz="4" w:space="0"/>
              <w:bottom w:val="single" w:color="auto" w:sz="4" w:space="0"/>
              <w:right w:val="single" w:color="auto" w:sz="4" w:space="0"/>
            </w:tcBorders>
            <w:noWrap w:val="0"/>
            <w:vAlign w:val="center"/>
          </w:tcPr>
          <w:p w14:paraId="251C0224">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分     期</w:t>
            </w:r>
          </w:p>
        </w:tc>
        <w:tc>
          <w:tcPr>
            <w:tcW w:w="3096" w:type="dxa"/>
            <w:gridSpan w:val="2"/>
            <w:tcBorders>
              <w:top w:val="single" w:color="auto" w:sz="4" w:space="0"/>
              <w:left w:val="single" w:color="auto" w:sz="4" w:space="0"/>
              <w:bottom w:val="single" w:color="auto" w:sz="4" w:space="0"/>
              <w:right w:val="single" w:color="auto" w:sz="12" w:space="0"/>
            </w:tcBorders>
            <w:noWrap w:val="0"/>
            <w:vAlign w:val="center"/>
          </w:tcPr>
          <w:p w14:paraId="01846162">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累     计</w:t>
            </w:r>
          </w:p>
        </w:tc>
      </w:tr>
      <w:tr w14:paraId="5B94FF36">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rPr>
          <w:cantSplit/>
        </w:trPr>
        <w:tc>
          <w:tcPr>
            <w:tcW w:w="2653" w:type="dxa"/>
            <w:gridSpan w:val="2"/>
            <w:vMerge w:val="continue"/>
            <w:tcBorders>
              <w:top w:val="single" w:color="auto" w:sz="4" w:space="0"/>
              <w:left w:val="single" w:color="auto" w:sz="12" w:space="0"/>
              <w:bottom w:val="single" w:color="auto" w:sz="4" w:space="0"/>
              <w:right w:val="single" w:color="auto" w:sz="4" w:space="0"/>
            </w:tcBorders>
            <w:noWrap w:val="0"/>
            <w:vAlign w:val="center"/>
          </w:tcPr>
          <w:p w14:paraId="3B92520F">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center"/>
          </w:tcPr>
          <w:p w14:paraId="6A545B7D">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金额（元）</w:t>
            </w:r>
          </w:p>
        </w:tc>
        <w:tc>
          <w:tcPr>
            <w:tcW w:w="1548" w:type="dxa"/>
            <w:tcBorders>
              <w:top w:val="single" w:color="auto" w:sz="4" w:space="0"/>
              <w:left w:val="single" w:color="auto" w:sz="4" w:space="0"/>
              <w:bottom w:val="single" w:color="auto" w:sz="4" w:space="0"/>
              <w:right w:val="single" w:color="auto" w:sz="4" w:space="0"/>
            </w:tcBorders>
            <w:noWrap w:val="0"/>
            <w:vAlign w:val="center"/>
          </w:tcPr>
          <w:p w14:paraId="2960B911">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p>
        </w:tc>
        <w:tc>
          <w:tcPr>
            <w:tcW w:w="1548" w:type="dxa"/>
            <w:tcBorders>
              <w:top w:val="single" w:color="auto" w:sz="4" w:space="0"/>
              <w:left w:val="single" w:color="auto" w:sz="4" w:space="0"/>
              <w:bottom w:val="single" w:color="auto" w:sz="4" w:space="0"/>
              <w:right w:val="single" w:color="auto" w:sz="4" w:space="0"/>
            </w:tcBorders>
            <w:noWrap w:val="0"/>
            <w:vAlign w:val="center"/>
          </w:tcPr>
          <w:p w14:paraId="6BFF2D17">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金额（元）</w:t>
            </w:r>
          </w:p>
        </w:tc>
        <w:tc>
          <w:tcPr>
            <w:tcW w:w="1548" w:type="dxa"/>
            <w:tcBorders>
              <w:top w:val="single" w:color="auto" w:sz="4" w:space="0"/>
              <w:left w:val="single" w:color="auto" w:sz="4" w:space="0"/>
              <w:bottom w:val="single" w:color="auto" w:sz="4" w:space="0"/>
              <w:right w:val="single" w:color="auto" w:sz="12" w:space="0"/>
            </w:tcBorders>
            <w:noWrap w:val="0"/>
            <w:vAlign w:val="center"/>
          </w:tcPr>
          <w:p w14:paraId="082613AD">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p>
        </w:tc>
      </w:tr>
      <w:tr w14:paraId="1E68713C">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rPr>
          <w:cantSplit/>
        </w:trPr>
        <w:tc>
          <w:tcPr>
            <w:tcW w:w="2653" w:type="dxa"/>
            <w:gridSpan w:val="2"/>
            <w:tcBorders>
              <w:top w:val="single" w:color="auto" w:sz="4" w:space="0"/>
              <w:left w:val="single" w:color="auto" w:sz="12" w:space="0"/>
              <w:bottom w:val="single" w:color="auto" w:sz="4" w:space="0"/>
              <w:right w:val="single" w:color="auto" w:sz="4" w:space="0"/>
            </w:tcBorders>
            <w:noWrap w:val="0"/>
            <w:vAlign w:val="center"/>
          </w:tcPr>
          <w:p w14:paraId="5EDFAFCB">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第一次开工预付款</w:t>
            </w:r>
          </w:p>
        </w:tc>
        <w:tc>
          <w:tcPr>
            <w:tcW w:w="1547" w:type="dxa"/>
            <w:tcBorders>
              <w:top w:val="single" w:color="auto" w:sz="4" w:space="0"/>
              <w:left w:val="single" w:color="auto" w:sz="4" w:space="0"/>
              <w:bottom w:val="single" w:color="auto" w:sz="4" w:space="0"/>
              <w:right w:val="single" w:color="auto" w:sz="4" w:space="0"/>
            </w:tcBorders>
            <w:noWrap w:val="0"/>
            <w:vAlign w:val="center"/>
          </w:tcPr>
          <w:p w14:paraId="52FD923D">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2BB671C8">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6FB77E53">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12" w:space="0"/>
            </w:tcBorders>
            <w:noWrap w:val="0"/>
            <w:vAlign w:val="center"/>
          </w:tcPr>
          <w:p w14:paraId="069D1B1E">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r>
      <w:tr w14:paraId="0770BAF3">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rPr>
          <w:cantSplit/>
        </w:trPr>
        <w:tc>
          <w:tcPr>
            <w:tcW w:w="2653" w:type="dxa"/>
            <w:gridSpan w:val="2"/>
            <w:tcBorders>
              <w:top w:val="single" w:color="auto" w:sz="4" w:space="0"/>
              <w:left w:val="single" w:color="auto" w:sz="12" w:space="0"/>
              <w:bottom w:val="single" w:color="auto" w:sz="4" w:space="0"/>
              <w:right w:val="single" w:color="auto" w:sz="4" w:space="0"/>
            </w:tcBorders>
            <w:noWrap w:val="0"/>
            <w:vAlign w:val="center"/>
          </w:tcPr>
          <w:p w14:paraId="411334A4">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 ~ 3</w:t>
            </w:r>
          </w:p>
        </w:tc>
        <w:tc>
          <w:tcPr>
            <w:tcW w:w="1547" w:type="dxa"/>
            <w:tcBorders>
              <w:top w:val="single" w:color="auto" w:sz="4" w:space="0"/>
              <w:left w:val="single" w:color="auto" w:sz="4" w:space="0"/>
              <w:bottom w:val="single" w:color="auto" w:sz="4" w:space="0"/>
              <w:right w:val="single" w:color="auto" w:sz="4" w:space="0"/>
            </w:tcBorders>
            <w:noWrap w:val="0"/>
            <w:vAlign w:val="center"/>
          </w:tcPr>
          <w:p w14:paraId="41D1D16D">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7C262B4C">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47F23139">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12" w:space="0"/>
            </w:tcBorders>
            <w:noWrap w:val="0"/>
            <w:vAlign w:val="center"/>
          </w:tcPr>
          <w:p w14:paraId="5541D038">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r>
      <w:tr w14:paraId="4B3A5103">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rPr>
          <w:cantSplit/>
        </w:trPr>
        <w:tc>
          <w:tcPr>
            <w:tcW w:w="2653" w:type="dxa"/>
            <w:gridSpan w:val="2"/>
            <w:tcBorders>
              <w:top w:val="single" w:color="auto" w:sz="4" w:space="0"/>
              <w:left w:val="single" w:color="auto" w:sz="12" w:space="0"/>
              <w:bottom w:val="single" w:color="auto" w:sz="4" w:space="0"/>
              <w:right w:val="single" w:color="auto" w:sz="4" w:space="0"/>
            </w:tcBorders>
            <w:noWrap w:val="0"/>
            <w:vAlign w:val="center"/>
          </w:tcPr>
          <w:p w14:paraId="0A3BF762">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4 ~ 6</w:t>
            </w:r>
          </w:p>
        </w:tc>
        <w:tc>
          <w:tcPr>
            <w:tcW w:w="1547" w:type="dxa"/>
            <w:tcBorders>
              <w:top w:val="single" w:color="auto" w:sz="4" w:space="0"/>
              <w:left w:val="single" w:color="auto" w:sz="4" w:space="0"/>
              <w:bottom w:val="single" w:color="auto" w:sz="4" w:space="0"/>
              <w:right w:val="single" w:color="auto" w:sz="4" w:space="0"/>
            </w:tcBorders>
            <w:noWrap w:val="0"/>
            <w:vAlign w:val="center"/>
          </w:tcPr>
          <w:p w14:paraId="53A4F7D7">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60FA5BB4">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7C908FAD">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12" w:space="0"/>
            </w:tcBorders>
            <w:noWrap w:val="0"/>
            <w:vAlign w:val="center"/>
          </w:tcPr>
          <w:p w14:paraId="45FA24D4">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r>
      <w:tr w14:paraId="18099B6D">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rPr>
          <w:cantSplit/>
        </w:trPr>
        <w:tc>
          <w:tcPr>
            <w:tcW w:w="2653" w:type="dxa"/>
            <w:gridSpan w:val="2"/>
            <w:tcBorders>
              <w:top w:val="single" w:color="auto" w:sz="4" w:space="0"/>
              <w:left w:val="single" w:color="auto" w:sz="12" w:space="0"/>
              <w:bottom w:val="single" w:color="auto" w:sz="4" w:space="0"/>
              <w:right w:val="single" w:color="auto" w:sz="4" w:space="0"/>
            </w:tcBorders>
            <w:noWrap w:val="0"/>
            <w:vAlign w:val="center"/>
          </w:tcPr>
          <w:p w14:paraId="70B1F44B">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7 ~ 9</w:t>
            </w:r>
          </w:p>
        </w:tc>
        <w:tc>
          <w:tcPr>
            <w:tcW w:w="1547" w:type="dxa"/>
            <w:tcBorders>
              <w:top w:val="single" w:color="auto" w:sz="4" w:space="0"/>
              <w:left w:val="single" w:color="auto" w:sz="4" w:space="0"/>
              <w:bottom w:val="single" w:color="auto" w:sz="4" w:space="0"/>
              <w:right w:val="single" w:color="auto" w:sz="4" w:space="0"/>
            </w:tcBorders>
            <w:noWrap w:val="0"/>
            <w:vAlign w:val="center"/>
          </w:tcPr>
          <w:p w14:paraId="646E73FD">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1C3D6AE8">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3387D812">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12" w:space="0"/>
            </w:tcBorders>
            <w:noWrap w:val="0"/>
            <w:vAlign w:val="center"/>
          </w:tcPr>
          <w:p w14:paraId="134D84D7">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r>
      <w:tr w14:paraId="311E7562">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rPr>
          <w:cantSplit/>
        </w:trPr>
        <w:tc>
          <w:tcPr>
            <w:tcW w:w="2653" w:type="dxa"/>
            <w:gridSpan w:val="2"/>
            <w:tcBorders>
              <w:top w:val="single" w:color="auto" w:sz="4" w:space="0"/>
              <w:left w:val="single" w:color="auto" w:sz="12" w:space="0"/>
              <w:bottom w:val="single" w:color="auto" w:sz="4" w:space="0"/>
              <w:right w:val="single" w:color="auto" w:sz="4" w:space="0"/>
            </w:tcBorders>
            <w:noWrap w:val="0"/>
            <w:vAlign w:val="center"/>
          </w:tcPr>
          <w:p w14:paraId="63A74E19">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10 ~ 12</w:t>
            </w:r>
          </w:p>
        </w:tc>
        <w:tc>
          <w:tcPr>
            <w:tcW w:w="1547" w:type="dxa"/>
            <w:tcBorders>
              <w:top w:val="single" w:color="auto" w:sz="4" w:space="0"/>
              <w:left w:val="single" w:color="auto" w:sz="4" w:space="0"/>
              <w:bottom w:val="single" w:color="auto" w:sz="4" w:space="0"/>
              <w:right w:val="single" w:color="auto" w:sz="4" w:space="0"/>
            </w:tcBorders>
            <w:noWrap w:val="0"/>
            <w:vAlign w:val="center"/>
          </w:tcPr>
          <w:p w14:paraId="741B5526">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38F0EF95">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6150B749">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12" w:space="0"/>
            </w:tcBorders>
            <w:noWrap w:val="0"/>
            <w:vAlign w:val="center"/>
          </w:tcPr>
          <w:p w14:paraId="1BDFA882">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r>
      <w:tr w14:paraId="2CCA2D98">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rPr>
          <w:cantSplit/>
        </w:trPr>
        <w:tc>
          <w:tcPr>
            <w:tcW w:w="2653" w:type="dxa"/>
            <w:gridSpan w:val="2"/>
            <w:tcBorders>
              <w:top w:val="single" w:color="auto" w:sz="4" w:space="0"/>
              <w:left w:val="single" w:color="auto" w:sz="12" w:space="0"/>
              <w:bottom w:val="single" w:color="auto" w:sz="4" w:space="0"/>
              <w:right w:val="single" w:color="auto" w:sz="4" w:space="0"/>
            </w:tcBorders>
            <w:noWrap w:val="0"/>
            <w:vAlign w:val="center"/>
          </w:tcPr>
          <w:p w14:paraId="4598F615">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13 ~ 15</w:t>
            </w:r>
          </w:p>
        </w:tc>
        <w:tc>
          <w:tcPr>
            <w:tcW w:w="1547" w:type="dxa"/>
            <w:tcBorders>
              <w:top w:val="single" w:color="auto" w:sz="4" w:space="0"/>
              <w:left w:val="single" w:color="auto" w:sz="4" w:space="0"/>
              <w:bottom w:val="single" w:color="auto" w:sz="4" w:space="0"/>
              <w:right w:val="single" w:color="auto" w:sz="4" w:space="0"/>
            </w:tcBorders>
            <w:noWrap w:val="0"/>
            <w:vAlign w:val="center"/>
          </w:tcPr>
          <w:p w14:paraId="4FA5FA44">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51325FE6">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59F0E586">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12" w:space="0"/>
            </w:tcBorders>
            <w:noWrap w:val="0"/>
            <w:vAlign w:val="center"/>
          </w:tcPr>
          <w:p w14:paraId="128F4B11">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r>
      <w:tr w14:paraId="33845128">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rPr>
          <w:cantSplit/>
        </w:trPr>
        <w:tc>
          <w:tcPr>
            <w:tcW w:w="2653" w:type="dxa"/>
            <w:gridSpan w:val="2"/>
            <w:tcBorders>
              <w:top w:val="single" w:color="auto" w:sz="4" w:space="0"/>
              <w:left w:val="single" w:color="auto" w:sz="12" w:space="0"/>
              <w:bottom w:val="single" w:color="auto" w:sz="4" w:space="0"/>
              <w:right w:val="single" w:color="auto" w:sz="4" w:space="0"/>
            </w:tcBorders>
            <w:noWrap w:val="0"/>
            <w:vAlign w:val="center"/>
          </w:tcPr>
          <w:p w14:paraId="47FFF52D">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p>
        </w:tc>
        <w:tc>
          <w:tcPr>
            <w:tcW w:w="1547" w:type="dxa"/>
            <w:tcBorders>
              <w:top w:val="single" w:color="auto" w:sz="4" w:space="0"/>
              <w:left w:val="single" w:color="auto" w:sz="4" w:space="0"/>
              <w:bottom w:val="single" w:color="auto" w:sz="4" w:space="0"/>
              <w:right w:val="single" w:color="auto" w:sz="4" w:space="0"/>
            </w:tcBorders>
            <w:noWrap w:val="0"/>
            <w:vAlign w:val="center"/>
          </w:tcPr>
          <w:p w14:paraId="07327202">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21CAB2BE">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5B9DEF6D">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12" w:space="0"/>
            </w:tcBorders>
            <w:noWrap w:val="0"/>
            <w:vAlign w:val="center"/>
          </w:tcPr>
          <w:p w14:paraId="51C8CC00">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r>
      <w:tr w14:paraId="5A564257">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rPr>
          <w:cantSplit/>
        </w:trPr>
        <w:tc>
          <w:tcPr>
            <w:tcW w:w="2653" w:type="dxa"/>
            <w:gridSpan w:val="2"/>
            <w:tcBorders>
              <w:top w:val="single" w:color="auto" w:sz="4" w:space="0"/>
              <w:left w:val="single" w:color="auto" w:sz="12" w:space="0"/>
              <w:bottom w:val="single" w:color="auto" w:sz="4" w:space="0"/>
              <w:right w:val="single" w:color="auto" w:sz="4" w:space="0"/>
            </w:tcBorders>
            <w:noWrap w:val="0"/>
            <w:vAlign w:val="center"/>
          </w:tcPr>
          <w:p w14:paraId="74EEE29D">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w:t>
            </w:r>
          </w:p>
        </w:tc>
        <w:tc>
          <w:tcPr>
            <w:tcW w:w="1547" w:type="dxa"/>
            <w:tcBorders>
              <w:top w:val="single" w:color="auto" w:sz="4" w:space="0"/>
              <w:left w:val="single" w:color="auto" w:sz="4" w:space="0"/>
              <w:bottom w:val="single" w:color="auto" w:sz="4" w:space="0"/>
              <w:right w:val="single" w:color="auto" w:sz="4" w:space="0"/>
            </w:tcBorders>
            <w:noWrap w:val="0"/>
            <w:vAlign w:val="center"/>
          </w:tcPr>
          <w:p w14:paraId="4C0D8214">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4953177B">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48951751">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12" w:space="0"/>
            </w:tcBorders>
            <w:noWrap w:val="0"/>
            <w:vAlign w:val="center"/>
          </w:tcPr>
          <w:p w14:paraId="7879CBAC">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r>
      <w:tr w14:paraId="0C5AB22A">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rPr>
          <w:cantSplit/>
        </w:trPr>
        <w:tc>
          <w:tcPr>
            <w:tcW w:w="2653" w:type="dxa"/>
            <w:gridSpan w:val="2"/>
            <w:tcBorders>
              <w:top w:val="single" w:color="auto" w:sz="4" w:space="0"/>
              <w:left w:val="single" w:color="auto" w:sz="12" w:space="0"/>
              <w:bottom w:val="single" w:color="auto" w:sz="4" w:space="0"/>
              <w:right w:val="single" w:color="auto" w:sz="4" w:space="0"/>
            </w:tcBorders>
            <w:noWrap w:val="0"/>
            <w:vAlign w:val="center"/>
          </w:tcPr>
          <w:p w14:paraId="59C9F132">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center"/>
          </w:tcPr>
          <w:p w14:paraId="67A95B3F">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1AAD0420">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58BA5558">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12" w:space="0"/>
            </w:tcBorders>
            <w:noWrap w:val="0"/>
            <w:vAlign w:val="center"/>
          </w:tcPr>
          <w:p w14:paraId="1C22E8D2">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r>
      <w:tr w14:paraId="792022F5">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rPr>
          <w:cantSplit/>
        </w:trPr>
        <w:tc>
          <w:tcPr>
            <w:tcW w:w="2653" w:type="dxa"/>
            <w:gridSpan w:val="2"/>
            <w:tcBorders>
              <w:top w:val="single" w:color="auto" w:sz="4" w:space="0"/>
              <w:left w:val="single" w:color="auto" w:sz="12" w:space="0"/>
              <w:bottom w:val="single" w:color="auto" w:sz="4" w:space="0"/>
              <w:right w:val="single" w:color="auto" w:sz="4" w:space="0"/>
            </w:tcBorders>
            <w:noWrap w:val="0"/>
            <w:vAlign w:val="center"/>
          </w:tcPr>
          <w:p w14:paraId="7EEC2DBA">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缺陷责任期</w:t>
            </w:r>
          </w:p>
        </w:tc>
        <w:tc>
          <w:tcPr>
            <w:tcW w:w="1547" w:type="dxa"/>
            <w:tcBorders>
              <w:top w:val="single" w:color="auto" w:sz="4" w:space="0"/>
              <w:left w:val="single" w:color="auto" w:sz="4" w:space="0"/>
              <w:bottom w:val="single" w:color="auto" w:sz="4" w:space="0"/>
              <w:right w:val="single" w:color="auto" w:sz="4" w:space="0"/>
            </w:tcBorders>
            <w:noWrap w:val="0"/>
            <w:vAlign w:val="center"/>
          </w:tcPr>
          <w:p w14:paraId="512D8603">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6C17B382">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42EF0659">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12" w:space="0"/>
            </w:tcBorders>
            <w:noWrap w:val="0"/>
            <w:vAlign w:val="center"/>
          </w:tcPr>
          <w:p w14:paraId="0756659B">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r>
      <w:tr w14:paraId="2D7672C5">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rPr>
          <w:cantSplit/>
        </w:trPr>
        <w:tc>
          <w:tcPr>
            <w:tcW w:w="2653" w:type="dxa"/>
            <w:gridSpan w:val="2"/>
            <w:tcBorders>
              <w:top w:val="single" w:color="auto" w:sz="4" w:space="0"/>
              <w:left w:val="single" w:color="auto" w:sz="12" w:space="0"/>
              <w:bottom w:val="single" w:color="auto" w:sz="4" w:space="0"/>
              <w:right w:val="single" w:color="auto" w:sz="4" w:space="0"/>
            </w:tcBorders>
            <w:noWrap w:val="0"/>
            <w:vAlign w:val="center"/>
          </w:tcPr>
          <w:p w14:paraId="2640C7F0">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小      计</w:t>
            </w:r>
          </w:p>
        </w:tc>
        <w:tc>
          <w:tcPr>
            <w:tcW w:w="1547" w:type="dxa"/>
            <w:tcBorders>
              <w:top w:val="single" w:color="auto" w:sz="4" w:space="0"/>
              <w:left w:val="single" w:color="auto" w:sz="4" w:space="0"/>
              <w:bottom w:val="single" w:color="auto" w:sz="4" w:space="0"/>
              <w:right w:val="single" w:color="auto" w:sz="4" w:space="0"/>
            </w:tcBorders>
            <w:noWrap w:val="0"/>
            <w:vAlign w:val="center"/>
          </w:tcPr>
          <w:p w14:paraId="6EEBF442">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4438E293">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100.00</w:t>
            </w:r>
          </w:p>
        </w:tc>
        <w:tc>
          <w:tcPr>
            <w:tcW w:w="1548" w:type="dxa"/>
            <w:tcBorders>
              <w:top w:val="single" w:color="auto" w:sz="4" w:space="0"/>
              <w:left w:val="single" w:color="auto" w:sz="4" w:space="0"/>
              <w:bottom w:val="single" w:color="auto" w:sz="4" w:space="0"/>
              <w:right w:val="single" w:color="auto" w:sz="4" w:space="0"/>
            </w:tcBorders>
            <w:noWrap w:val="0"/>
            <w:vAlign w:val="center"/>
          </w:tcPr>
          <w:p w14:paraId="1A291FB5">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c>
          <w:tcPr>
            <w:tcW w:w="1548" w:type="dxa"/>
            <w:tcBorders>
              <w:top w:val="single" w:color="auto" w:sz="4" w:space="0"/>
              <w:left w:val="single" w:color="auto" w:sz="4" w:space="0"/>
              <w:bottom w:val="single" w:color="auto" w:sz="4" w:space="0"/>
              <w:right w:val="single" w:color="auto" w:sz="12" w:space="0"/>
            </w:tcBorders>
            <w:noWrap w:val="0"/>
            <w:vAlign w:val="center"/>
          </w:tcPr>
          <w:p w14:paraId="136211E9">
            <w:pPr>
              <w:shd w:val="clear" w:color="auto" w:fill="auto"/>
              <w:snapToGrid w:val="0"/>
              <w:spacing w:before="60" w:beforeLines="25" w:after="60" w:afterLines="25" w:line="400" w:lineRule="atLeast"/>
              <w:jc w:val="center"/>
              <w:rPr>
                <w:rFonts w:hint="eastAsia" w:ascii="黑体" w:hAnsi="黑体" w:eastAsia="黑体" w:cs="黑体"/>
                <w:color w:val="auto"/>
                <w:szCs w:val="21"/>
                <w:highlight w:val="none"/>
              </w:rPr>
            </w:pPr>
          </w:p>
        </w:tc>
      </w:tr>
      <w:tr w14:paraId="5008E277">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c>
          <w:tcPr>
            <w:tcW w:w="8844" w:type="dxa"/>
            <w:gridSpan w:val="6"/>
            <w:tcBorders>
              <w:top w:val="single" w:color="auto" w:sz="4" w:space="0"/>
              <w:left w:val="single" w:color="auto" w:sz="12" w:space="0"/>
              <w:bottom w:val="single" w:color="auto" w:sz="4" w:space="0"/>
              <w:right w:val="single" w:color="auto" w:sz="12" w:space="0"/>
            </w:tcBorders>
            <w:noWrap w:val="0"/>
            <w:vAlign w:val="center"/>
          </w:tcPr>
          <w:p w14:paraId="7E61D95A">
            <w:pPr>
              <w:pStyle w:val="12"/>
              <w:shd w:val="clear" w:color="auto" w:fill="auto"/>
              <w:tabs>
                <w:tab w:val="clear" w:pos="4153"/>
                <w:tab w:val="clear" w:pos="8306"/>
              </w:tabs>
              <w:spacing w:before="60" w:beforeLines="25" w:after="60" w:afterLines="25" w:line="400" w:lineRule="atLeas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投标价：</w:t>
            </w:r>
          </w:p>
        </w:tc>
      </w:tr>
      <w:tr w14:paraId="5391770F">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28" w:type="dxa"/>
            <w:bottom w:w="0" w:type="dxa"/>
            <w:right w:w="28" w:type="dxa"/>
          </w:tblCellMar>
        </w:tblPrEx>
        <w:trPr>
          <w:trHeight w:val="2478" w:hRule="atLeast"/>
        </w:trPr>
        <w:tc>
          <w:tcPr>
            <w:tcW w:w="628" w:type="dxa"/>
            <w:tcBorders>
              <w:top w:val="single" w:color="auto" w:sz="4" w:space="0"/>
              <w:left w:val="single" w:color="auto" w:sz="12" w:space="0"/>
              <w:bottom w:val="single" w:color="auto" w:sz="12" w:space="0"/>
              <w:right w:val="single" w:color="auto" w:sz="4" w:space="0"/>
            </w:tcBorders>
            <w:noWrap w:val="0"/>
            <w:vAlign w:val="center"/>
          </w:tcPr>
          <w:p w14:paraId="45774DEC">
            <w:pPr>
              <w:shd w:val="clear" w:color="auto" w:fill="auto"/>
              <w:snapToGrid w:val="0"/>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说</w:t>
            </w:r>
          </w:p>
          <w:p w14:paraId="1B4F34C2">
            <w:pPr>
              <w:shd w:val="clear" w:color="auto" w:fill="auto"/>
              <w:snapToGrid w:val="0"/>
              <w:spacing w:line="400" w:lineRule="atLeast"/>
              <w:jc w:val="center"/>
              <w:rPr>
                <w:rFonts w:hint="eastAsia" w:ascii="黑体" w:hAnsi="黑体" w:eastAsia="黑体" w:cs="黑体"/>
                <w:color w:val="auto"/>
                <w:szCs w:val="21"/>
                <w:highlight w:val="none"/>
              </w:rPr>
            </w:pPr>
          </w:p>
          <w:p w14:paraId="314EE06B">
            <w:pPr>
              <w:shd w:val="clear" w:color="auto" w:fill="auto"/>
              <w:snapToGrid w:val="0"/>
              <w:spacing w:line="400" w:lineRule="atLeast"/>
              <w:jc w:val="center"/>
              <w:rPr>
                <w:rFonts w:hint="eastAsia" w:ascii="黑体" w:hAnsi="黑体" w:eastAsia="黑体" w:cs="黑体"/>
                <w:color w:val="auto"/>
                <w:szCs w:val="21"/>
                <w:highlight w:val="none"/>
              </w:rPr>
            </w:pPr>
          </w:p>
          <w:p w14:paraId="0400C7DC">
            <w:pPr>
              <w:shd w:val="clear" w:color="auto" w:fill="auto"/>
              <w:snapToGrid w:val="0"/>
              <w:spacing w:line="400" w:lineRule="atLeast"/>
              <w:jc w:val="center"/>
              <w:rPr>
                <w:rFonts w:hint="eastAsia" w:ascii="黑体" w:hAnsi="黑体" w:eastAsia="黑体" w:cs="黑体"/>
                <w:color w:val="auto"/>
                <w:szCs w:val="21"/>
                <w:highlight w:val="none"/>
              </w:rPr>
            </w:pPr>
          </w:p>
          <w:p w14:paraId="7F579A8A">
            <w:pPr>
              <w:shd w:val="clear" w:color="auto" w:fill="auto"/>
              <w:snapToGrid w:val="0"/>
              <w:spacing w:line="400" w:lineRule="atLeast"/>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明</w:t>
            </w:r>
          </w:p>
        </w:tc>
        <w:tc>
          <w:tcPr>
            <w:tcW w:w="8216" w:type="dxa"/>
            <w:gridSpan w:val="5"/>
            <w:tcBorders>
              <w:top w:val="single" w:color="auto" w:sz="4" w:space="0"/>
              <w:left w:val="single" w:color="auto" w:sz="4" w:space="0"/>
              <w:bottom w:val="single" w:color="auto" w:sz="12" w:space="0"/>
              <w:right w:val="single" w:color="auto" w:sz="12" w:space="0"/>
            </w:tcBorders>
            <w:noWrap w:val="0"/>
            <w:vAlign w:val="center"/>
          </w:tcPr>
          <w:p w14:paraId="0CC61A04">
            <w:pPr>
              <w:shd w:val="clear" w:color="auto" w:fill="auto"/>
              <w:snapToGrid w:val="0"/>
              <w:spacing w:line="400" w:lineRule="atLeast"/>
              <w:jc w:val="center"/>
              <w:rPr>
                <w:rFonts w:hint="eastAsia" w:ascii="黑体" w:hAnsi="黑体" w:eastAsia="黑体" w:cs="黑体"/>
                <w:color w:val="auto"/>
                <w:szCs w:val="21"/>
                <w:highlight w:val="none"/>
              </w:rPr>
            </w:pPr>
          </w:p>
          <w:p w14:paraId="0CB94F4A">
            <w:pPr>
              <w:shd w:val="clear" w:color="auto" w:fill="auto"/>
              <w:snapToGrid w:val="0"/>
              <w:spacing w:line="400" w:lineRule="atLeast"/>
              <w:jc w:val="center"/>
              <w:rPr>
                <w:rFonts w:hint="eastAsia" w:ascii="黑体" w:hAnsi="黑体" w:eastAsia="黑体" w:cs="黑体"/>
                <w:color w:val="auto"/>
                <w:szCs w:val="21"/>
                <w:highlight w:val="none"/>
              </w:rPr>
            </w:pPr>
          </w:p>
          <w:p w14:paraId="46C64323">
            <w:pPr>
              <w:shd w:val="clear" w:color="auto" w:fill="auto"/>
              <w:snapToGrid w:val="0"/>
              <w:spacing w:line="400" w:lineRule="atLeast"/>
              <w:jc w:val="center"/>
              <w:rPr>
                <w:rFonts w:hint="eastAsia" w:ascii="黑体" w:hAnsi="黑体" w:eastAsia="黑体" w:cs="黑体"/>
                <w:color w:val="auto"/>
                <w:szCs w:val="21"/>
                <w:highlight w:val="none"/>
              </w:rPr>
            </w:pPr>
          </w:p>
        </w:tc>
      </w:tr>
    </w:tbl>
    <w:p w14:paraId="705C7575">
      <w:pPr>
        <w:shd w:val="clear" w:color="auto" w:fill="auto"/>
        <w:snapToGrid w:val="0"/>
        <w:spacing w:line="340" w:lineRule="atLeast"/>
        <w:ind w:left="862" w:leftChars="100" w:hanging="652" w:hangingChars="326"/>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t>注：1.投标人可按工程进度估算并填写本表。</w:t>
      </w:r>
    </w:p>
    <w:p w14:paraId="398EDB78">
      <w:pPr>
        <w:shd w:val="clear" w:color="auto" w:fill="auto"/>
        <w:spacing w:line="340" w:lineRule="atLeast"/>
        <w:ind w:left="853" w:leftChars="286" w:right="-334" w:rightChars="-159" w:hanging="252" w:hangingChars="126"/>
        <w:rPr>
          <w:rFonts w:hint="eastAsia" w:ascii="黑体" w:hAnsi="黑体" w:eastAsia="黑体" w:cs="黑体"/>
          <w:b w:val="0"/>
          <w:color w:val="auto"/>
          <w:sz w:val="42"/>
          <w:szCs w:val="42"/>
          <w:highlight w:val="none"/>
        </w:rPr>
        <w:sectPr>
          <w:headerReference r:id="rId30" w:type="default"/>
          <w:footerReference r:id="rId32" w:type="default"/>
          <w:headerReference r:id="rId31" w:type="even"/>
          <w:footerReference r:id="rId33" w:type="even"/>
          <w:footnotePr>
            <w:numFmt w:val="decimalEnclosedCircleChinese"/>
            <w:numRestart w:val="eachPage"/>
          </w:footnotePr>
          <w:pgSz w:w="11907" w:h="16840"/>
          <w:pgMar w:top="1588" w:right="1588" w:bottom="1474" w:left="1644" w:header="851" w:footer="851" w:gutter="0"/>
          <w:pgBorders>
            <w:top w:val="none" w:sz="0" w:space="0"/>
            <w:left w:val="none" w:sz="0" w:space="0"/>
            <w:bottom w:val="none" w:sz="0" w:space="0"/>
            <w:right w:val="none" w:sz="0" w:space="0"/>
          </w:pgBorders>
          <w:pgNumType w:fmt="numberInDash"/>
          <w:cols w:space="720" w:num="1"/>
          <w:docGrid w:linePitch="312" w:charSpace="0"/>
        </w:sectPr>
      </w:pPr>
      <w:r>
        <w:rPr>
          <w:rFonts w:hint="eastAsia" w:ascii="黑体" w:hAnsi="黑体" w:eastAsia="黑体" w:cs="黑体"/>
          <w:color w:val="auto"/>
          <w:sz w:val="20"/>
          <w:szCs w:val="20"/>
          <w:highlight w:val="none"/>
        </w:rPr>
        <w:t>2.用款额按所报单价和总额价估算，不包括价格调整和暂列金额、暂估价，但应考虑开工预付款的扣回以及签发付款证书后到实际支付的时间间隔。</w:t>
      </w:r>
      <w:bookmarkStart w:id="861" w:name="_Toc234833292"/>
    </w:p>
    <w:bookmarkEnd w:id="861"/>
    <w:p w14:paraId="79926A71">
      <w:pPr>
        <w:rPr>
          <w:rFonts w:hint="eastAsia" w:ascii="黑体" w:hAnsi="黑体" w:eastAsia="黑体" w:cs="黑体"/>
          <w:highlight w:val="none"/>
        </w:rPr>
      </w:pPr>
    </w:p>
    <w:sectPr>
      <w:headerReference r:id="rId34" w:type="default"/>
      <w:footnotePr>
        <w:numFmt w:val="decimalEnclosedCircleChinese"/>
        <w:numRestart w:val="eachPage"/>
      </w:footnotePr>
      <w:type w:val="continuous"/>
      <w:pgSz w:w="11907" w:h="16840"/>
      <w:pgMar w:top="1588" w:right="1588" w:bottom="1474" w:left="1644" w:header="851" w:footer="851" w:gutter="0"/>
      <w:pgBorders>
        <w:top w:val="none" w:sz="0" w:space="0"/>
        <w:left w:val="none" w:sz="0" w:space="0"/>
        <w:bottom w:val="none" w:sz="0" w:space="0"/>
        <w:right w:val="none" w:sz="0" w:space="0"/>
      </w:pgBorders>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2000009F" w:csb1="DFD70000"/>
  </w:font>
  <w:font w:name="Sylfaen">
    <w:panose1 w:val="010A0502050306030303"/>
    <w:charset w:val="00"/>
    <w:family w:val="roman"/>
    <w:pitch w:val="default"/>
    <w:sig w:usb0="04000687" w:usb1="00000000" w:usb2="00000000" w:usb3="00000000" w:csb0="200000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00" w:usb3="00000000" w:csb0="0004009F" w:csb1="DFD70000"/>
  </w:font>
  <w:font w:name="KSOF3D47F291">
    <w:panose1 w:val="020B0604020202020204"/>
    <w:charset w:val="00"/>
    <w:family w:val="auto"/>
    <w:pitch w:val="default"/>
    <w:sig w:usb0="00000001" w:usb1="00000000" w:usb2="00000000" w:usb3="00000000" w:csb0="0000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3B26F">
    <w:pPr>
      <w:pStyle w:val="12"/>
      <w:spacing w:line="240" w:lineRule="exact"/>
      <w:ind w:right="360" w:firstLine="360"/>
      <w:jc w:val="center"/>
      <w:rPr>
        <w:rFonts w:hint="eastAsia" w:eastAsia="黑体"/>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C25E28">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DC25E28">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9A1C0">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551FFB">
                          <w:pPr>
                            <w:pStyle w:val="12"/>
                          </w:pPr>
                          <w:r>
                            <w:fldChar w:fldCharType="begin"/>
                          </w:r>
                          <w:r>
                            <w:instrText xml:space="preserve"> PAGE  \* MERGEFORMAT </w:instrText>
                          </w:r>
                          <w:r>
                            <w:fldChar w:fldCharType="separate"/>
                          </w:r>
                          <w:r>
                            <w:t>- 0 -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30551FFB">
                    <w:pPr>
                      <w:pStyle w:val="12"/>
                    </w:pPr>
                    <w:r>
                      <w:fldChar w:fldCharType="begin"/>
                    </w:r>
                    <w:r>
                      <w:instrText xml:space="preserve"> PAGE  \* MERGEFORMAT </w:instrText>
                    </w:r>
                    <w:r>
                      <w:fldChar w:fldCharType="separate"/>
                    </w:r>
                    <w:r>
                      <w:t>- 0 -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1A9F4">
    <w:pPr>
      <w:pStyle w:val="12"/>
      <w:spacing w:line="240" w:lineRule="exact"/>
      <w:ind w:right="360" w:firstLine="360"/>
      <w:jc w:val="center"/>
      <w:rPr>
        <w:rFonts w:hint="eastAsia" w:eastAsia="黑体"/>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7D58A1">
                          <w:pPr>
                            <w:pStyle w:val="12"/>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337D58A1">
                    <w:pPr>
                      <w:pStyle w:val="12"/>
                    </w:pPr>
                    <w:r>
                      <w:fldChar w:fldCharType="begin"/>
                    </w:r>
                    <w:r>
                      <w:instrText xml:space="preserve"> PAGE  \* MERGEFORMAT </w:instrText>
                    </w:r>
                    <w:r>
                      <w:fldChar w:fldCharType="separate"/>
                    </w:r>
                    <w:r>
                      <w:t>- 3 -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73AE2">
    <w:pPr>
      <w:pStyle w:val="12"/>
      <w:spacing w:line="240" w:lineRule="exact"/>
      <w:ind w:right="360" w:firstLine="360"/>
      <w:jc w:val="center"/>
      <w:rPr>
        <w:rFonts w:hint="eastAsia" w:eastAsia="黑体"/>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352099">
                          <w:pPr>
                            <w:pStyle w:val="12"/>
                          </w:pPr>
                          <w:r>
                            <w:fldChar w:fldCharType="begin"/>
                          </w:r>
                          <w:r>
                            <w:instrText xml:space="preserve"> PAGE  \* MERGEFORMAT </w:instrText>
                          </w:r>
                          <w:r>
                            <w:fldChar w:fldCharType="separate"/>
                          </w:r>
                          <w:r>
                            <w:t>- 6 -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3A352099">
                    <w:pPr>
                      <w:pStyle w:val="12"/>
                    </w:pPr>
                    <w:r>
                      <w:fldChar w:fldCharType="begin"/>
                    </w:r>
                    <w:r>
                      <w:instrText xml:space="preserve"> PAGE  \* MERGEFORMAT </w:instrText>
                    </w:r>
                    <w:r>
                      <w:fldChar w:fldCharType="separate"/>
                    </w:r>
                    <w:r>
                      <w:t>- 6 -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B38D3">
    <w:pPr>
      <w:pStyle w:val="12"/>
      <w:framePr w:wrap="around" w:vAnchor="text" w:hAnchor="margin" w:xAlign="outside" w:y="1"/>
      <w:rPr>
        <w:rStyle w:val="26"/>
      </w:rPr>
    </w:pPr>
    <w:r>
      <w:rPr>
        <w:rStyle w:val="26"/>
      </w:rPr>
      <w:fldChar w:fldCharType="begin"/>
    </w:r>
    <w:r>
      <w:rPr>
        <w:rStyle w:val="26"/>
      </w:rPr>
      <w:instrText xml:space="preserve">PAGE  </w:instrText>
    </w:r>
    <w:r>
      <w:rPr>
        <w:rStyle w:val="26"/>
      </w:rPr>
      <w:fldChar w:fldCharType="separate"/>
    </w:r>
    <w:r>
      <w:rPr>
        <w:rStyle w:val="26"/>
      </w:rPr>
      <w:t>74</w:t>
    </w:r>
    <w:r>
      <w:rPr>
        <w:rStyle w:val="26"/>
      </w:rPr>
      <w:fldChar w:fldCharType="end"/>
    </w:r>
  </w:p>
  <w:p w14:paraId="035E0D2C">
    <w:pPr>
      <w:pStyle w:val="12"/>
      <w:ind w:right="360" w:firstLine="36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D3E58">
    <w:pPr>
      <w:pStyle w:val="12"/>
      <w:spacing w:line="240" w:lineRule="exact"/>
      <w:ind w:right="360" w:firstLine="360"/>
      <w:jc w:val="center"/>
      <w:rPr>
        <w:rFonts w:hint="eastAsia" w:eastAsia="黑体"/>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475715">
                          <w:pPr>
                            <w:pStyle w:val="12"/>
                          </w:pPr>
                          <w:r>
                            <w:fldChar w:fldCharType="begin"/>
                          </w:r>
                          <w:r>
                            <w:instrText xml:space="preserve"> PAGE  \* MERGEFORMAT </w:instrText>
                          </w:r>
                          <w:r>
                            <w:fldChar w:fldCharType="separate"/>
                          </w:r>
                          <w:r>
                            <w:t>- 62 -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24475715">
                    <w:pPr>
                      <w:pStyle w:val="12"/>
                    </w:pPr>
                    <w:r>
                      <w:fldChar w:fldCharType="begin"/>
                    </w:r>
                    <w:r>
                      <w:instrText xml:space="preserve"> PAGE  \* MERGEFORMAT </w:instrText>
                    </w:r>
                    <w:r>
                      <w:fldChar w:fldCharType="separate"/>
                    </w:r>
                    <w:r>
                      <w:t>- 62 -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1C90B">
    <w:pPr>
      <w:pStyle w:val="12"/>
      <w:ind w:right="360" w:firstLine="360"/>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F137A">
    <w:pPr>
      <w:pStyle w:val="12"/>
      <w:spacing w:line="240" w:lineRule="exact"/>
      <w:ind w:right="360" w:firstLine="360"/>
      <w:jc w:val="center"/>
      <w:rPr>
        <w:rFonts w:hint="eastAsia" w:eastAsia="黑体"/>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C7BBB3">
                          <w:pPr>
                            <w:pStyle w:val="12"/>
                          </w:pPr>
                          <w:r>
                            <w:fldChar w:fldCharType="begin"/>
                          </w:r>
                          <w:r>
                            <w:instrText xml:space="preserve"> PAGE  \* MERGEFORMAT </w:instrText>
                          </w:r>
                          <w:r>
                            <w:fldChar w:fldCharType="separate"/>
                          </w:r>
                          <w:r>
                            <w:t>- 63 -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70C7BBB3">
                    <w:pPr>
                      <w:pStyle w:val="12"/>
                    </w:pPr>
                    <w:r>
                      <w:fldChar w:fldCharType="begin"/>
                    </w:r>
                    <w:r>
                      <w:instrText xml:space="preserve"> PAGE  \* MERGEFORMAT </w:instrText>
                    </w:r>
                    <w:r>
                      <w:fldChar w:fldCharType="separate"/>
                    </w:r>
                    <w:r>
                      <w:t>- 63 -</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85444">
    <w:pPr>
      <w:pStyle w:val="12"/>
      <w:spacing w:line="240" w:lineRule="exact"/>
      <w:ind w:right="360" w:firstLine="360"/>
      <w:jc w:val="center"/>
      <w:rPr>
        <w:rFonts w:hint="eastAsia" w:eastAsia="黑体"/>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C76CA6">
                          <w:pPr>
                            <w:pStyle w:val="12"/>
                          </w:pPr>
                          <w:r>
                            <w:fldChar w:fldCharType="begin"/>
                          </w:r>
                          <w:r>
                            <w:instrText xml:space="preserve"> PAGE  \* MERGEFORMAT </w:instrText>
                          </w:r>
                          <w:r>
                            <w:fldChar w:fldCharType="separate"/>
                          </w:r>
                          <w:r>
                            <w:t>- 106 -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0C76CA6">
                    <w:pPr>
                      <w:pStyle w:val="12"/>
                    </w:pPr>
                    <w:r>
                      <w:fldChar w:fldCharType="begin"/>
                    </w:r>
                    <w:r>
                      <w:instrText xml:space="preserve"> PAGE  \* MERGEFORMAT </w:instrText>
                    </w:r>
                    <w:r>
                      <w:fldChar w:fldCharType="separate"/>
                    </w:r>
                    <w:r>
                      <w:t>- 106 -</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E7165">
    <w:pPr>
      <w:pStyle w:val="12"/>
      <w:framePr w:wrap="around" w:vAnchor="text" w:hAnchor="margin" w:xAlign="outside" w:y="1"/>
      <w:rPr>
        <w:rStyle w:val="26"/>
      </w:rPr>
    </w:pPr>
    <w:r>
      <w:rPr>
        <w:rStyle w:val="26"/>
      </w:rPr>
      <w:fldChar w:fldCharType="begin"/>
    </w:r>
    <w:r>
      <w:rPr>
        <w:rStyle w:val="26"/>
      </w:rPr>
      <w:instrText xml:space="preserve">PAGE  </w:instrText>
    </w:r>
    <w:r>
      <w:rPr>
        <w:rStyle w:val="26"/>
      </w:rPr>
      <w:fldChar w:fldCharType="separate"/>
    </w:r>
    <w:r>
      <w:rPr>
        <w:rStyle w:val="26"/>
      </w:rPr>
      <w:t>214</w:t>
    </w:r>
    <w:r>
      <w:rPr>
        <w:rStyle w:val="26"/>
      </w:rPr>
      <w:fldChar w:fldCharType="end"/>
    </w:r>
  </w:p>
  <w:p w14:paraId="5F49029D">
    <w:pPr>
      <w:pStyle w:val="12"/>
      <w:ind w:right="360" w:firstLine="360"/>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F897F">
    <w:pPr>
      <w:pStyle w:val="12"/>
      <w:spacing w:line="240" w:lineRule="exact"/>
      <w:ind w:right="360" w:firstLine="360"/>
      <w:jc w:val="center"/>
      <w:rPr>
        <w:rFonts w:hint="eastAsia" w:eastAsia="黑体"/>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369F37">
                          <w:pPr>
                            <w:pStyle w:val="12"/>
                          </w:pPr>
                          <w:r>
                            <w:fldChar w:fldCharType="begin"/>
                          </w:r>
                          <w:r>
                            <w:instrText xml:space="preserve"> PAGE  \* MERGEFORMAT </w:instrText>
                          </w:r>
                          <w:r>
                            <w:fldChar w:fldCharType="separate"/>
                          </w:r>
                          <w:r>
                            <w:t>- 220 -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1F369F37">
                    <w:pPr>
                      <w:pStyle w:val="12"/>
                    </w:pPr>
                    <w:r>
                      <w:fldChar w:fldCharType="begin"/>
                    </w:r>
                    <w:r>
                      <w:instrText xml:space="preserve"> PAGE  \* MERGEFORMAT </w:instrText>
                    </w:r>
                    <w:r>
                      <w:fldChar w:fldCharType="separate"/>
                    </w:r>
                    <w:r>
                      <w:t>- 220 -</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E826C">
    <w:pPr>
      <w:pStyle w:val="12"/>
      <w:spacing w:line="240" w:lineRule="exact"/>
      <w:ind w:right="360" w:firstLine="360"/>
      <w:jc w:val="center"/>
      <w:rPr>
        <w:rFonts w:hint="eastAsia" w:eastAsia="黑体"/>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6537A1">
                          <w:pPr>
                            <w:pStyle w:val="12"/>
                          </w:pPr>
                          <w:r>
                            <w:fldChar w:fldCharType="begin"/>
                          </w:r>
                          <w:r>
                            <w:instrText xml:space="preserve"> PAGE  \* MERGEFORMAT </w:instrText>
                          </w:r>
                          <w:r>
                            <w:fldChar w:fldCharType="separate"/>
                          </w:r>
                          <w:r>
                            <w:t>- 221 -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306537A1">
                    <w:pPr>
                      <w:pStyle w:val="12"/>
                    </w:pPr>
                    <w:r>
                      <w:fldChar w:fldCharType="begin"/>
                    </w:r>
                    <w:r>
                      <w:instrText xml:space="preserve"> PAGE  \* MERGEFORMAT </w:instrText>
                    </w:r>
                    <w:r>
                      <w:fldChar w:fldCharType="separate"/>
                    </w:r>
                    <w:r>
                      <w:t>- 221 -</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91600">
    <w:pPr>
      <w:pStyle w:val="12"/>
      <w:ind w:right="360" w:firstLine="360"/>
      <w:jc w:val="cen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96AE2">
    <w:pPr>
      <w:pStyle w:val="12"/>
      <w:spacing w:line="240" w:lineRule="exact"/>
      <w:ind w:right="360" w:firstLine="360"/>
      <w:jc w:val="center"/>
      <w:rPr>
        <w:rFonts w:hint="eastAsia" w:eastAsia="黑体"/>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2B4A27">
                          <w:pPr>
                            <w:pStyle w:val="12"/>
                          </w:pPr>
                          <w:r>
                            <w:fldChar w:fldCharType="begin"/>
                          </w:r>
                          <w:r>
                            <w:instrText xml:space="preserve"> PAGE  \* MERGEFORMAT </w:instrText>
                          </w:r>
                          <w:r>
                            <w:fldChar w:fldCharType="separate"/>
                          </w:r>
                          <w:r>
                            <w:t>- 230 -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5B2B4A27">
                    <w:pPr>
                      <w:pStyle w:val="12"/>
                    </w:pPr>
                    <w:r>
                      <w:fldChar w:fldCharType="begin"/>
                    </w:r>
                    <w:r>
                      <w:instrText xml:space="preserve"> PAGE  \* MERGEFORMAT </w:instrText>
                    </w:r>
                    <w:r>
                      <w:fldChar w:fldCharType="separate"/>
                    </w:r>
                    <w:r>
                      <w:t>- 230 -</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C0E84">
    <w:pPr>
      <w:pStyle w:val="12"/>
      <w:framePr w:wrap="around" w:vAnchor="text" w:hAnchor="page" w:x="1581" w:yAlign="center"/>
      <w:rPr>
        <w:rStyle w:val="26"/>
      </w:rPr>
    </w:pPr>
    <w:r>
      <w:rPr>
        <w:rStyle w:val="26"/>
      </w:rPr>
      <w:fldChar w:fldCharType="begin"/>
    </w:r>
    <w:r>
      <w:rPr>
        <w:rStyle w:val="26"/>
      </w:rPr>
      <w:instrText xml:space="preserve">PAGE  </w:instrText>
    </w:r>
    <w:r>
      <w:rPr>
        <w:rStyle w:val="26"/>
      </w:rPr>
      <w:fldChar w:fldCharType="separate"/>
    </w:r>
    <w:r>
      <w:rPr>
        <w:rStyle w:val="26"/>
      </w:rPr>
      <w:t>258</w:t>
    </w:r>
    <w:r>
      <w:rPr>
        <w:rStyle w:val="26"/>
      </w:rPr>
      <w:fldChar w:fldCharType="end"/>
    </w:r>
  </w:p>
  <w:p w14:paraId="003B6FA4">
    <w:pPr>
      <w:pStyle w:val="12"/>
      <w:ind w:right="360" w:firstLine="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6">
    <w:p>
      <w:r>
        <w:separator/>
      </w:r>
    </w:p>
  </w:footnote>
  <w:footnote w:type="continuationSeparator" w:id="27">
    <w:p>
      <w:r>
        <w:continuationSeparator/>
      </w:r>
    </w:p>
  </w:footnote>
  <w:footnote w:id="0">
    <w:p w14:paraId="5CB45EF0">
      <w:pPr>
        <w:pStyle w:val="15"/>
        <w:spacing w:line="280" w:lineRule="atLeast"/>
        <w:ind w:left="180" w:hanging="180" w:hangingChars="100"/>
        <w:rPr>
          <w:rFonts w:hint="eastAsia" w:ascii="黑体" w:hAnsi="黑体" w:eastAsia="黑体" w:cs="黑体"/>
          <w:szCs w:val="18"/>
          <w:highlight w:val="none"/>
        </w:rPr>
      </w:pPr>
      <w:r>
        <w:rPr>
          <w:rFonts w:hint="eastAsia" w:ascii="黑体" w:hAnsi="黑体" w:eastAsia="黑体"/>
        </w:rPr>
        <w:t>注</w:t>
      </w:r>
      <w:r>
        <w:rPr>
          <w:rStyle w:val="28"/>
          <w:rFonts w:hint="eastAsia" w:ascii="黑体" w:hAnsi="黑体" w:eastAsia="黑体" w:cs="黑体"/>
          <w:szCs w:val="18"/>
          <w:highlight w:val="none"/>
        </w:rPr>
        <w:footnoteRef/>
      </w:r>
      <w:r>
        <w:rPr>
          <w:rFonts w:hint="eastAsia" w:ascii="黑体" w:hAnsi="黑体" w:eastAsia="黑体" w:cs="黑体"/>
          <w:szCs w:val="18"/>
          <w:highlight w:val="none"/>
        </w:rPr>
        <w:t xml:space="preserve"> a.“投标人须知前附表”用于进一步明确正文中的未尽事宜，由招标人根据招标项目具体特点和实际需要编制和填写，</w:t>
      </w:r>
      <w:r>
        <w:rPr>
          <w:rFonts w:hint="eastAsia" w:ascii="黑体" w:hAnsi="黑体" w:eastAsia="黑体" w:cs="黑体"/>
          <w:szCs w:val="18"/>
          <w:highlight w:val="none"/>
          <w:lang w:eastAsia="zh-CN"/>
        </w:rPr>
        <w:t>且应</w:t>
      </w:r>
      <w:r>
        <w:rPr>
          <w:rFonts w:hint="eastAsia" w:ascii="黑体" w:hAnsi="黑体" w:eastAsia="黑体" w:cs="黑体"/>
          <w:szCs w:val="18"/>
          <w:highlight w:val="none"/>
        </w:rPr>
        <w:t>与招标文件中其他章节</w:t>
      </w:r>
      <w:r>
        <w:rPr>
          <w:rFonts w:hint="eastAsia" w:ascii="黑体" w:hAnsi="黑体" w:eastAsia="黑体" w:cs="黑体"/>
          <w:szCs w:val="18"/>
          <w:highlight w:val="none"/>
          <w:lang w:eastAsia="zh-CN"/>
        </w:rPr>
        <w:t>相</w:t>
      </w:r>
      <w:r>
        <w:rPr>
          <w:rFonts w:hint="eastAsia" w:ascii="黑体" w:hAnsi="黑体" w:eastAsia="黑体" w:cs="黑体"/>
          <w:szCs w:val="18"/>
          <w:highlight w:val="none"/>
        </w:rPr>
        <w:t>衔接，并不得与本章正文内容相抵触。</w:t>
      </w:r>
    </w:p>
    <w:p w14:paraId="29849DBC">
      <w:pPr>
        <w:pStyle w:val="15"/>
        <w:spacing w:line="280" w:lineRule="atLeast"/>
        <w:ind w:left="210" w:firstLine="180" w:firstLineChars="100"/>
        <w:rPr>
          <w:rFonts w:hint="eastAsia" w:ascii="黑体" w:hAnsi="黑体" w:eastAsia="黑体" w:cs="黑体"/>
          <w:szCs w:val="18"/>
          <w:highlight w:val="none"/>
        </w:rPr>
      </w:pPr>
      <w:r>
        <w:rPr>
          <w:rFonts w:hint="eastAsia" w:ascii="黑体" w:hAnsi="黑体" w:eastAsia="黑体" w:cs="黑体"/>
          <w:szCs w:val="18"/>
          <w:highlight w:val="none"/>
        </w:rPr>
        <w:t>b.“投标人须知前附表”中的附录表格同属“投标人须知前附表”内容，具有同等效力。</w:t>
      </w:r>
    </w:p>
  </w:footnote>
  <w:footnote w:id="1">
    <w:p w14:paraId="3841F0C3">
      <w:pPr>
        <w:pStyle w:val="15"/>
        <w:snapToGrid w:val="0"/>
        <w:spacing w:line="240" w:lineRule="auto"/>
        <w:ind w:left="0" w:leftChars="0" w:firstLine="0" w:firstLineChars="0"/>
        <w:rPr>
          <w:rFonts w:hint="default" w:eastAsia="宋体"/>
          <w:highlight w:val="none"/>
          <w:lang w:val="en-US" w:eastAsia="zh-CN"/>
        </w:rPr>
      </w:pPr>
      <w:r>
        <w:rPr>
          <w:rStyle w:val="28"/>
          <w:highlight w:val="none"/>
        </w:rPr>
        <w:footnoteRef/>
      </w:r>
      <w:r>
        <w:rPr>
          <w:highlight w:val="none"/>
        </w:rPr>
        <w:t xml:space="preserve"> </w:t>
      </w:r>
      <w:r>
        <w:rPr>
          <w:rFonts w:hint="eastAsia"/>
          <w:highlight w:val="none"/>
          <w:lang w:val="en-US" w:eastAsia="zh-CN"/>
        </w:rPr>
        <w:t>评标办法采用技术评分最低标价法或综合评分法的，施工组织设计（技术文件）可以采用暗标评审。</w:t>
      </w:r>
    </w:p>
  </w:footnote>
  <w:footnote w:id="2">
    <w:p w14:paraId="51947886">
      <w:pPr>
        <w:pStyle w:val="15"/>
        <w:spacing w:line="320" w:lineRule="atLeast"/>
        <w:ind w:left="180" w:hanging="180" w:hangingChars="100"/>
        <w:rPr>
          <w:rFonts w:hint="eastAsia"/>
          <w:szCs w:val="18"/>
          <w:highlight w:val="none"/>
        </w:rPr>
      </w:pPr>
      <w:r>
        <w:rPr>
          <w:rStyle w:val="28"/>
          <w:szCs w:val="18"/>
          <w:highlight w:val="none"/>
        </w:rPr>
        <w:footnoteRef/>
      </w:r>
      <w:r>
        <w:rPr>
          <w:rFonts w:hint="eastAsia"/>
          <w:szCs w:val="18"/>
          <w:highlight w:val="none"/>
          <w:lang w:eastAsia="zh-CN"/>
        </w:rPr>
        <w:t xml:space="preserve"> </w:t>
      </w:r>
      <w:r>
        <w:rPr>
          <w:rFonts w:hint="eastAsia"/>
          <w:szCs w:val="18"/>
          <w:highlight w:val="none"/>
        </w:rPr>
        <w:t>招标文件中要求</w:t>
      </w:r>
      <w:r>
        <w:rPr>
          <w:szCs w:val="18"/>
          <w:highlight w:val="none"/>
        </w:rPr>
        <w:t>投标人提供的各类</w:t>
      </w:r>
      <w:r>
        <w:rPr>
          <w:rFonts w:hint="eastAsia"/>
          <w:szCs w:val="18"/>
          <w:highlight w:val="none"/>
          <w:lang w:eastAsia="zh-CN"/>
        </w:rPr>
        <w:t>证照</w:t>
      </w:r>
      <w:r>
        <w:rPr>
          <w:rFonts w:hint="eastAsia"/>
          <w:szCs w:val="18"/>
          <w:highlight w:val="none"/>
        </w:rPr>
        <w:t>复印件均指彩色扫描件或彩色复印件，</w:t>
      </w:r>
      <w:r>
        <w:rPr>
          <w:szCs w:val="18"/>
          <w:highlight w:val="none"/>
        </w:rPr>
        <w:t>其他</w:t>
      </w:r>
      <w:r>
        <w:rPr>
          <w:rFonts w:hint="eastAsia"/>
          <w:szCs w:val="18"/>
          <w:highlight w:val="none"/>
          <w:lang w:eastAsia="zh-CN"/>
        </w:rPr>
        <w:t>资料</w:t>
      </w:r>
      <w:r>
        <w:rPr>
          <w:szCs w:val="18"/>
          <w:highlight w:val="none"/>
        </w:rPr>
        <w:t>的复印件可</w:t>
      </w:r>
      <w:r>
        <w:rPr>
          <w:rFonts w:hint="eastAsia"/>
          <w:szCs w:val="18"/>
          <w:highlight w:val="none"/>
        </w:rPr>
        <w:t>为</w:t>
      </w:r>
      <w:r>
        <w:rPr>
          <w:szCs w:val="18"/>
          <w:highlight w:val="none"/>
        </w:rPr>
        <w:t>黑白扫描件或黑白复印件</w:t>
      </w:r>
      <w:r>
        <w:rPr>
          <w:rFonts w:hint="eastAsia"/>
          <w:szCs w:val="18"/>
          <w:highlight w:val="none"/>
        </w:rPr>
        <w:t>。</w:t>
      </w:r>
    </w:p>
  </w:footnote>
  <w:footnote w:id="3">
    <w:p w14:paraId="02021CB7">
      <w:pPr>
        <w:pStyle w:val="15"/>
        <w:spacing w:line="300" w:lineRule="atLeast"/>
        <w:ind w:left="180" w:hanging="180" w:hangingChars="100"/>
        <w:rPr>
          <w:rFonts w:hint="eastAsia"/>
          <w:szCs w:val="18"/>
          <w:highlight w:val="none"/>
        </w:rPr>
      </w:pPr>
      <w:r>
        <w:rPr>
          <w:rStyle w:val="28"/>
          <w:szCs w:val="18"/>
          <w:highlight w:val="none"/>
        </w:rPr>
        <w:footnoteRef/>
      </w:r>
      <w:r>
        <w:rPr>
          <w:rFonts w:hint="eastAsia"/>
          <w:szCs w:val="18"/>
          <w:highlight w:val="none"/>
        </w:rPr>
        <w:t xml:space="preserve"> 如投标人按照招标人提供的</w:t>
      </w:r>
      <w:r>
        <w:rPr>
          <w:szCs w:val="18"/>
          <w:highlight w:val="none"/>
        </w:rPr>
        <w:t>工程量固化清单</w:t>
      </w:r>
      <w:r>
        <w:rPr>
          <w:rFonts w:hint="eastAsia"/>
          <w:szCs w:val="18"/>
          <w:highlight w:val="none"/>
        </w:rPr>
        <w:t>电子文件填写工程量清单，无须按照第三章</w:t>
      </w:r>
      <w:r>
        <w:rPr>
          <w:szCs w:val="18"/>
          <w:highlight w:val="none"/>
        </w:rPr>
        <w:t>“</w:t>
      </w:r>
      <w:r>
        <w:rPr>
          <w:rFonts w:hint="eastAsia"/>
          <w:szCs w:val="18"/>
          <w:highlight w:val="none"/>
        </w:rPr>
        <w:t>评标办法</w:t>
      </w:r>
      <w:r>
        <w:rPr>
          <w:szCs w:val="18"/>
          <w:highlight w:val="none"/>
        </w:rPr>
        <w:t>”</w:t>
      </w:r>
      <w:r>
        <w:rPr>
          <w:rFonts w:hint="eastAsia"/>
          <w:szCs w:val="18"/>
          <w:highlight w:val="none"/>
        </w:rPr>
        <w:t>的相关规定对投标报价进行修正，则本项不适用。</w:t>
      </w:r>
    </w:p>
  </w:footnote>
  <w:footnote w:id="4">
    <w:p w14:paraId="5CCA8243">
      <w:pPr>
        <w:pStyle w:val="15"/>
        <w:spacing w:line="300" w:lineRule="atLeast"/>
        <w:ind w:left="180" w:hanging="180" w:hangingChars="100"/>
        <w:jc w:val="both"/>
        <w:rPr>
          <w:rFonts w:hint="eastAsia" w:hAnsi="宋体"/>
          <w:szCs w:val="18"/>
          <w:highlight w:val="none"/>
        </w:rPr>
      </w:pPr>
      <w:r>
        <w:rPr>
          <w:rStyle w:val="28"/>
          <w:rFonts w:ascii="宋体" w:hAnsi="宋体"/>
          <w:szCs w:val="18"/>
          <w:highlight w:val="none"/>
        </w:rPr>
        <w:footnoteRef/>
      </w:r>
      <w:r>
        <w:rPr>
          <w:rFonts w:hint="eastAsia" w:hAnsi="宋体"/>
          <w:szCs w:val="18"/>
          <w:highlight w:val="none"/>
          <w:lang w:eastAsia="zh-CN"/>
        </w:rPr>
        <w:t xml:space="preserve"> 投标人仅须在投标文件的澄清或说明上加盖单位章，或由法定代表人或其委托代理人签字</w:t>
      </w:r>
      <w:r>
        <w:rPr>
          <w:rFonts w:hint="eastAsia" w:hAnsi="宋体"/>
          <w:szCs w:val="18"/>
          <w:highlight w:val="none"/>
        </w:rPr>
        <w:t>。</w:t>
      </w:r>
    </w:p>
  </w:footnote>
  <w:footnote w:id="5">
    <w:p w14:paraId="12ED7012">
      <w:pPr>
        <w:pStyle w:val="15"/>
        <w:snapToGrid w:val="0"/>
        <w:spacing w:line="240" w:lineRule="auto"/>
        <w:ind w:left="0" w:leftChars="0" w:firstLine="0" w:firstLineChars="0"/>
      </w:pPr>
      <w:r>
        <w:rPr>
          <w:rStyle w:val="28"/>
          <w:sz w:val="16"/>
          <w:szCs w:val="18"/>
        </w:rPr>
        <w:footnoteRef/>
      </w:r>
      <w:r>
        <w:rPr>
          <w:sz w:val="16"/>
          <w:szCs w:val="18"/>
        </w:rPr>
        <w:t xml:space="preserve">  各</w:t>
      </w:r>
      <w:r>
        <w:rPr>
          <w:rFonts w:hint="eastAsia"/>
          <w:sz w:val="16"/>
          <w:szCs w:val="18"/>
        </w:rPr>
        <w:t>评分因素（</w:t>
      </w:r>
      <w:r>
        <w:rPr>
          <w:sz w:val="16"/>
          <w:szCs w:val="18"/>
        </w:rPr>
        <w:t>评标价和履约信誉评分项除外</w:t>
      </w:r>
      <w:r>
        <w:rPr>
          <w:rFonts w:hint="eastAsia"/>
          <w:sz w:val="16"/>
          <w:szCs w:val="18"/>
        </w:rPr>
        <w:t>）</w:t>
      </w:r>
      <w:r>
        <w:rPr>
          <w:sz w:val="16"/>
          <w:szCs w:val="18"/>
        </w:rPr>
        <w:t>得分</w:t>
      </w:r>
      <w:r>
        <w:rPr>
          <w:rFonts w:hint="eastAsia"/>
          <w:sz w:val="16"/>
          <w:szCs w:val="18"/>
        </w:rPr>
        <w:t>一般不得</w:t>
      </w:r>
      <w:r>
        <w:rPr>
          <w:sz w:val="16"/>
          <w:szCs w:val="18"/>
        </w:rPr>
        <w:t>低于其权重分</w:t>
      </w:r>
      <w:r>
        <w:rPr>
          <w:rFonts w:hint="eastAsia"/>
          <w:sz w:val="16"/>
          <w:szCs w:val="18"/>
        </w:rPr>
        <w:t>值</w:t>
      </w:r>
      <w:r>
        <w:rPr>
          <w:sz w:val="16"/>
          <w:szCs w:val="18"/>
        </w:rPr>
        <w:t>的60%，且各</w:t>
      </w:r>
      <w:r>
        <w:rPr>
          <w:rFonts w:hint="eastAsia"/>
          <w:sz w:val="16"/>
          <w:szCs w:val="18"/>
        </w:rPr>
        <w:t>评分因素</w:t>
      </w:r>
      <w:r>
        <w:rPr>
          <w:sz w:val="16"/>
          <w:szCs w:val="18"/>
        </w:rPr>
        <w:t>得分应以评标委员会</w:t>
      </w:r>
      <w:r>
        <w:rPr>
          <w:rFonts w:hint="eastAsia"/>
          <w:sz w:val="16"/>
          <w:szCs w:val="18"/>
        </w:rPr>
        <w:t>各成员</w:t>
      </w:r>
      <w:r>
        <w:rPr>
          <w:sz w:val="16"/>
          <w:szCs w:val="18"/>
        </w:rPr>
        <w:t>的打分平均值确定，评标委员会成员</w:t>
      </w:r>
      <w:r>
        <w:rPr>
          <w:rFonts w:hint="eastAsia"/>
          <w:sz w:val="16"/>
          <w:szCs w:val="18"/>
        </w:rPr>
        <w:t>对某一项评分因素的</w:t>
      </w:r>
      <w:r>
        <w:rPr>
          <w:sz w:val="16"/>
          <w:szCs w:val="18"/>
        </w:rPr>
        <w:t>评分低于权重分</w:t>
      </w:r>
      <w:r>
        <w:rPr>
          <w:rFonts w:hint="eastAsia"/>
          <w:sz w:val="16"/>
          <w:szCs w:val="18"/>
        </w:rPr>
        <w:t>值</w:t>
      </w:r>
      <w:r>
        <w:rPr>
          <w:sz w:val="16"/>
          <w:szCs w:val="18"/>
        </w:rPr>
        <w:t>60%的，应在评标报告中作出说明。</w:t>
      </w:r>
    </w:p>
  </w:footnote>
  <w:footnote w:id="6">
    <w:p w14:paraId="05E4865F">
      <w:pPr>
        <w:pStyle w:val="15"/>
        <w:spacing w:line="320" w:lineRule="atLeast"/>
        <w:ind w:left="180" w:hanging="180" w:hangingChars="100"/>
        <w:rPr>
          <w:rStyle w:val="28"/>
          <w:rFonts w:hint="eastAsia"/>
          <w:szCs w:val="18"/>
          <w:highlight w:val="none"/>
        </w:rPr>
      </w:pPr>
      <w:r>
        <w:rPr>
          <w:rStyle w:val="28"/>
          <w:szCs w:val="18"/>
          <w:highlight w:val="none"/>
        </w:rPr>
        <w:footnoteRef/>
      </w:r>
      <w:r>
        <w:rPr>
          <w:rFonts w:hint="eastAsia"/>
          <w:szCs w:val="18"/>
          <w:highlight w:val="none"/>
        </w:rPr>
        <w:t xml:space="preserve"> 如</w:t>
      </w:r>
      <w:r>
        <w:rPr>
          <w:rStyle w:val="28"/>
          <w:szCs w:val="18"/>
          <w:highlight w:val="none"/>
          <w:vertAlign w:val="baseline"/>
        </w:rPr>
        <w:t>本项目招标</w:t>
      </w:r>
      <w:r>
        <w:rPr>
          <w:rStyle w:val="28"/>
          <w:rFonts w:hint="eastAsia"/>
          <w:szCs w:val="18"/>
          <w:highlight w:val="none"/>
          <w:vertAlign w:val="baseline"/>
        </w:rPr>
        <w:t>由投标人按照招标人提供的</w:t>
      </w:r>
      <w:r>
        <w:rPr>
          <w:szCs w:val="18"/>
          <w:highlight w:val="none"/>
        </w:rPr>
        <w:t>书面</w:t>
      </w:r>
      <w:r>
        <w:rPr>
          <w:rStyle w:val="28"/>
          <w:rFonts w:hint="eastAsia"/>
          <w:szCs w:val="18"/>
          <w:highlight w:val="none"/>
          <w:vertAlign w:val="baseline"/>
        </w:rPr>
        <w:t>工程量清单填写</w:t>
      </w:r>
      <w:r>
        <w:rPr>
          <w:rStyle w:val="28"/>
          <w:szCs w:val="18"/>
          <w:highlight w:val="none"/>
          <w:vertAlign w:val="baseline"/>
        </w:rPr>
        <w:t>本合同各工程子目的单价、合价和总额价</w:t>
      </w:r>
      <w:r>
        <w:rPr>
          <w:rStyle w:val="28"/>
          <w:rFonts w:hint="eastAsia"/>
          <w:szCs w:val="18"/>
          <w:highlight w:val="none"/>
          <w:vertAlign w:val="baseline"/>
        </w:rPr>
        <w:t>，则</w:t>
      </w:r>
      <w:r>
        <w:rPr>
          <w:rStyle w:val="28"/>
          <w:szCs w:val="18"/>
          <w:highlight w:val="none"/>
          <w:vertAlign w:val="baseline"/>
        </w:rPr>
        <w:t>评标委员会按照</w:t>
      </w:r>
      <w:r>
        <w:rPr>
          <w:rStyle w:val="28"/>
          <w:rFonts w:hint="eastAsia"/>
          <w:szCs w:val="18"/>
          <w:highlight w:val="none"/>
          <w:vertAlign w:val="baseline"/>
        </w:rPr>
        <w:t>本</w:t>
      </w:r>
      <w:r>
        <w:rPr>
          <w:rStyle w:val="28"/>
          <w:szCs w:val="18"/>
          <w:highlight w:val="none"/>
          <w:vertAlign w:val="baseline"/>
        </w:rPr>
        <w:t>章</w:t>
      </w:r>
      <w:r>
        <w:rPr>
          <w:rStyle w:val="28"/>
          <w:rFonts w:hint="eastAsia"/>
          <w:szCs w:val="18"/>
          <w:highlight w:val="none"/>
          <w:vertAlign w:val="baseline"/>
        </w:rPr>
        <w:t>第3.4.2项和第3</w:t>
      </w:r>
      <w:r>
        <w:rPr>
          <w:rFonts w:hint="eastAsia"/>
          <w:szCs w:val="18"/>
          <w:highlight w:val="none"/>
        </w:rPr>
        <w:t>.4.3项</w:t>
      </w:r>
      <w:r>
        <w:rPr>
          <w:rStyle w:val="28"/>
          <w:rFonts w:hint="eastAsia"/>
          <w:szCs w:val="18"/>
          <w:highlight w:val="none"/>
          <w:vertAlign w:val="baseline"/>
        </w:rPr>
        <w:t>的</w:t>
      </w:r>
      <w:r>
        <w:rPr>
          <w:rStyle w:val="28"/>
          <w:szCs w:val="18"/>
          <w:highlight w:val="none"/>
          <w:vertAlign w:val="baseline"/>
        </w:rPr>
        <w:t>规定</w:t>
      </w:r>
      <w:r>
        <w:rPr>
          <w:rStyle w:val="28"/>
          <w:rFonts w:hint="eastAsia"/>
          <w:szCs w:val="18"/>
          <w:highlight w:val="none"/>
          <w:vertAlign w:val="baseline"/>
        </w:rPr>
        <w:t>对投标人的投标报价进行修正。</w:t>
      </w:r>
      <w:r>
        <w:rPr>
          <w:rFonts w:hint="eastAsia"/>
          <w:szCs w:val="18"/>
          <w:highlight w:val="none"/>
        </w:rPr>
        <w:t>如</w:t>
      </w:r>
      <w:r>
        <w:rPr>
          <w:rStyle w:val="28"/>
          <w:szCs w:val="18"/>
          <w:highlight w:val="none"/>
          <w:vertAlign w:val="baseline"/>
        </w:rPr>
        <w:t>本项目招标</w:t>
      </w:r>
      <w:r>
        <w:rPr>
          <w:rFonts w:hint="eastAsia"/>
          <w:szCs w:val="18"/>
          <w:highlight w:val="none"/>
        </w:rPr>
        <w:t>由投标人按照招标人提供的</w:t>
      </w:r>
      <w:r>
        <w:rPr>
          <w:szCs w:val="18"/>
          <w:highlight w:val="none"/>
        </w:rPr>
        <w:t>工程量固化清单</w:t>
      </w:r>
      <w:r>
        <w:rPr>
          <w:rFonts w:hint="eastAsia"/>
          <w:szCs w:val="18"/>
          <w:highlight w:val="none"/>
        </w:rPr>
        <w:t>电子文件填写工程量清单，无须按照本章第3.4.2项和第3.4.3项的规定对投标报价进行修正，第3.4.2项</w:t>
      </w:r>
      <w:r>
        <w:rPr>
          <w:rFonts w:hint="eastAsia"/>
          <w:szCs w:val="18"/>
          <w:highlight w:val="none"/>
          <w:lang w:eastAsia="zh-CN"/>
        </w:rPr>
        <w:t>至</w:t>
      </w:r>
      <w:r>
        <w:rPr>
          <w:rFonts w:hint="eastAsia"/>
          <w:szCs w:val="18"/>
          <w:highlight w:val="none"/>
        </w:rPr>
        <w:t>第3.4.4项内容不适用。</w:t>
      </w:r>
    </w:p>
    <w:p w14:paraId="4FFA07C3">
      <w:pPr>
        <w:pStyle w:val="15"/>
        <w:spacing w:line="300" w:lineRule="atLeast"/>
        <w:ind w:left="210" w:hanging="210"/>
        <w:rPr>
          <w:rStyle w:val="28"/>
          <w:szCs w:val="18"/>
          <w:highlight w:val="none"/>
        </w:rPr>
      </w:pPr>
    </w:p>
  </w:footnote>
  <w:footnote w:id="7">
    <w:p w14:paraId="15CBDF52">
      <w:pPr>
        <w:pStyle w:val="15"/>
        <w:spacing w:line="320" w:lineRule="atLeast"/>
        <w:ind w:left="180" w:hanging="180" w:hangingChars="100"/>
        <w:rPr>
          <w:rFonts w:hint="eastAsia"/>
          <w:highlight w:val="none"/>
          <w:lang w:eastAsia="zh-CN"/>
        </w:rPr>
      </w:pPr>
      <w:r>
        <w:rPr>
          <w:rStyle w:val="28"/>
          <w:highlight w:val="none"/>
        </w:rPr>
        <w:footnoteRef/>
      </w:r>
      <w:r>
        <w:rPr>
          <w:highlight w:val="none"/>
        </w:rPr>
        <w:t xml:space="preserve"> 如果在招标</w:t>
      </w:r>
      <w:r>
        <w:rPr>
          <w:rFonts w:hint="eastAsia"/>
          <w:highlight w:val="none"/>
          <w:lang w:eastAsia="zh-CN"/>
        </w:rPr>
        <w:t>阶段</w:t>
      </w:r>
      <w:r>
        <w:rPr>
          <w:rFonts w:hint="eastAsia"/>
          <w:highlight w:val="none"/>
        </w:rPr>
        <w:t>，招标人</w:t>
      </w:r>
      <w:r>
        <w:rPr>
          <w:highlight w:val="none"/>
        </w:rPr>
        <w:t>在图纸中直接指定了取土场和弃土场位置</w:t>
      </w:r>
      <w:r>
        <w:rPr>
          <w:rFonts w:hint="eastAsia"/>
          <w:highlight w:val="none"/>
        </w:rPr>
        <w:t>，</w:t>
      </w:r>
      <w:r>
        <w:rPr>
          <w:highlight w:val="none"/>
        </w:rPr>
        <w:t>且作为投标人投标</w:t>
      </w:r>
      <w:r>
        <w:rPr>
          <w:rFonts w:hint="eastAsia"/>
          <w:highlight w:val="none"/>
          <w:lang w:eastAsia="zh-CN"/>
        </w:rPr>
        <w:t>报价</w:t>
      </w:r>
      <w:r>
        <w:rPr>
          <w:highlight w:val="none"/>
        </w:rPr>
        <w:t>的依据</w:t>
      </w:r>
      <w:r>
        <w:rPr>
          <w:rFonts w:hint="eastAsia"/>
          <w:highlight w:val="none"/>
        </w:rPr>
        <w:t>，则</w:t>
      </w:r>
      <w:r>
        <w:rPr>
          <w:rFonts w:hint="eastAsia"/>
          <w:highlight w:val="none"/>
          <w:lang w:eastAsia="zh-CN"/>
        </w:rPr>
        <w:t>招标</w:t>
      </w:r>
      <w:r>
        <w:rPr>
          <w:rFonts w:hint="eastAsia"/>
          <w:highlight w:val="none"/>
        </w:rPr>
        <w:t>人应在项目专用合同条款中对本项规定进行调整。</w:t>
      </w:r>
    </w:p>
  </w:footnote>
  <w:footnote w:id="8">
    <w:p w14:paraId="13A7B732">
      <w:pPr>
        <w:pStyle w:val="15"/>
        <w:spacing w:line="300" w:lineRule="atLeast"/>
        <w:ind w:left="360" w:hanging="360" w:hangingChars="200"/>
        <w:jc w:val="both"/>
        <w:rPr>
          <w:szCs w:val="18"/>
          <w:highlight w:val="none"/>
        </w:rPr>
      </w:pPr>
      <w:r>
        <w:rPr>
          <w:rStyle w:val="28"/>
          <w:rFonts w:ascii="宋体" w:hAnsi="宋体"/>
          <w:szCs w:val="18"/>
          <w:highlight w:val="none"/>
        </w:rPr>
        <w:footnoteRef/>
      </w:r>
      <w:r>
        <w:rPr>
          <w:rFonts w:hint="eastAsia"/>
          <w:szCs w:val="18"/>
          <w:highlight w:val="none"/>
        </w:rPr>
        <w:t xml:space="preserve"> </w:t>
      </w:r>
      <w:r>
        <w:rPr>
          <w:szCs w:val="18"/>
          <w:highlight w:val="none"/>
        </w:rPr>
        <w:t>a.</w:t>
      </w:r>
      <w:r>
        <w:rPr>
          <w:rFonts w:hAnsi="宋体"/>
          <w:szCs w:val="18"/>
          <w:highlight w:val="none"/>
        </w:rPr>
        <w:t>招标人应在招标文件中规定若投标人在所投标段中标需派驻的其他管理和技术人员</w:t>
      </w:r>
      <w:r>
        <w:rPr>
          <w:rFonts w:hint="eastAsia"/>
          <w:highlight w:val="none"/>
          <w:lang w:eastAsia="zh-CN"/>
        </w:rPr>
        <w:t>（例如</w:t>
      </w:r>
      <w:r>
        <w:rPr>
          <w:highlight w:val="none"/>
          <w:lang w:eastAsia="zh-CN"/>
        </w:rPr>
        <w:t>项目副经理、专业工程师等</w:t>
      </w:r>
      <w:r>
        <w:rPr>
          <w:rFonts w:hint="eastAsia"/>
          <w:highlight w:val="none"/>
          <w:lang w:eastAsia="zh-CN"/>
        </w:rPr>
        <w:t>）</w:t>
      </w:r>
      <w:r>
        <w:rPr>
          <w:rFonts w:hAnsi="宋体"/>
          <w:szCs w:val="18"/>
          <w:highlight w:val="none"/>
        </w:rPr>
        <w:t>。</w:t>
      </w:r>
      <w:r>
        <w:rPr>
          <w:rFonts w:hint="eastAsia" w:hAnsi="宋体"/>
          <w:szCs w:val="18"/>
          <w:highlight w:val="none"/>
        </w:rPr>
        <w:t>上述人员</w:t>
      </w:r>
      <w:r>
        <w:rPr>
          <w:rFonts w:hAnsi="宋体"/>
          <w:szCs w:val="18"/>
          <w:highlight w:val="none"/>
        </w:rPr>
        <w:t>的具体人选由招标人和中标人在合同谈判阶段确定</w:t>
      </w:r>
      <w:r>
        <w:rPr>
          <w:rFonts w:hint="eastAsia" w:hAnsi="宋体"/>
          <w:szCs w:val="18"/>
          <w:highlight w:val="none"/>
        </w:rPr>
        <w:t>，且经</w:t>
      </w:r>
      <w:r>
        <w:rPr>
          <w:rFonts w:hAnsi="宋体"/>
          <w:szCs w:val="18"/>
          <w:highlight w:val="none"/>
        </w:rPr>
        <w:t>招标人审批后作为派驻本标段的项目管理机构主要人员</w:t>
      </w:r>
      <w:r>
        <w:rPr>
          <w:rFonts w:hint="eastAsia" w:hAnsi="宋体"/>
          <w:szCs w:val="18"/>
          <w:highlight w:val="none"/>
        </w:rPr>
        <w:t>，</w:t>
      </w:r>
      <w:r>
        <w:rPr>
          <w:rFonts w:hAnsi="宋体"/>
          <w:szCs w:val="18"/>
          <w:highlight w:val="none"/>
        </w:rPr>
        <w:t>不允许更换。</w:t>
      </w:r>
      <w:r>
        <w:rPr>
          <w:rFonts w:hint="eastAsia" w:hAnsi="宋体"/>
          <w:szCs w:val="18"/>
          <w:highlight w:val="none"/>
        </w:rPr>
        <w:t>如中标人拟派驻的人员数量和资格条件不满足本表要求，招标人应取消其中标资格。</w:t>
      </w:r>
    </w:p>
    <w:p w14:paraId="385CB991">
      <w:pPr>
        <w:pStyle w:val="15"/>
        <w:spacing w:line="300" w:lineRule="atLeast"/>
        <w:ind w:left="361" w:leftChars="86" w:hanging="180" w:hangingChars="100"/>
        <w:jc w:val="both"/>
        <w:rPr>
          <w:rFonts w:hint="eastAsia"/>
          <w:szCs w:val="18"/>
          <w:highlight w:val="none"/>
        </w:rPr>
      </w:pPr>
      <w:r>
        <w:rPr>
          <w:szCs w:val="18"/>
          <w:highlight w:val="none"/>
        </w:rPr>
        <w:t>b.</w:t>
      </w:r>
      <w:r>
        <w:rPr>
          <w:rFonts w:hAnsi="宋体"/>
          <w:szCs w:val="18"/>
          <w:highlight w:val="none"/>
        </w:rPr>
        <w:t>本表不适用于已按资格预审文件或招标文件要求提供了其他管理和技术人员的特别复杂的特大桥梁和特长隧道项目主体工程以及其他有特殊要求的工程</w:t>
      </w:r>
      <w:r>
        <w:rPr>
          <w:rFonts w:hint="eastAsia" w:ascii="宋体" w:hAnsi="宋体"/>
          <w:szCs w:val="18"/>
          <w:highlight w:val="none"/>
        </w:rPr>
        <w:t>。</w:t>
      </w:r>
    </w:p>
  </w:footnote>
  <w:footnote w:id="9">
    <w:p w14:paraId="6A6AEA0C">
      <w:pPr>
        <w:pStyle w:val="15"/>
        <w:spacing w:line="300" w:lineRule="atLeast"/>
        <w:ind w:left="360" w:hanging="360" w:hangingChars="200"/>
        <w:rPr>
          <w:szCs w:val="18"/>
          <w:highlight w:val="none"/>
        </w:rPr>
      </w:pPr>
      <w:r>
        <w:rPr>
          <w:rStyle w:val="28"/>
          <w:szCs w:val="18"/>
          <w:highlight w:val="none"/>
        </w:rPr>
        <w:footnoteRef/>
      </w:r>
      <w:r>
        <w:rPr>
          <w:rFonts w:hint="eastAsia"/>
          <w:szCs w:val="18"/>
          <w:highlight w:val="none"/>
        </w:rPr>
        <w:t xml:space="preserve"> </w:t>
      </w:r>
      <w:r>
        <w:rPr>
          <w:szCs w:val="18"/>
          <w:highlight w:val="none"/>
        </w:rPr>
        <w:t>a.</w:t>
      </w:r>
      <w:r>
        <w:rPr>
          <w:rFonts w:hint="eastAsia"/>
          <w:szCs w:val="18"/>
          <w:highlight w:val="none"/>
        </w:rPr>
        <w:t xml:space="preserve"> </w:t>
      </w:r>
      <w:r>
        <w:rPr>
          <w:rFonts w:hAnsi="宋体"/>
          <w:szCs w:val="18"/>
          <w:highlight w:val="none"/>
        </w:rPr>
        <w:t>招标人应在招标文件中规定若投标人在所投标段中标需提供的主要机械设备和试验检测设备。招标人将在</w:t>
      </w:r>
      <w:r>
        <w:rPr>
          <w:rFonts w:hint="eastAsia" w:hAnsi="宋体"/>
          <w:szCs w:val="18"/>
          <w:highlight w:val="none"/>
        </w:rPr>
        <w:t>合同谈判阶段</w:t>
      </w:r>
      <w:r>
        <w:rPr>
          <w:rFonts w:hAnsi="宋体"/>
          <w:szCs w:val="18"/>
          <w:highlight w:val="none"/>
        </w:rPr>
        <w:t>要求中标人按照本表的最低要求填报为本标段配备的主要设备，在经招标人审批后作为投入本标段的主要设备且不允许更换。</w:t>
      </w:r>
      <w:r>
        <w:rPr>
          <w:rFonts w:hint="eastAsia" w:hAnsi="宋体"/>
          <w:szCs w:val="18"/>
          <w:highlight w:val="none"/>
        </w:rPr>
        <w:t>如</w:t>
      </w:r>
      <w:r>
        <w:rPr>
          <w:rFonts w:hint="eastAsia" w:hAnsi="宋体"/>
          <w:szCs w:val="18"/>
          <w:highlight w:val="none"/>
          <w:lang w:val="en-US" w:eastAsia="zh-CN"/>
        </w:rPr>
        <w:t>投</w:t>
      </w:r>
      <w:r>
        <w:rPr>
          <w:rFonts w:hint="eastAsia" w:hAnsi="宋体"/>
          <w:szCs w:val="18"/>
          <w:highlight w:val="none"/>
        </w:rPr>
        <w:t>标人拟提供的设备数量和规格指标等不满足本表要求，招标人应取消其中标资格。</w:t>
      </w:r>
    </w:p>
    <w:p w14:paraId="4B561DAB">
      <w:pPr>
        <w:pStyle w:val="15"/>
        <w:spacing w:line="300" w:lineRule="atLeast"/>
        <w:ind w:left="451" w:leftChars="129" w:hanging="180" w:hangingChars="100"/>
        <w:jc w:val="both"/>
        <w:rPr>
          <w:rFonts w:hint="eastAsia"/>
          <w:szCs w:val="18"/>
          <w:highlight w:val="none"/>
        </w:rPr>
      </w:pPr>
      <w:r>
        <w:rPr>
          <w:szCs w:val="18"/>
          <w:highlight w:val="none"/>
        </w:rPr>
        <w:t>b.</w:t>
      </w:r>
      <w:r>
        <w:rPr>
          <w:rFonts w:hAnsi="宋体"/>
          <w:szCs w:val="18"/>
          <w:highlight w:val="none"/>
        </w:rPr>
        <w:t>本表不适用</w:t>
      </w:r>
      <w:r>
        <w:rPr>
          <w:rFonts w:hint="eastAsia" w:ascii="宋体" w:hAnsi="宋体"/>
          <w:szCs w:val="18"/>
          <w:highlight w:val="none"/>
        </w:rPr>
        <w:t>于已按资格预审文件或招标文件要求提供了主要机械设备和试验检测设备的特别复杂的特大桥梁和特长隧道项目主体工程以及其他有特殊要求的工程。</w:t>
      </w:r>
    </w:p>
    <w:p w14:paraId="6DEB26AA">
      <w:pPr>
        <w:pStyle w:val="15"/>
        <w:ind w:left="210" w:hanging="210"/>
        <w:rPr>
          <w:rFonts w:hint="eastAsia"/>
          <w:sz w:val="21"/>
          <w:szCs w:val="21"/>
          <w:highlight w:val="none"/>
        </w:rPr>
      </w:pPr>
    </w:p>
  </w:footnote>
  <w:footnote w:id="10">
    <w:p w14:paraId="5A6D7864">
      <w:pPr>
        <w:pStyle w:val="15"/>
        <w:spacing w:line="300" w:lineRule="atLeast"/>
        <w:ind w:left="180" w:hanging="180" w:hangingChars="100"/>
        <w:rPr>
          <w:rFonts w:hint="eastAsia"/>
          <w:szCs w:val="18"/>
          <w:highlight w:val="none"/>
        </w:rPr>
      </w:pPr>
      <w:r>
        <w:rPr>
          <w:szCs w:val="18"/>
          <w:highlight w:val="none"/>
          <w:vertAlign w:val="superscript"/>
        </w:rPr>
        <w:footnoteRef/>
      </w:r>
      <w:r>
        <w:rPr>
          <w:rFonts w:hint="eastAsia"/>
          <w:szCs w:val="18"/>
          <w:highlight w:val="none"/>
        </w:rPr>
        <w:t xml:space="preserve"> 如果由投标人的法定代表人签署投标文件，则</w:t>
      </w:r>
      <w:r>
        <w:rPr>
          <w:rFonts w:hint="eastAsia"/>
          <w:szCs w:val="18"/>
          <w:highlight w:val="none"/>
          <w:lang w:eastAsia="zh-CN"/>
        </w:rPr>
        <w:t>无须</w:t>
      </w:r>
      <w:r>
        <w:rPr>
          <w:rFonts w:hint="eastAsia"/>
          <w:szCs w:val="18"/>
          <w:highlight w:val="none"/>
        </w:rPr>
        <w:t>提交授权委托书。</w:t>
      </w:r>
    </w:p>
  </w:footnote>
  <w:footnote w:id="11">
    <w:p w14:paraId="0E241D4C">
      <w:pPr>
        <w:pStyle w:val="15"/>
        <w:spacing w:line="300" w:lineRule="atLeast"/>
        <w:ind w:left="180" w:hanging="180" w:hangingChars="100"/>
        <w:rPr>
          <w:rFonts w:hint="eastAsia"/>
          <w:szCs w:val="18"/>
          <w:highlight w:val="none"/>
        </w:rPr>
      </w:pPr>
      <w:r>
        <w:rPr>
          <w:rStyle w:val="28"/>
          <w:szCs w:val="18"/>
          <w:highlight w:val="none"/>
        </w:rPr>
        <w:footnoteRef/>
      </w:r>
      <w:r>
        <w:rPr>
          <w:szCs w:val="18"/>
          <w:highlight w:val="none"/>
        </w:rPr>
        <w:t xml:space="preserve"> </w:t>
      </w:r>
      <w:r>
        <w:rPr>
          <w:rFonts w:hint="eastAsia"/>
          <w:szCs w:val="18"/>
          <w:highlight w:val="none"/>
        </w:rPr>
        <w:t>本联合体协议书格式适用于未进行资格预审的情况。如果采用资格预审，投标人应在此提供资格预审申请文件中所附的联合体协议书复印件。</w:t>
      </w:r>
    </w:p>
  </w:footnote>
  <w:footnote w:id="12">
    <w:p w14:paraId="30B048E1">
      <w:pPr>
        <w:pStyle w:val="15"/>
        <w:snapToGrid w:val="0"/>
        <w:ind w:firstLine="0"/>
        <w:rPr>
          <w:rFonts w:hint="default" w:eastAsia="宋体"/>
          <w:lang w:val="en-US" w:eastAsia="zh-CN"/>
        </w:rPr>
      </w:pPr>
      <w:r>
        <w:rPr>
          <w:rStyle w:val="28"/>
        </w:rPr>
        <w:footnoteRef/>
      </w:r>
      <w:r>
        <w:t xml:space="preserve"> </w:t>
      </w:r>
      <w:r>
        <w:rPr>
          <w:rFonts w:hint="eastAsia"/>
          <w:lang w:val="en-US" w:eastAsia="zh-CN"/>
        </w:rPr>
        <w:t>若投标人只投一个标段，此条内容划上斜杠即可。</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C6BC3">
    <w:pPr>
      <w:pStyle w:val="13"/>
      <w:pBdr>
        <w:bottom w:val="thinThickSmallGap" w:color="auto" w:sz="12" w:space="0"/>
      </w:pBdr>
      <w:wordWrap w:val="0"/>
      <w:ind w:right="315"/>
      <w:jc w:val="right"/>
      <w:rPr>
        <w:rFonts w:hint="default" w:eastAsia="宋体"/>
        <w:sz w:val="17"/>
        <w:szCs w:val="17"/>
        <w:lang w:val="en-US" w:eastAsia="zh-CN"/>
      </w:rPr>
    </w:pPr>
    <w:r>
      <w:rPr>
        <w:rFonts w:hint="eastAsia" w:ascii="黑体" w:hAnsi="黑体" w:eastAsia="黑体" w:cs="黑体"/>
        <w:b/>
        <w:bCs/>
        <w:sz w:val="21"/>
        <w:szCs w:val="21"/>
        <w:u w:val="none"/>
        <w:lang w:val="en-US" w:eastAsia="zh-CN"/>
      </w:rPr>
      <w:t>施工标段招标文件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3C30C">
    <w:pPr>
      <w:pBdr>
        <w:bottom w:val="single" w:color="auto" w:sz="4" w:space="1"/>
      </w:pBdr>
      <w:topLinePunct/>
      <w:spacing w:line="240" w:lineRule="atLeast"/>
      <w:ind w:right="190"/>
      <w:rPr>
        <w:sz w:val="17"/>
        <w:szCs w:val="17"/>
      </w:rPr>
    </w:pPr>
    <w:r>
      <w:rPr>
        <w:rStyle w:val="31"/>
        <w:rFonts w:hint="eastAsia" w:eastAsia="黑体"/>
        <w:b w:val="0"/>
        <w:bCs w:val="0"/>
        <w:kern w:val="10"/>
        <w:sz w:val="22"/>
        <w:szCs w:val="22"/>
        <w:lang w:val="en-US" w:eastAsia="zh-CN"/>
      </w:rPr>
      <w:t>内蒙古自治区</w:t>
    </w:r>
    <w:r>
      <w:rPr>
        <w:rStyle w:val="31"/>
        <w:rFonts w:hint="eastAsia" w:eastAsia="黑体"/>
        <w:b w:val="0"/>
        <w:bCs w:val="0"/>
        <w:kern w:val="10"/>
        <w:sz w:val="22"/>
        <w:szCs w:val="22"/>
      </w:rPr>
      <w:t>公路工程标准</w:t>
    </w:r>
    <w:r>
      <w:rPr>
        <w:rStyle w:val="31"/>
        <w:rFonts w:hint="eastAsia" w:eastAsia="黑体"/>
        <w:b w:val="0"/>
        <w:bCs w:val="0"/>
        <w:kern w:val="10"/>
        <w:sz w:val="22"/>
        <w:szCs w:val="22"/>
        <w:lang w:eastAsia="zh-CN"/>
      </w:rPr>
      <w:t>施工电子招标文件</w:t>
    </w:r>
    <w:r>
      <w:rPr>
        <w:rStyle w:val="31"/>
        <w:rFonts w:hint="eastAsia" w:eastAsia="黑体"/>
        <w:b w:val="0"/>
        <w:bCs w:val="0"/>
        <w:kern w:val="10"/>
        <w:sz w:val="22"/>
        <w:szCs w:val="22"/>
      </w:rPr>
      <w:t>（</w:t>
    </w:r>
    <w:r>
      <w:rPr>
        <w:rStyle w:val="31"/>
        <w:rFonts w:hint="eastAsia" w:eastAsia="黑体"/>
        <w:b w:val="0"/>
        <w:bCs w:val="0"/>
        <w:kern w:val="10"/>
        <w:sz w:val="22"/>
        <w:szCs w:val="22"/>
        <w:lang w:eastAsia="zh-CN"/>
      </w:rPr>
      <w:t>2025年版</w:t>
    </w:r>
    <w:r>
      <w:rPr>
        <w:rStyle w:val="31"/>
        <w:rFonts w:hint="eastAsia" w:eastAsia="黑体"/>
        <w:b w:val="0"/>
        <w:bCs w:val="0"/>
        <w:kern w:val="10"/>
        <w:sz w:val="22"/>
        <w:szCs w:val="22"/>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1199A">
    <w:pPr>
      <w:pStyle w:val="13"/>
      <w:pBdr>
        <w:bottom w:val="thinThickSmallGap" w:color="auto" w:sz="12" w:space="0"/>
      </w:pBdr>
      <w:wordWrap w:val="0"/>
      <w:ind w:right="315"/>
      <w:jc w:val="right"/>
      <w:rPr>
        <w:sz w:val="17"/>
        <w:szCs w:val="17"/>
      </w:rPr>
    </w:pPr>
    <w:r>
      <w:rPr>
        <w:rFonts w:hint="eastAsia" w:ascii="黑体" w:hAnsi="黑体" w:eastAsia="黑体" w:cs="黑体"/>
        <w:b/>
        <w:bCs/>
        <w:sz w:val="21"/>
        <w:szCs w:val="21"/>
        <w:u w:val="none"/>
        <w:lang w:val="en-US" w:eastAsia="zh-CN"/>
      </w:rPr>
      <w:t xml:space="preserve">       施工标段招标文件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11A8B">
    <w:pPr>
      <w:pStyle w:val="13"/>
      <w:pBdr>
        <w:bottom w:val="thinThickSmallGap" w:color="auto" w:sz="12" w:space="0"/>
      </w:pBdr>
      <w:wordWrap w:val="0"/>
      <w:ind w:right="315"/>
      <w:jc w:val="right"/>
      <w:rPr>
        <w:sz w:val="17"/>
        <w:szCs w:val="17"/>
      </w:rPr>
    </w:pPr>
    <w:r>
      <w:rPr>
        <w:rFonts w:hint="eastAsia" w:ascii="黑体" w:hAnsi="黑体" w:eastAsia="黑体" w:cs="黑体"/>
        <w:b/>
        <w:bCs/>
        <w:sz w:val="21"/>
        <w:szCs w:val="21"/>
        <w:u w:val="none"/>
        <w:lang w:val="en-US" w:eastAsia="zh-CN"/>
      </w:rPr>
      <w:t>施工标段招标文件</w:t>
    </w:r>
  </w:p>
  <w:p w14:paraId="55352370">
    <w:pPr>
      <w:pStyle w:val="1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BE248">
    <w:pPr>
      <w:pBdr>
        <w:bottom w:val="single" w:color="auto" w:sz="4" w:space="1"/>
      </w:pBdr>
      <w:topLinePunct/>
      <w:spacing w:line="240" w:lineRule="atLeast"/>
      <w:ind w:right="190"/>
      <w:rPr>
        <w:sz w:val="17"/>
        <w:szCs w:val="17"/>
      </w:rPr>
    </w:pPr>
    <w:r>
      <w:rPr>
        <w:rStyle w:val="31"/>
        <w:rFonts w:hint="eastAsia" w:eastAsia="黑体"/>
        <w:b w:val="0"/>
        <w:bCs w:val="0"/>
        <w:kern w:val="10"/>
        <w:sz w:val="22"/>
        <w:szCs w:val="22"/>
        <w:lang w:val="en-US" w:eastAsia="zh-CN"/>
      </w:rPr>
      <w:t>内蒙古自治区</w:t>
    </w:r>
    <w:r>
      <w:rPr>
        <w:rStyle w:val="31"/>
        <w:rFonts w:hint="eastAsia" w:eastAsia="黑体"/>
        <w:b w:val="0"/>
        <w:bCs w:val="0"/>
        <w:kern w:val="10"/>
        <w:sz w:val="22"/>
        <w:szCs w:val="22"/>
      </w:rPr>
      <w:t>公路工程标准</w:t>
    </w:r>
    <w:r>
      <w:rPr>
        <w:rStyle w:val="31"/>
        <w:rFonts w:hint="eastAsia" w:eastAsia="黑体"/>
        <w:b w:val="0"/>
        <w:bCs w:val="0"/>
        <w:kern w:val="10"/>
        <w:sz w:val="22"/>
        <w:szCs w:val="22"/>
        <w:lang w:eastAsia="zh-CN"/>
      </w:rPr>
      <w:t>施工电子招标文件</w:t>
    </w:r>
    <w:r>
      <w:rPr>
        <w:rStyle w:val="31"/>
        <w:rFonts w:hint="eastAsia" w:eastAsia="黑体"/>
        <w:b w:val="0"/>
        <w:bCs w:val="0"/>
        <w:kern w:val="10"/>
        <w:sz w:val="22"/>
        <w:szCs w:val="22"/>
      </w:rPr>
      <w:t>（</w:t>
    </w:r>
    <w:r>
      <w:rPr>
        <w:rStyle w:val="31"/>
        <w:rFonts w:hint="eastAsia" w:eastAsia="黑体"/>
        <w:b w:val="0"/>
        <w:bCs w:val="0"/>
        <w:kern w:val="10"/>
        <w:sz w:val="22"/>
        <w:szCs w:val="22"/>
        <w:lang w:eastAsia="zh-CN"/>
      </w:rPr>
      <w:t>2025年版</w:t>
    </w:r>
    <w:r>
      <w:rPr>
        <w:rStyle w:val="31"/>
        <w:rFonts w:hint="eastAsia" w:eastAsia="黑体"/>
        <w:b w:val="0"/>
        <w:bCs w:val="0"/>
        <w:kern w:val="10"/>
        <w:sz w:val="22"/>
        <w:szCs w:val="22"/>
      </w:rPr>
      <w: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D2AE6">
    <w:pPr>
      <w:pStyle w:val="13"/>
      <w:rPr>
        <w:szCs w:val="17"/>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89096">
    <w:pPr>
      <w:pStyle w:val="13"/>
      <w:rPr>
        <w:szCs w:val="17"/>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42488">
    <w:pPr>
      <w:pStyle w:val="13"/>
      <w:pBdr>
        <w:bottom w:val="thinThickSmallGap" w:color="auto" w:sz="12" w:space="0"/>
      </w:pBdr>
      <w:jc w:val="right"/>
    </w:pPr>
    <w:r>
      <w:rPr>
        <w:rFonts w:hint="eastAsia" w:ascii="黑体" w:hAnsi="黑体" w:eastAsia="黑体" w:cs="黑体"/>
        <w:b/>
        <w:color w:val="auto"/>
        <w:sz w:val="21"/>
        <w:szCs w:val="21"/>
        <w:lang w:val="en-US" w:eastAsia="zh-CN"/>
      </w:rPr>
      <w:t>施工标段</w:t>
    </w:r>
    <w:r>
      <w:rPr>
        <w:rFonts w:hint="eastAsia" w:ascii="黑体" w:hAnsi="黑体" w:eastAsia="黑体" w:cs="黑体"/>
        <w:b/>
        <w:color w:val="auto"/>
        <w:w w:val="90"/>
        <w:sz w:val="21"/>
        <w:szCs w:val="21"/>
      </w:rPr>
      <w:t>招标文件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57E19">
    <w:pPr>
      <w:pStyle w:val="13"/>
      <w:pBdr>
        <w:bottom w:val="thinThickSmallGap" w:color="auto" w:sz="12" w:space="0"/>
      </w:pBdr>
      <w:jc w:val="right"/>
    </w:pPr>
    <w:r>
      <w:rPr>
        <w:rFonts w:hint="eastAsia" w:ascii="黑体" w:hAnsi="黑体" w:eastAsia="黑体" w:cs="黑体"/>
        <w:b/>
        <w:color w:val="auto"/>
        <w:sz w:val="21"/>
        <w:szCs w:val="21"/>
        <w:lang w:val="en-US" w:eastAsia="zh-CN"/>
      </w:rPr>
      <w:t>施工标段</w:t>
    </w:r>
    <w:r>
      <w:rPr>
        <w:rFonts w:hint="eastAsia" w:ascii="黑体" w:hAnsi="黑体" w:eastAsia="黑体" w:cs="黑体"/>
        <w:b/>
        <w:color w:val="auto"/>
        <w:w w:val="90"/>
        <w:sz w:val="21"/>
        <w:szCs w:val="21"/>
      </w:rPr>
      <w:t>招标文件</w:t>
    </w:r>
  </w:p>
  <w:p w14:paraId="63E22A43">
    <w:pPr>
      <w:pBdr>
        <w:bottom w:val="none" w:color="auto" w:sz="0" w:space="1"/>
      </w:pBdr>
      <w:topLinePunct/>
      <w:spacing w:line="240" w:lineRule="atLeast"/>
      <w:ind w:right="190"/>
      <w:jc w:val="right"/>
      <w:rPr>
        <w:rFonts w:hint="eastAsia" w:eastAsia="宋体"/>
        <w:sz w:val="17"/>
        <w:szCs w:val="17"/>
        <w:lang w:val="en-US"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9E771">
    <w:pPr>
      <w:pBdr>
        <w:bottom w:val="single" w:color="auto" w:sz="4" w:space="1"/>
      </w:pBdr>
      <w:topLinePunct/>
      <w:spacing w:line="240" w:lineRule="atLeast"/>
      <w:ind w:right="190"/>
      <w:rPr>
        <w:sz w:val="17"/>
        <w:szCs w:val="17"/>
      </w:rPr>
    </w:pPr>
    <w:r>
      <w:rPr>
        <w:rStyle w:val="31"/>
        <w:rFonts w:hint="eastAsia" w:eastAsia="黑体"/>
        <w:b w:val="0"/>
        <w:bCs w:val="0"/>
        <w:kern w:val="10"/>
        <w:sz w:val="22"/>
        <w:szCs w:val="22"/>
        <w:lang w:val="en-US" w:eastAsia="zh-CN"/>
      </w:rPr>
      <w:t>内蒙古自治区</w:t>
    </w:r>
    <w:r>
      <w:rPr>
        <w:rStyle w:val="31"/>
        <w:rFonts w:hint="eastAsia" w:eastAsia="黑体"/>
        <w:b w:val="0"/>
        <w:bCs w:val="0"/>
        <w:kern w:val="10"/>
        <w:sz w:val="22"/>
        <w:szCs w:val="22"/>
      </w:rPr>
      <w:t>公路工程标准</w:t>
    </w:r>
    <w:r>
      <w:rPr>
        <w:rStyle w:val="31"/>
        <w:rFonts w:hint="eastAsia" w:eastAsia="黑体"/>
        <w:b w:val="0"/>
        <w:bCs w:val="0"/>
        <w:kern w:val="10"/>
        <w:sz w:val="22"/>
        <w:szCs w:val="22"/>
        <w:lang w:eastAsia="zh-CN"/>
      </w:rPr>
      <w:t>施工电子招标文件</w:t>
    </w:r>
    <w:r>
      <w:rPr>
        <w:rStyle w:val="31"/>
        <w:rFonts w:hint="eastAsia" w:eastAsia="黑体"/>
        <w:b w:val="0"/>
        <w:bCs w:val="0"/>
        <w:kern w:val="10"/>
        <w:sz w:val="22"/>
        <w:szCs w:val="22"/>
      </w:rPr>
      <w:t>（</w:t>
    </w:r>
    <w:r>
      <w:rPr>
        <w:rStyle w:val="31"/>
        <w:rFonts w:hint="eastAsia" w:eastAsia="黑体"/>
        <w:b w:val="0"/>
        <w:bCs w:val="0"/>
        <w:kern w:val="10"/>
        <w:sz w:val="22"/>
        <w:szCs w:val="22"/>
        <w:lang w:eastAsia="zh-CN"/>
      </w:rPr>
      <w:t>2025年版</w:t>
    </w:r>
    <w:r>
      <w:rPr>
        <w:rStyle w:val="31"/>
        <w:rFonts w:hint="eastAsia" w:eastAsia="黑体"/>
        <w:b w:val="0"/>
        <w:bCs w:val="0"/>
        <w:kern w:val="10"/>
        <w:sz w:val="22"/>
        <w:szCs w:val="22"/>
      </w:rPr>
      <w:t>）</w:t>
    </w:r>
  </w:p>
  <w:p w14:paraId="0981705F">
    <w:pPr>
      <w:pStyle w:val="13"/>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163C2">
    <w:pPr>
      <w:pStyle w:val="13"/>
      <w:rPr>
        <w:szCs w:val="17"/>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82563">
    <w:pPr>
      <w:pStyle w:val="13"/>
      <w:pBdr>
        <w:bottom w:val="thinThickSmallGap" w:color="auto" w:sz="12" w:space="0"/>
      </w:pBdr>
      <w:jc w:val="right"/>
    </w:pPr>
    <w:r>
      <w:rPr>
        <w:rFonts w:hint="eastAsia" w:ascii="黑体" w:hAnsi="黑体" w:eastAsia="黑体" w:cs="黑体"/>
        <w:b/>
        <w:color w:val="auto"/>
        <w:sz w:val="21"/>
        <w:szCs w:val="21"/>
        <w:lang w:val="en-US" w:eastAsia="zh-CN"/>
      </w:rPr>
      <w:t>施工标段</w:t>
    </w:r>
    <w:r>
      <w:rPr>
        <w:rFonts w:hint="eastAsia" w:ascii="黑体" w:hAnsi="黑体" w:eastAsia="黑体" w:cs="黑体"/>
        <w:b/>
        <w:color w:val="auto"/>
        <w:w w:val="90"/>
        <w:sz w:val="21"/>
        <w:szCs w:val="21"/>
      </w:rPr>
      <w:t>招标文件</w:t>
    </w:r>
  </w:p>
  <w:p w14:paraId="4A19EDCD">
    <w:pPr>
      <w:pStyle w:val="13"/>
      <w:rPr>
        <w:szCs w:val="17"/>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EF24C">
    <w:pPr>
      <w:pStyle w:val="13"/>
      <w:rPr>
        <w:szCs w:val="17"/>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E4DB3">
    <w:pPr>
      <w:pStyle w:val="13"/>
      <w:pBdr>
        <w:bottom w:val="thinThickSmallGap" w:color="auto" w:sz="12" w:space="0"/>
      </w:pBdr>
      <w:jc w:val="right"/>
    </w:pPr>
    <w:r>
      <w:rPr>
        <w:rFonts w:hint="eastAsia" w:ascii="黑体" w:hAnsi="黑体" w:eastAsia="黑体" w:cs="黑体"/>
        <w:b/>
        <w:color w:val="auto"/>
        <w:sz w:val="21"/>
        <w:szCs w:val="21"/>
        <w:lang w:val="en-US" w:eastAsia="zh-CN"/>
      </w:rPr>
      <w:t>施工标段</w:t>
    </w:r>
    <w:r>
      <w:rPr>
        <w:rFonts w:hint="eastAsia" w:ascii="黑体" w:hAnsi="黑体" w:eastAsia="黑体" w:cs="黑体"/>
        <w:b/>
        <w:color w:val="auto"/>
        <w:w w:val="90"/>
        <w:sz w:val="21"/>
        <w:szCs w:val="21"/>
      </w:rPr>
      <w:t>招标文件</w:t>
    </w:r>
  </w:p>
  <w:p w14:paraId="0F016F51">
    <w:pPr>
      <w:pBdr>
        <w:bottom w:val="none" w:color="auto" w:sz="0" w:space="1"/>
      </w:pBdr>
      <w:wordWrap w:val="0"/>
      <w:topLinePunct/>
      <w:spacing w:line="240" w:lineRule="atLeast"/>
      <w:ind w:right="190"/>
      <w:jc w:val="right"/>
      <w:rPr>
        <w:sz w:val="17"/>
        <w:szCs w:val="17"/>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8D021">
    <w:pPr>
      <w:pBdr>
        <w:bottom w:val="single" w:color="auto" w:sz="4" w:space="1"/>
      </w:pBdr>
      <w:topLinePunct/>
      <w:spacing w:line="240" w:lineRule="atLeast"/>
      <w:ind w:right="190"/>
      <w:rPr>
        <w:sz w:val="17"/>
        <w:szCs w:val="17"/>
      </w:rPr>
    </w:pPr>
    <w:r>
      <w:rPr>
        <w:rStyle w:val="31"/>
        <w:rFonts w:hint="eastAsia" w:eastAsia="黑体"/>
        <w:b w:val="0"/>
        <w:bCs w:val="0"/>
        <w:kern w:val="10"/>
        <w:sz w:val="22"/>
        <w:szCs w:val="22"/>
        <w:lang w:val="en-US" w:eastAsia="zh-CN"/>
      </w:rPr>
      <w:t>内蒙古自治区</w:t>
    </w:r>
    <w:r>
      <w:rPr>
        <w:rStyle w:val="31"/>
        <w:rFonts w:hint="eastAsia" w:eastAsia="黑体"/>
        <w:b w:val="0"/>
        <w:bCs w:val="0"/>
        <w:kern w:val="10"/>
        <w:sz w:val="22"/>
        <w:szCs w:val="22"/>
      </w:rPr>
      <w:t>公路工程标准</w:t>
    </w:r>
    <w:r>
      <w:rPr>
        <w:rStyle w:val="31"/>
        <w:rFonts w:hint="eastAsia" w:eastAsia="黑体"/>
        <w:b w:val="0"/>
        <w:bCs w:val="0"/>
        <w:kern w:val="10"/>
        <w:sz w:val="22"/>
        <w:szCs w:val="22"/>
        <w:lang w:eastAsia="zh-CN"/>
      </w:rPr>
      <w:t>施工电子招标文件</w:t>
    </w:r>
    <w:r>
      <w:rPr>
        <w:rStyle w:val="31"/>
        <w:rFonts w:hint="eastAsia" w:eastAsia="黑体"/>
        <w:b w:val="0"/>
        <w:bCs w:val="0"/>
        <w:kern w:val="10"/>
        <w:sz w:val="22"/>
        <w:szCs w:val="22"/>
      </w:rPr>
      <w:t>（</w:t>
    </w:r>
    <w:r>
      <w:rPr>
        <w:rStyle w:val="31"/>
        <w:rFonts w:hint="eastAsia" w:eastAsia="黑体"/>
        <w:b w:val="0"/>
        <w:bCs w:val="0"/>
        <w:kern w:val="10"/>
        <w:sz w:val="22"/>
        <w:szCs w:val="22"/>
        <w:lang w:eastAsia="zh-CN"/>
      </w:rPr>
      <w:t>2025年版</w:t>
    </w:r>
    <w:r>
      <w:rPr>
        <w:rStyle w:val="31"/>
        <w:rFonts w:hint="eastAsia" w:eastAsia="黑体"/>
        <w:b w:val="0"/>
        <w:bCs w:val="0"/>
        <w:kern w:val="10"/>
        <w:sz w:val="22"/>
        <w:szCs w:val="22"/>
      </w:rPr>
      <w:t>）</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B6581">
    <w:pPr>
      <w:pBdr>
        <w:bottom w:val="single" w:color="auto" w:sz="4" w:space="1"/>
      </w:pBdr>
      <w:wordWrap w:val="0"/>
      <w:topLinePunct/>
      <w:spacing w:line="240" w:lineRule="atLeast"/>
      <w:ind w:right="190"/>
      <w:jc w:val="right"/>
      <w:rPr>
        <w:sz w:val="17"/>
        <w:szCs w:val="17"/>
      </w:rPr>
    </w:pPr>
    <w:r>
      <w:rPr>
        <w:rStyle w:val="31"/>
        <w:rFonts w:hint="eastAsia" w:eastAsia="黑体"/>
        <w:b w:val="0"/>
        <w:bCs w:val="0"/>
        <w:kern w:val="10"/>
        <w:sz w:val="22"/>
        <w:szCs w:val="22"/>
      </w:rPr>
      <w:t>附录  采用电子招标投标条款示例</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singleLevel"/>
    <w:tmpl w:val="9239341B"/>
    <w:lvl w:ilvl="0" w:tentative="0">
      <w:start w:val="1"/>
      <w:numFmt w:val="decimal"/>
      <w:lvlText w:val="%1."/>
      <w:lvlJc w:val="left"/>
      <w:rPr>
        <w:color w:val="3370FF"/>
      </w:rPr>
    </w:lvl>
  </w:abstractNum>
  <w:abstractNum w:abstractNumId="1">
    <w:nsid w:val="B5E306ED"/>
    <w:multiLevelType w:val="singleLevel"/>
    <w:tmpl w:val="B5E306ED"/>
    <w:lvl w:ilvl="0" w:tentative="0">
      <w:start w:val="3"/>
      <w:numFmt w:val="decimal"/>
      <w:lvlText w:val="%1."/>
      <w:lvlJc w:val="left"/>
      <w:rPr>
        <w:color w:val="3370FF"/>
      </w:rPr>
    </w:lvl>
  </w:abstractNum>
  <w:abstractNum w:abstractNumId="2">
    <w:nsid w:val="BF205925"/>
    <w:multiLevelType w:val="singleLevel"/>
    <w:tmpl w:val="BF205925"/>
    <w:lvl w:ilvl="0" w:tentative="0">
      <w:start w:val="2"/>
      <w:numFmt w:val="decimal"/>
      <w:lvlText w:val="%1."/>
      <w:lvlJc w:val="left"/>
      <w:rPr>
        <w:color w:val="3370FF"/>
      </w:rPr>
    </w:lvl>
  </w:abstractNum>
  <w:abstractNum w:abstractNumId="3">
    <w:nsid w:val="C8879AEF"/>
    <w:multiLevelType w:val="singleLevel"/>
    <w:tmpl w:val="C8879AEF"/>
    <w:lvl w:ilvl="0" w:tentative="0">
      <w:start w:val="1"/>
      <w:numFmt w:val="decimal"/>
      <w:lvlText w:val="%1."/>
      <w:lvlJc w:val="left"/>
      <w:rPr>
        <w:color w:val="3370FF"/>
      </w:rPr>
    </w:lvl>
  </w:abstractNum>
  <w:abstractNum w:abstractNumId="4">
    <w:nsid w:val="CF092B84"/>
    <w:multiLevelType w:val="singleLevel"/>
    <w:tmpl w:val="CF092B84"/>
    <w:lvl w:ilvl="0" w:tentative="0">
      <w:start w:val="2"/>
      <w:numFmt w:val="decimal"/>
      <w:lvlText w:val="%1."/>
      <w:lvlJc w:val="left"/>
      <w:rPr>
        <w:color w:val="3370FF"/>
      </w:rPr>
    </w:lvl>
  </w:abstractNum>
  <w:abstractNum w:abstractNumId="5">
    <w:nsid w:val="CFCD94E0"/>
    <w:multiLevelType w:val="singleLevel"/>
    <w:tmpl w:val="CFCD94E0"/>
    <w:lvl w:ilvl="0" w:tentative="0">
      <w:start w:val="7"/>
      <w:numFmt w:val="decimal"/>
      <w:lvlText w:val="%1."/>
      <w:lvlJc w:val="left"/>
      <w:pPr>
        <w:tabs>
          <w:tab w:val="left" w:pos="312"/>
        </w:tabs>
      </w:pPr>
    </w:lvl>
  </w:abstractNum>
  <w:abstractNum w:abstractNumId="6">
    <w:nsid w:val="CFE43C20"/>
    <w:multiLevelType w:val="singleLevel"/>
    <w:tmpl w:val="CFE43C20"/>
    <w:lvl w:ilvl="0" w:tentative="0">
      <w:start w:val="1"/>
      <w:numFmt w:val="decimal"/>
      <w:suff w:val="nothing"/>
      <w:lvlText w:val="（%1）"/>
      <w:lvlJc w:val="left"/>
    </w:lvl>
  </w:abstractNum>
  <w:abstractNum w:abstractNumId="7">
    <w:nsid w:val="F4B5D9F5"/>
    <w:multiLevelType w:val="singleLevel"/>
    <w:tmpl w:val="F4B5D9F5"/>
    <w:lvl w:ilvl="0" w:tentative="0">
      <w:start w:val="3"/>
      <w:numFmt w:val="decimal"/>
      <w:lvlText w:val="%1."/>
      <w:lvlJc w:val="left"/>
      <w:rPr>
        <w:color w:val="3370FF"/>
      </w:rPr>
    </w:lvl>
  </w:abstractNum>
  <w:abstractNum w:abstractNumId="8">
    <w:nsid w:val="0053208E"/>
    <w:multiLevelType w:val="singleLevel"/>
    <w:tmpl w:val="0053208E"/>
    <w:lvl w:ilvl="0" w:tentative="0">
      <w:start w:val="1"/>
      <w:numFmt w:val="decimal"/>
      <w:lvlText w:val="%1."/>
      <w:lvlJc w:val="left"/>
      <w:rPr>
        <w:color w:val="3370FF"/>
      </w:rPr>
    </w:lvl>
  </w:abstractNum>
  <w:abstractNum w:abstractNumId="9">
    <w:nsid w:val="0248C179"/>
    <w:multiLevelType w:val="singleLevel"/>
    <w:tmpl w:val="0248C179"/>
    <w:lvl w:ilvl="0" w:tentative="0">
      <w:start w:val="4"/>
      <w:numFmt w:val="decimal"/>
      <w:lvlText w:val="%1."/>
      <w:lvlJc w:val="left"/>
      <w:rPr>
        <w:color w:val="3370FF"/>
      </w:rPr>
    </w:lvl>
  </w:abstractNum>
  <w:abstractNum w:abstractNumId="10">
    <w:nsid w:val="03D62ECE"/>
    <w:multiLevelType w:val="singleLevel"/>
    <w:tmpl w:val="03D62ECE"/>
    <w:lvl w:ilvl="0" w:tentative="0">
      <w:start w:val="1"/>
      <w:numFmt w:val="decimal"/>
      <w:lvlText w:val="%1."/>
      <w:lvlJc w:val="left"/>
      <w:rPr>
        <w:color w:val="3370FF"/>
      </w:rPr>
    </w:lvl>
  </w:abstractNum>
  <w:abstractNum w:abstractNumId="11">
    <w:nsid w:val="20A73826"/>
    <w:multiLevelType w:val="singleLevel"/>
    <w:tmpl w:val="20A73826"/>
    <w:lvl w:ilvl="0" w:tentative="0">
      <w:start w:val="1"/>
      <w:numFmt w:val="decimal"/>
      <w:suff w:val="nothing"/>
      <w:lvlText w:val="（%1）"/>
      <w:lvlJc w:val="left"/>
    </w:lvl>
  </w:abstractNum>
  <w:abstractNum w:abstractNumId="12">
    <w:nsid w:val="25B654F3"/>
    <w:multiLevelType w:val="singleLevel"/>
    <w:tmpl w:val="25B654F3"/>
    <w:lvl w:ilvl="0" w:tentative="0">
      <w:start w:val="2"/>
      <w:numFmt w:val="decimal"/>
      <w:lvlText w:val="%1."/>
      <w:lvlJc w:val="left"/>
      <w:rPr>
        <w:color w:val="3370FF"/>
      </w:rPr>
    </w:lvl>
  </w:abstractNum>
  <w:abstractNum w:abstractNumId="13">
    <w:nsid w:val="2A8F537B"/>
    <w:multiLevelType w:val="singleLevel"/>
    <w:tmpl w:val="2A8F537B"/>
    <w:lvl w:ilvl="0" w:tentative="0">
      <w:start w:val="2"/>
      <w:numFmt w:val="decimal"/>
      <w:lvlText w:val="%1."/>
      <w:lvlJc w:val="left"/>
      <w:rPr>
        <w:color w:val="3370FF"/>
      </w:rPr>
    </w:lvl>
  </w:abstractNum>
  <w:abstractNum w:abstractNumId="14">
    <w:nsid w:val="4D4DC07F"/>
    <w:multiLevelType w:val="singleLevel"/>
    <w:tmpl w:val="4D4DC07F"/>
    <w:lvl w:ilvl="0" w:tentative="0">
      <w:start w:val="2"/>
      <w:numFmt w:val="decimal"/>
      <w:lvlText w:val="%1."/>
      <w:lvlJc w:val="left"/>
      <w:rPr>
        <w:color w:val="3370FF"/>
      </w:rPr>
    </w:lvl>
  </w:abstractNum>
  <w:abstractNum w:abstractNumId="15">
    <w:nsid w:val="59ADCABA"/>
    <w:multiLevelType w:val="singleLevel"/>
    <w:tmpl w:val="59ADCABA"/>
    <w:lvl w:ilvl="0" w:tentative="0">
      <w:start w:val="1"/>
      <w:numFmt w:val="decimal"/>
      <w:lvlText w:val="%1."/>
      <w:lvlJc w:val="left"/>
      <w:rPr>
        <w:color w:val="3370FF"/>
      </w:rPr>
    </w:lvl>
  </w:abstractNum>
  <w:abstractNum w:abstractNumId="16">
    <w:nsid w:val="5A241D34"/>
    <w:multiLevelType w:val="singleLevel"/>
    <w:tmpl w:val="5A241D34"/>
    <w:lvl w:ilvl="0" w:tentative="0">
      <w:start w:val="3"/>
      <w:numFmt w:val="decimal"/>
      <w:lvlText w:val="%1."/>
      <w:lvlJc w:val="left"/>
      <w:rPr>
        <w:color w:val="3370FF"/>
      </w:rPr>
    </w:lvl>
  </w:abstractNum>
  <w:abstractNum w:abstractNumId="17">
    <w:nsid w:val="6E2FF1B1"/>
    <w:multiLevelType w:val="multilevel"/>
    <w:tmpl w:val="6E2FF1B1"/>
    <w:lvl w:ilvl="0" w:tentative="0">
      <w:start w:val="1"/>
      <w:numFmt w:val="chineseCountingThousand"/>
      <w:lvlText w:val="%1、"/>
      <w:lvlJc w:val="left"/>
      <w:pPr>
        <w:tabs>
          <w:tab w:val="left" w:pos="425"/>
        </w:tabs>
        <w:ind w:left="425" w:hanging="425"/>
      </w:pPr>
      <w:rPr>
        <w:rFonts w:hint="eastAsia" w:ascii="Times New Roman" w:hAnsi="Times New Roman" w:eastAsia="黑体"/>
        <w:b w:val="0"/>
        <w:i w:val="0"/>
        <w:sz w:val="28"/>
        <w:szCs w:val="28"/>
      </w:rPr>
    </w:lvl>
    <w:lvl w:ilvl="1" w:tentative="0">
      <w:start w:val="1"/>
      <w:numFmt w:val="decimal"/>
      <w:isLgl/>
      <w:lvlText w:val="%1.%2"/>
      <w:lvlJc w:val="left"/>
      <w:pPr>
        <w:tabs>
          <w:tab w:val="left" w:pos="992"/>
        </w:tabs>
        <w:ind w:left="992" w:hanging="567"/>
      </w:pPr>
      <w:rPr>
        <w:rFonts w:hint="eastAsia"/>
      </w:rPr>
    </w:lvl>
    <w:lvl w:ilvl="2" w:tentative="0">
      <w:start w:val="1"/>
      <w:numFmt w:val="decimal"/>
      <w:pStyle w:val="4"/>
      <w:isLg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8">
    <w:nsid w:val="72183CF9"/>
    <w:multiLevelType w:val="singleLevel"/>
    <w:tmpl w:val="72183CF9"/>
    <w:lvl w:ilvl="0" w:tentative="0">
      <w:start w:val="3"/>
      <w:numFmt w:val="decimal"/>
      <w:lvlText w:val="%1."/>
      <w:lvlJc w:val="left"/>
      <w:rPr>
        <w:color w:val="3370FF"/>
      </w:rPr>
    </w:lvl>
  </w:abstractNum>
  <w:abstractNum w:abstractNumId="19">
    <w:nsid w:val="77499821"/>
    <w:multiLevelType w:val="singleLevel"/>
    <w:tmpl w:val="77499821"/>
    <w:lvl w:ilvl="0" w:tentative="0">
      <w:start w:val="1"/>
      <w:numFmt w:val="decimal"/>
      <w:suff w:val="nothing"/>
      <w:lvlText w:val="（%1）"/>
      <w:lvlJc w:val="left"/>
    </w:lvl>
  </w:abstractNum>
  <w:num w:numId="1">
    <w:abstractNumId w:val="17"/>
  </w:num>
  <w:num w:numId="2">
    <w:abstractNumId w:val="5"/>
  </w:num>
  <w:num w:numId="3">
    <w:abstractNumId w:val="19"/>
  </w:num>
  <w:num w:numId="4">
    <w:abstractNumId w:val="6"/>
  </w:num>
  <w:num w:numId="5">
    <w:abstractNumId w:val="11"/>
  </w:num>
  <w:num w:numId="6">
    <w:abstractNumId w:val="8"/>
  </w:num>
  <w:num w:numId="7">
    <w:abstractNumId w:val="4"/>
  </w:num>
  <w:num w:numId="8">
    <w:abstractNumId w:val="15"/>
  </w:num>
  <w:num w:numId="9">
    <w:abstractNumId w:val="2"/>
  </w:num>
  <w:num w:numId="10">
    <w:abstractNumId w:val="1"/>
  </w:num>
  <w:num w:numId="11">
    <w:abstractNumId w:val="10"/>
  </w:num>
  <w:num w:numId="12">
    <w:abstractNumId w:val="12"/>
  </w:num>
  <w:num w:numId="13">
    <w:abstractNumId w:val="18"/>
  </w:num>
  <w:num w:numId="14">
    <w:abstractNumId w:val="9"/>
  </w:num>
  <w:num w:numId="15">
    <w:abstractNumId w:val="0"/>
  </w:num>
  <w:num w:numId="16">
    <w:abstractNumId w:val="13"/>
  </w:num>
  <w:num w:numId="17">
    <w:abstractNumId w:val="16"/>
  </w:num>
  <w:num w:numId="18">
    <w:abstractNumId w:val="3"/>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 w:id="26"/>
    <w:footnote w:id="27"/>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E3FC3"/>
    <w:rsid w:val="004200A4"/>
    <w:rsid w:val="00612345"/>
    <w:rsid w:val="006B31C3"/>
    <w:rsid w:val="00732078"/>
    <w:rsid w:val="00755DF0"/>
    <w:rsid w:val="00DC5E6F"/>
    <w:rsid w:val="00E30FAC"/>
    <w:rsid w:val="00E84814"/>
    <w:rsid w:val="00EA233A"/>
    <w:rsid w:val="00F9257D"/>
    <w:rsid w:val="01447066"/>
    <w:rsid w:val="019B3634"/>
    <w:rsid w:val="019D115B"/>
    <w:rsid w:val="01D6466C"/>
    <w:rsid w:val="0227311A"/>
    <w:rsid w:val="02421D02"/>
    <w:rsid w:val="02661E94"/>
    <w:rsid w:val="026D3223"/>
    <w:rsid w:val="026E0D49"/>
    <w:rsid w:val="027A149C"/>
    <w:rsid w:val="027E7BBC"/>
    <w:rsid w:val="029702A0"/>
    <w:rsid w:val="029816D8"/>
    <w:rsid w:val="02B50726"/>
    <w:rsid w:val="02F0175E"/>
    <w:rsid w:val="03165668"/>
    <w:rsid w:val="03483348"/>
    <w:rsid w:val="03653EFA"/>
    <w:rsid w:val="03930CCD"/>
    <w:rsid w:val="03B92498"/>
    <w:rsid w:val="03C25E2B"/>
    <w:rsid w:val="03CF3FFD"/>
    <w:rsid w:val="03F359AA"/>
    <w:rsid w:val="043867EE"/>
    <w:rsid w:val="043B2EAD"/>
    <w:rsid w:val="04536448"/>
    <w:rsid w:val="047C599F"/>
    <w:rsid w:val="04912ACD"/>
    <w:rsid w:val="04B51B82"/>
    <w:rsid w:val="05087233"/>
    <w:rsid w:val="05335561"/>
    <w:rsid w:val="059B00A7"/>
    <w:rsid w:val="05AA02EA"/>
    <w:rsid w:val="05AB73D8"/>
    <w:rsid w:val="05DB04A3"/>
    <w:rsid w:val="05F94DCD"/>
    <w:rsid w:val="05FD5895"/>
    <w:rsid w:val="065169B7"/>
    <w:rsid w:val="066B1679"/>
    <w:rsid w:val="0679783A"/>
    <w:rsid w:val="06DE46EF"/>
    <w:rsid w:val="077741FC"/>
    <w:rsid w:val="07B62F76"/>
    <w:rsid w:val="07BA0C76"/>
    <w:rsid w:val="07D01B5E"/>
    <w:rsid w:val="07EA2C20"/>
    <w:rsid w:val="07EF6488"/>
    <w:rsid w:val="0877389D"/>
    <w:rsid w:val="08940DDD"/>
    <w:rsid w:val="08A6123D"/>
    <w:rsid w:val="08D35DAA"/>
    <w:rsid w:val="090146C5"/>
    <w:rsid w:val="09526CCE"/>
    <w:rsid w:val="095D23AF"/>
    <w:rsid w:val="09646A02"/>
    <w:rsid w:val="097924AD"/>
    <w:rsid w:val="097D042F"/>
    <w:rsid w:val="09A514F4"/>
    <w:rsid w:val="09A81933"/>
    <w:rsid w:val="09B96D4E"/>
    <w:rsid w:val="09D811EE"/>
    <w:rsid w:val="0A0C1573"/>
    <w:rsid w:val="0A1E3055"/>
    <w:rsid w:val="0A2148F3"/>
    <w:rsid w:val="0A481E7F"/>
    <w:rsid w:val="0AD40CC1"/>
    <w:rsid w:val="0ADD6A6C"/>
    <w:rsid w:val="0AE41BA8"/>
    <w:rsid w:val="0B3C729F"/>
    <w:rsid w:val="0B6727D9"/>
    <w:rsid w:val="0B925AA8"/>
    <w:rsid w:val="0B9C2483"/>
    <w:rsid w:val="0BB023D2"/>
    <w:rsid w:val="0BCD088E"/>
    <w:rsid w:val="0BCD6AE0"/>
    <w:rsid w:val="0BDC4F75"/>
    <w:rsid w:val="0BF56037"/>
    <w:rsid w:val="0C272694"/>
    <w:rsid w:val="0C2A7A8F"/>
    <w:rsid w:val="0C395F24"/>
    <w:rsid w:val="0C430B50"/>
    <w:rsid w:val="0C540FAF"/>
    <w:rsid w:val="0C5E69F7"/>
    <w:rsid w:val="0CDB522D"/>
    <w:rsid w:val="0CF62067"/>
    <w:rsid w:val="0CF87B8D"/>
    <w:rsid w:val="0D1424ED"/>
    <w:rsid w:val="0D16474C"/>
    <w:rsid w:val="0D18022F"/>
    <w:rsid w:val="0D38442D"/>
    <w:rsid w:val="0D7D62E4"/>
    <w:rsid w:val="0D817B82"/>
    <w:rsid w:val="0DA25D4B"/>
    <w:rsid w:val="0DBC6E0C"/>
    <w:rsid w:val="0DC83A03"/>
    <w:rsid w:val="0DD34156"/>
    <w:rsid w:val="0DE16813"/>
    <w:rsid w:val="0DF26CD2"/>
    <w:rsid w:val="0E707BF7"/>
    <w:rsid w:val="0EC51CF1"/>
    <w:rsid w:val="0EC8358F"/>
    <w:rsid w:val="0EDB7766"/>
    <w:rsid w:val="0EE83C31"/>
    <w:rsid w:val="0F003595"/>
    <w:rsid w:val="0F20786F"/>
    <w:rsid w:val="0F9811B3"/>
    <w:rsid w:val="0FB420C7"/>
    <w:rsid w:val="0FFF56D6"/>
    <w:rsid w:val="1025513D"/>
    <w:rsid w:val="10392996"/>
    <w:rsid w:val="104D4694"/>
    <w:rsid w:val="1053255D"/>
    <w:rsid w:val="106317C1"/>
    <w:rsid w:val="10953945"/>
    <w:rsid w:val="10B85FB1"/>
    <w:rsid w:val="10CD1330"/>
    <w:rsid w:val="111672E6"/>
    <w:rsid w:val="113D0264"/>
    <w:rsid w:val="11513D10"/>
    <w:rsid w:val="11B147AE"/>
    <w:rsid w:val="11C269BB"/>
    <w:rsid w:val="11C9751C"/>
    <w:rsid w:val="120056B1"/>
    <w:rsid w:val="121F0548"/>
    <w:rsid w:val="12C66037"/>
    <w:rsid w:val="12CD5618"/>
    <w:rsid w:val="12D469A6"/>
    <w:rsid w:val="12D93FBD"/>
    <w:rsid w:val="12E3308D"/>
    <w:rsid w:val="12EF37E0"/>
    <w:rsid w:val="1310281D"/>
    <w:rsid w:val="13131232"/>
    <w:rsid w:val="1319085D"/>
    <w:rsid w:val="133F7973"/>
    <w:rsid w:val="134753CA"/>
    <w:rsid w:val="13503C10"/>
    <w:rsid w:val="137D5290"/>
    <w:rsid w:val="13BC0E7F"/>
    <w:rsid w:val="14436DE5"/>
    <w:rsid w:val="14D25167"/>
    <w:rsid w:val="14D62EA9"/>
    <w:rsid w:val="153951E6"/>
    <w:rsid w:val="153C1DF4"/>
    <w:rsid w:val="15436D1F"/>
    <w:rsid w:val="15565D98"/>
    <w:rsid w:val="155D7A40"/>
    <w:rsid w:val="15712BD2"/>
    <w:rsid w:val="158C2D9C"/>
    <w:rsid w:val="15AE34DE"/>
    <w:rsid w:val="15CA51B2"/>
    <w:rsid w:val="15CC1BB7"/>
    <w:rsid w:val="15D078F9"/>
    <w:rsid w:val="15D54F0F"/>
    <w:rsid w:val="15E96C0C"/>
    <w:rsid w:val="160F7CDC"/>
    <w:rsid w:val="16106529"/>
    <w:rsid w:val="16452227"/>
    <w:rsid w:val="16476B05"/>
    <w:rsid w:val="16897AA8"/>
    <w:rsid w:val="16923E0F"/>
    <w:rsid w:val="16E4751C"/>
    <w:rsid w:val="17233A58"/>
    <w:rsid w:val="174C51CF"/>
    <w:rsid w:val="174D1AD8"/>
    <w:rsid w:val="174F484D"/>
    <w:rsid w:val="1772678E"/>
    <w:rsid w:val="177711B5"/>
    <w:rsid w:val="17870262"/>
    <w:rsid w:val="1791130A"/>
    <w:rsid w:val="17A0154D"/>
    <w:rsid w:val="17D17958"/>
    <w:rsid w:val="17DD454F"/>
    <w:rsid w:val="17EF7DDE"/>
    <w:rsid w:val="18095344"/>
    <w:rsid w:val="18754787"/>
    <w:rsid w:val="188658EB"/>
    <w:rsid w:val="188D57C2"/>
    <w:rsid w:val="18AD2173"/>
    <w:rsid w:val="18F363CF"/>
    <w:rsid w:val="19102702"/>
    <w:rsid w:val="19A277FE"/>
    <w:rsid w:val="19C5529B"/>
    <w:rsid w:val="19D26735"/>
    <w:rsid w:val="19EC0A79"/>
    <w:rsid w:val="19EE2A43"/>
    <w:rsid w:val="1A1E49AB"/>
    <w:rsid w:val="1A606D71"/>
    <w:rsid w:val="1A707A6D"/>
    <w:rsid w:val="1A7B1DFD"/>
    <w:rsid w:val="1A9829AF"/>
    <w:rsid w:val="1B102545"/>
    <w:rsid w:val="1B1F33C0"/>
    <w:rsid w:val="1B7A3E63"/>
    <w:rsid w:val="1BC772DF"/>
    <w:rsid w:val="1BD11B70"/>
    <w:rsid w:val="1BE7774A"/>
    <w:rsid w:val="1C1E6EE4"/>
    <w:rsid w:val="1C224C26"/>
    <w:rsid w:val="1C2F10F1"/>
    <w:rsid w:val="1C364AA2"/>
    <w:rsid w:val="1C3708A1"/>
    <w:rsid w:val="1C387FA6"/>
    <w:rsid w:val="1C6F2033"/>
    <w:rsid w:val="1C844F99"/>
    <w:rsid w:val="1C8651B5"/>
    <w:rsid w:val="1CD23133"/>
    <w:rsid w:val="1CEC0D90"/>
    <w:rsid w:val="1D012A8E"/>
    <w:rsid w:val="1D1C3424"/>
    <w:rsid w:val="1D2B18B9"/>
    <w:rsid w:val="1D9456B0"/>
    <w:rsid w:val="1E200CF1"/>
    <w:rsid w:val="1E366767"/>
    <w:rsid w:val="1E5906A7"/>
    <w:rsid w:val="1E74728F"/>
    <w:rsid w:val="1E7A2AF8"/>
    <w:rsid w:val="1E827BFE"/>
    <w:rsid w:val="1EA062D6"/>
    <w:rsid w:val="1EB61656"/>
    <w:rsid w:val="1EBF050A"/>
    <w:rsid w:val="1EC55C47"/>
    <w:rsid w:val="1F1D7927"/>
    <w:rsid w:val="1F282554"/>
    <w:rsid w:val="1F4E188E"/>
    <w:rsid w:val="1F5A6485"/>
    <w:rsid w:val="1F707A57"/>
    <w:rsid w:val="1F896D6A"/>
    <w:rsid w:val="1FD61FB0"/>
    <w:rsid w:val="1FDC50EC"/>
    <w:rsid w:val="1FDC6E9A"/>
    <w:rsid w:val="1FDC7402"/>
    <w:rsid w:val="20390790"/>
    <w:rsid w:val="20407429"/>
    <w:rsid w:val="20A06EA1"/>
    <w:rsid w:val="20D53AB5"/>
    <w:rsid w:val="211D776A"/>
    <w:rsid w:val="214B42D7"/>
    <w:rsid w:val="21627873"/>
    <w:rsid w:val="2189253B"/>
    <w:rsid w:val="21BB2A74"/>
    <w:rsid w:val="21DD0EB5"/>
    <w:rsid w:val="21E169EA"/>
    <w:rsid w:val="21E309B4"/>
    <w:rsid w:val="22265B0E"/>
    <w:rsid w:val="223905D4"/>
    <w:rsid w:val="225C0316"/>
    <w:rsid w:val="226B30CA"/>
    <w:rsid w:val="22737F8A"/>
    <w:rsid w:val="227B299A"/>
    <w:rsid w:val="22AC6FF8"/>
    <w:rsid w:val="22C04851"/>
    <w:rsid w:val="22D4654E"/>
    <w:rsid w:val="23203542"/>
    <w:rsid w:val="233C481F"/>
    <w:rsid w:val="235356C5"/>
    <w:rsid w:val="23BE3486"/>
    <w:rsid w:val="23CB5B09"/>
    <w:rsid w:val="23D83E1C"/>
    <w:rsid w:val="23DC56BB"/>
    <w:rsid w:val="23E10F23"/>
    <w:rsid w:val="240864B0"/>
    <w:rsid w:val="24430F55"/>
    <w:rsid w:val="2446522A"/>
    <w:rsid w:val="24C22B02"/>
    <w:rsid w:val="24CC619F"/>
    <w:rsid w:val="24D932CD"/>
    <w:rsid w:val="24FA1D1C"/>
    <w:rsid w:val="25072C0B"/>
    <w:rsid w:val="253432D4"/>
    <w:rsid w:val="257D2ECD"/>
    <w:rsid w:val="258C3110"/>
    <w:rsid w:val="25C26B32"/>
    <w:rsid w:val="261849A4"/>
    <w:rsid w:val="26955FF5"/>
    <w:rsid w:val="269C3827"/>
    <w:rsid w:val="26A1499A"/>
    <w:rsid w:val="26A76454"/>
    <w:rsid w:val="276500BD"/>
    <w:rsid w:val="279544FE"/>
    <w:rsid w:val="27960276"/>
    <w:rsid w:val="27B8643F"/>
    <w:rsid w:val="281A4A03"/>
    <w:rsid w:val="282D2989"/>
    <w:rsid w:val="2835183D"/>
    <w:rsid w:val="28983B19"/>
    <w:rsid w:val="289C366A"/>
    <w:rsid w:val="28BC5ABB"/>
    <w:rsid w:val="28C01A4F"/>
    <w:rsid w:val="28CA01D8"/>
    <w:rsid w:val="28D23530"/>
    <w:rsid w:val="28F214DC"/>
    <w:rsid w:val="291476A5"/>
    <w:rsid w:val="2916231E"/>
    <w:rsid w:val="292518B2"/>
    <w:rsid w:val="293146FB"/>
    <w:rsid w:val="29332221"/>
    <w:rsid w:val="29583A35"/>
    <w:rsid w:val="296855EB"/>
    <w:rsid w:val="298E38FB"/>
    <w:rsid w:val="29A053DC"/>
    <w:rsid w:val="29DD3F3B"/>
    <w:rsid w:val="29E51041"/>
    <w:rsid w:val="29E928DF"/>
    <w:rsid w:val="29EA7C6C"/>
    <w:rsid w:val="29EF5635"/>
    <w:rsid w:val="2A3D51DB"/>
    <w:rsid w:val="2A585CB7"/>
    <w:rsid w:val="2A7A5C2D"/>
    <w:rsid w:val="2A7D127A"/>
    <w:rsid w:val="2A8A4FAD"/>
    <w:rsid w:val="2AC1560A"/>
    <w:rsid w:val="2AC450FA"/>
    <w:rsid w:val="2ACF5F79"/>
    <w:rsid w:val="2AD417E1"/>
    <w:rsid w:val="2B312790"/>
    <w:rsid w:val="2B4029D3"/>
    <w:rsid w:val="2B520958"/>
    <w:rsid w:val="2B717030"/>
    <w:rsid w:val="2B9B22FF"/>
    <w:rsid w:val="2BBE7D9C"/>
    <w:rsid w:val="2BC74EA2"/>
    <w:rsid w:val="2BDB6BA0"/>
    <w:rsid w:val="2BDD0222"/>
    <w:rsid w:val="2BF37A45"/>
    <w:rsid w:val="2C2E7093"/>
    <w:rsid w:val="2C3562B0"/>
    <w:rsid w:val="2C7C046A"/>
    <w:rsid w:val="2D33748D"/>
    <w:rsid w:val="2D824027"/>
    <w:rsid w:val="2DA03BFD"/>
    <w:rsid w:val="2DB31B82"/>
    <w:rsid w:val="2DBD655D"/>
    <w:rsid w:val="2E0B376C"/>
    <w:rsid w:val="2E0C4DEE"/>
    <w:rsid w:val="2E150147"/>
    <w:rsid w:val="2E56075F"/>
    <w:rsid w:val="2E79778C"/>
    <w:rsid w:val="2E8547C6"/>
    <w:rsid w:val="2ED20B55"/>
    <w:rsid w:val="2F37233F"/>
    <w:rsid w:val="2F6B1FE9"/>
    <w:rsid w:val="2F7F7E09"/>
    <w:rsid w:val="2F8337D6"/>
    <w:rsid w:val="2FC0156C"/>
    <w:rsid w:val="2FF80517"/>
    <w:rsid w:val="307F7AFA"/>
    <w:rsid w:val="308E5F8F"/>
    <w:rsid w:val="30FC114A"/>
    <w:rsid w:val="310929F9"/>
    <w:rsid w:val="312468F3"/>
    <w:rsid w:val="314B3E80"/>
    <w:rsid w:val="319770C5"/>
    <w:rsid w:val="31A737AC"/>
    <w:rsid w:val="320F1351"/>
    <w:rsid w:val="322D4E64"/>
    <w:rsid w:val="325D030E"/>
    <w:rsid w:val="3276317E"/>
    <w:rsid w:val="32936E4F"/>
    <w:rsid w:val="32987598"/>
    <w:rsid w:val="32D06D32"/>
    <w:rsid w:val="32FC7B27"/>
    <w:rsid w:val="33226E62"/>
    <w:rsid w:val="332B5D17"/>
    <w:rsid w:val="336D4ACA"/>
    <w:rsid w:val="33723946"/>
    <w:rsid w:val="337376BE"/>
    <w:rsid w:val="3390201E"/>
    <w:rsid w:val="33A53D1B"/>
    <w:rsid w:val="33D463AE"/>
    <w:rsid w:val="33E136A3"/>
    <w:rsid w:val="340D18C0"/>
    <w:rsid w:val="34441786"/>
    <w:rsid w:val="34763909"/>
    <w:rsid w:val="348778C5"/>
    <w:rsid w:val="34883202"/>
    <w:rsid w:val="34C36441"/>
    <w:rsid w:val="34E6283D"/>
    <w:rsid w:val="34F34F5A"/>
    <w:rsid w:val="34FF7425"/>
    <w:rsid w:val="355E6877"/>
    <w:rsid w:val="356B52B3"/>
    <w:rsid w:val="357C4F4F"/>
    <w:rsid w:val="3592207D"/>
    <w:rsid w:val="359607EA"/>
    <w:rsid w:val="35AD6EB7"/>
    <w:rsid w:val="35E623C9"/>
    <w:rsid w:val="35E6686D"/>
    <w:rsid w:val="365D6B2F"/>
    <w:rsid w:val="36767BF1"/>
    <w:rsid w:val="367774C5"/>
    <w:rsid w:val="36BD75CE"/>
    <w:rsid w:val="36C84B9C"/>
    <w:rsid w:val="36DD37CC"/>
    <w:rsid w:val="3710751C"/>
    <w:rsid w:val="37357164"/>
    <w:rsid w:val="37403D5B"/>
    <w:rsid w:val="37537F32"/>
    <w:rsid w:val="37732382"/>
    <w:rsid w:val="37895702"/>
    <w:rsid w:val="37A34A15"/>
    <w:rsid w:val="37C64260"/>
    <w:rsid w:val="37DC1CD5"/>
    <w:rsid w:val="37E26909"/>
    <w:rsid w:val="381C0324"/>
    <w:rsid w:val="38767A34"/>
    <w:rsid w:val="3894610C"/>
    <w:rsid w:val="38C27423"/>
    <w:rsid w:val="38D429AD"/>
    <w:rsid w:val="38F372D7"/>
    <w:rsid w:val="38FD1F03"/>
    <w:rsid w:val="3922196A"/>
    <w:rsid w:val="393618B9"/>
    <w:rsid w:val="3942200C"/>
    <w:rsid w:val="394F0490"/>
    <w:rsid w:val="398E6FFF"/>
    <w:rsid w:val="39924D42"/>
    <w:rsid w:val="39BA1BA2"/>
    <w:rsid w:val="39EE7898"/>
    <w:rsid w:val="3A184B1B"/>
    <w:rsid w:val="3A377697"/>
    <w:rsid w:val="3A775CE5"/>
    <w:rsid w:val="3A804B9A"/>
    <w:rsid w:val="3AA765CB"/>
    <w:rsid w:val="3ACC4283"/>
    <w:rsid w:val="3AEF1D20"/>
    <w:rsid w:val="3B010619"/>
    <w:rsid w:val="3B247C1B"/>
    <w:rsid w:val="3B312338"/>
    <w:rsid w:val="3B9728BA"/>
    <w:rsid w:val="3BAA45F3"/>
    <w:rsid w:val="3BC907C3"/>
    <w:rsid w:val="3BE23632"/>
    <w:rsid w:val="3BE253E0"/>
    <w:rsid w:val="3BE473AB"/>
    <w:rsid w:val="3C357C06"/>
    <w:rsid w:val="3C4816E7"/>
    <w:rsid w:val="3C4E0CC8"/>
    <w:rsid w:val="3C575DCE"/>
    <w:rsid w:val="3C591B47"/>
    <w:rsid w:val="3C6504EB"/>
    <w:rsid w:val="3C74072E"/>
    <w:rsid w:val="3C820446"/>
    <w:rsid w:val="3C8A1D00"/>
    <w:rsid w:val="3CCA510B"/>
    <w:rsid w:val="3D5347E8"/>
    <w:rsid w:val="3D5F1CBD"/>
    <w:rsid w:val="3D956BAE"/>
    <w:rsid w:val="3DBD6105"/>
    <w:rsid w:val="3DCD141F"/>
    <w:rsid w:val="3DEB2C72"/>
    <w:rsid w:val="3DF5589F"/>
    <w:rsid w:val="3E083824"/>
    <w:rsid w:val="3E0A077F"/>
    <w:rsid w:val="3E2C6DE7"/>
    <w:rsid w:val="3E432AAE"/>
    <w:rsid w:val="3E75078E"/>
    <w:rsid w:val="3E860BED"/>
    <w:rsid w:val="3E8F1850"/>
    <w:rsid w:val="3EA01CAF"/>
    <w:rsid w:val="3EC61D4D"/>
    <w:rsid w:val="3EDB4A95"/>
    <w:rsid w:val="3EEC4EF4"/>
    <w:rsid w:val="3EF67B21"/>
    <w:rsid w:val="3F0436E2"/>
    <w:rsid w:val="3F3C4311"/>
    <w:rsid w:val="3F5605BF"/>
    <w:rsid w:val="3F6727CC"/>
    <w:rsid w:val="3F7F00FE"/>
    <w:rsid w:val="3F854A01"/>
    <w:rsid w:val="3FBD063E"/>
    <w:rsid w:val="3FF102E8"/>
    <w:rsid w:val="3FF12096"/>
    <w:rsid w:val="400224F5"/>
    <w:rsid w:val="404843AC"/>
    <w:rsid w:val="40490124"/>
    <w:rsid w:val="40491ED2"/>
    <w:rsid w:val="405368AD"/>
    <w:rsid w:val="405F34A4"/>
    <w:rsid w:val="40662A84"/>
    <w:rsid w:val="407C5E04"/>
    <w:rsid w:val="40D0614F"/>
    <w:rsid w:val="40DE086C"/>
    <w:rsid w:val="411A73CB"/>
    <w:rsid w:val="41214BFD"/>
    <w:rsid w:val="412D249B"/>
    <w:rsid w:val="41801923"/>
    <w:rsid w:val="41A13D10"/>
    <w:rsid w:val="41B03D78"/>
    <w:rsid w:val="41C04416"/>
    <w:rsid w:val="41D83760"/>
    <w:rsid w:val="41EA4FEF"/>
    <w:rsid w:val="41EF0857"/>
    <w:rsid w:val="426A407D"/>
    <w:rsid w:val="429E4757"/>
    <w:rsid w:val="42AE24C0"/>
    <w:rsid w:val="42BA0E65"/>
    <w:rsid w:val="42E303BC"/>
    <w:rsid w:val="433F2526"/>
    <w:rsid w:val="435B43F6"/>
    <w:rsid w:val="4382430B"/>
    <w:rsid w:val="438356FB"/>
    <w:rsid w:val="43E6398E"/>
    <w:rsid w:val="4420601D"/>
    <w:rsid w:val="44380293"/>
    <w:rsid w:val="444E1FE5"/>
    <w:rsid w:val="4456696C"/>
    <w:rsid w:val="448C6831"/>
    <w:rsid w:val="44A54D95"/>
    <w:rsid w:val="44AD0C81"/>
    <w:rsid w:val="44C10289"/>
    <w:rsid w:val="44DE708D"/>
    <w:rsid w:val="44FA19ED"/>
    <w:rsid w:val="455E13C4"/>
    <w:rsid w:val="458D395D"/>
    <w:rsid w:val="458F482B"/>
    <w:rsid w:val="45A8769B"/>
    <w:rsid w:val="45BC567F"/>
    <w:rsid w:val="46040D75"/>
    <w:rsid w:val="461A1035"/>
    <w:rsid w:val="462C02CC"/>
    <w:rsid w:val="46476EB4"/>
    <w:rsid w:val="46935C55"/>
    <w:rsid w:val="469B2D5C"/>
    <w:rsid w:val="46C6427C"/>
    <w:rsid w:val="46C91677"/>
    <w:rsid w:val="46CB53EF"/>
    <w:rsid w:val="46F54B62"/>
    <w:rsid w:val="474B29D4"/>
    <w:rsid w:val="47AA39DB"/>
    <w:rsid w:val="47B440D5"/>
    <w:rsid w:val="47D209FF"/>
    <w:rsid w:val="47D40434"/>
    <w:rsid w:val="47F52924"/>
    <w:rsid w:val="48233009"/>
    <w:rsid w:val="482A083B"/>
    <w:rsid w:val="48594C7C"/>
    <w:rsid w:val="485B6C46"/>
    <w:rsid w:val="4880045B"/>
    <w:rsid w:val="48861F15"/>
    <w:rsid w:val="48AC7040"/>
    <w:rsid w:val="48BB76E5"/>
    <w:rsid w:val="48D52555"/>
    <w:rsid w:val="48DD765B"/>
    <w:rsid w:val="48DF33D4"/>
    <w:rsid w:val="490B427D"/>
    <w:rsid w:val="4913307D"/>
    <w:rsid w:val="492C413F"/>
    <w:rsid w:val="49374FBE"/>
    <w:rsid w:val="49906A99"/>
    <w:rsid w:val="49D40A5E"/>
    <w:rsid w:val="49EB7B56"/>
    <w:rsid w:val="4A183041"/>
    <w:rsid w:val="4A273284"/>
    <w:rsid w:val="4A4A2ACF"/>
    <w:rsid w:val="4A82670C"/>
    <w:rsid w:val="4ACB2D8E"/>
    <w:rsid w:val="4B105AC6"/>
    <w:rsid w:val="4B306F61"/>
    <w:rsid w:val="4B4340EE"/>
    <w:rsid w:val="4B490FD8"/>
    <w:rsid w:val="4B58121B"/>
    <w:rsid w:val="4B616322"/>
    <w:rsid w:val="4B7047B7"/>
    <w:rsid w:val="4B736055"/>
    <w:rsid w:val="4B8D7117"/>
    <w:rsid w:val="4BA44460"/>
    <w:rsid w:val="4BD50ABE"/>
    <w:rsid w:val="4BDF193C"/>
    <w:rsid w:val="4C2D6303"/>
    <w:rsid w:val="4C547C35"/>
    <w:rsid w:val="4C7B78B7"/>
    <w:rsid w:val="4CBB5F06"/>
    <w:rsid w:val="4CDA3537"/>
    <w:rsid w:val="4CE70AA9"/>
    <w:rsid w:val="4D16313C"/>
    <w:rsid w:val="4D2C7E88"/>
    <w:rsid w:val="4D2E66D8"/>
    <w:rsid w:val="4D331F40"/>
    <w:rsid w:val="4D3637DE"/>
    <w:rsid w:val="4D5819A6"/>
    <w:rsid w:val="4D811154"/>
    <w:rsid w:val="4D962035"/>
    <w:rsid w:val="4DBA61BD"/>
    <w:rsid w:val="4DF0398D"/>
    <w:rsid w:val="4E0062C6"/>
    <w:rsid w:val="4E08517B"/>
    <w:rsid w:val="4E217FEA"/>
    <w:rsid w:val="4E2D4BE1"/>
    <w:rsid w:val="4E592C37"/>
    <w:rsid w:val="4E760336"/>
    <w:rsid w:val="4E872543"/>
    <w:rsid w:val="4E987F53"/>
    <w:rsid w:val="4EC2357B"/>
    <w:rsid w:val="4F457D08"/>
    <w:rsid w:val="4F7C30C5"/>
    <w:rsid w:val="4F822D0B"/>
    <w:rsid w:val="4FCD667C"/>
    <w:rsid w:val="4FE237A9"/>
    <w:rsid w:val="4FFA4F97"/>
    <w:rsid w:val="50016325"/>
    <w:rsid w:val="501222E0"/>
    <w:rsid w:val="50485D02"/>
    <w:rsid w:val="50504BB7"/>
    <w:rsid w:val="50615016"/>
    <w:rsid w:val="508F56DF"/>
    <w:rsid w:val="50A62A29"/>
    <w:rsid w:val="50F10148"/>
    <w:rsid w:val="51087240"/>
    <w:rsid w:val="51254295"/>
    <w:rsid w:val="512A5408"/>
    <w:rsid w:val="518C1C1F"/>
    <w:rsid w:val="51C4760A"/>
    <w:rsid w:val="52354064"/>
    <w:rsid w:val="524349D3"/>
    <w:rsid w:val="5272350A"/>
    <w:rsid w:val="52750905"/>
    <w:rsid w:val="52BF281F"/>
    <w:rsid w:val="52D81607"/>
    <w:rsid w:val="52D90E94"/>
    <w:rsid w:val="52EC506B"/>
    <w:rsid w:val="52EE3988"/>
    <w:rsid w:val="53063B92"/>
    <w:rsid w:val="530879CB"/>
    <w:rsid w:val="53163E96"/>
    <w:rsid w:val="53185E60"/>
    <w:rsid w:val="53397B84"/>
    <w:rsid w:val="53500094"/>
    <w:rsid w:val="535449BE"/>
    <w:rsid w:val="538C05FC"/>
    <w:rsid w:val="53CE63B5"/>
    <w:rsid w:val="53FC752F"/>
    <w:rsid w:val="541A5C08"/>
    <w:rsid w:val="544A1AF3"/>
    <w:rsid w:val="5454111A"/>
    <w:rsid w:val="547C0049"/>
    <w:rsid w:val="547E3FEF"/>
    <w:rsid w:val="54AE00FE"/>
    <w:rsid w:val="54BA09AA"/>
    <w:rsid w:val="54C41F06"/>
    <w:rsid w:val="54DE4E87"/>
    <w:rsid w:val="550146D2"/>
    <w:rsid w:val="55124B31"/>
    <w:rsid w:val="553920BD"/>
    <w:rsid w:val="553F4E8A"/>
    <w:rsid w:val="55800A13"/>
    <w:rsid w:val="55872E29"/>
    <w:rsid w:val="55DA0405"/>
    <w:rsid w:val="564156CE"/>
    <w:rsid w:val="565C33C6"/>
    <w:rsid w:val="568832FC"/>
    <w:rsid w:val="56EB2D78"/>
    <w:rsid w:val="57144B90"/>
    <w:rsid w:val="57212E09"/>
    <w:rsid w:val="57212FAC"/>
    <w:rsid w:val="5738017F"/>
    <w:rsid w:val="57432436"/>
    <w:rsid w:val="57517B92"/>
    <w:rsid w:val="577A36AD"/>
    <w:rsid w:val="579C4BC4"/>
    <w:rsid w:val="579D2DD8"/>
    <w:rsid w:val="57A53A3A"/>
    <w:rsid w:val="57B41C9D"/>
    <w:rsid w:val="57C55E8A"/>
    <w:rsid w:val="57D04F5B"/>
    <w:rsid w:val="57F34854"/>
    <w:rsid w:val="580D7ADE"/>
    <w:rsid w:val="58136BF6"/>
    <w:rsid w:val="586837E4"/>
    <w:rsid w:val="5869528A"/>
    <w:rsid w:val="58773629"/>
    <w:rsid w:val="58B33F35"/>
    <w:rsid w:val="58D36385"/>
    <w:rsid w:val="58F22CAF"/>
    <w:rsid w:val="591F781C"/>
    <w:rsid w:val="59967ADE"/>
    <w:rsid w:val="59C83A10"/>
    <w:rsid w:val="59DE4FE1"/>
    <w:rsid w:val="5A225816"/>
    <w:rsid w:val="5A4237C2"/>
    <w:rsid w:val="5A9D6C4B"/>
    <w:rsid w:val="5AB20948"/>
    <w:rsid w:val="5AFC6067"/>
    <w:rsid w:val="5B1E7D8B"/>
    <w:rsid w:val="5B1F5962"/>
    <w:rsid w:val="5B5714EF"/>
    <w:rsid w:val="5B79359D"/>
    <w:rsid w:val="5BA2765A"/>
    <w:rsid w:val="5BC07095"/>
    <w:rsid w:val="5BD613E4"/>
    <w:rsid w:val="5BE523F7"/>
    <w:rsid w:val="5BE72873"/>
    <w:rsid w:val="5C166CB5"/>
    <w:rsid w:val="5C25339C"/>
    <w:rsid w:val="5C2A6C04"/>
    <w:rsid w:val="5CB07109"/>
    <w:rsid w:val="5CB62246"/>
    <w:rsid w:val="5CC325A9"/>
    <w:rsid w:val="5CC826A5"/>
    <w:rsid w:val="5CE943C9"/>
    <w:rsid w:val="5CFF1E3E"/>
    <w:rsid w:val="5D1C654D"/>
    <w:rsid w:val="5D5743EF"/>
    <w:rsid w:val="5E2733FB"/>
    <w:rsid w:val="5E525F9E"/>
    <w:rsid w:val="5E5A3B17"/>
    <w:rsid w:val="5EB86749"/>
    <w:rsid w:val="5F201B77"/>
    <w:rsid w:val="5F531FCE"/>
    <w:rsid w:val="5F6655AA"/>
    <w:rsid w:val="5FA6034F"/>
    <w:rsid w:val="5FBA204D"/>
    <w:rsid w:val="5FCD7FD2"/>
    <w:rsid w:val="5FD05F75"/>
    <w:rsid w:val="5FF10992"/>
    <w:rsid w:val="5FFE018B"/>
    <w:rsid w:val="60327E35"/>
    <w:rsid w:val="60397415"/>
    <w:rsid w:val="603B13E0"/>
    <w:rsid w:val="60545FFD"/>
    <w:rsid w:val="60695F4D"/>
    <w:rsid w:val="60950A20"/>
    <w:rsid w:val="60996106"/>
    <w:rsid w:val="60A45DD2"/>
    <w:rsid w:val="60BD1DF5"/>
    <w:rsid w:val="60EF709C"/>
    <w:rsid w:val="61120392"/>
    <w:rsid w:val="614B11AE"/>
    <w:rsid w:val="61573FF7"/>
    <w:rsid w:val="615C0620"/>
    <w:rsid w:val="615D7134"/>
    <w:rsid w:val="61E17D65"/>
    <w:rsid w:val="625642AF"/>
    <w:rsid w:val="626C3AD2"/>
    <w:rsid w:val="62B41A1D"/>
    <w:rsid w:val="62E23E94"/>
    <w:rsid w:val="62EA49F7"/>
    <w:rsid w:val="630358E3"/>
    <w:rsid w:val="631568A3"/>
    <w:rsid w:val="63251ED3"/>
    <w:rsid w:val="63352116"/>
    <w:rsid w:val="633839B4"/>
    <w:rsid w:val="638B7F88"/>
    <w:rsid w:val="638C478D"/>
    <w:rsid w:val="639257BA"/>
    <w:rsid w:val="63936688"/>
    <w:rsid w:val="63A64DC2"/>
    <w:rsid w:val="63AD28A0"/>
    <w:rsid w:val="63B05C41"/>
    <w:rsid w:val="63C272AD"/>
    <w:rsid w:val="63C416EC"/>
    <w:rsid w:val="63F57AF7"/>
    <w:rsid w:val="640C5018"/>
    <w:rsid w:val="64304993"/>
    <w:rsid w:val="64371EBE"/>
    <w:rsid w:val="643C74D4"/>
    <w:rsid w:val="645A795A"/>
    <w:rsid w:val="645E3CB3"/>
    <w:rsid w:val="64A82DBC"/>
    <w:rsid w:val="64E35BA2"/>
    <w:rsid w:val="65385EEE"/>
    <w:rsid w:val="654C3747"/>
    <w:rsid w:val="656C3966"/>
    <w:rsid w:val="65C854C3"/>
    <w:rsid w:val="65D774B5"/>
    <w:rsid w:val="65FA31A3"/>
    <w:rsid w:val="660E6C4E"/>
    <w:rsid w:val="661E50E3"/>
    <w:rsid w:val="662841B4"/>
    <w:rsid w:val="663C37BC"/>
    <w:rsid w:val="669453A6"/>
    <w:rsid w:val="66AE0ED8"/>
    <w:rsid w:val="66E0683D"/>
    <w:rsid w:val="671958AB"/>
    <w:rsid w:val="671B5AC7"/>
    <w:rsid w:val="67340937"/>
    <w:rsid w:val="6773145F"/>
    <w:rsid w:val="67BC1058"/>
    <w:rsid w:val="67F105D6"/>
    <w:rsid w:val="67FF0F45"/>
    <w:rsid w:val="684626D0"/>
    <w:rsid w:val="6870599E"/>
    <w:rsid w:val="68BC5088"/>
    <w:rsid w:val="68D61A8E"/>
    <w:rsid w:val="68DF6649"/>
    <w:rsid w:val="690C3919"/>
    <w:rsid w:val="69141AC4"/>
    <w:rsid w:val="69146C72"/>
    <w:rsid w:val="69164798"/>
    <w:rsid w:val="691B3B5C"/>
    <w:rsid w:val="69392234"/>
    <w:rsid w:val="6951757E"/>
    <w:rsid w:val="697E40EB"/>
    <w:rsid w:val="69990F25"/>
    <w:rsid w:val="69AC6EAA"/>
    <w:rsid w:val="69C43C6D"/>
    <w:rsid w:val="69CE6E20"/>
    <w:rsid w:val="6A0E6B09"/>
    <w:rsid w:val="6A1F767C"/>
    <w:rsid w:val="6A2C3B47"/>
    <w:rsid w:val="6A2E5B11"/>
    <w:rsid w:val="6A460276"/>
    <w:rsid w:val="6A9C0CCD"/>
    <w:rsid w:val="6AB47FEC"/>
    <w:rsid w:val="6AD06BC8"/>
    <w:rsid w:val="6AFC53DE"/>
    <w:rsid w:val="6B833C3B"/>
    <w:rsid w:val="6BD6688F"/>
    <w:rsid w:val="6C0B33CE"/>
    <w:rsid w:val="6CA55E30"/>
    <w:rsid w:val="6CA9131C"/>
    <w:rsid w:val="6CCA7D73"/>
    <w:rsid w:val="6CCB7647"/>
    <w:rsid w:val="6CE30E35"/>
    <w:rsid w:val="6CF92406"/>
    <w:rsid w:val="6D01279B"/>
    <w:rsid w:val="6D125276"/>
    <w:rsid w:val="6D192AA9"/>
    <w:rsid w:val="6D194A59"/>
    <w:rsid w:val="6D331A95"/>
    <w:rsid w:val="6D4D62AE"/>
    <w:rsid w:val="6D775D01"/>
    <w:rsid w:val="6D7970A3"/>
    <w:rsid w:val="6D8A24D4"/>
    <w:rsid w:val="6DA5433C"/>
    <w:rsid w:val="6DEE5CE3"/>
    <w:rsid w:val="6E1B1737"/>
    <w:rsid w:val="6E3F56D1"/>
    <w:rsid w:val="6E82642B"/>
    <w:rsid w:val="6EB02F99"/>
    <w:rsid w:val="6EED6FE0"/>
    <w:rsid w:val="6F045092"/>
    <w:rsid w:val="6F697C94"/>
    <w:rsid w:val="6F71327A"/>
    <w:rsid w:val="6F854425"/>
    <w:rsid w:val="6F9920B9"/>
    <w:rsid w:val="6F994C00"/>
    <w:rsid w:val="6FBB7E47"/>
    <w:rsid w:val="6FD64C81"/>
    <w:rsid w:val="702459EC"/>
    <w:rsid w:val="703D085C"/>
    <w:rsid w:val="704023CC"/>
    <w:rsid w:val="7062711F"/>
    <w:rsid w:val="707805F0"/>
    <w:rsid w:val="708E10B8"/>
    <w:rsid w:val="70954B5D"/>
    <w:rsid w:val="70976D41"/>
    <w:rsid w:val="709A3F00"/>
    <w:rsid w:val="70B0344B"/>
    <w:rsid w:val="710B095A"/>
    <w:rsid w:val="71486523"/>
    <w:rsid w:val="718C6C7C"/>
    <w:rsid w:val="71BB6985"/>
    <w:rsid w:val="71C62B4D"/>
    <w:rsid w:val="71CD257B"/>
    <w:rsid w:val="71DC5E53"/>
    <w:rsid w:val="71FB4B45"/>
    <w:rsid w:val="71FE3596"/>
    <w:rsid w:val="72113D4E"/>
    <w:rsid w:val="722021E3"/>
    <w:rsid w:val="72466BF9"/>
    <w:rsid w:val="72AC3A77"/>
    <w:rsid w:val="72D82ABE"/>
    <w:rsid w:val="731A6C33"/>
    <w:rsid w:val="7346211D"/>
    <w:rsid w:val="7355410F"/>
    <w:rsid w:val="73661E78"/>
    <w:rsid w:val="738242B7"/>
    <w:rsid w:val="73CB43D1"/>
    <w:rsid w:val="740F42BD"/>
    <w:rsid w:val="744A79EB"/>
    <w:rsid w:val="7487479C"/>
    <w:rsid w:val="748C0004"/>
    <w:rsid w:val="74C3041D"/>
    <w:rsid w:val="74C7103C"/>
    <w:rsid w:val="7510653F"/>
    <w:rsid w:val="756B5E6B"/>
    <w:rsid w:val="75C35FC7"/>
    <w:rsid w:val="75DD320D"/>
    <w:rsid w:val="75EF084A"/>
    <w:rsid w:val="760836BA"/>
    <w:rsid w:val="76126798"/>
    <w:rsid w:val="763E70DC"/>
    <w:rsid w:val="76452218"/>
    <w:rsid w:val="76A827A7"/>
    <w:rsid w:val="76AC673B"/>
    <w:rsid w:val="76D66F9F"/>
    <w:rsid w:val="76D70D53"/>
    <w:rsid w:val="770A5210"/>
    <w:rsid w:val="77147E3D"/>
    <w:rsid w:val="77550B81"/>
    <w:rsid w:val="7771703D"/>
    <w:rsid w:val="77882D05"/>
    <w:rsid w:val="77980A6E"/>
    <w:rsid w:val="77A613DD"/>
    <w:rsid w:val="77C17FC5"/>
    <w:rsid w:val="77D45F4A"/>
    <w:rsid w:val="77E37F3B"/>
    <w:rsid w:val="78034139"/>
    <w:rsid w:val="784604CA"/>
    <w:rsid w:val="78462278"/>
    <w:rsid w:val="791D5841"/>
    <w:rsid w:val="794E5888"/>
    <w:rsid w:val="79562119"/>
    <w:rsid w:val="79A67472"/>
    <w:rsid w:val="79AB6836"/>
    <w:rsid w:val="79BE31CC"/>
    <w:rsid w:val="79CE087B"/>
    <w:rsid w:val="79DF2984"/>
    <w:rsid w:val="79E61F64"/>
    <w:rsid w:val="79EE0E19"/>
    <w:rsid w:val="7A4078C7"/>
    <w:rsid w:val="7A4822D7"/>
    <w:rsid w:val="7A49604F"/>
    <w:rsid w:val="7A884DCA"/>
    <w:rsid w:val="7ADD3367"/>
    <w:rsid w:val="7B024B7C"/>
    <w:rsid w:val="7B0F7299"/>
    <w:rsid w:val="7B332F87"/>
    <w:rsid w:val="7B395067"/>
    <w:rsid w:val="7B430CF1"/>
    <w:rsid w:val="7B4C5DF7"/>
    <w:rsid w:val="7B5F1FCE"/>
    <w:rsid w:val="7B6B0973"/>
    <w:rsid w:val="7B821819"/>
    <w:rsid w:val="7BFC33F4"/>
    <w:rsid w:val="7C01486A"/>
    <w:rsid w:val="7C0C5586"/>
    <w:rsid w:val="7C400B8B"/>
    <w:rsid w:val="7C596A1E"/>
    <w:rsid w:val="7C5E4034"/>
    <w:rsid w:val="7C5E5DE2"/>
    <w:rsid w:val="7C6D071B"/>
    <w:rsid w:val="7C801CAB"/>
    <w:rsid w:val="7CAA4127"/>
    <w:rsid w:val="7CBC0D5A"/>
    <w:rsid w:val="7CBC51FE"/>
    <w:rsid w:val="7CF67DEF"/>
    <w:rsid w:val="7D014475"/>
    <w:rsid w:val="7D07647A"/>
    <w:rsid w:val="7D5B6688"/>
    <w:rsid w:val="7DC52CC6"/>
    <w:rsid w:val="7E1573CD"/>
    <w:rsid w:val="7E1C41A7"/>
    <w:rsid w:val="7EBC7738"/>
    <w:rsid w:val="7EDE145C"/>
    <w:rsid w:val="7EEA1BAF"/>
    <w:rsid w:val="7EFC5D86"/>
    <w:rsid w:val="7F062761"/>
    <w:rsid w:val="7F08297D"/>
    <w:rsid w:val="7F1255AA"/>
    <w:rsid w:val="7F392B36"/>
    <w:rsid w:val="7F5636E8"/>
    <w:rsid w:val="7FB3618A"/>
    <w:rsid w:val="7FBB179D"/>
    <w:rsid w:val="7FC92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9"/>
    <w:qFormat/>
    <w:uiPriority w:val="0"/>
    <w:pPr>
      <w:keepNext/>
      <w:keepLines/>
      <w:spacing w:before="340" w:after="330" w:line="360" w:lineRule="auto"/>
      <w:jc w:val="center"/>
      <w:outlineLvl w:val="0"/>
    </w:pPr>
    <w:rPr>
      <w:rFonts w:ascii="Times New Roman" w:hAnsi="Times New Roman" w:eastAsia="黑体"/>
      <w:b/>
      <w:bCs/>
      <w:kern w:val="44"/>
      <w:sz w:val="44"/>
      <w:szCs w:val="44"/>
    </w:rPr>
  </w:style>
  <w:style w:type="paragraph" w:styleId="3">
    <w:name w:val="heading 2"/>
    <w:basedOn w:val="1"/>
    <w:next w:val="1"/>
    <w:link w:val="30"/>
    <w:unhideWhenUsed/>
    <w:qFormat/>
    <w:uiPriority w:val="0"/>
    <w:pPr>
      <w:keepNext/>
      <w:keepLines/>
      <w:spacing w:before="260" w:beforeLines="0" w:after="260" w:afterLines="0" w:line="360" w:lineRule="auto"/>
      <w:jc w:val="center"/>
      <w:outlineLvl w:val="1"/>
    </w:pPr>
    <w:rPr>
      <w:rFonts w:ascii="Arial" w:hAnsi="Arial" w:eastAsia="黑体"/>
      <w:b/>
      <w:bCs/>
      <w:sz w:val="32"/>
      <w:szCs w:val="32"/>
    </w:rPr>
  </w:style>
  <w:style w:type="paragraph" w:styleId="4">
    <w:name w:val="heading 3"/>
    <w:basedOn w:val="1"/>
    <w:next w:val="5"/>
    <w:semiHidden/>
    <w:unhideWhenUsed/>
    <w:qFormat/>
    <w:uiPriority w:val="0"/>
    <w:pPr>
      <w:keepNext/>
      <w:keepLines/>
      <w:numPr>
        <w:ilvl w:val="2"/>
        <w:numId w:val="1"/>
      </w:numPr>
      <w:spacing w:before="260" w:beforeLines="0" w:beforeAutospacing="0" w:after="260" w:afterLines="0" w:afterAutospacing="0" w:line="413" w:lineRule="auto"/>
      <w:ind w:left="1418" w:hanging="567"/>
      <w:outlineLvl w:val="2"/>
    </w:pPr>
    <w:rPr>
      <w:b/>
      <w:sz w:val="32"/>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annotation text"/>
    <w:basedOn w:val="1"/>
    <w:qFormat/>
    <w:uiPriority w:val="0"/>
    <w:pPr>
      <w:jc w:val="left"/>
    </w:pPr>
  </w:style>
  <w:style w:type="paragraph" w:styleId="7">
    <w:name w:val="Body Text 3"/>
    <w:basedOn w:val="1"/>
    <w:qFormat/>
    <w:uiPriority w:val="0"/>
    <w:rPr>
      <w:rFonts w:ascii="宋体"/>
      <w:sz w:val="24"/>
      <w:szCs w:val="20"/>
    </w:rPr>
  </w:style>
  <w:style w:type="paragraph" w:styleId="8">
    <w:name w:val="Body Text"/>
    <w:basedOn w:val="1"/>
    <w:next w:val="1"/>
    <w:qFormat/>
    <w:uiPriority w:val="0"/>
    <w:pPr>
      <w:spacing w:after="120"/>
    </w:pPr>
  </w:style>
  <w:style w:type="paragraph" w:styleId="9">
    <w:name w:val="Body Text Indent"/>
    <w:basedOn w:val="1"/>
    <w:qFormat/>
    <w:uiPriority w:val="0"/>
    <w:pPr>
      <w:spacing w:after="120"/>
      <w:ind w:left="420" w:leftChars="200"/>
    </w:pPr>
  </w:style>
  <w:style w:type="paragraph" w:styleId="10">
    <w:name w:val="toc 3"/>
    <w:basedOn w:val="1"/>
    <w:next w:val="1"/>
    <w:qFormat/>
    <w:uiPriority w:val="39"/>
    <w:pPr>
      <w:ind w:left="840" w:leftChars="400"/>
    </w:pPr>
  </w:style>
  <w:style w:type="paragraph" w:styleId="11">
    <w:name w:val="Body Text Indent 2"/>
    <w:basedOn w:val="1"/>
    <w:qFormat/>
    <w:uiPriority w:val="0"/>
    <w:pPr>
      <w:spacing w:line="500" w:lineRule="exact"/>
      <w:ind w:firstLine="540" w:firstLineChars="200"/>
    </w:pPr>
    <w:rPr>
      <w:rFonts w:ascii="宋体" w:hAnsi="宋体"/>
      <w:sz w:val="27"/>
      <w:szCs w:val="27"/>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qFormat/>
    <w:uiPriority w:val="0"/>
    <w:pPr>
      <w:tabs>
        <w:tab w:val="center" w:pos="4153"/>
        <w:tab w:val="right" w:pos="8306"/>
      </w:tabs>
      <w:snapToGrid w:val="0"/>
      <w:jc w:val="center"/>
    </w:pPr>
    <w:rPr>
      <w:sz w:val="18"/>
      <w:szCs w:val="18"/>
    </w:rPr>
  </w:style>
  <w:style w:type="paragraph" w:styleId="14">
    <w:name w:val="toc 1"/>
    <w:basedOn w:val="1"/>
    <w:next w:val="1"/>
    <w:qFormat/>
    <w:uiPriority w:val="39"/>
    <w:pPr>
      <w:tabs>
        <w:tab w:val="left" w:pos="425"/>
        <w:tab w:val="right" w:leader="dot" w:pos="8805"/>
      </w:tabs>
      <w:spacing w:line="440" w:lineRule="exact"/>
      <w:jc w:val="center"/>
    </w:pPr>
    <w:rPr>
      <w:color w:val="000000"/>
      <w:sz w:val="20"/>
      <w:szCs w:val="20"/>
    </w:rPr>
  </w:style>
  <w:style w:type="paragraph" w:styleId="15">
    <w:name w:val="footnote text"/>
    <w:basedOn w:val="1"/>
    <w:qFormat/>
    <w:uiPriority w:val="0"/>
    <w:pPr>
      <w:adjustRightInd w:val="0"/>
      <w:snapToGrid w:val="0"/>
      <w:spacing w:line="420" w:lineRule="atLeast"/>
      <w:ind w:firstLine="454"/>
      <w:jc w:val="left"/>
      <w:textAlignment w:val="baseline"/>
    </w:pPr>
    <w:rPr>
      <w:kern w:val="0"/>
      <w:sz w:val="18"/>
      <w:szCs w:val="20"/>
    </w:rPr>
  </w:style>
  <w:style w:type="paragraph" w:styleId="16">
    <w:name w:val="table of figures"/>
    <w:basedOn w:val="1"/>
    <w:next w:val="1"/>
    <w:qFormat/>
    <w:uiPriority w:val="0"/>
    <w:pPr>
      <w:ind w:leftChars="200" w:hanging="200" w:hangingChars="200"/>
    </w:pPr>
  </w:style>
  <w:style w:type="paragraph" w:styleId="17">
    <w:name w:val="toc 2"/>
    <w:basedOn w:val="1"/>
    <w:next w:val="1"/>
    <w:qFormat/>
    <w:uiPriority w:val="39"/>
    <w:pPr>
      <w:tabs>
        <w:tab w:val="left" w:pos="1386"/>
        <w:tab w:val="right" w:leader="dot" w:pos="9230"/>
      </w:tabs>
      <w:spacing w:line="380" w:lineRule="exact"/>
      <w:ind w:left="420" w:leftChars="200"/>
    </w:pPr>
  </w:style>
  <w:style w:type="paragraph" w:styleId="18">
    <w:name w:val="Normal (Web)"/>
    <w:basedOn w:val="1"/>
    <w:qFormat/>
    <w:uiPriority w:val="0"/>
    <w:pPr>
      <w:widowControl/>
      <w:spacing w:before="100" w:beforeAutospacing="1" w:after="100" w:afterAutospacing="1"/>
      <w:ind w:left="0" w:right="0"/>
      <w:jc w:val="left"/>
    </w:pPr>
    <w:rPr>
      <w:rFonts w:ascii="宋体" w:hAnsi="宋体" w:eastAsia="宋体" w:cs="宋体"/>
      <w:kern w:val="0"/>
      <w:sz w:val="24"/>
      <w:lang w:val="en-US" w:eastAsia="zh-CN" w:bidi="ar"/>
    </w:rPr>
  </w:style>
  <w:style w:type="paragraph" w:styleId="19">
    <w:name w:val="Title"/>
    <w:basedOn w:val="1"/>
    <w:link w:val="32"/>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20">
    <w:name w:val="Body Text First Indent"/>
    <w:basedOn w:val="8"/>
    <w:next w:val="1"/>
    <w:qFormat/>
    <w:uiPriority w:val="0"/>
    <w:pPr>
      <w:adjustRightInd w:val="0"/>
      <w:spacing w:after="60" w:line="312" w:lineRule="auto"/>
      <w:ind w:left="72" w:leftChars="30" w:right="30" w:rightChars="30" w:firstLine="420"/>
      <w:jc w:val="center"/>
      <w:textAlignment w:val="baseline"/>
    </w:pPr>
  </w:style>
  <w:style w:type="paragraph" w:styleId="21">
    <w:name w:val="Body Text First Indent 2"/>
    <w:basedOn w:val="9"/>
    <w:unhideWhenUsed/>
    <w:qFormat/>
    <w:uiPriority w:val="99"/>
    <w:pPr>
      <w:ind w:firstLine="420" w:firstLineChars="2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rFonts w:ascii="Times New Roman" w:hAnsi="Times New Roman" w:eastAsia="宋体" w:cs="Times New Roman"/>
    </w:rPr>
  </w:style>
  <w:style w:type="character" w:styleId="26">
    <w:name w:val="page number"/>
    <w:basedOn w:val="24"/>
    <w:qFormat/>
    <w:uiPriority w:val="0"/>
  </w:style>
  <w:style w:type="character" w:styleId="27">
    <w:name w:val="Hyperlink"/>
    <w:qFormat/>
    <w:uiPriority w:val="99"/>
    <w:rPr>
      <w:color w:val="0000FF"/>
      <w:u w:val="none"/>
    </w:rPr>
  </w:style>
  <w:style w:type="character" w:styleId="28">
    <w:name w:val="footnote reference"/>
    <w:basedOn w:val="24"/>
    <w:qFormat/>
    <w:uiPriority w:val="0"/>
    <w:rPr>
      <w:vertAlign w:val="superscript"/>
    </w:rPr>
  </w:style>
  <w:style w:type="character" w:customStyle="1" w:styleId="29">
    <w:name w:val="标题 1 Char"/>
    <w:link w:val="2"/>
    <w:qFormat/>
    <w:uiPriority w:val="0"/>
    <w:rPr>
      <w:rFonts w:ascii="Times New Roman" w:hAnsi="Times New Roman" w:eastAsia="黑体" w:cs="Arial"/>
      <w:b/>
      <w:bCs/>
      <w:snapToGrid w:val="0"/>
      <w:color w:val="000000"/>
      <w:kern w:val="44"/>
      <w:sz w:val="44"/>
      <w:szCs w:val="44"/>
      <w:lang w:val="en-US" w:eastAsia="en-US" w:bidi="ar-SA"/>
    </w:rPr>
  </w:style>
  <w:style w:type="character" w:customStyle="1" w:styleId="30">
    <w:name w:val="标题 2 Char"/>
    <w:link w:val="3"/>
    <w:autoRedefine/>
    <w:qFormat/>
    <w:uiPriority w:val="0"/>
    <w:rPr>
      <w:rFonts w:ascii="Arial" w:hAnsi="Arial" w:eastAsia="黑体" w:cs="Times New Roman"/>
      <w:b/>
      <w:bCs/>
      <w:sz w:val="32"/>
      <w:szCs w:val="32"/>
    </w:rPr>
  </w:style>
  <w:style w:type="character" w:customStyle="1" w:styleId="31">
    <w:name w:val="font161"/>
    <w:qFormat/>
    <w:uiPriority w:val="0"/>
    <w:rPr>
      <w:b/>
      <w:bCs/>
      <w:sz w:val="32"/>
      <w:szCs w:val="32"/>
    </w:rPr>
  </w:style>
  <w:style w:type="character" w:customStyle="1" w:styleId="32">
    <w:name w:val="标题 Char"/>
    <w:link w:val="19"/>
    <w:qFormat/>
    <w:uiPriority w:val="0"/>
    <w:rPr>
      <w:rFonts w:ascii="Arial" w:hAnsi="Arial"/>
      <w:b/>
      <w:kern w:val="0"/>
      <w:sz w:val="32"/>
      <w:szCs w:val="20"/>
    </w:rPr>
  </w:style>
  <w:style w:type="character" w:customStyle="1" w:styleId="33">
    <w:name w:val="正文文本 (2) + 10.5 pt6"/>
    <w:qFormat/>
    <w:uiPriority w:val="0"/>
    <w:rPr>
      <w:rFonts w:ascii="宋体" w:hAnsi="宋体" w:cs="宋体"/>
      <w:b/>
      <w:bCs/>
      <w:spacing w:val="-10"/>
      <w:sz w:val="21"/>
      <w:szCs w:val="21"/>
      <w:u w:val="none"/>
      <w:lang w:bidi="ar-SA"/>
    </w:rPr>
  </w:style>
  <w:style w:type="paragraph" w:customStyle="1" w:styleId="34">
    <w:name w:val="正文文本 (2)1"/>
    <w:basedOn w:val="1"/>
    <w:link w:val="45"/>
    <w:qFormat/>
    <w:uiPriority w:val="0"/>
    <w:pPr>
      <w:shd w:val="clear" w:color="auto" w:fill="FFFFFF"/>
      <w:spacing w:before="300" w:line="439" w:lineRule="exact"/>
      <w:jc w:val="distribute"/>
    </w:pPr>
    <w:rPr>
      <w:rFonts w:ascii="宋体" w:hAnsi="宋体"/>
      <w:kern w:val="0"/>
      <w:sz w:val="22"/>
      <w:szCs w:val="22"/>
    </w:rPr>
  </w:style>
  <w:style w:type="character" w:customStyle="1" w:styleId="35">
    <w:name w:val="正文文本 (2) + 10 pt22"/>
    <w:qFormat/>
    <w:uiPriority w:val="0"/>
    <w:rPr>
      <w:rFonts w:ascii="宋体" w:hAnsi="宋体" w:cs="宋体"/>
      <w:sz w:val="20"/>
      <w:szCs w:val="20"/>
      <w:u w:val="none"/>
      <w:lang w:bidi="ar-SA"/>
    </w:rPr>
  </w:style>
  <w:style w:type="character" w:customStyle="1" w:styleId="36">
    <w:name w:val="正文文本 (2) + 10 pt7"/>
    <w:qFormat/>
    <w:uiPriority w:val="0"/>
    <w:rPr>
      <w:rFonts w:ascii="宋体" w:hAnsi="宋体" w:cs="宋体"/>
      <w:spacing w:val="70"/>
      <w:sz w:val="20"/>
      <w:szCs w:val="20"/>
      <w:u w:val="none"/>
      <w:lang w:bidi="ar-SA"/>
    </w:rPr>
  </w:style>
  <w:style w:type="character" w:customStyle="1" w:styleId="37">
    <w:name w:val="正文文本 (14) + Arial Narrow"/>
    <w:qFormat/>
    <w:uiPriority w:val="0"/>
    <w:rPr>
      <w:rFonts w:ascii="Arial Narrow" w:hAnsi="Arial Narrow" w:cs="Arial Narrow"/>
      <w:sz w:val="21"/>
      <w:szCs w:val="21"/>
      <w:lang w:val="en-US" w:eastAsia="en-US" w:bidi="ar-SA"/>
    </w:rPr>
  </w:style>
  <w:style w:type="paragraph" w:customStyle="1" w:styleId="38">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9">
    <w:name w:val="表头"/>
    <w:basedOn w:val="40"/>
    <w:qFormat/>
    <w:uiPriority w:val="0"/>
    <w:rPr>
      <w:rFonts w:ascii="黑体" w:eastAsia="黑体"/>
      <w:b/>
    </w:rPr>
  </w:style>
  <w:style w:type="paragraph" w:customStyle="1" w:styleId="40">
    <w:name w:val="表格方字"/>
    <w:basedOn w:val="1"/>
    <w:qFormat/>
    <w:uiPriority w:val="0"/>
    <w:pPr>
      <w:adjustRightInd w:val="0"/>
      <w:spacing w:before="60" w:after="60" w:line="420" w:lineRule="atLeast"/>
      <w:jc w:val="left"/>
      <w:textAlignment w:val="baseline"/>
    </w:pPr>
    <w:rPr>
      <w:kern w:val="0"/>
      <w:szCs w:val="20"/>
    </w:rPr>
  </w:style>
  <w:style w:type="paragraph" w:customStyle="1" w:styleId="41">
    <w:name w:val="af15hichaf0dbchf15cgrid"/>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sz w:val="21"/>
      <w:lang w:val="en-US" w:eastAsia="zh-CN" w:bidi="ar-SA"/>
    </w:rPr>
  </w:style>
  <w:style w:type="character" w:customStyle="1" w:styleId="42">
    <w:name w:val="正文文本 (2) + 9.5 pt"/>
    <w:qFormat/>
    <w:uiPriority w:val="0"/>
    <w:rPr>
      <w:rFonts w:ascii="宋体" w:hAnsi="宋体" w:cs="宋体"/>
      <w:sz w:val="19"/>
      <w:szCs w:val="19"/>
      <w:u w:val="none"/>
      <w:lang w:bidi="ar-SA"/>
    </w:rPr>
  </w:style>
  <w:style w:type="character" w:customStyle="1" w:styleId="43">
    <w:name w:val="正文文本 (2) + Sylfaen14"/>
    <w:qFormat/>
    <w:uiPriority w:val="0"/>
    <w:rPr>
      <w:rFonts w:ascii="Sylfaen" w:hAnsi="Sylfaen" w:cs="Sylfaen"/>
      <w:spacing w:val="10"/>
      <w:sz w:val="16"/>
      <w:szCs w:val="16"/>
      <w:u w:val="none"/>
      <w:lang w:val="en-US" w:eastAsia="en-US" w:bidi="ar-SA"/>
    </w:rPr>
  </w:style>
  <w:style w:type="paragraph" w:customStyle="1" w:styleId="44">
    <w:name w:val="正文文本 (12)"/>
    <w:basedOn w:val="1"/>
    <w:qFormat/>
    <w:uiPriority w:val="0"/>
    <w:pPr>
      <w:shd w:val="clear" w:color="auto" w:fill="FFFFFF"/>
      <w:spacing w:line="804" w:lineRule="exact"/>
      <w:jc w:val="distribute"/>
    </w:pPr>
    <w:rPr>
      <w:rFonts w:ascii="宋体" w:hAnsi="宋体" w:eastAsia="Times New Roman"/>
      <w:kern w:val="0"/>
      <w:sz w:val="28"/>
      <w:szCs w:val="28"/>
    </w:rPr>
  </w:style>
  <w:style w:type="character" w:customStyle="1" w:styleId="45">
    <w:name w:val="正文文本 (2)_"/>
    <w:link w:val="34"/>
    <w:qFormat/>
    <w:uiPriority w:val="0"/>
    <w:rPr>
      <w:rFonts w:ascii="宋体" w:hAnsi="宋体"/>
      <w:kern w:val="0"/>
      <w:sz w:val="22"/>
      <w:szCs w:val="22"/>
    </w:rPr>
  </w:style>
  <w:style w:type="paragraph" w:customStyle="1" w:styleId="46">
    <w:name w:val="_Style 130"/>
    <w:basedOn w:val="1"/>
    <w:qFormat/>
    <w:uiPriority w:val="0"/>
    <w:pPr>
      <w:widowControl/>
      <w:jc w:val="left"/>
    </w:pPr>
  </w:style>
  <w:style w:type="character" w:customStyle="1" w:styleId="47">
    <w:name w:val="正文文本 (2) + 9.5 pt5"/>
    <w:qFormat/>
    <w:uiPriority w:val="0"/>
    <w:rPr>
      <w:rFonts w:ascii="宋体" w:hAnsi="宋体" w:cs="宋体"/>
      <w:sz w:val="19"/>
      <w:szCs w:val="19"/>
      <w:u w:val="none"/>
      <w:lang w:bidi="ar-SA"/>
    </w:rPr>
  </w:style>
  <w:style w:type="paragraph" w:customStyle="1" w:styleId="48">
    <w:name w:val="p0"/>
    <w:basedOn w:val="1"/>
    <w:qFormat/>
    <w:uiPriority w:val="0"/>
    <w:pPr>
      <w:widowControl/>
    </w:pPr>
    <w:rPr>
      <w:rFonts w:ascii="Calibri" w:hAnsi="Calibri" w:cs="宋体"/>
      <w:kern w:val="0"/>
      <w:szCs w:val="21"/>
    </w:rPr>
  </w:style>
  <w:style w:type="paragraph" w:customStyle="1" w:styleId="49">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50">
    <w:name w:val="Block Text"/>
    <w:basedOn w:val="1"/>
    <w:qFormat/>
    <w:uiPriority w:val="0"/>
    <w:pPr>
      <w:adjustRightInd w:val="0"/>
      <w:spacing w:line="520" w:lineRule="atLeast"/>
      <w:ind w:left="270" w:right="216"/>
      <w:textAlignment w:val="baseline"/>
    </w:pPr>
    <w:rPr>
      <w:sz w:val="24"/>
      <w:szCs w:val="20"/>
    </w:rPr>
  </w:style>
  <w:style w:type="paragraph" w:styleId="51">
    <w:name w:val="List Paragraph"/>
    <w:basedOn w:val="1"/>
    <w:qFormat/>
    <w:uiPriority w:val="1"/>
    <w:pPr>
      <w:ind w:left="424" w:firstLine="480"/>
    </w:pPr>
  </w:style>
  <w:style w:type="paragraph" w:customStyle="1" w:styleId="5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8" Type="http://schemas.openxmlformats.org/officeDocument/2006/relationships/fontTable" Target="fontTable.xml"/><Relationship Id="rId37" Type="http://schemas.openxmlformats.org/officeDocument/2006/relationships/numbering" Target="numbering.xml"/><Relationship Id="rId36" Type="http://schemas.openxmlformats.org/officeDocument/2006/relationships/customXml" Target="../customXml/item1.xml"/><Relationship Id="rId35" Type="http://schemas.openxmlformats.org/officeDocument/2006/relationships/theme" Target="theme/theme1.xml"/><Relationship Id="rId34" Type="http://schemas.openxmlformats.org/officeDocument/2006/relationships/header" Target="header16.xml"/><Relationship Id="rId33" Type="http://schemas.openxmlformats.org/officeDocument/2006/relationships/footer" Target="footer15.xml"/><Relationship Id="rId32" Type="http://schemas.openxmlformats.org/officeDocument/2006/relationships/footer" Target="footer14.xml"/><Relationship Id="rId31" Type="http://schemas.openxmlformats.org/officeDocument/2006/relationships/header" Target="header15.xml"/><Relationship Id="rId30" Type="http://schemas.openxmlformats.org/officeDocument/2006/relationships/header" Target="header14.xml"/><Relationship Id="rId3" Type="http://schemas.openxmlformats.org/officeDocument/2006/relationships/footnotes" Target="footnotes.xml"/><Relationship Id="rId29" Type="http://schemas.openxmlformats.org/officeDocument/2006/relationships/footer" Target="footer13.xml"/><Relationship Id="rId28" Type="http://schemas.openxmlformats.org/officeDocument/2006/relationships/footer" Target="footer12.xml"/><Relationship Id="rId27" Type="http://schemas.openxmlformats.org/officeDocument/2006/relationships/header" Target="header13.xml"/><Relationship Id="rId26" Type="http://schemas.openxmlformats.org/officeDocument/2006/relationships/header" Target="header12.xml"/><Relationship Id="rId25" Type="http://schemas.openxmlformats.org/officeDocument/2006/relationships/footer" Target="footer11.xml"/><Relationship Id="rId24" Type="http://schemas.openxmlformats.org/officeDocument/2006/relationships/header" Target="header11.xml"/><Relationship Id="rId23" Type="http://schemas.openxmlformats.org/officeDocument/2006/relationships/footer" Target="footer10.xml"/><Relationship Id="rId22" Type="http://schemas.openxmlformats.org/officeDocument/2006/relationships/footer" Target="footer9.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177</Pages>
  <Words>12043</Words>
  <Characters>14297</Characters>
  <Lines>0</Lines>
  <Paragraphs>0</Paragraphs>
  <TotalTime>46</TotalTime>
  <ScaleCrop>false</ScaleCrop>
  <LinksUpToDate>false</LinksUpToDate>
  <CharactersWithSpaces>14677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2024-12-09T02:05:00Z</dcterms:created>
  <dc:creator>Administrator</dc:creator>
  <cp:lastModifiedBy>Administrator</cp:lastModifiedBy>
  <dcterms:modified xsi:type="dcterms:W3CDTF">2026-05-13T06:27:51Z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A584DD23727A406FA12AB2D8A44BE052_12</vt:lpwstr>
  </property>
  <property fmtid="{D5CDD505-2E9C-101B-9397-08002B2CF9AE}" pid="4" name="KSOTemplateDocerSaveRecord">
    <vt:lpwstr>eyJoZGlkIjoiMmU3M2UwMjE0NmZjZGM3NDZlNDNhZjFjNmIzNzdkMWYiLCJ1c2VySWQiOiIyODQxNTQ3NTMifQ==</vt:lpwstr>
  </property>
</Properties>
</file>