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1BDE5">
      <w:pPr>
        <w:tabs>
          <w:tab w:val="left" w:pos="500"/>
        </w:tabs>
        <w:snapToGrid w:val="0"/>
        <w:spacing w:line="360" w:lineRule="auto"/>
        <w:jc w:val="center"/>
        <w:rPr>
          <w:rFonts w:hint="eastAsia" w:ascii="宋体" w:hAnsi="宋体" w:eastAsia="宋体" w:cs="宋体"/>
          <w:b/>
          <w:color w:val="auto"/>
          <w:sz w:val="48"/>
          <w:szCs w:val="48"/>
          <w:highlight w:val="none"/>
          <w:lang w:val="en-US" w:eastAsia="zh-CN"/>
        </w:rPr>
      </w:pPr>
    </w:p>
    <w:p w14:paraId="506DA75D">
      <w:pPr>
        <w:tabs>
          <w:tab w:val="left" w:pos="500"/>
        </w:tabs>
        <w:snapToGrid w:val="0"/>
        <w:spacing w:line="360" w:lineRule="auto"/>
        <w:jc w:val="center"/>
        <w:rPr>
          <w:rFonts w:hint="eastAsia" w:ascii="宋体" w:hAnsi="宋体" w:eastAsia="宋体" w:cs="宋体"/>
          <w:b/>
          <w:color w:val="auto"/>
          <w:sz w:val="48"/>
          <w:szCs w:val="48"/>
          <w:highlight w:val="none"/>
          <w:lang w:val="en-US" w:eastAsia="zh-CN"/>
        </w:rPr>
      </w:pPr>
    </w:p>
    <w:p w14:paraId="0BC2F544">
      <w:pPr>
        <w:widowControl w:val="0"/>
        <w:spacing w:line="480" w:lineRule="auto"/>
        <w:jc w:val="center"/>
        <w:rPr>
          <w:rFonts w:hint="eastAsia" w:ascii="宋体" w:hAnsi="宋体" w:cs="宋体"/>
          <w:b w:val="0"/>
          <w:bCs w:val="0"/>
          <w:color w:val="auto"/>
          <w:sz w:val="44"/>
          <w:szCs w:val="44"/>
          <w:u w:val="none"/>
          <w:lang w:val="en-US" w:eastAsia="zh-CN"/>
        </w:rPr>
      </w:pPr>
      <w:r>
        <w:rPr>
          <w:rFonts w:hint="eastAsia" w:ascii="宋体" w:hAnsi="宋体" w:cs="宋体"/>
          <w:b/>
          <w:bCs/>
          <w:color w:val="auto"/>
          <w:sz w:val="48"/>
          <w:szCs w:val="48"/>
          <w:u w:val="none"/>
          <w:lang w:val="en-US" w:eastAsia="zh-CN"/>
        </w:rPr>
        <w:t>库伦旗优质育肥肉牛可追溯智慧牧场建设项目（EPC+O）标段</w:t>
      </w:r>
    </w:p>
    <w:p w14:paraId="07A3746B">
      <w:pPr>
        <w:widowControl w:val="0"/>
        <w:spacing w:line="480" w:lineRule="auto"/>
        <w:jc w:val="center"/>
        <w:rPr>
          <w:rFonts w:hint="eastAsia" w:ascii="宋体" w:hAnsi="宋体" w:cs="宋体"/>
          <w:b/>
          <w:bCs/>
          <w:color w:val="auto"/>
          <w:sz w:val="48"/>
          <w:szCs w:val="48"/>
          <w:u w:val="none"/>
          <w:lang w:val="en-US" w:eastAsia="zh-CN"/>
        </w:rPr>
      </w:pPr>
    </w:p>
    <w:p w14:paraId="3690FE6D">
      <w:pPr>
        <w:jc w:val="center"/>
        <w:rPr>
          <w:rFonts w:hint="eastAsia" w:ascii="宋体" w:hAnsi="宋体" w:eastAsia="宋体" w:cs="宋体"/>
          <w:b/>
          <w:color w:val="auto"/>
          <w:sz w:val="96"/>
          <w:szCs w:val="22"/>
          <w:highlight w:val="none"/>
          <w14:shadow w14:blurRad="50800" w14:dist="38100" w14:dir="2700000" w14:sx="100000" w14:sy="100000" w14:kx="0" w14:ky="0" w14:algn="tl">
            <w14:srgbClr w14:val="000000">
              <w14:alpha w14:val="60000"/>
            </w14:srgbClr>
          </w14:shadow>
        </w:rPr>
      </w:pPr>
      <w:r>
        <w:rPr>
          <w:rFonts w:hint="eastAsia" w:ascii="宋体" w:hAnsi="宋体" w:eastAsia="宋体" w:cs="宋体"/>
          <w:b/>
          <w:color w:val="auto"/>
          <w:sz w:val="96"/>
          <w:szCs w:val="22"/>
          <w:highlight w:val="none"/>
          <w14:shadow w14:blurRad="50800" w14:dist="38100" w14:dir="2700000" w14:sx="100000" w14:sy="100000" w14:kx="0" w14:ky="0" w14:algn="tl">
            <w14:srgbClr w14:val="000000">
              <w14:alpha w14:val="60000"/>
            </w14:srgbClr>
          </w14:shadow>
        </w:rPr>
        <w:t>招</w:t>
      </w:r>
      <w:r>
        <w:rPr>
          <w:rFonts w:hint="eastAsia" w:ascii="宋体" w:hAnsi="宋体" w:eastAsia="宋体" w:cs="宋体"/>
          <w:b/>
          <w:color w:val="auto"/>
          <w:sz w:val="96"/>
          <w:szCs w:val="22"/>
          <w:highlight w:val="none"/>
          <w:lang w:val="en-US" w:eastAsia="zh-CN"/>
          <w14:shadow w14:blurRad="50800" w14:dist="38100" w14:dir="2700000" w14:sx="100000" w14:sy="100000" w14:kx="0" w14:ky="0" w14:algn="tl">
            <w14:srgbClr w14:val="000000">
              <w14:alpha w14:val="60000"/>
            </w14:srgbClr>
          </w14:shadow>
        </w:rPr>
        <w:t xml:space="preserve"> </w:t>
      </w:r>
      <w:r>
        <w:rPr>
          <w:rFonts w:hint="eastAsia" w:ascii="宋体" w:hAnsi="宋体" w:eastAsia="宋体" w:cs="宋体"/>
          <w:b/>
          <w:color w:val="auto"/>
          <w:sz w:val="96"/>
          <w:szCs w:val="22"/>
          <w:highlight w:val="none"/>
          <w14:shadow w14:blurRad="50800" w14:dist="38100" w14:dir="2700000" w14:sx="100000" w14:sy="100000" w14:kx="0" w14:ky="0" w14:algn="tl">
            <w14:srgbClr w14:val="000000">
              <w14:alpha w14:val="60000"/>
            </w14:srgbClr>
          </w14:shadow>
        </w:rPr>
        <w:t>标</w:t>
      </w:r>
      <w:r>
        <w:rPr>
          <w:rFonts w:hint="eastAsia" w:ascii="宋体" w:hAnsi="宋体" w:eastAsia="宋体" w:cs="宋体"/>
          <w:b/>
          <w:color w:val="auto"/>
          <w:sz w:val="96"/>
          <w:szCs w:val="22"/>
          <w:highlight w:val="none"/>
          <w:lang w:val="en-US" w:eastAsia="zh-CN"/>
          <w14:shadow w14:blurRad="50800" w14:dist="38100" w14:dir="2700000" w14:sx="100000" w14:sy="100000" w14:kx="0" w14:ky="0" w14:algn="tl">
            <w14:srgbClr w14:val="000000">
              <w14:alpha w14:val="60000"/>
            </w14:srgbClr>
          </w14:shadow>
        </w:rPr>
        <w:t xml:space="preserve"> </w:t>
      </w:r>
      <w:r>
        <w:rPr>
          <w:rFonts w:hint="eastAsia" w:ascii="宋体" w:hAnsi="宋体" w:eastAsia="宋体" w:cs="宋体"/>
          <w:b/>
          <w:color w:val="auto"/>
          <w:sz w:val="96"/>
          <w:szCs w:val="22"/>
          <w:highlight w:val="none"/>
          <w14:shadow w14:blurRad="50800" w14:dist="38100" w14:dir="2700000" w14:sx="100000" w14:sy="100000" w14:kx="0" w14:ky="0" w14:algn="tl">
            <w14:srgbClr w14:val="000000">
              <w14:alpha w14:val="60000"/>
            </w14:srgbClr>
          </w14:shadow>
        </w:rPr>
        <w:t>文</w:t>
      </w:r>
      <w:r>
        <w:rPr>
          <w:rFonts w:hint="eastAsia" w:ascii="宋体" w:hAnsi="宋体" w:eastAsia="宋体" w:cs="宋体"/>
          <w:b/>
          <w:color w:val="auto"/>
          <w:sz w:val="96"/>
          <w:szCs w:val="22"/>
          <w:highlight w:val="none"/>
          <w:lang w:val="en-US" w:eastAsia="zh-CN"/>
          <w14:shadow w14:blurRad="50800" w14:dist="38100" w14:dir="2700000" w14:sx="100000" w14:sy="100000" w14:kx="0" w14:ky="0" w14:algn="tl">
            <w14:srgbClr w14:val="000000">
              <w14:alpha w14:val="60000"/>
            </w14:srgbClr>
          </w14:shadow>
        </w:rPr>
        <w:t xml:space="preserve"> </w:t>
      </w:r>
      <w:r>
        <w:rPr>
          <w:rFonts w:hint="eastAsia" w:ascii="宋体" w:hAnsi="宋体" w:eastAsia="宋体" w:cs="宋体"/>
          <w:b/>
          <w:color w:val="auto"/>
          <w:sz w:val="96"/>
          <w:szCs w:val="22"/>
          <w:highlight w:val="none"/>
          <w14:shadow w14:blurRad="50800" w14:dist="38100" w14:dir="2700000" w14:sx="100000" w14:sy="100000" w14:kx="0" w14:ky="0" w14:algn="tl">
            <w14:srgbClr w14:val="000000">
              <w14:alpha w14:val="60000"/>
            </w14:srgbClr>
          </w14:shadow>
        </w:rPr>
        <w:t>件</w:t>
      </w:r>
    </w:p>
    <w:p w14:paraId="338CA9DE">
      <w:pPr>
        <w:spacing w:line="360" w:lineRule="auto"/>
        <w:jc w:val="center"/>
        <w:rPr>
          <w:rFonts w:hint="eastAsia" w:ascii="宋体" w:hAnsi="宋体" w:eastAsia="宋体" w:cs="宋体"/>
          <w:b/>
          <w:color w:val="auto"/>
          <w:sz w:val="32"/>
          <w:szCs w:val="32"/>
          <w:highlight w:val="none"/>
        </w:rPr>
      </w:pPr>
    </w:p>
    <w:p w14:paraId="5F90CA31">
      <w:pPr>
        <w:spacing w:line="360" w:lineRule="auto"/>
        <w:jc w:val="left"/>
        <w:outlineLvl w:val="0"/>
        <w:rPr>
          <w:rFonts w:hint="eastAsia" w:ascii="宋体" w:hAnsi="宋体" w:eastAsia="宋体" w:cs="宋体"/>
          <w:b/>
          <w:bCs w:val="0"/>
          <w:color w:val="auto"/>
          <w:sz w:val="32"/>
          <w:szCs w:val="28"/>
          <w:highlight w:val="none"/>
        </w:rPr>
      </w:pPr>
      <w:bookmarkStart w:id="0" w:name="_Toc18282"/>
    </w:p>
    <w:p w14:paraId="499440E7">
      <w:pPr>
        <w:spacing w:line="360" w:lineRule="auto"/>
        <w:jc w:val="center"/>
        <w:outlineLvl w:val="0"/>
        <w:rPr>
          <w:rFonts w:hint="default" w:ascii="宋体" w:hAnsi="宋体" w:eastAsia="宋体" w:cs="宋体"/>
          <w:b/>
          <w:bCs w:val="0"/>
          <w:color w:val="auto"/>
          <w:sz w:val="32"/>
          <w:szCs w:val="28"/>
          <w:highlight w:val="none"/>
          <w:lang w:val="en-US" w:eastAsia="zh-CN"/>
        </w:rPr>
      </w:pPr>
      <w:bookmarkStart w:id="1" w:name="_Toc8835"/>
      <w:r>
        <w:rPr>
          <w:rFonts w:hint="eastAsia" w:ascii="宋体" w:hAnsi="宋体" w:eastAsia="宋体" w:cs="宋体"/>
          <w:b/>
          <w:bCs w:val="0"/>
          <w:color w:val="auto"/>
          <w:sz w:val="32"/>
          <w:szCs w:val="28"/>
          <w:highlight w:val="none"/>
          <w:lang w:val="en-US" w:eastAsia="zh-CN"/>
        </w:rPr>
        <w:t>项目</w:t>
      </w:r>
      <w:r>
        <w:rPr>
          <w:rFonts w:hint="eastAsia" w:ascii="宋体" w:hAnsi="宋体" w:eastAsia="宋体" w:cs="宋体"/>
          <w:b/>
          <w:bCs w:val="0"/>
          <w:color w:val="auto"/>
          <w:sz w:val="32"/>
          <w:szCs w:val="28"/>
          <w:highlight w:val="none"/>
        </w:rPr>
        <w:t>编号：</w:t>
      </w:r>
      <w:bookmarkEnd w:id="0"/>
      <w:bookmarkEnd w:id="1"/>
      <w:r>
        <w:rPr>
          <w:rFonts w:hint="eastAsia" w:ascii="宋体" w:hAnsi="宋体" w:cs="宋体"/>
          <w:b/>
          <w:bCs w:val="0"/>
          <w:color w:val="auto"/>
          <w:sz w:val="32"/>
          <w:szCs w:val="28"/>
          <w:highlight w:val="none"/>
          <w:lang w:val="en-US" w:eastAsia="zh-CN"/>
        </w:rPr>
        <w:t>***</w:t>
      </w:r>
    </w:p>
    <w:p w14:paraId="3655DE44">
      <w:pPr>
        <w:spacing w:line="360" w:lineRule="auto"/>
        <w:jc w:val="center"/>
        <w:outlineLvl w:val="0"/>
        <w:rPr>
          <w:rFonts w:hint="eastAsia" w:ascii="宋体" w:hAnsi="宋体" w:eastAsia="宋体" w:cs="宋体"/>
          <w:b/>
          <w:bCs w:val="0"/>
          <w:color w:val="auto"/>
          <w:sz w:val="32"/>
          <w:szCs w:val="28"/>
          <w:highlight w:val="none"/>
        </w:rPr>
      </w:pPr>
    </w:p>
    <w:p w14:paraId="0CD66EEE">
      <w:pPr>
        <w:spacing w:line="360" w:lineRule="auto"/>
        <w:jc w:val="center"/>
        <w:rPr>
          <w:rFonts w:hint="eastAsia" w:ascii="宋体" w:hAnsi="宋体" w:eastAsia="宋体" w:cs="宋体"/>
          <w:b/>
          <w:color w:val="auto"/>
          <w:sz w:val="32"/>
          <w:szCs w:val="32"/>
          <w:highlight w:val="none"/>
        </w:rPr>
      </w:pPr>
    </w:p>
    <w:p w14:paraId="4163FFA7">
      <w:pPr>
        <w:spacing w:line="360" w:lineRule="auto"/>
        <w:rPr>
          <w:rFonts w:hint="eastAsia" w:ascii="宋体" w:hAnsi="宋体" w:eastAsia="宋体" w:cs="宋体"/>
          <w:b/>
          <w:color w:val="auto"/>
          <w:sz w:val="32"/>
          <w:highlight w:val="none"/>
        </w:rPr>
      </w:pPr>
    </w:p>
    <w:p w14:paraId="438CAA58">
      <w:pPr>
        <w:pStyle w:val="16"/>
        <w:ind w:left="0" w:leftChars="0" w:firstLine="0" w:firstLineChars="0"/>
        <w:rPr>
          <w:rFonts w:hint="eastAsia" w:ascii="宋体" w:hAnsi="宋体" w:eastAsia="宋体" w:cs="宋体"/>
          <w:b/>
          <w:color w:val="auto"/>
          <w:kern w:val="2"/>
          <w:sz w:val="30"/>
          <w:szCs w:val="30"/>
          <w:highlight w:val="none"/>
          <w:u w:val="single"/>
          <w:lang w:val="en-US" w:eastAsia="zh-CN" w:bidi="ar-SA"/>
        </w:rPr>
      </w:pPr>
    </w:p>
    <w:p w14:paraId="682DF910">
      <w:pPr>
        <w:pStyle w:val="16"/>
        <w:ind w:left="0" w:leftChars="0" w:firstLine="0" w:firstLineChars="0"/>
        <w:rPr>
          <w:rFonts w:hint="eastAsia" w:ascii="宋体" w:hAnsi="宋体" w:eastAsia="宋体" w:cs="宋体"/>
          <w:b/>
          <w:color w:val="auto"/>
          <w:kern w:val="2"/>
          <w:sz w:val="30"/>
          <w:szCs w:val="30"/>
          <w:highlight w:val="none"/>
          <w:u w:val="single"/>
          <w:lang w:val="en-US" w:eastAsia="zh-CN" w:bidi="ar-SA"/>
        </w:rPr>
      </w:pPr>
    </w:p>
    <w:p w14:paraId="5BC4F458">
      <w:pPr>
        <w:pStyle w:val="16"/>
        <w:ind w:left="0" w:leftChars="0" w:firstLine="0" w:firstLineChars="0"/>
        <w:rPr>
          <w:rFonts w:hint="eastAsia" w:ascii="宋体" w:hAnsi="宋体" w:eastAsia="宋体" w:cs="宋体"/>
          <w:b/>
          <w:color w:val="auto"/>
          <w:kern w:val="2"/>
          <w:sz w:val="30"/>
          <w:szCs w:val="30"/>
          <w:highlight w:val="none"/>
          <w:u w:val="single"/>
          <w:lang w:val="en-US" w:eastAsia="zh-CN" w:bidi="ar-SA"/>
        </w:rPr>
      </w:pPr>
    </w:p>
    <w:p w14:paraId="2C0924B5">
      <w:pPr>
        <w:pStyle w:val="16"/>
        <w:ind w:left="0" w:leftChars="0" w:firstLine="0" w:firstLineChars="0"/>
        <w:rPr>
          <w:rFonts w:hint="eastAsia" w:ascii="宋体" w:hAnsi="宋体" w:eastAsia="宋体" w:cs="宋体"/>
          <w:b/>
          <w:color w:val="auto"/>
          <w:kern w:val="2"/>
          <w:sz w:val="30"/>
          <w:szCs w:val="30"/>
          <w:highlight w:val="none"/>
          <w:u w:val="single"/>
          <w:lang w:val="en-US" w:eastAsia="zh-CN" w:bidi="ar-SA"/>
        </w:rPr>
      </w:pPr>
    </w:p>
    <w:p w14:paraId="0CE2D359">
      <w:pPr>
        <w:pStyle w:val="23"/>
        <w:widowControl/>
        <w:adjustRightInd w:val="0"/>
        <w:snapToGrid w:val="0"/>
        <w:spacing w:line="240" w:lineRule="auto"/>
        <w:ind w:firstLine="0" w:firstLineChars="0"/>
        <w:jc w:val="center"/>
        <w:textAlignment w:val="baseline"/>
        <w:outlineLvl w:val="0"/>
        <w:rPr>
          <w:rFonts w:hint="eastAsia" w:ascii="宋体" w:hAnsi="宋体" w:eastAsia="宋体" w:cs="宋体"/>
          <w:b/>
          <w:color w:val="auto"/>
          <w:sz w:val="30"/>
          <w:szCs w:val="30"/>
          <w:highlight w:val="none"/>
        </w:rPr>
      </w:pPr>
      <w:bookmarkStart w:id="2" w:name="_Toc21432"/>
      <w:bookmarkStart w:id="3" w:name="_Toc17566"/>
      <w:r>
        <w:rPr>
          <w:rFonts w:hint="eastAsia" w:ascii="宋体" w:hAnsi="宋体" w:eastAsia="宋体" w:cs="宋体"/>
          <w:b/>
          <w:color w:val="auto"/>
          <w:kern w:val="2"/>
          <w:sz w:val="30"/>
          <w:szCs w:val="30"/>
          <w:highlight w:val="none"/>
          <w:u w:val="none"/>
          <w:lang w:val="en-US" w:eastAsia="zh-CN" w:bidi="ar-SA"/>
        </w:rPr>
        <w:t>招标单位：</w:t>
      </w:r>
      <w:r>
        <w:rPr>
          <w:rFonts w:hint="eastAsia" w:ascii="宋体" w:hAnsi="宋体" w:eastAsia="宋体" w:cs="宋体"/>
          <w:b/>
          <w:color w:val="auto"/>
          <w:kern w:val="2"/>
          <w:sz w:val="30"/>
          <w:szCs w:val="30"/>
          <w:highlight w:val="none"/>
          <w:u w:val="single"/>
          <w:lang w:val="en-US" w:eastAsia="zh-CN" w:bidi="ar-SA"/>
        </w:rPr>
        <w:t xml:space="preserve"> </w:t>
      </w:r>
      <w:r>
        <w:rPr>
          <w:rFonts w:hint="eastAsia" w:ascii="宋体" w:hAnsi="宋体" w:cs="宋体"/>
          <w:b/>
          <w:color w:val="auto"/>
          <w:kern w:val="2"/>
          <w:sz w:val="30"/>
          <w:szCs w:val="30"/>
          <w:highlight w:val="none"/>
          <w:u w:val="single"/>
          <w:lang w:val="en-US" w:eastAsia="zh-CN" w:bidi="ar-SA"/>
        </w:rPr>
        <w:t>库伦旗农牧和科技局</w:t>
      </w:r>
      <w:r>
        <w:rPr>
          <w:rFonts w:hint="eastAsia" w:ascii="宋体" w:hAnsi="宋体" w:eastAsia="宋体" w:cs="宋体"/>
          <w:b/>
          <w:color w:val="auto"/>
          <w:kern w:val="2"/>
          <w:sz w:val="30"/>
          <w:szCs w:val="30"/>
          <w:highlight w:val="none"/>
          <w:u w:val="single"/>
          <w:lang w:val="en-US" w:eastAsia="zh-CN" w:bidi="ar-SA"/>
        </w:rPr>
        <w:t xml:space="preserve"> </w:t>
      </w:r>
      <w:r>
        <w:rPr>
          <w:rFonts w:hint="eastAsia" w:ascii="宋体" w:hAnsi="宋体" w:eastAsia="宋体" w:cs="宋体"/>
          <w:b/>
          <w:color w:val="auto"/>
          <w:sz w:val="30"/>
          <w:szCs w:val="30"/>
          <w:highlight w:val="none"/>
        </w:rPr>
        <w:t>（盖章）</w:t>
      </w:r>
      <w:bookmarkEnd w:id="2"/>
      <w:bookmarkEnd w:id="3"/>
    </w:p>
    <w:p w14:paraId="3C5D4CBE">
      <w:pPr>
        <w:pStyle w:val="23"/>
        <w:widowControl/>
        <w:adjustRightInd w:val="0"/>
        <w:snapToGrid w:val="0"/>
        <w:spacing w:line="240" w:lineRule="auto"/>
        <w:ind w:firstLine="0" w:firstLineChars="0"/>
        <w:jc w:val="center"/>
        <w:textAlignment w:val="baseline"/>
        <w:rPr>
          <w:rFonts w:hint="eastAsia" w:ascii="宋体" w:hAnsi="宋体" w:eastAsia="宋体" w:cs="宋体"/>
          <w:b/>
          <w:color w:val="auto"/>
          <w:spacing w:val="-6"/>
          <w:sz w:val="30"/>
          <w:szCs w:val="30"/>
          <w:highlight w:val="none"/>
        </w:rPr>
      </w:pPr>
    </w:p>
    <w:p w14:paraId="26DB76C9">
      <w:pPr>
        <w:adjustRightInd w:val="0"/>
        <w:snapToGrid w:val="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招标代理： </w:t>
      </w:r>
      <w:r>
        <w:rPr>
          <w:rFonts w:hint="eastAsia" w:ascii="宋体" w:hAnsi="宋体" w:eastAsia="宋体" w:cs="宋体"/>
          <w:b/>
          <w:color w:val="auto"/>
          <w:sz w:val="30"/>
          <w:szCs w:val="30"/>
          <w:highlight w:val="none"/>
          <w:u w:val="single"/>
          <w:lang w:val="en-US" w:eastAsia="zh-CN"/>
        </w:rPr>
        <w:t>内蒙古鼎益工程项目管理有限公司</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（盖章）</w:t>
      </w:r>
    </w:p>
    <w:p w14:paraId="2E90995E">
      <w:pPr>
        <w:adjustRightInd w:val="0"/>
        <w:snapToGrid w:val="0"/>
        <w:jc w:val="left"/>
        <w:rPr>
          <w:rFonts w:hint="eastAsia" w:ascii="宋体" w:hAnsi="宋体" w:eastAsia="宋体" w:cs="宋体"/>
          <w:b/>
          <w:color w:val="auto"/>
          <w:sz w:val="30"/>
          <w:szCs w:val="30"/>
          <w:highlight w:val="none"/>
        </w:rPr>
      </w:pPr>
    </w:p>
    <w:p w14:paraId="20540259">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0"/>
          <w:szCs w:val="30"/>
          <w:highlight w:val="none"/>
          <w:u w:val="single"/>
        </w:rPr>
        <w:t>20</w:t>
      </w:r>
      <w:r>
        <w:rPr>
          <w:rFonts w:hint="eastAsia" w:ascii="宋体" w:hAnsi="宋体" w:eastAsia="宋体" w:cs="宋体"/>
          <w:b/>
          <w:color w:val="auto"/>
          <w:sz w:val="30"/>
          <w:szCs w:val="30"/>
          <w:highlight w:val="none"/>
          <w:u w:val="single"/>
          <w:lang w:val="en-US" w:eastAsia="zh-CN"/>
        </w:rPr>
        <w:t>2</w:t>
      </w:r>
      <w:r>
        <w:rPr>
          <w:rFonts w:hint="eastAsia" w:ascii="宋体" w:hAnsi="宋体" w:cs="宋体"/>
          <w:b/>
          <w:color w:val="auto"/>
          <w:sz w:val="30"/>
          <w:szCs w:val="30"/>
          <w:highlight w:val="none"/>
          <w:u w:val="single"/>
          <w:lang w:val="en-US" w:eastAsia="zh-CN"/>
        </w:rPr>
        <w:t>6</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u w:val="single"/>
          <w:lang w:val="en-US" w:eastAsia="zh-CN"/>
        </w:rPr>
        <w:t>5</w:t>
      </w:r>
      <w:r>
        <w:rPr>
          <w:rFonts w:hint="eastAsia" w:ascii="宋体" w:hAnsi="宋体" w:eastAsia="宋体" w:cs="宋体"/>
          <w:b/>
          <w:color w:val="auto"/>
          <w:sz w:val="30"/>
          <w:szCs w:val="30"/>
          <w:highlight w:val="none"/>
        </w:rPr>
        <w:t>月</w:t>
      </w:r>
      <w:r>
        <w:rPr>
          <w:rFonts w:hint="eastAsia" w:ascii="宋体" w:hAnsi="宋体" w:eastAsia="宋体" w:cs="宋体"/>
          <w:b/>
          <w:bCs/>
          <w:color w:val="auto"/>
          <w:sz w:val="28"/>
          <w:szCs w:val="28"/>
          <w:highlight w:val="none"/>
        </w:rPr>
        <w:br w:type="page"/>
      </w:r>
    </w:p>
    <w:p w14:paraId="0FA5E32A">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目</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录</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p>
    <w:p w14:paraId="0F11995F">
      <w:pPr>
        <w:pStyle w:val="14"/>
        <w:tabs>
          <w:tab w:val="right" w:leader="dot" w:pos="8561"/>
          <w:tab w:val="clear" w:pos="8551"/>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_Toc32394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lang w:val="en-US" w:eastAsia="zh-CN"/>
        </w:rPr>
        <w:t>第一章 招标公告</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_Toc32394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23AE64BC">
      <w:pPr>
        <w:pStyle w:val="14"/>
        <w:tabs>
          <w:tab w:val="right" w:leader="dot" w:pos="8561"/>
          <w:tab w:val="clear" w:pos="8551"/>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_Toc21249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lang w:val="en-US" w:eastAsia="zh-CN"/>
        </w:rPr>
        <w:t>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_Toc21249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- 10 -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5F92AC3C">
      <w:pPr>
        <w:pStyle w:val="14"/>
        <w:tabs>
          <w:tab w:val="right" w:leader="dot" w:pos="8561"/>
          <w:tab w:val="clear" w:pos="8551"/>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_Toc26577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kern w:val="44"/>
          <w:sz w:val="32"/>
          <w:szCs w:val="32"/>
          <w:highlight w:val="none"/>
          <w:lang w:val="en-US" w:eastAsia="zh-CN" w:bidi="ar-SA"/>
        </w:rPr>
        <w:t>第三章 评标办法（综合评估法）</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_Toc26577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- 44 -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033974D1">
      <w:pPr>
        <w:pStyle w:val="14"/>
        <w:tabs>
          <w:tab w:val="right" w:leader="dot" w:pos="8561"/>
          <w:tab w:val="clear" w:pos="8551"/>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_Toc27288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lang w:val="en-US" w:eastAsia="zh-CN"/>
        </w:rPr>
        <w:t>第四章 合同条款及格式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_Toc27288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- 51 -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68385D14">
      <w:pPr>
        <w:pStyle w:val="14"/>
        <w:tabs>
          <w:tab w:val="right" w:leader="dot" w:pos="8561"/>
          <w:tab w:val="clear" w:pos="8551"/>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_Toc2186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lang w:val="en-US" w:eastAsia="zh-CN"/>
        </w:rPr>
        <w:t>第五章 发包人要求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_Toc2186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- 180 -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41277363">
      <w:pPr>
        <w:pStyle w:val="14"/>
        <w:tabs>
          <w:tab w:val="right" w:leader="dot" w:pos="8561"/>
          <w:tab w:val="clear" w:pos="8551"/>
        </w:tabs>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_Toc25450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lang w:val="en-US" w:eastAsia="zh-CN"/>
        </w:rPr>
        <w:t>第六章 发包人提供的资料</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_Toc25450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- 182 -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0F2D17B5">
      <w:pPr>
        <w:pStyle w:val="14"/>
        <w:tabs>
          <w:tab w:val="right" w:leader="dot" w:pos="8561"/>
          <w:tab w:val="clear" w:pos="8551"/>
        </w:tabs>
        <w:spacing w:line="360" w:lineRule="auto"/>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_Toc26843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lang w:val="en-US" w:eastAsia="zh-CN"/>
        </w:rPr>
        <w:t>第七章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_Toc26843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- 183 -</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771E496C">
      <w:pPr>
        <w:pStyle w:val="14"/>
        <w:tabs>
          <w:tab w:val="right" w:leader="dot" w:pos="8561"/>
          <w:tab w:val="clear" w:pos="8551"/>
        </w:tabs>
        <w:rPr>
          <w:rFonts w:hint="eastAsia" w:ascii="宋体" w:hAnsi="宋体" w:eastAsia="宋体" w:cs="宋体"/>
          <w:color w:val="auto"/>
          <w:highlight w:val="none"/>
        </w:rPr>
      </w:pPr>
    </w:p>
    <w:p w14:paraId="45B3E7AB">
      <w:pPr>
        <w:pStyle w:val="16"/>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b/>
          <w:color w:val="auto"/>
          <w:sz w:val="36"/>
          <w:szCs w:val="36"/>
          <w:highlight w:val="none"/>
        </w:rPr>
      </w:pPr>
      <w:r>
        <w:rPr>
          <w:rFonts w:hint="eastAsia" w:ascii="宋体" w:hAnsi="宋体" w:eastAsia="宋体" w:cs="宋体"/>
          <w:color w:val="auto"/>
          <w:highlight w:val="none"/>
        </w:rPr>
        <w:fldChar w:fldCharType="end"/>
      </w:r>
    </w:p>
    <w:p w14:paraId="67D7D2EA">
      <w:pPr>
        <w:spacing w:line="360" w:lineRule="auto"/>
        <w:ind w:firstLine="420" w:firstLineChars="200"/>
        <w:jc w:val="left"/>
        <w:rPr>
          <w:rFonts w:hint="eastAsia" w:ascii="宋体" w:hAnsi="宋体" w:eastAsia="宋体" w:cs="宋体"/>
          <w:color w:val="auto"/>
          <w:szCs w:val="21"/>
          <w:highlight w:val="none"/>
        </w:rPr>
        <w:sectPr>
          <w:footerReference r:id="rId3" w:type="even"/>
          <w:pgSz w:w="11906" w:h="16838"/>
          <w:pgMar w:top="1134" w:right="1134" w:bottom="1134" w:left="1134" w:header="851" w:footer="992" w:gutter="397"/>
          <w:pgNumType w:fmt="numberInDash"/>
          <w:cols w:space="720" w:num="1"/>
          <w:titlePg/>
          <w:docGrid w:type="lines" w:linePitch="312" w:charSpace="0"/>
        </w:sectPr>
      </w:pPr>
    </w:p>
    <w:p w14:paraId="0601E936">
      <w:pPr>
        <w:pStyle w:val="2"/>
        <w:bidi w:val="0"/>
        <w:spacing w:before="0" w:after="0" w:line="240" w:lineRule="auto"/>
        <w:jc w:val="center"/>
        <w:rPr>
          <w:rFonts w:hint="eastAsia" w:ascii="宋体" w:hAnsi="宋体" w:eastAsia="宋体" w:cs="宋体"/>
          <w:color w:val="auto"/>
          <w:sz w:val="40"/>
          <w:szCs w:val="40"/>
          <w:highlight w:val="none"/>
          <w:lang w:val="en-US" w:eastAsia="zh-CN"/>
        </w:rPr>
      </w:pPr>
      <w:bookmarkStart w:id="4" w:name="_Toc15791"/>
      <w:bookmarkStart w:id="5" w:name="_Toc12167"/>
      <w:bookmarkStart w:id="6" w:name="_Toc25320"/>
      <w:bookmarkStart w:id="7" w:name="_Toc4760"/>
      <w:bookmarkStart w:id="8" w:name="_Toc32706"/>
      <w:bookmarkStart w:id="9" w:name="_Toc32394"/>
      <w:bookmarkStart w:id="10" w:name="_Toc29957"/>
      <w:bookmarkStart w:id="11" w:name="_Toc283128903"/>
      <w:bookmarkStart w:id="12" w:name="_Toc282823810"/>
      <w:bookmarkStart w:id="13" w:name="_Toc282843636"/>
      <w:bookmarkStart w:id="14" w:name="_Toc283289408"/>
      <w:bookmarkStart w:id="15" w:name="_Toc278183374"/>
      <w:bookmarkStart w:id="16" w:name="_Toc278183451"/>
      <w:bookmarkStart w:id="17" w:name="_Toc278183951"/>
      <w:bookmarkStart w:id="18" w:name="_Toc278183623"/>
      <w:bookmarkStart w:id="19" w:name="_Toc282433342"/>
      <w:bookmarkStart w:id="20" w:name="_Toc278183789"/>
      <w:r>
        <w:rPr>
          <w:rFonts w:hint="eastAsia" w:ascii="宋体" w:hAnsi="宋体" w:eastAsia="宋体" w:cs="宋体"/>
          <w:color w:val="auto"/>
          <w:sz w:val="40"/>
          <w:szCs w:val="40"/>
          <w:highlight w:val="none"/>
          <w:lang w:val="en-US" w:eastAsia="zh-CN"/>
        </w:rPr>
        <w:t>第一章  招标公告</w:t>
      </w:r>
      <w:bookmarkEnd w:id="4"/>
      <w:bookmarkEnd w:id="5"/>
      <w:bookmarkEnd w:id="6"/>
      <w:bookmarkEnd w:id="7"/>
      <w:bookmarkEnd w:id="8"/>
      <w:bookmarkEnd w:id="9"/>
      <w:bookmarkEnd w:id="10"/>
    </w:p>
    <w:p w14:paraId="400C8285">
      <w:pPr>
        <w:keepNext w:val="0"/>
        <w:keepLines w:val="0"/>
        <w:pageBreakBefore w:val="0"/>
        <w:widowControl/>
        <w:numPr>
          <w:ilvl w:val="0"/>
          <w:numId w:val="0"/>
        </w:numPr>
        <w:shd w:val="clear"/>
        <w:kinsoku/>
        <w:wordWrap/>
        <w:overflowPunct/>
        <w:topLinePunct w:val="0"/>
        <w:autoSpaceDE/>
        <w:autoSpaceDN/>
        <w:bidi w:val="0"/>
        <w:adjustRightInd/>
        <w:snapToGrid w:val="0"/>
        <w:spacing w:line="360" w:lineRule="auto"/>
        <w:ind w:left="0" w:leftChars="0" w:right="0" w:firstLine="420"/>
        <w:jc w:val="left"/>
        <w:textAlignment w:val="auto"/>
        <w:outlineLvl w:val="9"/>
        <w:rPr>
          <w:rFonts w:hint="eastAsia" w:ascii="宋体" w:hAnsi="宋体" w:eastAsia="宋体" w:cs="宋体"/>
          <w:b/>
          <w:bCs/>
          <w:color w:val="auto"/>
          <w:kern w:val="0"/>
          <w:sz w:val="28"/>
          <w:szCs w:val="28"/>
          <w:highlight w:val="none"/>
          <w:u w:val="none"/>
          <w:lang w:val="en-US" w:eastAsia="zh-CN" w:bidi="ar-SA"/>
        </w:rPr>
      </w:pPr>
      <w:bookmarkStart w:id="21" w:name="_Toc29668"/>
      <w:r>
        <w:rPr>
          <w:rFonts w:hint="eastAsia" w:ascii="宋体" w:hAnsi="宋体" w:eastAsia="宋体" w:cs="宋体"/>
          <w:b/>
          <w:bCs/>
          <w:color w:val="auto"/>
          <w:kern w:val="0"/>
          <w:sz w:val="28"/>
          <w:szCs w:val="28"/>
          <w:highlight w:val="none"/>
          <w:u w:val="none"/>
          <w:lang w:val="en-US" w:eastAsia="zh-CN" w:bidi="ar-SA"/>
        </w:rPr>
        <w:t>一、招标条件</w:t>
      </w:r>
    </w:p>
    <w:p w14:paraId="1938F25A">
      <w:pPr>
        <w:keepNext w:val="0"/>
        <w:keepLines w:val="0"/>
        <w:pageBreakBefore w:val="0"/>
        <w:widowControl/>
        <w:numPr>
          <w:ilvl w:val="0"/>
          <w:numId w:val="0"/>
        </w:numPr>
        <w:shd w:val="clear"/>
        <w:kinsoku/>
        <w:wordWrap/>
        <w:overflowPunct/>
        <w:topLinePunct w:val="0"/>
        <w:autoSpaceDE/>
        <w:autoSpaceDN/>
        <w:bidi w:val="0"/>
        <w:adjustRightInd/>
        <w:snapToGrid w:val="0"/>
        <w:spacing w:line="360" w:lineRule="auto"/>
        <w:ind w:left="0" w:leftChars="0" w:right="0" w:firstLine="420"/>
        <w:jc w:val="left"/>
        <w:textAlignment w:val="auto"/>
        <w:outlineLvl w:val="9"/>
        <w:rPr>
          <w:rFonts w:hint="eastAsia" w:ascii="宋体" w:hAnsi="宋体" w:eastAsia="宋体" w:cs="宋体"/>
          <w:b w:val="0"/>
          <w:bCs w:val="0"/>
          <w:color w:val="auto"/>
          <w:kern w:val="0"/>
          <w:sz w:val="28"/>
          <w:szCs w:val="28"/>
          <w:highlight w:val="none"/>
          <w:u w:val="none"/>
          <w:lang w:val="en-US" w:eastAsia="zh-CN" w:bidi="ar-SA"/>
        </w:rPr>
      </w:pPr>
      <w:r>
        <w:rPr>
          <w:rFonts w:hint="eastAsia" w:ascii="宋体" w:hAnsi="宋体" w:eastAsia="宋体" w:cs="宋体"/>
          <w:b w:val="0"/>
          <w:bCs w:val="0"/>
          <w:color w:val="auto"/>
          <w:kern w:val="0"/>
          <w:sz w:val="28"/>
          <w:szCs w:val="28"/>
          <w:highlight w:val="none"/>
          <w:u w:val="none"/>
          <w:lang w:val="en-US" w:eastAsia="zh-CN" w:bidi="ar-SA"/>
        </w:rPr>
        <w:t>本招标项目</w:t>
      </w:r>
      <w:r>
        <w:rPr>
          <w:rFonts w:hint="eastAsia" w:ascii="宋体" w:hAnsi="宋体" w:cs="宋体"/>
          <w:b/>
          <w:bCs/>
          <w:color w:val="auto"/>
          <w:kern w:val="0"/>
          <w:sz w:val="28"/>
          <w:szCs w:val="28"/>
          <w:highlight w:val="none"/>
          <w:u w:val="none"/>
          <w:lang w:val="en-US" w:eastAsia="zh-CN" w:bidi="ar-SA"/>
        </w:rPr>
        <w:t>库伦旗优质育肥肉牛可追溯智慧牧场建设项目</w:t>
      </w:r>
      <w:r>
        <w:rPr>
          <w:rFonts w:hint="eastAsia" w:ascii="宋体" w:hAnsi="宋体" w:eastAsia="宋体" w:cs="宋体"/>
          <w:b w:val="0"/>
          <w:bCs w:val="0"/>
          <w:color w:val="auto"/>
          <w:kern w:val="0"/>
          <w:sz w:val="28"/>
          <w:szCs w:val="28"/>
          <w:highlight w:val="none"/>
          <w:u w:val="none"/>
          <w:lang w:val="en-US" w:eastAsia="zh-CN" w:bidi="ar-SA"/>
        </w:rPr>
        <w:t>已经由</w:t>
      </w:r>
      <w:r>
        <w:rPr>
          <w:rFonts w:hint="eastAsia" w:ascii="宋体" w:hAnsi="宋体" w:eastAsia="宋体" w:cs="宋体"/>
          <w:b/>
          <w:bCs/>
          <w:color w:val="auto"/>
          <w:kern w:val="0"/>
          <w:sz w:val="28"/>
          <w:szCs w:val="28"/>
          <w:highlight w:val="none"/>
          <w:u w:val="none"/>
          <w:lang w:val="en-US" w:eastAsia="zh-CN" w:bidi="ar-SA"/>
        </w:rPr>
        <w:t>库伦旗行政审批政务服务与数据管理局</w:t>
      </w:r>
      <w:r>
        <w:rPr>
          <w:rFonts w:hint="eastAsia" w:ascii="宋体" w:hAnsi="宋体" w:eastAsia="宋体" w:cs="宋体"/>
          <w:b w:val="0"/>
          <w:bCs w:val="0"/>
          <w:color w:val="auto"/>
          <w:kern w:val="0"/>
          <w:sz w:val="28"/>
          <w:szCs w:val="28"/>
          <w:highlight w:val="none"/>
          <w:u w:val="none"/>
          <w:lang w:val="en-US" w:eastAsia="zh-CN" w:bidi="ar-SA"/>
        </w:rPr>
        <w:t>批准建设，招标人为</w:t>
      </w:r>
      <w:r>
        <w:rPr>
          <w:rFonts w:hint="eastAsia" w:ascii="宋体" w:hAnsi="宋体" w:cs="宋体"/>
          <w:b/>
          <w:bCs/>
          <w:color w:val="auto"/>
          <w:kern w:val="0"/>
          <w:sz w:val="28"/>
          <w:szCs w:val="28"/>
          <w:highlight w:val="none"/>
          <w:u w:val="none"/>
          <w:lang w:val="en-US" w:eastAsia="zh-CN" w:bidi="ar-SA"/>
        </w:rPr>
        <w:t>库伦旗农牧和科技局</w:t>
      </w:r>
      <w:r>
        <w:rPr>
          <w:rFonts w:hint="eastAsia" w:ascii="宋体" w:hAnsi="宋体" w:eastAsia="宋体" w:cs="宋体"/>
          <w:b w:val="0"/>
          <w:bCs w:val="0"/>
          <w:color w:val="auto"/>
          <w:kern w:val="0"/>
          <w:sz w:val="28"/>
          <w:szCs w:val="28"/>
          <w:highlight w:val="none"/>
          <w:u w:val="none"/>
          <w:lang w:val="en-US" w:eastAsia="zh-CN" w:bidi="ar-SA"/>
        </w:rPr>
        <w:t>,建设资金来自</w:t>
      </w:r>
      <w:r>
        <w:rPr>
          <w:rFonts w:hint="eastAsia" w:ascii="宋体" w:hAnsi="宋体" w:eastAsia="宋体" w:cs="宋体"/>
          <w:b/>
          <w:bCs/>
          <w:color w:val="auto"/>
          <w:kern w:val="0"/>
          <w:sz w:val="28"/>
          <w:szCs w:val="28"/>
          <w:highlight w:val="none"/>
          <w:u w:val="none"/>
          <w:lang w:val="en-US" w:eastAsia="zh-CN" w:bidi="ar-SA"/>
        </w:rPr>
        <w:t>财政</w:t>
      </w:r>
      <w:r>
        <w:rPr>
          <w:rFonts w:hint="eastAsia" w:ascii="宋体" w:hAnsi="宋体" w:eastAsia="宋体" w:cs="宋体"/>
          <w:b w:val="0"/>
          <w:bCs w:val="0"/>
          <w:color w:val="auto"/>
          <w:kern w:val="0"/>
          <w:sz w:val="28"/>
          <w:szCs w:val="28"/>
          <w:highlight w:val="none"/>
          <w:u w:val="none"/>
          <w:lang w:val="en-US" w:eastAsia="zh-CN" w:bidi="ar-SA"/>
        </w:rPr>
        <w:t>，项目出资比例为</w:t>
      </w:r>
      <w:r>
        <w:rPr>
          <w:rFonts w:hint="eastAsia" w:ascii="宋体" w:hAnsi="宋体" w:eastAsia="宋体" w:cs="宋体"/>
          <w:b/>
          <w:bCs/>
          <w:color w:val="auto"/>
          <w:kern w:val="0"/>
          <w:sz w:val="28"/>
          <w:szCs w:val="28"/>
          <w:highlight w:val="none"/>
          <w:u w:val="none"/>
          <w:lang w:val="en-US" w:eastAsia="zh-CN" w:bidi="ar-SA"/>
        </w:rPr>
        <w:t>自筹0.00元</w:t>
      </w:r>
      <w:r>
        <w:rPr>
          <w:rFonts w:hint="eastAsia" w:ascii="宋体" w:hAnsi="宋体" w:eastAsia="宋体" w:cs="宋体"/>
          <w:b w:val="0"/>
          <w:bCs w:val="0"/>
          <w:color w:val="auto"/>
          <w:kern w:val="0"/>
          <w:sz w:val="28"/>
          <w:szCs w:val="28"/>
          <w:highlight w:val="none"/>
          <w:u w:val="none"/>
          <w:lang w:val="en-US" w:eastAsia="zh-CN" w:bidi="ar-SA"/>
        </w:rPr>
        <w:t>，政府投资</w:t>
      </w:r>
      <w:r>
        <w:rPr>
          <w:rFonts w:hint="eastAsia" w:ascii="宋体" w:hAnsi="宋体" w:cs="宋体"/>
          <w:b/>
          <w:bCs/>
          <w:color w:val="auto"/>
          <w:kern w:val="0"/>
          <w:sz w:val="28"/>
          <w:szCs w:val="28"/>
          <w:highlight w:val="none"/>
          <w:u w:val="none"/>
          <w:lang w:val="en-US" w:eastAsia="zh-CN" w:bidi="ar-SA"/>
        </w:rPr>
        <w:t>2150万</w:t>
      </w:r>
      <w:r>
        <w:rPr>
          <w:rFonts w:hint="eastAsia" w:ascii="宋体" w:hAnsi="宋体" w:eastAsia="宋体" w:cs="宋体"/>
          <w:b/>
          <w:bCs/>
          <w:color w:val="auto"/>
          <w:kern w:val="0"/>
          <w:sz w:val="28"/>
          <w:szCs w:val="28"/>
          <w:highlight w:val="none"/>
          <w:u w:val="none"/>
          <w:lang w:val="en-US" w:eastAsia="zh-CN" w:bidi="ar-SA"/>
        </w:rPr>
        <w:t>元</w:t>
      </w:r>
      <w:r>
        <w:rPr>
          <w:rFonts w:hint="eastAsia" w:ascii="宋体" w:hAnsi="宋体" w:eastAsia="宋体" w:cs="宋体"/>
          <w:b w:val="0"/>
          <w:bCs w:val="0"/>
          <w:color w:val="auto"/>
          <w:kern w:val="0"/>
          <w:sz w:val="28"/>
          <w:szCs w:val="28"/>
          <w:highlight w:val="none"/>
          <w:u w:val="none"/>
          <w:lang w:val="en-US" w:eastAsia="zh-CN" w:bidi="ar-SA"/>
        </w:rPr>
        <w:t>。项目已具备招标条件，现对该项目进行公开招标。</w:t>
      </w:r>
    </w:p>
    <w:p w14:paraId="59D0AAD4">
      <w:pPr>
        <w:keepNext w:val="0"/>
        <w:keepLines w:val="0"/>
        <w:pageBreakBefore w:val="0"/>
        <w:widowControl/>
        <w:numPr>
          <w:ilvl w:val="0"/>
          <w:numId w:val="0"/>
        </w:numPr>
        <w:shd w:val="clear"/>
        <w:kinsoku/>
        <w:wordWrap/>
        <w:overflowPunct/>
        <w:topLinePunct w:val="0"/>
        <w:autoSpaceDE/>
        <w:autoSpaceDN/>
        <w:bidi w:val="0"/>
        <w:adjustRightInd/>
        <w:snapToGrid w:val="0"/>
        <w:spacing w:line="360" w:lineRule="auto"/>
        <w:ind w:left="0" w:leftChars="0" w:right="0" w:firstLine="420"/>
        <w:jc w:val="left"/>
        <w:textAlignment w:val="auto"/>
        <w:outlineLvl w:val="9"/>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二、项目概况与招标范围</w:t>
      </w:r>
    </w:p>
    <w:p w14:paraId="7988B41C">
      <w:pPr>
        <w:keepNext w:val="0"/>
        <w:keepLines w:val="0"/>
        <w:pageBreakBefore w:val="0"/>
        <w:widowControl/>
        <w:suppressLineNumbers w:val="0"/>
        <w:shd w:val="clear"/>
        <w:kinsoku/>
        <w:wordWrap/>
        <w:overflowPunct/>
        <w:topLinePunct w:val="0"/>
        <w:autoSpaceDE/>
        <w:autoSpaceDN/>
        <w:bidi w:val="0"/>
        <w:adjustRightInd/>
        <w:snapToGrid w:val="0"/>
        <w:spacing w:line="360" w:lineRule="auto"/>
        <w:jc w:val="left"/>
        <w:textAlignment w:val="auto"/>
        <w:rPr>
          <w:rFonts w:hint="eastAsia" w:ascii="宋体" w:hAnsi="宋体" w:cs="宋体"/>
          <w:b/>
          <w:bCs/>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（一）项目名称：</w:t>
      </w:r>
      <w:r>
        <w:rPr>
          <w:rFonts w:hint="eastAsia" w:ascii="宋体" w:hAnsi="宋体" w:cs="宋体"/>
          <w:b/>
          <w:bCs/>
          <w:color w:val="auto"/>
          <w:kern w:val="0"/>
          <w:sz w:val="28"/>
          <w:szCs w:val="28"/>
          <w:highlight w:val="none"/>
          <w:lang w:val="en-US" w:eastAsia="zh-CN" w:bidi="ar-SA"/>
        </w:rPr>
        <w:t>库伦旗优质育肥肉牛可追溯智慧牧场建设项目</w:t>
      </w:r>
    </w:p>
    <w:p w14:paraId="36657782">
      <w:pPr>
        <w:keepNext w:val="0"/>
        <w:keepLines w:val="0"/>
        <w:pageBreakBefore w:val="0"/>
        <w:widowControl/>
        <w:suppressLineNumbers w:val="0"/>
        <w:shd w:val="clea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（二）建设地点：</w:t>
      </w:r>
      <w:r>
        <w:rPr>
          <w:rFonts w:hint="eastAsia" w:ascii="宋体" w:hAnsi="宋体" w:cs="宋体"/>
          <w:b/>
          <w:bCs/>
          <w:color w:val="auto"/>
          <w:kern w:val="0"/>
          <w:sz w:val="28"/>
          <w:szCs w:val="28"/>
          <w:highlight w:val="none"/>
          <w:lang w:val="en-US" w:eastAsia="zh-CN" w:bidi="ar-SA"/>
        </w:rPr>
        <w:t>库伦旗额勒顺镇查干朝鲁嘎查</w:t>
      </w:r>
    </w:p>
    <w:p w14:paraId="09BBB5FC">
      <w:pPr>
        <w:keepNext w:val="0"/>
        <w:keepLines w:val="0"/>
        <w:pageBreakBefore w:val="0"/>
        <w:widowControl/>
        <w:numPr>
          <w:ilvl w:val="0"/>
          <w:numId w:val="0"/>
        </w:numPr>
        <w:shd w:val="clear"/>
        <w:kinsoku/>
        <w:wordWrap/>
        <w:overflowPunct/>
        <w:topLinePunct w:val="0"/>
        <w:autoSpaceDE/>
        <w:autoSpaceDN/>
        <w:bidi w:val="0"/>
        <w:adjustRightInd/>
        <w:snapToGrid w:val="0"/>
        <w:spacing w:line="360" w:lineRule="auto"/>
        <w:ind w:right="0"/>
        <w:jc w:val="left"/>
        <w:textAlignment w:val="auto"/>
        <w:outlineLvl w:val="9"/>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bidi="ar-SA"/>
        </w:rPr>
        <w:t>（三）招标内容：</w:t>
      </w:r>
    </w:p>
    <w:tbl>
      <w:tblPr>
        <w:tblStyle w:val="18"/>
        <w:tblW w:w="8897" w:type="dxa"/>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777"/>
        <w:gridCol w:w="1227"/>
        <w:gridCol w:w="742"/>
        <w:gridCol w:w="770"/>
        <w:gridCol w:w="832"/>
        <w:gridCol w:w="782"/>
        <w:gridCol w:w="2783"/>
        <w:gridCol w:w="984"/>
      </w:tblGrid>
      <w:tr w14:paraId="7EDE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709" w:hRule="atLeast"/>
        </w:trPr>
        <w:tc>
          <w:tcPr>
            <w:tcW w:w="777" w:type="dxa"/>
            <w:shd w:val="clear" w:color="auto" w:fill="auto"/>
            <w:tcMar>
              <w:top w:w="0" w:type="dxa"/>
              <w:left w:w="0" w:type="dxa"/>
              <w:bottom w:w="0" w:type="dxa"/>
              <w:right w:w="0" w:type="dxa"/>
            </w:tcMar>
            <w:vAlign w:val="center"/>
          </w:tcPr>
          <w:p w14:paraId="67E3F53B">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标段编号</w:t>
            </w:r>
          </w:p>
        </w:tc>
        <w:tc>
          <w:tcPr>
            <w:tcW w:w="1227" w:type="dxa"/>
            <w:shd w:val="clear" w:color="auto" w:fill="auto"/>
            <w:tcMar>
              <w:top w:w="0" w:type="dxa"/>
              <w:left w:w="0" w:type="dxa"/>
              <w:bottom w:w="0" w:type="dxa"/>
              <w:right w:w="0" w:type="dxa"/>
            </w:tcMar>
            <w:vAlign w:val="center"/>
          </w:tcPr>
          <w:p w14:paraId="40F9249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标段名称</w:t>
            </w:r>
          </w:p>
        </w:tc>
        <w:tc>
          <w:tcPr>
            <w:tcW w:w="742" w:type="dxa"/>
            <w:shd w:val="clear" w:color="auto" w:fill="auto"/>
            <w:tcMar>
              <w:top w:w="0" w:type="dxa"/>
              <w:left w:w="0" w:type="dxa"/>
              <w:bottom w:w="0" w:type="dxa"/>
              <w:right w:w="0" w:type="dxa"/>
            </w:tcMar>
            <w:vAlign w:val="center"/>
          </w:tcPr>
          <w:p w14:paraId="1F69FF29">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企业资质要求</w:t>
            </w:r>
          </w:p>
        </w:tc>
        <w:tc>
          <w:tcPr>
            <w:tcW w:w="770" w:type="dxa"/>
            <w:shd w:val="clear" w:color="auto" w:fill="auto"/>
            <w:tcMar>
              <w:top w:w="0" w:type="dxa"/>
              <w:left w:w="0" w:type="dxa"/>
              <w:bottom w:w="0" w:type="dxa"/>
              <w:right w:w="0" w:type="dxa"/>
            </w:tcMar>
            <w:vAlign w:val="center"/>
          </w:tcPr>
          <w:p w14:paraId="3EE88682">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人员资质要求</w:t>
            </w:r>
          </w:p>
        </w:tc>
        <w:tc>
          <w:tcPr>
            <w:tcW w:w="832" w:type="dxa"/>
            <w:shd w:val="clear" w:color="auto" w:fill="auto"/>
            <w:tcMar>
              <w:top w:w="0" w:type="dxa"/>
              <w:left w:w="0" w:type="dxa"/>
              <w:bottom w:w="0" w:type="dxa"/>
              <w:right w:w="0" w:type="dxa"/>
            </w:tcMar>
            <w:vAlign w:val="center"/>
          </w:tcPr>
          <w:p w14:paraId="4E3356E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工期（天）</w:t>
            </w:r>
          </w:p>
        </w:tc>
        <w:tc>
          <w:tcPr>
            <w:tcW w:w="782" w:type="dxa"/>
            <w:shd w:val="clear" w:color="auto" w:fill="auto"/>
            <w:tcMar>
              <w:top w:w="0" w:type="dxa"/>
              <w:left w:w="0" w:type="dxa"/>
              <w:bottom w:w="0" w:type="dxa"/>
              <w:right w:w="0" w:type="dxa"/>
            </w:tcMar>
            <w:vAlign w:val="center"/>
          </w:tcPr>
          <w:p w14:paraId="21745B5F">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合同估算价</w:t>
            </w:r>
          </w:p>
        </w:tc>
        <w:tc>
          <w:tcPr>
            <w:tcW w:w="2783" w:type="dxa"/>
            <w:shd w:val="clear" w:color="auto" w:fill="auto"/>
            <w:tcMar>
              <w:top w:w="0" w:type="dxa"/>
              <w:left w:w="0" w:type="dxa"/>
              <w:bottom w:w="0" w:type="dxa"/>
              <w:right w:w="0" w:type="dxa"/>
            </w:tcMar>
            <w:vAlign w:val="center"/>
          </w:tcPr>
          <w:p w14:paraId="3C84FE86">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是否允许联合体</w:t>
            </w:r>
          </w:p>
        </w:tc>
        <w:tc>
          <w:tcPr>
            <w:tcW w:w="984" w:type="dxa"/>
            <w:shd w:val="clear" w:color="auto" w:fill="auto"/>
            <w:tcMar>
              <w:top w:w="0" w:type="dxa"/>
              <w:left w:w="0" w:type="dxa"/>
              <w:bottom w:w="0" w:type="dxa"/>
              <w:right w:w="0" w:type="dxa"/>
            </w:tcMar>
            <w:vAlign w:val="center"/>
          </w:tcPr>
          <w:p w14:paraId="7CB6AF21">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投标人资格其它要求</w:t>
            </w:r>
          </w:p>
        </w:tc>
      </w:tr>
      <w:tr w14:paraId="6C5CD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84" w:hRule="atLeast"/>
        </w:trPr>
        <w:tc>
          <w:tcPr>
            <w:tcW w:w="777" w:type="dxa"/>
            <w:shd w:val="clear" w:color="auto" w:fill="auto"/>
            <w:tcMar>
              <w:top w:w="0" w:type="dxa"/>
              <w:left w:w="0" w:type="dxa"/>
              <w:bottom w:w="0" w:type="dxa"/>
              <w:right w:w="0" w:type="dxa"/>
            </w:tcMar>
            <w:vAlign w:val="center"/>
          </w:tcPr>
          <w:p w14:paraId="149816A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p>
        </w:tc>
        <w:tc>
          <w:tcPr>
            <w:tcW w:w="1227" w:type="dxa"/>
            <w:shd w:val="clear" w:color="auto" w:fill="auto"/>
            <w:tcMar>
              <w:top w:w="0" w:type="dxa"/>
              <w:left w:w="0" w:type="dxa"/>
              <w:bottom w:w="0" w:type="dxa"/>
              <w:right w:w="0" w:type="dxa"/>
            </w:tcMar>
            <w:vAlign w:val="center"/>
          </w:tcPr>
          <w:p w14:paraId="3E1402AD">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default" w:ascii="宋体" w:hAnsi="宋体" w:eastAsia="宋体" w:cs="宋体"/>
                <w:color w:val="auto"/>
                <w:sz w:val="28"/>
                <w:szCs w:val="28"/>
                <w:highlight w:val="none"/>
                <w:lang w:val="en-US"/>
              </w:rPr>
            </w:pPr>
            <w:r>
              <w:rPr>
                <w:rFonts w:hint="eastAsia" w:ascii="宋体" w:hAnsi="宋体" w:cs="宋体"/>
                <w:color w:val="auto"/>
                <w:sz w:val="28"/>
                <w:szCs w:val="28"/>
                <w:highlight w:val="none"/>
                <w:lang w:val="en-US" w:eastAsia="zh-CN"/>
              </w:rPr>
              <w:t>库伦旗优质育肥肉牛可追溯智慧牧场建设项目（EPC+O）标段</w:t>
            </w:r>
          </w:p>
        </w:tc>
        <w:tc>
          <w:tcPr>
            <w:tcW w:w="742" w:type="dxa"/>
            <w:shd w:val="clear" w:color="auto" w:fill="auto"/>
            <w:tcMar>
              <w:top w:w="0" w:type="dxa"/>
              <w:left w:w="0" w:type="dxa"/>
              <w:bottom w:w="0" w:type="dxa"/>
              <w:right w:w="0" w:type="dxa"/>
            </w:tcMar>
            <w:vAlign w:val="center"/>
          </w:tcPr>
          <w:p w14:paraId="2EA16FDE">
            <w:pPr>
              <w:shd w:val="clear"/>
              <w:spacing w:line="360" w:lineRule="auto"/>
              <w:jc w:val="center"/>
              <w:rPr>
                <w:rFonts w:hint="default" w:ascii="宋体" w:hAnsi="宋体" w:eastAsia="宋体" w:cs="宋体"/>
                <w:color w:val="auto"/>
                <w:sz w:val="28"/>
                <w:szCs w:val="28"/>
                <w:highlight w:val="none"/>
                <w:lang w:val="en-US" w:eastAsia="zh-CN"/>
              </w:rPr>
            </w:pPr>
          </w:p>
        </w:tc>
        <w:tc>
          <w:tcPr>
            <w:tcW w:w="770" w:type="dxa"/>
            <w:shd w:val="clear" w:color="auto" w:fill="auto"/>
            <w:tcMar>
              <w:top w:w="0" w:type="dxa"/>
              <w:left w:w="0" w:type="dxa"/>
              <w:bottom w:w="0" w:type="dxa"/>
              <w:right w:w="0" w:type="dxa"/>
            </w:tcMar>
            <w:vAlign w:val="center"/>
          </w:tcPr>
          <w:p w14:paraId="468FD31B">
            <w:pPr>
              <w:shd w:val="clear"/>
              <w:spacing w:line="360" w:lineRule="auto"/>
              <w:jc w:val="center"/>
              <w:rPr>
                <w:rFonts w:hint="default" w:ascii="宋体" w:hAnsi="宋体" w:eastAsia="宋体" w:cs="宋体"/>
                <w:color w:val="auto"/>
                <w:sz w:val="28"/>
                <w:szCs w:val="28"/>
                <w:highlight w:val="none"/>
                <w:lang w:val="en-US" w:eastAsia="zh-CN"/>
              </w:rPr>
            </w:pPr>
          </w:p>
        </w:tc>
        <w:tc>
          <w:tcPr>
            <w:tcW w:w="832" w:type="dxa"/>
            <w:shd w:val="clear" w:color="auto" w:fill="auto"/>
            <w:tcMar>
              <w:top w:w="0" w:type="dxa"/>
              <w:left w:w="0" w:type="dxa"/>
              <w:bottom w:w="0" w:type="dxa"/>
              <w:right w:w="0" w:type="dxa"/>
            </w:tcMar>
            <w:vAlign w:val="center"/>
          </w:tcPr>
          <w:p w14:paraId="5572FFB0">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183日历天</w:t>
            </w:r>
          </w:p>
        </w:tc>
        <w:tc>
          <w:tcPr>
            <w:tcW w:w="782" w:type="dxa"/>
            <w:shd w:val="clear" w:color="auto" w:fill="auto"/>
            <w:tcMar>
              <w:top w:w="0" w:type="dxa"/>
              <w:left w:w="0" w:type="dxa"/>
              <w:bottom w:w="0" w:type="dxa"/>
              <w:right w:w="0" w:type="dxa"/>
            </w:tcMar>
            <w:vAlign w:val="center"/>
          </w:tcPr>
          <w:p w14:paraId="3542EE10">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19750000.00元</w:t>
            </w:r>
          </w:p>
        </w:tc>
        <w:tc>
          <w:tcPr>
            <w:tcW w:w="2783" w:type="dxa"/>
            <w:shd w:val="clear" w:color="auto" w:fill="auto"/>
            <w:tcMar>
              <w:top w:w="0" w:type="dxa"/>
              <w:left w:w="0" w:type="dxa"/>
              <w:bottom w:w="0" w:type="dxa"/>
              <w:right w:w="0" w:type="dxa"/>
            </w:tcMar>
            <w:vAlign w:val="center"/>
          </w:tcPr>
          <w:p w14:paraId="576AEE1F">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本次招标接受联合体投标。</w:t>
            </w:r>
          </w:p>
        </w:tc>
        <w:tc>
          <w:tcPr>
            <w:tcW w:w="984" w:type="dxa"/>
            <w:shd w:val="clear" w:color="auto" w:fill="auto"/>
            <w:tcMar>
              <w:top w:w="0" w:type="dxa"/>
              <w:left w:w="0" w:type="dxa"/>
              <w:bottom w:w="0" w:type="dxa"/>
              <w:right w:w="0" w:type="dxa"/>
            </w:tcMar>
            <w:vAlign w:val="center"/>
          </w:tcPr>
          <w:p w14:paraId="09DAAB80">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详见附件</w:t>
            </w:r>
          </w:p>
        </w:tc>
      </w:tr>
      <w:tr w14:paraId="13687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84" w:hRule="atLeast"/>
        </w:trPr>
        <w:tc>
          <w:tcPr>
            <w:tcW w:w="777" w:type="dxa"/>
            <w:shd w:val="clear" w:color="auto" w:fill="auto"/>
            <w:tcMar>
              <w:top w:w="0" w:type="dxa"/>
              <w:left w:w="0" w:type="dxa"/>
              <w:bottom w:w="0" w:type="dxa"/>
              <w:right w:w="0" w:type="dxa"/>
            </w:tcMar>
            <w:vAlign w:val="center"/>
          </w:tcPr>
          <w:p w14:paraId="63C4D382">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rightChars="0"/>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p>
        </w:tc>
        <w:tc>
          <w:tcPr>
            <w:tcW w:w="1227" w:type="dxa"/>
            <w:shd w:val="clear" w:color="auto" w:fill="auto"/>
            <w:tcMar>
              <w:top w:w="0" w:type="dxa"/>
              <w:left w:w="0" w:type="dxa"/>
              <w:bottom w:w="0" w:type="dxa"/>
              <w:right w:w="0" w:type="dxa"/>
            </w:tcMar>
            <w:vAlign w:val="center"/>
          </w:tcPr>
          <w:p w14:paraId="04630EC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rightChars="0"/>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库伦旗优质育肥肉牛可追溯智慧牧场建设项目监理标段</w:t>
            </w:r>
          </w:p>
        </w:tc>
        <w:tc>
          <w:tcPr>
            <w:tcW w:w="742" w:type="dxa"/>
            <w:shd w:val="clear" w:color="auto" w:fill="auto"/>
            <w:tcMar>
              <w:top w:w="0" w:type="dxa"/>
              <w:left w:w="0" w:type="dxa"/>
              <w:bottom w:w="0" w:type="dxa"/>
              <w:right w:w="0" w:type="dxa"/>
            </w:tcMar>
            <w:vAlign w:val="center"/>
          </w:tcPr>
          <w:p w14:paraId="651A7455">
            <w:pPr>
              <w:shd w:val="clear"/>
              <w:spacing w:line="360" w:lineRule="auto"/>
              <w:jc w:val="center"/>
              <w:rPr>
                <w:rFonts w:hint="default" w:ascii="宋体" w:hAnsi="宋体" w:eastAsia="宋体" w:cs="宋体"/>
                <w:color w:val="auto"/>
                <w:sz w:val="28"/>
                <w:szCs w:val="28"/>
                <w:highlight w:val="none"/>
                <w:lang w:val="en-US" w:eastAsia="zh-CN"/>
              </w:rPr>
            </w:pPr>
          </w:p>
        </w:tc>
        <w:tc>
          <w:tcPr>
            <w:tcW w:w="770" w:type="dxa"/>
            <w:shd w:val="clear" w:color="auto" w:fill="auto"/>
            <w:tcMar>
              <w:top w:w="0" w:type="dxa"/>
              <w:left w:w="0" w:type="dxa"/>
              <w:bottom w:w="0" w:type="dxa"/>
              <w:right w:w="0" w:type="dxa"/>
            </w:tcMar>
            <w:vAlign w:val="center"/>
          </w:tcPr>
          <w:p w14:paraId="7C32EB6E">
            <w:pPr>
              <w:shd w:val="clear"/>
              <w:spacing w:line="360" w:lineRule="auto"/>
              <w:jc w:val="center"/>
              <w:rPr>
                <w:rFonts w:hint="default" w:ascii="宋体" w:hAnsi="宋体" w:eastAsia="宋体" w:cs="宋体"/>
                <w:color w:val="auto"/>
                <w:sz w:val="28"/>
                <w:szCs w:val="28"/>
                <w:highlight w:val="none"/>
                <w:lang w:val="en-US" w:eastAsia="zh-CN"/>
              </w:rPr>
            </w:pPr>
          </w:p>
        </w:tc>
        <w:tc>
          <w:tcPr>
            <w:tcW w:w="832" w:type="dxa"/>
            <w:shd w:val="clear" w:color="auto" w:fill="auto"/>
            <w:tcMar>
              <w:top w:w="0" w:type="dxa"/>
              <w:left w:w="0" w:type="dxa"/>
              <w:bottom w:w="0" w:type="dxa"/>
              <w:right w:w="0" w:type="dxa"/>
            </w:tcMar>
            <w:vAlign w:val="center"/>
          </w:tcPr>
          <w:p w14:paraId="104E4EDB">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rightChars="0"/>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183日历天</w:t>
            </w:r>
          </w:p>
        </w:tc>
        <w:tc>
          <w:tcPr>
            <w:tcW w:w="782" w:type="dxa"/>
            <w:shd w:val="clear" w:color="auto" w:fill="auto"/>
            <w:tcMar>
              <w:top w:w="0" w:type="dxa"/>
              <w:left w:w="0" w:type="dxa"/>
              <w:bottom w:w="0" w:type="dxa"/>
              <w:right w:w="0" w:type="dxa"/>
            </w:tcMar>
            <w:vAlign w:val="center"/>
          </w:tcPr>
          <w:p w14:paraId="6EA6FDF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rightChars="0"/>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250000.00元</w:t>
            </w:r>
          </w:p>
        </w:tc>
        <w:tc>
          <w:tcPr>
            <w:tcW w:w="2783" w:type="dxa"/>
            <w:shd w:val="clear" w:color="auto" w:fill="auto"/>
            <w:tcMar>
              <w:top w:w="0" w:type="dxa"/>
              <w:left w:w="0" w:type="dxa"/>
              <w:bottom w:w="0" w:type="dxa"/>
              <w:right w:w="0" w:type="dxa"/>
            </w:tcMar>
            <w:vAlign w:val="center"/>
          </w:tcPr>
          <w:p w14:paraId="2D19A81F">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rightChars="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本次招标接受联合体投标。</w:t>
            </w:r>
          </w:p>
        </w:tc>
        <w:tc>
          <w:tcPr>
            <w:tcW w:w="984" w:type="dxa"/>
            <w:shd w:val="clear" w:color="auto" w:fill="auto"/>
            <w:tcMar>
              <w:top w:w="0" w:type="dxa"/>
              <w:left w:w="0" w:type="dxa"/>
              <w:bottom w:w="0" w:type="dxa"/>
              <w:right w:w="0" w:type="dxa"/>
            </w:tcMar>
            <w:vAlign w:val="center"/>
          </w:tcPr>
          <w:p w14:paraId="2DFCB5C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rightChars="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详见附件</w:t>
            </w:r>
          </w:p>
        </w:tc>
      </w:tr>
    </w:tbl>
    <w:p w14:paraId="67CF0E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三、公告发布媒体</w:t>
      </w:r>
    </w:p>
    <w:p w14:paraId="5C43730D">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内蒙古自治区公共资源交易网（http://ggzyjy.nmg.gov.cn）、中国招标投标公共服务平台（http://www.cebpubservice.com）</w:t>
      </w:r>
    </w:p>
    <w:p w14:paraId="6F5CC250">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eastAsia="zh-CN"/>
        </w:rPr>
        <w:t>四</w:t>
      </w:r>
      <w:r>
        <w:rPr>
          <w:rFonts w:hint="eastAsia" w:ascii="宋体" w:hAnsi="宋体" w:eastAsia="宋体" w:cs="宋体"/>
          <w:b/>
          <w:bCs/>
          <w:color w:val="auto"/>
          <w:sz w:val="28"/>
          <w:szCs w:val="28"/>
          <w:highlight w:val="none"/>
          <w:lang w:val="zh-CN"/>
        </w:rPr>
        <w:t>、资格审查</w:t>
      </w:r>
    </w:p>
    <w:p w14:paraId="3D111126">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（一）审查方式：资格后审</w:t>
      </w:r>
      <w:r>
        <w:rPr>
          <w:rFonts w:hint="eastAsia" w:ascii="宋体" w:hAnsi="宋体" w:eastAsia="宋体" w:cs="宋体"/>
          <w:color w:val="auto"/>
          <w:sz w:val="28"/>
          <w:szCs w:val="28"/>
          <w:highlight w:val="none"/>
          <w:lang w:eastAsia="zh-CN"/>
        </w:rPr>
        <w:t>。</w:t>
      </w:r>
    </w:p>
    <w:p w14:paraId="503C878C">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（二）审查时间：</w:t>
      </w:r>
      <w:r>
        <w:rPr>
          <w:rFonts w:hint="eastAsia" w:ascii="宋体" w:hAnsi="宋体" w:cs="宋体"/>
          <w:b/>
          <w:bCs/>
          <w:color w:val="auto"/>
          <w:sz w:val="28"/>
          <w:szCs w:val="28"/>
          <w:highlight w:val="yellow"/>
          <w:lang w:eastAsia="zh-CN"/>
        </w:rPr>
        <w:t>202</w:t>
      </w:r>
      <w:r>
        <w:rPr>
          <w:rFonts w:hint="eastAsia" w:ascii="宋体" w:hAnsi="宋体" w:cs="宋体"/>
          <w:b/>
          <w:bCs/>
          <w:color w:val="auto"/>
          <w:sz w:val="28"/>
          <w:szCs w:val="28"/>
          <w:highlight w:val="yellow"/>
          <w:lang w:val="en-US" w:eastAsia="zh-CN"/>
        </w:rPr>
        <w:t>6</w:t>
      </w:r>
      <w:r>
        <w:rPr>
          <w:rFonts w:hint="eastAsia" w:ascii="宋体" w:hAnsi="宋体" w:cs="宋体"/>
          <w:b/>
          <w:bCs/>
          <w:color w:val="auto"/>
          <w:sz w:val="28"/>
          <w:szCs w:val="28"/>
          <w:highlight w:val="yellow"/>
          <w:lang w:eastAsia="zh-CN"/>
        </w:rPr>
        <w:t>年</w:t>
      </w:r>
      <w:r>
        <w:rPr>
          <w:rFonts w:hint="eastAsia" w:ascii="宋体" w:hAnsi="宋体" w:cs="宋体"/>
          <w:b/>
          <w:bCs/>
          <w:color w:val="auto"/>
          <w:sz w:val="28"/>
          <w:szCs w:val="28"/>
          <w:highlight w:val="yellow"/>
          <w:lang w:val="en-US" w:eastAsia="zh-CN"/>
        </w:rPr>
        <w:t>*</w:t>
      </w:r>
      <w:r>
        <w:rPr>
          <w:rFonts w:hint="eastAsia" w:ascii="宋体" w:hAnsi="宋体" w:cs="宋体"/>
          <w:b/>
          <w:bCs/>
          <w:color w:val="auto"/>
          <w:sz w:val="28"/>
          <w:szCs w:val="28"/>
          <w:highlight w:val="yellow"/>
          <w:lang w:eastAsia="zh-CN"/>
        </w:rPr>
        <w:t>月</w:t>
      </w:r>
      <w:r>
        <w:rPr>
          <w:rFonts w:hint="eastAsia" w:ascii="宋体" w:hAnsi="宋体" w:cs="宋体"/>
          <w:b/>
          <w:bCs/>
          <w:color w:val="auto"/>
          <w:sz w:val="28"/>
          <w:szCs w:val="28"/>
          <w:highlight w:val="yellow"/>
          <w:lang w:val="en-US" w:eastAsia="zh-CN"/>
        </w:rPr>
        <w:t>*</w:t>
      </w:r>
      <w:r>
        <w:rPr>
          <w:rFonts w:hint="eastAsia" w:ascii="宋体" w:hAnsi="宋体" w:cs="宋体"/>
          <w:b/>
          <w:bCs/>
          <w:color w:val="auto"/>
          <w:sz w:val="28"/>
          <w:szCs w:val="28"/>
          <w:highlight w:val="yellow"/>
          <w:lang w:eastAsia="zh-CN"/>
        </w:rPr>
        <w:t>日</w:t>
      </w:r>
      <w:r>
        <w:rPr>
          <w:rFonts w:hint="eastAsia" w:ascii="宋体" w:hAnsi="宋体" w:eastAsia="宋体" w:cs="宋体"/>
          <w:color w:val="auto"/>
          <w:sz w:val="28"/>
          <w:szCs w:val="28"/>
          <w:highlight w:val="none"/>
        </w:rPr>
        <w:t>开标后由评标委员会进行审核。</w:t>
      </w:r>
    </w:p>
    <w:p w14:paraId="403E90EB">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（三）审查地点：内蒙古自治区工程项目交易系统</w:t>
      </w:r>
      <w:r>
        <w:rPr>
          <w:rFonts w:hint="eastAsia" w:ascii="宋体" w:hAnsi="宋体" w:eastAsia="宋体" w:cs="宋体"/>
          <w:color w:val="auto"/>
          <w:sz w:val="28"/>
          <w:szCs w:val="28"/>
          <w:highlight w:val="none"/>
          <w:lang w:eastAsia="zh-CN"/>
        </w:rPr>
        <w:t>。</w:t>
      </w:r>
    </w:p>
    <w:p w14:paraId="6B04D0A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五、招标文件的获取</w:t>
      </w:r>
    </w:p>
    <w:p w14:paraId="7F7C1969">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（一）领取时间：</w:t>
      </w:r>
      <w:r>
        <w:rPr>
          <w:rFonts w:hint="eastAsia" w:ascii="宋体" w:hAnsi="宋体" w:cs="宋体"/>
          <w:b/>
          <w:bCs/>
          <w:color w:val="auto"/>
          <w:sz w:val="28"/>
          <w:szCs w:val="28"/>
          <w:highlight w:val="yellow"/>
          <w:lang w:eastAsia="zh-CN"/>
        </w:rPr>
        <w:t>202</w:t>
      </w:r>
      <w:r>
        <w:rPr>
          <w:rFonts w:hint="eastAsia" w:ascii="宋体" w:hAnsi="宋体" w:cs="宋体"/>
          <w:b/>
          <w:bCs/>
          <w:color w:val="auto"/>
          <w:sz w:val="28"/>
          <w:szCs w:val="28"/>
          <w:highlight w:val="yellow"/>
          <w:lang w:val="en-US" w:eastAsia="zh-CN"/>
        </w:rPr>
        <w:t>6</w:t>
      </w:r>
      <w:r>
        <w:rPr>
          <w:rFonts w:hint="eastAsia" w:ascii="宋体" w:hAnsi="宋体" w:cs="宋体"/>
          <w:b/>
          <w:bCs/>
          <w:color w:val="auto"/>
          <w:sz w:val="28"/>
          <w:szCs w:val="28"/>
          <w:highlight w:val="yellow"/>
          <w:lang w:eastAsia="zh-CN"/>
        </w:rPr>
        <w:t>年</w:t>
      </w:r>
      <w:r>
        <w:rPr>
          <w:rFonts w:hint="eastAsia" w:ascii="宋体" w:hAnsi="宋体" w:cs="宋体"/>
          <w:b/>
          <w:bCs/>
          <w:color w:val="auto"/>
          <w:sz w:val="28"/>
          <w:szCs w:val="28"/>
          <w:highlight w:val="yellow"/>
          <w:lang w:val="en-US" w:eastAsia="zh-CN"/>
        </w:rPr>
        <w:t>*</w:t>
      </w:r>
      <w:r>
        <w:rPr>
          <w:rFonts w:hint="eastAsia" w:ascii="宋体" w:hAnsi="宋体" w:cs="宋体"/>
          <w:b/>
          <w:bCs/>
          <w:color w:val="auto"/>
          <w:sz w:val="28"/>
          <w:szCs w:val="28"/>
          <w:highlight w:val="yellow"/>
          <w:lang w:eastAsia="zh-CN"/>
        </w:rPr>
        <w:t>月</w:t>
      </w:r>
      <w:r>
        <w:rPr>
          <w:rFonts w:hint="eastAsia" w:ascii="宋体" w:hAnsi="宋体" w:cs="宋体"/>
          <w:b/>
          <w:bCs/>
          <w:color w:val="auto"/>
          <w:sz w:val="28"/>
          <w:szCs w:val="28"/>
          <w:highlight w:val="yellow"/>
          <w:lang w:val="en-US" w:eastAsia="zh-CN"/>
        </w:rPr>
        <w:t>*</w:t>
      </w:r>
      <w:r>
        <w:rPr>
          <w:rFonts w:hint="eastAsia" w:ascii="宋体" w:hAnsi="宋体" w:cs="宋体"/>
          <w:b/>
          <w:bCs/>
          <w:color w:val="auto"/>
          <w:sz w:val="28"/>
          <w:szCs w:val="28"/>
          <w:highlight w:val="yellow"/>
          <w:lang w:eastAsia="zh-CN"/>
        </w:rPr>
        <w:t>日</w:t>
      </w:r>
      <w:r>
        <w:rPr>
          <w:rFonts w:hint="eastAsia" w:ascii="宋体" w:hAnsi="宋体" w:eastAsia="宋体" w:cs="宋体"/>
          <w:b/>
          <w:bCs/>
          <w:color w:val="auto"/>
          <w:sz w:val="28"/>
          <w:szCs w:val="28"/>
          <w:highlight w:val="yellow"/>
        </w:rPr>
        <w:t>至20</w:t>
      </w:r>
      <w:r>
        <w:rPr>
          <w:rFonts w:hint="eastAsia" w:ascii="宋体" w:hAnsi="宋体" w:eastAsia="宋体" w:cs="宋体"/>
          <w:b/>
          <w:bCs/>
          <w:color w:val="auto"/>
          <w:sz w:val="28"/>
          <w:szCs w:val="28"/>
          <w:highlight w:val="yellow"/>
          <w:lang w:val="en-US" w:eastAsia="zh-CN"/>
        </w:rPr>
        <w:t>2</w:t>
      </w:r>
      <w:r>
        <w:rPr>
          <w:rFonts w:hint="eastAsia" w:ascii="宋体" w:hAnsi="宋体" w:cs="宋体"/>
          <w:b/>
          <w:bCs/>
          <w:color w:val="auto"/>
          <w:sz w:val="28"/>
          <w:szCs w:val="28"/>
          <w:highlight w:val="yellow"/>
          <w:lang w:val="en-US" w:eastAsia="zh-CN"/>
        </w:rPr>
        <w:t>6</w:t>
      </w:r>
      <w:r>
        <w:rPr>
          <w:rFonts w:hint="eastAsia" w:ascii="宋体" w:hAnsi="宋体" w:eastAsia="宋体" w:cs="宋体"/>
          <w:b/>
          <w:bCs/>
          <w:color w:val="auto"/>
          <w:sz w:val="28"/>
          <w:szCs w:val="28"/>
          <w:highlight w:val="yellow"/>
        </w:rPr>
        <w:t>年</w:t>
      </w:r>
      <w:r>
        <w:rPr>
          <w:rFonts w:hint="eastAsia" w:ascii="宋体" w:hAnsi="宋体" w:cs="宋体"/>
          <w:b/>
          <w:bCs/>
          <w:color w:val="auto"/>
          <w:sz w:val="28"/>
          <w:szCs w:val="28"/>
          <w:highlight w:val="yellow"/>
          <w:lang w:val="en-US" w:eastAsia="zh-CN"/>
        </w:rPr>
        <w:t>*</w:t>
      </w:r>
      <w:r>
        <w:rPr>
          <w:rFonts w:hint="eastAsia" w:ascii="宋体" w:hAnsi="宋体" w:eastAsia="宋体" w:cs="宋体"/>
          <w:b/>
          <w:bCs/>
          <w:color w:val="auto"/>
          <w:sz w:val="28"/>
          <w:szCs w:val="28"/>
          <w:highlight w:val="yellow"/>
        </w:rPr>
        <w:t>月</w:t>
      </w:r>
      <w:r>
        <w:rPr>
          <w:rFonts w:hint="eastAsia" w:ascii="宋体" w:hAnsi="宋体" w:cs="宋体"/>
          <w:b/>
          <w:bCs/>
          <w:color w:val="auto"/>
          <w:sz w:val="28"/>
          <w:szCs w:val="28"/>
          <w:highlight w:val="yellow"/>
          <w:lang w:val="en-US" w:eastAsia="zh-CN"/>
        </w:rPr>
        <w:t>*</w:t>
      </w:r>
      <w:r>
        <w:rPr>
          <w:rFonts w:hint="eastAsia" w:ascii="宋体" w:hAnsi="宋体" w:eastAsia="宋体" w:cs="宋体"/>
          <w:b/>
          <w:bCs/>
          <w:color w:val="auto"/>
          <w:sz w:val="28"/>
          <w:szCs w:val="28"/>
          <w:highlight w:val="yellow"/>
        </w:rPr>
        <w:t>日</w:t>
      </w:r>
      <w:r>
        <w:rPr>
          <w:rFonts w:hint="eastAsia" w:ascii="宋体" w:hAnsi="宋体" w:eastAsia="宋体" w:cs="宋体"/>
          <w:color w:val="auto"/>
          <w:sz w:val="28"/>
          <w:szCs w:val="28"/>
          <w:highlight w:val="none"/>
        </w:rPr>
        <w:t>(北京时间)。</w:t>
      </w:r>
    </w:p>
    <w:p w14:paraId="5501BC9C">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kern w:val="2"/>
          <w:sz w:val="28"/>
          <w:szCs w:val="28"/>
          <w:highlight w:val="none"/>
          <w:lang w:bidi="ar"/>
        </w:rPr>
      </w:pPr>
      <w:r>
        <w:rPr>
          <w:rFonts w:hint="eastAsia" w:ascii="宋体" w:hAnsi="宋体" w:eastAsia="宋体" w:cs="宋体"/>
          <w:color w:val="auto"/>
          <w:sz w:val="28"/>
          <w:szCs w:val="28"/>
          <w:highlight w:val="none"/>
          <w:lang w:bidi="ar"/>
        </w:rPr>
        <w:t>（二）招标文件获取方式：请登录《内蒙古自治区工程项目交易系统》（https://219.148.175.179:9443/tpbidder），领取格式为“nmgzf”的招标文件。领取后使用“投标文件制作工具（内蒙古）”打开查看。</w:t>
      </w:r>
    </w:p>
    <w:p w14:paraId="61AE7F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lang w:val="zh-CN"/>
        </w:rPr>
        <w:t>、其他说明</w:t>
      </w:r>
    </w:p>
    <w:p w14:paraId="7743E5C9">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kern w:val="0"/>
          <w:sz w:val="28"/>
          <w:szCs w:val="28"/>
          <w:highlight w:val="none"/>
          <w:lang w:val="zh-CN" w:eastAsia="zh-CN" w:bidi="ar-SA"/>
        </w:rPr>
        <w:t>项目规模：</w:t>
      </w:r>
      <w:r>
        <w:rPr>
          <w:rFonts w:hint="eastAsia" w:ascii="宋体" w:hAnsi="宋体" w:cs="宋体"/>
          <w:color w:val="auto"/>
          <w:sz w:val="28"/>
          <w:szCs w:val="28"/>
          <w:highlight w:val="none"/>
          <w:lang w:val="en-US" w:eastAsia="zh-CN" w:bidi="ar"/>
        </w:rPr>
        <w:t>库伦旗优质育肥肉牛可追溯智慧牧场建设项目（EPC+O）标段</w:t>
      </w:r>
      <w:r>
        <w:rPr>
          <w:rFonts w:hint="eastAsia" w:ascii="宋体" w:hAnsi="宋体" w:eastAsia="宋体" w:cs="宋体"/>
          <w:color w:val="auto"/>
          <w:sz w:val="28"/>
          <w:szCs w:val="28"/>
          <w:highlight w:val="none"/>
          <w:lang w:val="en-US" w:eastAsia="zh-CN" w:bidi="ar"/>
        </w:rPr>
        <w:t>全部内容</w:t>
      </w:r>
      <w:r>
        <w:rPr>
          <w:rFonts w:hint="eastAsia" w:ascii="宋体" w:hAnsi="宋体" w:eastAsia="宋体" w:cs="宋体"/>
          <w:b/>
          <w:bCs/>
          <w:color w:val="auto"/>
          <w:sz w:val="28"/>
          <w:szCs w:val="28"/>
          <w:highlight w:val="none"/>
          <w:lang w:val="en-US" w:eastAsia="zh-CN" w:bidi="ar"/>
        </w:rPr>
        <w:t>（详见第五章发包人要求和可行性研究报告）</w:t>
      </w:r>
      <w:r>
        <w:rPr>
          <w:rFonts w:hint="eastAsia" w:ascii="宋体" w:hAnsi="宋体" w:eastAsia="宋体" w:cs="宋体"/>
          <w:color w:val="auto"/>
          <w:sz w:val="28"/>
          <w:szCs w:val="28"/>
          <w:highlight w:val="none"/>
          <w:lang w:val="en-US" w:eastAsia="zh-CN" w:bidi="ar"/>
        </w:rPr>
        <w:t>。</w:t>
      </w:r>
    </w:p>
    <w:p w14:paraId="08F7A274">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textAlignment w:val="auto"/>
        <w:rPr>
          <w:rFonts w:hint="eastAsia" w:ascii="宋体" w:hAnsi="宋体" w:eastAsia="宋体" w:cs="宋体"/>
          <w:b w:val="0"/>
          <w:bCs w:val="0"/>
          <w:color w:val="auto"/>
          <w:kern w:val="0"/>
          <w:sz w:val="28"/>
          <w:szCs w:val="28"/>
          <w:highlight w:val="none"/>
          <w:lang w:val="zh-CN" w:eastAsia="zh-CN" w:bidi="ar-SA"/>
        </w:rPr>
      </w:pPr>
      <w:r>
        <w:rPr>
          <w:rFonts w:hint="eastAsia" w:ascii="宋体" w:hAnsi="宋体" w:eastAsia="宋体" w:cs="宋体"/>
          <w:b/>
          <w:bCs/>
          <w:color w:val="auto"/>
          <w:kern w:val="0"/>
          <w:sz w:val="28"/>
          <w:szCs w:val="28"/>
          <w:highlight w:val="none"/>
          <w:lang w:val="zh-CN" w:eastAsia="zh-CN" w:bidi="ar-SA"/>
        </w:rPr>
        <w:t>递交投标文件截止时间：</w:t>
      </w:r>
      <w:r>
        <w:rPr>
          <w:rFonts w:hint="eastAsia" w:ascii="宋体" w:hAnsi="宋体" w:cs="宋体"/>
          <w:b/>
          <w:bCs/>
          <w:color w:val="auto"/>
          <w:kern w:val="0"/>
          <w:sz w:val="28"/>
          <w:szCs w:val="28"/>
          <w:highlight w:val="yellow"/>
          <w:lang w:val="en-US" w:eastAsia="zh-CN" w:bidi="ar"/>
        </w:rPr>
        <w:t>2026年*月*日</w:t>
      </w:r>
      <w:r>
        <w:rPr>
          <w:rFonts w:hint="eastAsia" w:ascii="宋体" w:hAnsi="宋体" w:eastAsia="宋体" w:cs="宋体"/>
          <w:b/>
          <w:bCs/>
          <w:color w:val="auto"/>
          <w:kern w:val="0"/>
          <w:sz w:val="28"/>
          <w:szCs w:val="28"/>
          <w:highlight w:val="none"/>
          <w:lang w:val="en-US" w:eastAsia="zh-CN" w:bidi="ar-SA"/>
        </w:rPr>
        <w:t>09时00分</w:t>
      </w:r>
      <w:r>
        <w:rPr>
          <w:rFonts w:hint="eastAsia" w:ascii="宋体" w:hAnsi="宋体" w:eastAsia="宋体" w:cs="宋体"/>
          <w:b w:val="0"/>
          <w:bCs w:val="0"/>
          <w:color w:val="auto"/>
          <w:kern w:val="0"/>
          <w:sz w:val="28"/>
          <w:szCs w:val="28"/>
          <w:highlight w:val="none"/>
          <w:lang w:val="zh-CN" w:eastAsia="zh-CN" w:bidi="ar-SA"/>
        </w:rPr>
        <w:t>。</w:t>
      </w:r>
    </w:p>
    <w:p w14:paraId="01887BFD">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highlight w:val="none"/>
          <w:lang w:val="en-US" w:eastAsia="zh-CN"/>
        </w:rPr>
        <w:t>递交投标文件方式：</w:t>
      </w:r>
      <w:r>
        <w:rPr>
          <w:rFonts w:hint="eastAsia" w:ascii="宋体" w:hAnsi="宋体" w:eastAsia="宋体" w:cs="宋体"/>
          <w:b w:val="0"/>
          <w:bCs w:val="0"/>
          <w:color w:val="auto"/>
          <w:sz w:val="28"/>
          <w:szCs w:val="28"/>
          <w:highlight w:val="none"/>
          <w:lang w:val="en-US" w:eastAsia="zh-CN"/>
        </w:rPr>
        <w:t>投标人应当在招标文件规定的递交投标文件截止时间前，登录“内蒙古自治区工程项目交易系统”</w:t>
      </w:r>
      <w:r>
        <w:rPr>
          <w:rFonts w:hint="eastAsia" w:ascii="宋体" w:hAnsi="宋体" w:eastAsia="宋体" w:cs="宋体"/>
          <w:b w:val="0"/>
          <w:bCs w:val="0"/>
          <w:color w:val="auto"/>
          <w:sz w:val="28"/>
          <w:szCs w:val="28"/>
          <w:lang w:val="en-US" w:eastAsia="zh-CN"/>
        </w:rPr>
        <w:t>（https://219.148.175.179:9443/tpbidder），上传加密版电子投标文件。</w:t>
      </w:r>
    </w:p>
    <w:p w14:paraId="7D00C36B">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开标方式：</w:t>
      </w:r>
    </w:p>
    <w:p w14:paraId="29FBD271">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zh-CN" w:eastAsia="zh-CN" w:bidi="ar-SA"/>
        </w:rPr>
        <w:t>1.本次开标采用全流程网上不见面开标（https://219.148.175.179:9443/BidOpening），</w:t>
      </w:r>
      <w:r>
        <w:rPr>
          <w:rFonts w:hint="eastAsia" w:ascii="宋体" w:hAnsi="宋体" w:eastAsia="宋体" w:cs="宋体"/>
          <w:b w:val="0"/>
          <w:bCs w:val="0"/>
          <w:color w:val="auto"/>
          <w:kern w:val="2"/>
          <w:sz w:val="28"/>
          <w:szCs w:val="28"/>
          <w:lang w:val="en-US" w:eastAsia="zh-CN" w:bidi="ar-SA"/>
        </w:rPr>
        <w:t>开标时线上进行投标文件解密，</w:t>
      </w:r>
      <w:r>
        <w:rPr>
          <w:rFonts w:hint="eastAsia" w:ascii="宋体" w:hAnsi="宋体" w:eastAsia="宋体" w:cs="宋体"/>
          <w:b w:val="0"/>
          <w:bCs w:val="0"/>
          <w:color w:val="auto"/>
          <w:kern w:val="2"/>
          <w:sz w:val="28"/>
          <w:szCs w:val="28"/>
          <w:lang w:val="zh-CN" w:eastAsia="zh-CN" w:bidi="ar-SA"/>
        </w:rPr>
        <w:t>不接受开标现场投标解密。</w:t>
      </w:r>
    </w:p>
    <w:p w14:paraId="1462B6F1">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zh-CN" w:eastAsia="zh-CN" w:bidi="ar-SA"/>
        </w:rPr>
        <w:t>开标过程中如有问题请咨询：0512-58188511、0471-5332612</w:t>
      </w:r>
      <w:r>
        <w:rPr>
          <w:rFonts w:hint="eastAsia" w:ascii="宋体" w:hAnsi="宋体" w:cs="宋体"/>
          <w:b w:val="0"/>
          <w:bCs w:val="0"/>
          <w:color w:val="auto"/>
          <w:kern w:val="2"/>
          <w:sz w:val="28"/>
          <w:szCs w:val="28"/>
          <w:lang w:val="zh-CN" w:eastAsia="zh-CN" w:bidi="ar-SA"/>
        </w:rPr>
        <w:t>。</w:t>
      </w:r>
    </w:p>
    <w:p w14:paraId="51F6E111">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2.投标文件解密</w:t>
      </w:r>
      <w:r>
        <w:rPr>
          <w:rFonts w:hint="eastAsia" w:ascii="宋体" w:hAnsi="宋体" w:eastAsia="宋体" w:cs="宋体"/>
          <w:b w:val="0"/>
          <w:bCs w:val="0"/>
          <w:color w:val="auto"/>
          <w:kern w:val="2"/>
          <w:sz w:val="28"/>
          <w:szCs w:val="28"/>
          <w:lang w:val="zh-CN" w:eastAsia="zh-CN" w:bidi="ar-SA"/>
        </w:rPr>
        <w:t>时限：</w:t>
      </w:r>
      <w:r>
        <w:rPr>
          <w:rFonts w:hint="eastAsia" w:ascii="宋体" w:hAnsi="宋体" w:eastAsia="宋体" w:cs="宋体"/>
          <w:b w:val="0"/>
          <w:bCs w:val="0"/>
          <w:color w:val="auto"/>
          <w:kern w:val="2"/>
          <w:sz w:val="28"/>
          <w:szCs w:val="28"/>
          <w:lang w:val="en-US" w:eastAsia="zh-CN" w:bidi="ar-SA"/>
        </w:rPr>
        <w:t>投标文件实行限时解密，解密时长</w:t>
      </w:r>
      <w:r>
        <w:rPr>
          <w:rFonts w:hint="eastAsia" w:ascii="宋体" w:hAnsi="宋体" w:eastAsia="宋体" w:cs="宋体"/>
          <w:b w:val="0"/>
          <w:bCs w:val="0"/>
          <w:color w:val="auto"/>
          <w:kern w:val="2"/>
          <w:sz w:val="28"/>
          <w:szCs w:val="28"/>
          <w:lang w:val="zh-CN" w:eastAsia="zh-CN" w:bidi="ar-SA"/>
        </w:rPr>
        <w:t>30分钟，投标文件未在时限内解密或无法解密（包括经过电子交易平台技术支持后依然无法解密的情形），按放弃投标处理，由代理公司手动退回投标文件。</w:t>
      </w:r>
      <w:r>
        <w:rPr>
          <w:rFonts w:hint="eastAsia" w:ascii="宋体" w:hAnsi="宋体" w:eastAsia="宋体" w:cs="宋体"/>
          <w:b w:val="0"/>
          <w:bCs w:val="0"/>
          <w:color w:val="auto"/>
          <w:kern w:val="2"/>
          <w:sz w:val="28"/>
          <w:szCs w:val="28"/>
          <w:lang w:val="en-US" w:eastAsia="zh-CN" w:bidi="ar-SA"/>
        </w:rPr>
        <w:t>在解密时限内投标文件全部解密的，投标文件解密可提交前结束，进入下一环节。</w:t>
      </w:r>
    </w:p>
    <w:p w14:paraId="3063A635">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textAlignment w:val="auto"/>
        <w:rPr>
          <w:rFonts w:hint="eastAsia" w:ascii="宋体" w:hAnsi="宋体" w:eastAsia="宋体" w:cs="宋体"/>
          <w:b/>
          <w:bCs/>
          <w:color w:val="auto"/>
          <w:kern w:val="2"/>
          <w:sz w:val="28"/>
          <w:szCs w:val="28"/>
          <w:lang w:val="zh-CN" w:eastAsia="zh-CN" w:bidi="ar-SA"/>
        </w:rPr>
      </w:pPr>
      <w:r>
        <w:rPr>
          <w:rFonts w:hint="eastAsia" w:ascii="宋体" w:hAnsi="宋体" w:eastAsia="宋体" w:cs="宋体"/>
          <w:b/>
          <w:bCs/>
          <w:color w:val="auto"/>
          <w:kern w:val="2"/>
          <w:sz w:val="28"/>
          <w:szCs w:val="28"/>
          <w:lang w:val="zh-CN" w:eastAsia="zh-CN" w:bidi="ar-SA"/>
        </w:rPr>
        <w:t>投标保证：</w:t>
      </w:r>
    </w:p>
    <w:p w14:paraId="4582F893">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1.本项目投标保证金接受银行转账/电汇/电子保函</w:t>
      </w:r>
      <w:r>
        <w:rPr>
          <w:rFonts w:hint="eastAsia" w:ascii="宋体" w:hAnsi="宋体" w:cs="宋体"/>
          <w:b w:val="0"/>
          <w:bCs w:val="0"/>
          <w:color w:val="auto"/>
          <w:kern w:val="2"/>
          <w:sz w:val="28"/>
          <w:szCs w:val="28"/>
          <w:lang w:val="en-US" w:eastAsia="zh-CN" w:bidi="ar-SA"/>
        </w:rPr>
        <w:t>；</w:t>
      </w:r>
    </w:p>
    <w:p w14:paraId="3CC39AED">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2.投标保证金应当从投标人基本账户转入本项目投标保证金指定账户。</w:t>
      </w:r>
    </w:p>
    <w:p w14:paraId="1FD7B389">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3.使用电子保函的，需在投标保证金缴纳截止时间前按照电子交易系统程序进行办理。</w:t>
      </w:r>
    </w:p>
    <w:p w14:paraId="4EFA3666">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textAlignment w:val="auto"/>
        <w:rPr>
          <w:rFonts w:hint="eastAsia" w:ascii="宋体" w:hAnsi="宋体" w:eastAsia="宋体" w:cs="宋体"/>
          <w:b/>
          <w:bCs/>
          <w:color w:val="auto"/>
          <w:kern w:val="2"/>
          <w:sz w:val="28"/>
          <w:szCs w:val="28"/>
          <w:lang w:val="zh-CN" w:eastAsia="zh-CN" w:bidi="ar-SA"/>
        </w:rPr>
      </w:pPr>
      <w:r>
        <w:rPr>
          <w:rFonts w:hint="eastAsia" w:ascii="宋体" w:hAnsi="宋体" w:eastAsia="宋体" w:cs="宋体"/>
          <w:b/>
          <w:bCs/>
          <w:color w:val="auto"/>
          <w:kern w:val="2"/>
          <w:sz w:val="28"/>
          <w:szCs w:val="28"/>
          <w:lang w:val="zh-CN" w:eastAsia="zh-CN" w:bidi="ar-SA"/>
        </w:rPr>
        <w:t>异议受理处置方式：</w:t>
      </w:r>
    </w:p>
    <w:p w14:paraId="63B22A38">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宋体" w:hAnsi="宋体" w:eastAsia="宋体" w:cs="宋体"/>
          <w:b w:val="0"/>
          <w:bCs w:val="0"/>
          <w:color w:val="auto"/>
          <w:kern w:val="0"/>
          <w:sz w:val="28"/>
          <w:szCs w:val="28"/>
          <w:highlight w:val="none"/>
          <w:lang w:val="zh-CN" w:eastAsia="zh-CN" w:bidi="ar-SA"/>
        </w:rPr>
      </w:pPr>
      <w:r>
        <w:rPr>
          <w:rFonts w:hint="eastAsia" w:ascii="宋体" w:hAnsi="宋体" w:eastAsia="宋体" w:cs="宋体"/>
          <w:b w:val="0"/>
          <w:bCs w:val="0"/>
          <w:color w:val="auto"/>
          <w:kern w:val="0"/>
          <w:sz w:val="28"/>
          <w:szCs w:val="28"/>
          <w:highlight w:val="none"/>
          <w:lang w:val="zh-CN" w:eastAsia="zh-CN" w:bidi="ar-SA"/>
        </w:rPr>
        <w:t>潜在投标人可自主选择在系统内或书面形式提出异议，招标人及委托的代理机构收到后及时进行答复。</w:t>
      </w:r>
    </w:p>
    <w:p w14:paraId="5F38F097">
      <w:pPr>
        <w:keepNext w:val="0"/>
        <w:keepLines w:val="0"/>
        <w:pageBreakBefore w:val="0"/>
        <w:widowControl w:val="0"/>
        <w:numPr>
          <w:ilvl w:val="0"/>
          <w:numId w:val="7"/>
        </w:numPr>
        <w:shd w:val="clear"/>
        <w:kinsoku/>
        <w:wordWrap/>
        <w:overflowPunct/>
        <w:topLinePunct w:val="0"/>
        <w:autoSpaceDE/>
        <w:autoSpaceDN/>
        <w:bidi w:val="0"/>
        <w:adjustRightInd/>
        <w:snapToGrid/>
        <w:spacing w:line="360" w:lineRule="auto"/>
        <w:ind w:left="0" w:leftChars="0" w:firstLine="562" w:firstLineChars="200"/>
        <w:textAlignment w:val="auto"/>
        <w:rPr>
          <w:rFonts w:hint="eastAsia" w:ascii="宋体" w:hAnsi="宋体" w:eastAsia="宋体" w:cs="宋体"/>
          <w:b/>
          <w:bCs/>
          <w:color w:val="auto"/>
          <w:kern w:val="0"/>
          <w:sz w:val="28"/>
          <w:szCs w:val="28"/>
          <w:highlight w:val="none"/>
          <w:lang w:val="zh-CN" w:eastAsia="zh-CN" w:bidi="ar-SA"/>
        </w:rPr>
      </w:pPr>
      <w:r>
        <w:rPr>
          <w:rFonts w:hint="eastAsia" w:ascii="宋体" w:hAnsi="宋体" w:eastAsia="宋体" w:cs="宋体"/>
          <w:b/>
          <w:bCs/>
          <w:color w:val="auto"/>
          <w:kern w:val="0"/>
          <w:sz w:val="28"/>
          <w:szCs w:val="28"/>
          <w:highlight w:val="none"/>
          <w:lang w:val="zh-CN" w:eastAsia="zh-CN" w:bidi="ar-SA"/>
        </w:rPr>
        <w:t>监督单位：</w:t>
      </w:r>
    </w:p>
    <w:p w14:paraId="58E96AF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kern w:val="0"/>
          <w:sz w:val="28"/>
          <w:szCs w:val="28"/>
          <w:highlight w:val="none"/>
          <w:lang w:val="zh-CN" w:eastAsia="zh-CN" w:bidi="ar-SA"/>
        </w:rPr>
      </w:pPr>
      <w:r>
        <w:rPr>
          <w:rFonts w:hint="eastAsia" w:ascii="宋体" w:hAnsi="宋体" w:eastAsia="宋体" w:cs="宋体"/>
          <w:b w:val="0"/>
          <w:bCs w:val="0"/>
          <w:color w:val="auto"/>
          <w:kern w:val="0"/>
          <w:sz w:val="28"/>
          <w:szCs w:val="28"/>
          <w:highlight w:val="none"/>
          <w:lang w:val="zh-CN" w:eastAsia="zh-CN" w:bidi="ar-SA"/>
        </w:rPr>
        <w:t>监督单位：库伦旗农牧和科技局</w:t>
      </w:r>
    </w:p>
    <w:p w14:paraId="37F07F7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kern w:val="0"/>
          <w:sz w:val="28"/>
          <w:szCs w:val="28"/>
          <w:highlight w:val="none"/>
          <w:lang w:val="zh-CN" w:eastAsia="zh-CN" w:bidi="ar-SA"/>
        </w:rPr>
      </w:pPr>
      <w:r>
        <w:rPr>
          <w:rFonts w:hint="eastAsia" w:ascii="宋体" w:hAnsi="宋体" w:eastAsia="宋体" w:cs="宋体"/>
          <w:b w:val="0"/>
          <w:bCs w:val="0"/>
          <w:color w:val="auto"/>
          <w:kern w:val="0"/>
          <w:sz w:val="28"/>
          <w:szCs w:val="28"/>
          <w:highlight w:val="none"/>
          <w:lang w:val="zh-CN" w:eastAsia="zh-CN" w:bidi="ar-SA"/>
        </w:rPr>
        <w:t>电话：0475-2320804</w:t>
      </w:r>
    </w:p>
    <w:p w14:paraId="3DC2557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kern w:val="0"/>
          <w:sz w:val="28"/>
          <w:szCs w:val="28"/>
          <w:highlight w:val="none"/>
          <w:lang w:val="zh-CN" w:eastAsia="zh-CN" w:bidi="ar-SA"/>
        </w:rPr>
      </w:pPr>
      <w:r>
        <w:rPr>
          <w:rFonts w:hint="eastAsia" w:ascii="宋体" w:hAnsi="宋体" w:eastAsia="宋体" w:cs="宋体"/>
          <w:b w:val="0"/>
          <w:bCs w:val="0"/>
          <w:color w:val="auto"/>
          <w:kern w:val="0"/>
          <w:sz w:val="28"/>
          <w:szCs w:val="28"/>
          <w:highlight w:val="none"/>
          <w:lang w:val="zh-CN" w:eastAsia="zh-CN" w:bidi="ar-SA"/>
        </w:rPr>
        <w:t>地址：内蒙古自治区通辽市库伦旗库伦镇安代大街</w:t>
      </w:r>
    </w:p>
    <w:p w14:paraId="69072AC8">
      <w:pPr>
        <w:keepNext w:val="0"/>
        <w:keepLines w:val="0"/>
        <w:pageBreakBefore w:val="0"/>
        <w:numPr>
          <w:ilvl w:val="0"/>
          <w:numId w:val="0"/>
        </w:numPr>
        <w:shd w:val="clear"/>
        <w:kinsoku/>
        <w:wordWrap/>
        <w:overflowPunct/>
        <w:topLinePunct w:val="0"/>
        <w:autoSpaceDE/>
        <w:autoSpaceDN/>
        <w:bidi w:val="0"/>
        <w:adjustRightInd/>
        <w:spacing w:line="640" w:lineRule="exact"/>
        <w:textAlignment w:val="auto"/>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lang w:val="zh-CN"/>
        </w:rPr>
        <w:t>、联系方式</w:t>
      </w:r>
    </w:p>
    <w:tbl>
      <w:tblPr>
        <w:tblStyle w:val="18"/>
        <w:tblW w:w="8738" w:type="dxa"/>
        <w:tblInd w:w="-1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88"/>
        <w:gridCol w:w="1848"/>
        <w:gridCol w:w="1729"/>
        <w:gridCol w:w="3373"/>
      </w:tblGrid>
      <w:tr w14:paraId="7B51F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8" w:hRule="atLeast"/>
        </w:trPr>
        <w:tc>
          <w:tcPr>
            <w:tcW w:w="1788" w:type="dxa"/>
            <w:shd w:val="clear" w:color="auto" w:fill="auto"/>
            <w:tcMar>
              <w:top w:w="0" w:type="dxa"/>
              <w:left w:w="0" w:type="dxa"/>
              <w:bottom w:w="0" w:type="dxa"/>
              <w:right w:w="0" w:type="dxa"/>
            </w:tcMar>
            <w:vAlign w:val="center"/>
          </w:tcPr>
          <w:p w14:paraId="55CFA002">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bookmarkStart w:id="22" w:name="_Toc16007"/>
            <w:bookmarkStart w:id="23" w:name="_Toc18590"/>
            <w:bookmarkStart w:id="24" w:name="_Toc22217"/>
            <w:bookmarkStart w:id="25" w:name="_Toc9540"/>
            <w:r>
              <w:rPr>
                <w:rFonts w:hint="eastAsia" w:ascii="宋体" w:hAnsi="宋体" w:eastAsia="宋体" w:cs="宋体"/>
                <w:color w:val="auto"/>
                <w:kern w:val="0"/>
                <w:sz w:val="28"/>
                <w:szCs w:val="28"/>
                <w:highlight w:val="none"/>
                <w:lang w:val="en-US" w:eastAsia="zh-CN" w:bidi="ar"/>
              </w:rPr>
              <w:t>招标人:</w:t>
            </w:r>
          </w:p>
        </w:tc>
        <w:tc>
          <w:tcPr>
            <w:tcW w:w="1848" w:type="dxa"/>
            <w:shd w:val="clear" w:color="auto" w:fill="auto"/>
            <w:tcMar>
              <w:top w:w="0" w:type="dxa"/>
              <w:left w:w="0" w:type="dxa"/>
              <w:bottom w:w="0" w:type="dxa"/>
              <w:right w:w="0" w:type="dxa"/>
            </w:tcMar>
            <w:vAlign w:val="center"/>
          </w:tcPr>
          <w:p w14:paraId="5002833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库伦旗农牧和科技局</w:t>
            </w:r>
          </w:p>
        </w:tc>
        <w:tc>
          <w:tcPr>
            <w:tcW w:w="1729" w:type="dxa"/>
            <w:shd w:val="clear" w:color="auto" w:fill="auto"/>
            <w:tcMar>
              <w:top w:w="0" w:type="dxa"/>
              <w:left w:w="0" w:type="dxa"/>
              <w:bottom w:w="0" w:type="dxa"/>
              <w:right w:w="0" w:type="dxa"/>
            </w:tcMar>
            <w:vAlign w:val="center"/>
          </w:tcPr>
          <w:p w14:paraId="54B44E38">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招标代理机构:</w:t>
            </w:r>
          </w:p>
        </w:tc>
        <w:tc>
          <w:tcPr>
            <w:tcW w:w="3373" w:type="dxa"/>
            <w:shd w:val="clear" w:color="auto" w:fill="auto"/>
            <w:tcMar>
              <w:top w:w="0" w:type="dxa"/>
              <w:left w:w="0" w:type="dxa"/>
              <w:bottom w:w="0" w:type="dxa"/>
              <w:right w:w="0" w:type="dxa"/>
            </w:tcMar>
            <w:vAlign w:val="center"/>
          </w:tcPr>
          <w:p w14:paraId="4DD03CE2">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内蒙古鼎益工程项目管理有限公司</w:t>
            </w:r>
          </w:p>
        </w:tc>
      </w:tr>
      <w:tr w14:paraId="2401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28" w:hRule="atLeast"/>
        </w:trPr>
        <w:tc>
          <w:tcPr>
            <w:tcW w:w="1788" w:type="dxa"/>
            <w:shd w:val="clear" w:color="auto" w:fill="auto"/>
            <w:tcMar>
              <w:top w:w="0" w:type="dxa"/>
              <w:left w:w="0" w:type="dxa"/>
              <w:bottom w:w="0" w:type="dxa"/>
              <w:right w:w="0" w:type="dxa"/>
            </w:tcMar>
            <w:vAlign w:val="center"/>
          </w:tcPr>
          <w:p w14:paraId="527B7161">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招标人地址:</w:t>
            </w:r>
          </w:p>
        </w:tc>
        <w:tc>
          <w:tcPr>
            <w:tcW w:w="1848" w:type="dxa"/>
            <w:shd w:val="clear" w:color="auto" w:fill="auto"/>
            <w:tcMar>
              <w:top w:w="0" w:type="dxa"/>
              <w:left w:w="0" w:type="dxa"/>
              <w:bottom w:w="0" w:type="dxa"/>
              <w:right w:w="0" w:type="dxa"/>
            </w:tcMar>
            <w:vAlign w:val="center"/>
          </w:tcPr>
          <w:p w14:paraId="0C7B61B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kern w:val="0"/>
                <w:sz w:val="28"/>
                <w:szCs w:val="28"/>
                <w:highlight w:val="none"/>
                <w:lang w:val="zh-CN" w:eastAsia="zh-CN" w:bidi="ar-SA"/>
              </w:rPr>
              <w:t>内蒙古自治区通辽市库伦旗库伦镇安代大街</w:t>
            </w:r>
          </w:p>
        </w:tc>
        <w:tc>
          <w:tcPr>
            <w:tcW w:w="1729" w:type="dxa"/>
            <w:shd w:val="clear" w:color="auto" w:fill="auto"/>
            <w:tcMar>
              <w:top w:w="0" w:type="dxa"/>
              <w:left w:w="0" w:type="dxa"/>
              <w:bottom w:w="0" w:type="dxa"/>
              <w:right w:w="0" w:type="dxa"/>
            </w:tcMar>
            <w:vAlign w:val="center"/>
          </w:tcPr>
          <w:p w14:paraId="4BE210C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代理地址:</w:t>
            </w:r>
          </w:p>
        </w:tc>
        <w:tc>
          <w:tcPr>
            <w:tcW w:w="3373" w:type="dxa"/>
            <w:shd w:val="clear" w:color="auto" w:fill="auto"/>
            <w:tcMar>
              <w:top w:w="0" w:type="dxa"/>
              <w:left w:w="0" w:type="dxa"/>
              <w:bottom w:w="0" w:type="dxa"/>
              <w:right w:w="0" w:type="dxa"/>
            </w:tcMar>
            <w:vAlign w:val="center"/>
          </w:tcPr>
          <w:p w14:paraId="750BB9A2">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 xml:space="preserve">通辽市经济技术开发区万力城一期南区4#楼131、132 </w:t>
            </w:r>
          </w:p>
        </w:tc>
      </w:tr>
      <w:tr w14:paraId="1E06B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8" w:hRule="atLeast"/>
        </w:trPr>
        <w:tc>
          <w:tcPr>
            <w:tcW w:w="1788" w:type="dxa"/>
            <w:shd w:val="clear" w:color="auto" w:fill="auto"/>
            <w:tcMar>
              <w:top w:w="0" w:type="dxa"/>
              <w:left w:w="0" w:type="dxa"/>
              <w:bottom w:w="0" w:type="dxa"/>
              <w:right w:w="0" w:type="dxa"/>
            </w:tcMar>
            <w:vAlign w:val="center"/>
          </w:tcPr>
          <w:p w14:paraId="264C09A5">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招标人邮编:</w:t>
            </w:r>
          </w:p>
        </w:tc>
        <w:tc>
          <w:tcPr>
            <w:tcW w:w="1848" w:type="dxa"/>
            <w:shd w:val="clear" w:color="auto" w:fill="auto"/>
            <w:tcMar>
              <w:top w:w="0" w:type="dxa"/>
              <w:left w:w="0" w:type="dxa"/>
              <w:bottom w:w="0" w:type="dxa"/>
              <w:right w:w="0" w:type="dxa"/>
            </w:tcMar>
            <w:vAlign w:val="center"/>
          </w:tcPr>
          <w:p w14:paraId="52F34E8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028299</w:t>
            </w:r>
          </w:p>
        </w:tc>
        <w:tc>
          <w:tcPr>
            <w:tcW w:w="1729" w:type="dxa"/>
            <w:shd w:val="clear" w:color="auto" w:fill="auto"/>
            <w:tcMar>
              <w:top w:w="0" w:type="dxa"/>
              <w:left w:w="0" w:type="dxa"/>
              <w:bottom w:w="0" w:type="dxa"/>
              <w:right w:w="0" w:type="dxa"/>
            </w:tcMar>
            <w:vAlign w:val="center"/>
          </w:tcPr>
          <w:p w14:paraId="67C7E091">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代理邮编:</w:t>
            </w:r>
          </w:p>
        </w:tc>
        <w:tc>
          <w:tcPr>
            <w:tcW w:w="3373" w:type="dxa"/>
            <w:shd w:val="clear" w:color="auto" w:fill="auto"/>
            <w:tcMar>
              <w:top w:w="0" w:type="dxa"/>
              <w:left w:w="0" w:type="dxa"/>
              <w:bottom w:w="0" w:type="dxa"/>
              <w:right w:w="0" w:type="dxa"/>
            </w:tcMar>
            <w:vAlign w:val="center"/>
          </w:tcPr>
          <w:p w14:paraId="2897F52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028000</w:t>
            </w:r>
          </w:p>
        </w:tc>
      </w:tr>
      <w:tr w14:paraId="6D731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28" w:hRule="atLeast"/>
        </w:trPr>
        <w:tc>
          <w:tcPr>
            <w:tcW w:w="1788" w:type="dxa"/>
            <w:shd w:val="clear" w:color="auto" w:fill="auto"/>
            <w:tcMar>
              <w:top w:w="0" w:type="dxa"/>
              <w:left w:w="0" w:type="dxa"/>
              <w:bottom w:w="0" w:type="dxa"/>
              <w:right w:w="0" w:type="dxa"/>
            </w:tcMar>
            <w:vAlign w:val="center"/>
          </w:tcPr>
          <w:p w14:paraId="1E5011D6">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招标人联系人:</w:t>
            </w:r>
          </w:p>
        </w:tc>
        <w:tc>
          <w:tcPr>
            <w:tcW w:w="1848" w:type="dxa"/>
            <w:shd w:val="clear" w:color="auto" w:fill="auto"/>
            <w:tcMar>
              <w:top w:w="0" w:type="dxa"/>
              <w:left w:w="0" w:type="dxa"/>
              <w:bottom w:w="0" w:type="dxa"/>
              <w:right w:w="0" w:type="dxa"/>
            </w:tcMar>
            <w:vAlign w:val="center"/>
          </w:tcPr>
          <w:p w14:paraId="3D15660A">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王先生</w:t>
            </w:r>
          </w:p>
        </w:tc>
        <w:tc>
          <w:tcPr>
            <w:tcW w:w="1729" w:type="dxa"/>
            <w:shd w:val="clear" w:color="auto" w:fill="auto"/>
            <w:tcMar>
              <w:top w:w="0" w:type="dxa"/>
              <w:left w:w="0" w:type="dxa"/>
              <w:bottom w:w="0" w:type="dxa"/>
              <w:right w:w="0" w:type="dxa"/>
            </w:tcMar>
            <w:vAlign w:val="center"/>
          </w:tcPr>
          <w:p w14:paraId="4C110E8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代理联系人:</w:t>
            </w:r>
          </w:p>
        </w:tc>
        <w:tc>
          <w:tcPr>
            <w:tcW w:w="3373" w:type="dxa"/>
            <w:shd w:val="clear" w:color="auto" w:fill="auto"/>
            <w:tcMar>
              <w:top w:w="0" w:type="dxa"/>
              <w:left w:w="0" w:type="dxa"/>
              <w:bottom w:w="0" w:type="dxa"/>
              <w:right w:w="0" w:type="dxa"/>
            </w:tcMar>
            <w:vAlign w:val="center"/>
          </w:tcPr>
          <w:p w14:paraId="4DA3CCF5">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刘然</w:t>
            </w:r>
          </w:p>
        </w:tc>
      </w:tr>
      <w:tr w14:paraId="386A5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28" w:hRule="atLeast"/>
        </w:trPr>
        <w:tc>
          <w:tcPr>
            <w:tcW w:w="1788" w:type="dxa"/>
            <w:shd w:val="clear" w:color="auto" w:fill="auto"/>
            <w:tcMar>
              <w:top w:w="0" w:type="dxa"/>
              <w:left w:w="0" w:type="dxa"/>
              <w:bottom w:w="0" w:type="dxa"/>
              <w:right w:w="0" w:type="dxa"/>
            </w:tcMar>
            <w:vAlign w:val="center"/>
          </w:tcPr>
          <w:p w14:paraId="19C46F36">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招标人电子邮箱:</w:t>
            </w:r>
          </w:p>
        </w:tc>
        <w:tc>
          <w:tcPr>
            <w:tcW w:w="1848" w:type="dxa"/>
            <w:shd w:val="clear" w:color="auto" w:fill="auto"/>
            <w:tcMar>
              <w:top w:w="0" w:type="dxa"/>
              <w:left w:w="0" w:type="dxa"/>
              <w:bottom w:w="0" w:type="dxa"/>
              <w:right w:w="0" w:type="dxa"/>
            </w:tcMar>
            <w:vAlign w:val="center"/>
          </w:tcPr>
          <w:p w14:paraId="4A90311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default" w:ascii="宋体" w:hAnsi="宋体" w:eastAsia="宋体" w:cs="宋体"/>
                <w:color w:val="auto"/>
                <w:sz w:val="28"/>
                <w:szCs w:val="28"/>
                <w:highlight w:val="none"/>
                <w:lang w:val="en-US"/>
              </w:rPr>
            </w:pPr>
          </w:p>
        </w:tc>
        <w:tc>
          <w:tcPr>
            <w:tcW w:w="1729" w:type="dxa"/>
            <w:shd w:val="clear" w:color="auto" w:fill="auto"/>
            <w:tcMar>
              <w:top w:w="0" w:type="dxa"/>
              <w:left w:w="0" w:type="dxa"/>
              <w:bottom w:w="0" w:type="dxa"/>
              <w:right w:w="0" w:type="dxa"/>
            </w:tcMar>
            <w:vAlign w:val="center"/>
          </w:tcPr>
          <w:p w14:paraId="40678C56">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代理邮箱:</w:t>
            </w:r>
          </w:p>
        </w:tc>
        <w:tc>
          <w:tcPr>
            <w:tcW w:w="3373" w:type="dxa"/>
            <w:shd w:val="clear" w:color="auto" w:fill="auto"/>
            <w:tcMar>
              <w:top w:w="0" w:type="dxa"/>
              <w:left w:w="0" w:type="dxa"/>
              <w:bottom w:w="0" w:type="dxa"/>
              <w:right w:w="0" w:type="dxa"/>
            </w:tcMar>
            <w:vAlign w:val="center"/>
          </w:tcPr>
          <w:p w14:paraId="1A4625F4">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lang w:val="en-US"/>
              </w:rPr>
            </w:pPr>
          </w:p>
        </w:tc>
      </w:tr>
      <w:tr w14:paraId="6612D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28" w:hRule="atLeast"/>
        </w:trPr>
        <w:tc>
          <w:tcPr>
            <w:tcW w:w="1788" w:type="dxa"/>
            <w:shd w:val="clear" w:color="auto" w:fill="auto"/>
            <w:tcMar>
              <w:top w:w="0" w:type="dxa"/>
              <w:left w:w="0" w:type="dxa"/>
              <w:bottom w:w="0" w:type="dxa"/>
              <w:right w:w="0" w:type="dxa"/>
            </w:tcMar>
            <w:vAlign w:val="center"/>
          </w:tcPr>
          <w:p w14:paraId="625D96FD">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招标人联系电话:</w:t>
            </w:r>
          </w:p>
        </w:tc>
        <w:tc>
          <w:tcPr>
            <w:tcW w:w="1848" w:type="dxa"/>
            <w:shd w:val="clear" w:color="auto" w:fill="auto"/>
            <w:tcMar>
              <w:top w:w="0" w:type="dxa"/>
              <w:left w:w="0" w:type="dxa"/>
              <w:bottom w:w="0" w:type="dxa"/>
              <w:right w:w="0" w:type="dxa"/>
            </w:tcMar>
            <w:vAlign w:val="center"/>
          </w:tcPr>
          <w:p w14:paraId="33EC122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15947055944</w:t>
            </w:r>
          </w:p>
        </w:tc>
        <w:tc>
          <w:tcPr>
            <w:tcW w:w="1729" w:type="dxa"/>
            <w:shd w:val="clear" w:color="auto" w:fill="auto"/>
            <w:tcMar>
              <w:top w:w="0" w:type="dxa"/>
              <w:left w:w="0" w:type="dxa"/>
              <w:bottom w:w="0" w:type="dxa"/>
              <w:right w:w="0" w:type="dxa"/>
            </w:tcMar>
            <w:vAlign w:val="center"/>
          </w:tcPr>
          <w:p w14:paraId="5CB808C3">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代理联系电话:</w:t>
            </w:r>
          </w:p>
        </w:tc>
        <w:tc>
          <w:tcPr>
            <w:tcW w:w="3373" w:type="dxa"/>
            <w:shd w:val="clear" w:color="auto" w:fill="auto"/>
            <w:tcMar>
              <w:top w:w="0" w:type="dxa"/>
              <w:left w:w="0" w:type="dxa"/>
              <w:bottom w:w="0" w:type="dxa"/>
              <w:right w:w="0" w:type="dxa"/>
            </w:tcMar>
            <w:vAlign w:val="center"/>
          </w:tcPr>
          <w:p w14:paraId="7241174B">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lang w:val="en-US" w:eastAsia="zh-CN" w:bidi="ar"/>
              </w:rPr>
              <w:t>0475-8217278</w:t>
            </w:r>
          </w:p>
        </w:tc>
      </w:tr>
      <w:tr w14:paraId="28761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28" w:hRule="atLeast"/>
        </w:trPr>
        <w:tc>
          <w:tcPr>
            <w:tcW w:w="1788" w:type="dxa"/>
            <w:shd w:val="clear" w:color="auto" w:fill="auto"/>
            <w:tcMar>
              <w:top w:w="0" w:type="dxa"/>
              <w:left w:w="0" w:type="dxa"/>
              <w:bottom w:w="0" w:type="dxa"/>
              <w:right w:w="0" w:type="dxa"/>
            </w:tcMar>
            <w:vAlign w:val="center"/>
          </w:tcPr>
          <w:p w14:paraId="16F4E14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招标人传真:</w:t>
            </w:r>
          </w:p>
        </w:tc>
        <w:tc>
          <w:tcPr>
            <w:tcW w:w="1848" w:type="dxa"/>
            <w:shd w:val="clear" w:color="auto" w:fill="auto"/>
            <w:tcMar>
              <w:top w:w="0" w:type="dxa"/>
              <w:left w:w="0" w:type="dxa"/>
              <w:bottom w:w="0" w:type="dxa"/>
              <w:right w:w="0" w:type="dxa"/>
            </w:tcMar>
            <w:vAlign w:val="center"/>
          </w:tcPr>
          <w:p w14:paraId="15535FD3">
            <w:pPr>
              <w:shd w:val="clea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p>
        </w:tc>
        <w:tc>
          <w:tcPr>
            <w:tcW w:w="1729" w:type="dxa"/>
            <w:shd w:val="clear" w:color="auto" w:fill="auto"/>
            <w:tcMar>
              <w:top w:w="0" w:type="dxa"/>
              <w:left w:w="0" w:type="dxa"/>
              <w:bottom w:w="0" w:type="dxa"/>
              <w:right w:w="0" w:type="dxa"/>
            </w:tcMar>
            <w:vAlign w:val="center"/>
          </w:tcPr>
          <w:p w14:paraId="2534C33E">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代理传真:</w:t>
            </w:r>
          </w:p>
        </w:tc>
        <w:tc>
          <w:tcPr>
            <w:tcW w:w="3373" w:type="dxa"/>
            <w:shd w:val="clear" w:color="auto" w:fill="auto"/>
            <w:tcMar>
              <w:top w:w="0" w:type="dxa"/>
              <w:left w:w="0" w:type="dxa"/>
              <w:bottom w:w="0" w:type="dxa"/>
              <w:right w:w="0" w:type="dxa"/>
            </w:tcMar>
            <w:vAlign w:val="center"/>
          </w:tcPr>
          <w:p w14:paraId="0F56048C">
            <w:pPr>
              <w:shd w:val="clea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p>
        </w:tc>
      </w:tr>
    </w:tbl>
    <w:p w14:paraId="42C92B77">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2" w:firstLineChars="200"/>
        <w:jc w:val="left"/>
        <w:textAlignment w:val="auto"/>
        <w:rPr>
          <w:rFonts w:hint="eastAsia" w:ascii="宋体" w:hAnsi="宋体" w:eastAsia="宋体" w:cs="宋体"/>
          <w:b/>
          <w:bCs/>
          <w:color w:val="auto"/>
          <w:kern w:val="0"/>
          <w:sz w:val="28"/>
          <w:szCs w:val="28"/>
          <w:highlight w:val="none"/>
          <w:lang w:val="en-US" w:eastAsia="zh-CN" w:bidi="ar"/>
        </w:rPr>
      </w:pPr>
    </w:p>
    <w:p w14:paraId="56BC8B2D">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2" w:firstLineChars="200"/>
        <w:jc w:val="left"/>
        <w:textAlignment w:val="auto"/>
        <w:rPr>
          <w:rFonts w:hint="eastAsia" w:ascii="宋体" w:hAnsi="宋体" w:eastAsia="宋体" w:cs="宋体"/>
          <w:b/>
          <w:bCs/>
          <w:color w:val="auto"/>
          <w:kern w:val="0"/>
          <w:sz w:val="28"/>
          <w:szCs w:val="28"/>
          <w:highlight w:val="none"/>
          <w:lang w:val="en-US" w:eastAsia="zh-CN" w:bidi="ar"/>
        </w:rPr>
      </w:pPr>
    </w:p>
    <w:p w14:paraId="2480C38E">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2" w:firstLineChars="200"/>
        <w:jc w:val="left"/>
        <w:textAlignment w:val="auto"/>
        <w:rPr>
          <w:rFonts w:hint="eastAsia" w:ascii="宋体" w:hAnsi="宋体" w:eastAsia="宋体" w:cs="宋体"/>
          <w:b/>
          <w:bCs/>
          <w:color w:val="auto"/>
          <w:kern w:val="0"/>
          <w:sz w:val="28"/>
          <w:szCs w:val="28"/>
          <w:highlight w:val="none"/>
          <w:lang w:val="en-US" w:eastAsia="zh-CN" w:bidi="ar"/>
        </w:rPr>
      </w:pPr>
    </w:p>
    <w:p w14:paraId="45F52A59">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2" w:firstLineChars="200"/>
        <w:jc w:val="left"/>
        <w:textAlignment w:val="auto"/>
        <w:rPr>
          <w:rFonts w:hint="eastAsia" w:ascii="宋体" w:hAnsi="宋体" w:eastAsia="宋体" w:cs="宋体"/>
          <w:b/>
          <w:bCs/>
          <w:color w:val="auto"/>
          <w:kern w:val="0"/>
          <w:sz w:val="28"/>
          <w:szCs w:val="28"/>
          <w:highlight w:val="none"/>
          <w:lang w:val="en-US" w:eastAsia="zh-CN" w:bidi="ar"/>
        </w:rPr>
      </w:pPr>
    </w:p>
    <w:p w14:paraId="24FA70F3">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2" w:firstLineChars="200"/>
        <w:jc w:val="left"/>
        <w:textAlignment w:val="auto"/>
        <w:rPr>
          <w:rFonts w:hint="eastAsia" w:ascii="宋体" w:hAnsi="宋体" w:eastAsia="宋体" w:cs="宋体"/>
          <w:b/>
          <w:bCs/>
          <w:color w:val="auto"/>
          <w:kern w:val="0"/>
          <w:sz w:val="28"/>
          <w:szCs w:val="28"/>
          <w:highlight w:val="none"/>
          <w:lang w:val="en-US" w:eastAsia="zh-CN" w:bidi="ar"/>
        </w:rPr>
      </w:pPr>
    </w:p>
    <w:p w14:paraId="5D533FD6">
      <w:pPr>
        <w:pStyle w:val="41"/>
        <w:spacing w:line="360" w:lineRule="auto"/>
        <w:ind w:firstLine="562" w:firstLineChars="200"/>
        <w:rPr>
          <w:rFonts w:hint="default" w:ascii="宋体" w:hAnsi="宋体" w:cs="宋体"/>
          <w:b/>
          <w:bCs/>
          <w:color w:val="auto"/>
          <w:sz w:val="28"/>
          <w:szCs w:val="28"/>
          <w:highlight w:val="none"/>
          <w:lang w:val="en-US" w:eastAsia="zh-CN" w:bidi="zh-CN"/>
        </w:rPr>
      </w:pPr>
      <w:r>
        <w:rPr>
          <w:rFonts w:hint="eastAsia" w:ascii="宋体" w:hAnsi="宋体" w:cs="宋体"/>
          <w:b/>
          <w:bCs/>
          <w:color w:val="auto"/>
          <w:sz w:val="28"/>
          <w:szCs w:val="28"/>
          <w:highlight w:val="none"/>
          <w:lang w:val="en-US" w:eastAsia="zh-CN" w:bidi="zh-CN"/>
        </w:rPr>
        <w:t>附件：</w:t>
      </w:r>
    </w:p>
    <w:p w14:paraId="53A91D1F">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2" w:firstLineChars="200"/>
        <w:jc w:val="left"/>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cs="宋体"/>
          <w:b/>
          <w:bCs/>
          <w:color w:val="auto"/>
          <w:kern w:val="0"/>
          <w:sz w:val="28"/>
          <w:szCs w:val="28"/>
          <w:highlight w:val="none"/>
          <w:lang w:val="en-US" w:eastAsia="zh-CN" w:bidi="ar"/>
        </w:rPr>
        <w:t>库伦旗优质育肥肉牛可追溯智慧牧场建设项目（EPC+O）标段</w:t>
      </w:r>
      <w:r>
        <w:rPr>
          <w:rFonts w:hint="eastAsia" w:ascii="宋体" w:hAnsi="宋体" w:eastAsia="宋体" w:cs="宋体"/>
          <w:b/>
          <w:bCs/>
          <w:color w:val="auto"/>
          <w:kern w:val="0"/>
          <w:sz w:val="28"/>
          <w:szCs w:val="28"/>
          <w:highlight w:val="none"/>
          <w:lang w:val="en-US" w:eastAsia="zh-CN" w:bidi="ar"/>
        </w:rPr>
        <w:t>：</w:t>
      </w:r>
    </w:p>
    <w:p w14:paraId="6D114A60">
      <w:pPr>
        <w:keepNext w:val="0"/>
        <w:keepLines w:val="0"/>
        <w:pageBreakBefore w:val="0"/>
        <w:widowControl w:val="0"/>
        <w:numPr>
          <w:ilvl w:val="0"/>
          <w:numId w:val="8"/>
        </w:numPr>
        <w:shd w:val="clear"/>
        <w:kinsoku/>
        <w:wordWrap/>
        <w:overflowPunct/>
        <w:topLinePunct w:val="0"/>
        <w:autoSpaceDE/>
        <w:autoSpaceDN/>
        <w:bidi w:val="0"/>
        <w:adjustRightInd w:val="0"/>
        <w:snapToGrid/>
        <w:spacing w:line="360" w:lineRule="auto"/>
        <w:ind w:left="0" w:firstLine="482"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投标人其他资格要求：</w:t>
      </w:r>
    </w:p>
    <w:p w14:paraId="6349DA0C">
      <w:pPr>
        <w:numPr>
          <w:ilvl w:val="0"/>
          <w:numId w:val="9"/>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本项目诚邀运营单位参与投标，并须同时具备工程施工及设计资质，或者以联合体形式投标（联合体牵头单位为施工单位）：</w:t>
      </w:r>
    </w:p>
    <w:p w14:paraId="7EFE0574">
      <w:pPr>
        <w:numPr>
          <w:ilvl w:val="0"/>
          <w:numId w:val="10"/>
        </w:numPr>
        <w:spacing w:line="360" w:lineRule="auto"/>
        <w:ind w:left="0" w:leftChars="0"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设计资质要求</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[综合资质·综合资质]或者[行业资质·工程设计行业（建筑）</w:t>
      </w:r>
      <w:r>
        <w:rPr>
          <w:rFonts w:hint="eastAsia" w:ascii="宋体" w:hAnsi="宋体" w:cs="宋体"/>
          <w:color w:val="auto"/>
          <w:sz w:val="24"/>
          <w:szCs w:val="24"/>
          <w:lang w:val="en-US" w:eastAsia="zh-CN"/>
        </w:rPr>
        <w:t>乙</w:t>
      </w:r>
      <w:r>
        <w:rPr>
          <w:rFonts w:hint="eastAsia" w:ascii="宋体" w:hAnsi="宋体" w:eastAsia="宋体" w:cs="宋体"/>
          <w:color w:val="auto"/>
          <w:sz w:val="24"/>
          <w:szCs w:val="24"/>
          <w:lang w:val="en-US" w:eastAsia="zh-CN"/>
        </w:rPr>
        <w:t>级]或者·</w:t>
      </w:r>
      <w:r>
        <w:rPr>
          <w:rFonts w:hint="eastAsia" w:ascii="宋体" w:hAnsi="宋体" w:eastAsia="宋体" w:cs="宋体"/>
          <w:color w:val="auto"/>
          <w:sz w:val="24"/>
          <w:szCs w:val="24"/>
          <w:highlight w:val="none"/>
          <w:lang w:val="en-US" w:eastAsia="zh-CN"/>
        </w:rPr>
        <w:t>[行业</w:t>
      </w:r>
      <w:r>
        <w:rPr>
          <w:rFonts w:hint="eastAsia" w:ascii="宋体" w:hAnsi="宋体" w:eastAsia="宋体" w:cs="宋体"/>
          <w:color w:val="auto"/>
          <w:sz w:val="24"/>
          <w:szCs w:val="24"/>
          <w:lang w:val="en-US" w:eastAsia="zh-CN"/>
        </w:rPr>
        <w:t>资质·工程设计</w:t>
      </w:r>
      <w:r>
        <w:rPr>
          <w:rFonts w:hint="eastAsia" w:ascii="宋体" w:hAnsi="宋体" w:cs="宋体"/>
          <w:color w:val="auto"/>
          <w:sz w:val="24"/>
          <w:szCs w:val="24"/>
          <w:lang w:val="en-US" w:eastAsia="zh-CN"/>
        </w:rPr>
        <w:t>专业</w:t>
      </w:r>
      <w:r>
        <w:rPr>
          <w:rFonts w:hint="eastAsia" w:ascii="宋体" w:hAnsi="宋体" w:eastAsia="宋体" w:cs="宋体"/>
          <w:color w:val="auto"/>
          <w:sz w:val="24"/>
          <w:szCs w:val="24"/>
          <w:lang w:val="en-US" w:eastAsia="zh-CN"/>
        </w:rPr>
        <w:t>（建筑工程）</w:t>
      </w:r>
      <w:r>
        <w:rPr>
          <w:rFonts w:hint="eastAsia" w:ascii="宋体" w:hAnsi="宋体" w:cs="宋体"/>
          <w:color w:val="auto"/>
          <w:sz w:val="24"/>
          <w:szCs w:val="24"/>
          <w:lang w:val="en-US" w:eastAsia="zh-CN"/>
        </w:rPr>
        <w:t>乙</w:t>
      </w:r>
      <w:r>
        <w:rPr>
          <w:rFonts w:hint="eastAsia" w:ascii="宋体" w:hAnsi="宋体" w:eastAsia="宋体" w:cs="宋体"/>
          <w:color w:val="auto"/>
          <w:sz w:val="24"/>
          <w:szCs w:val="24"/>
          <w:lang w:val="en-US" w:eastAsia="zh-CN"/>
        </w:rPr>
        <w:t>级]</w:t>
      </w:r>
      <w:r>
        <w:rPr>
          <w:rFonts w:hint="eastAsia" w:ascii="宋体" w:hAnsi="宋体" w:eastAsia="宋体" w:cs="宋体"/>
          <w:b w:val="0"/>
          <w:bCs w:val="0"/>
          <w:color w:val="auto"/>
          <w:sz w:val="24"/>
          <w:szCs w:val="24"/>
        </w:rPr>
        <w:t>(含)以上</w:t>
      </w:r>
      <w:r>
        <w:rPr>
          <w:rFonts w:hint="eastAsia" w:ascii="宋体" w:hAnsi="宋体" w:cs="宋体"/>
          <w:color w:val="auto"/>
          <w:sz w:val="24"/>
          <w:szCs w:val="24"/>
          <w:lang w:val="en-US" w:eastAsia="zh-CN"/>
        </w:rPr>
        <w:t>；</w:t>
      </w:r>
    </w:p>
    <w:p w14:paraId="7FEEECE7">
      <w:pPr>
        <w:numPr>
          <w:ilvl w:val="0"/>
          <w:numId w:val="10"/>
        </w:numPr>
        <w:spacing w:line="360" w:lineRule="auto"/>
        <w:ind w:left="0" w:leftChars="0"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施工资质要求</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[建筑工程·建筑工程</w:t>
      </w:r>
      <w:r>
        <w:rPr>
          <w:rFonts w:hint="eastAsia" w:ascii="宋体" w:hAnsi="宋体" w:cs="宋体"/>
          <w:color w:val="auto"/>
          <w:sz w:val="24"/>
          <w:szCs w:val="24"/>
          <w:lang w:val="en-US" w:eastAsia="zh-CN"/>
        </w:rPr>
        <w:t>三</w:t>
      </w:r>
      <w:r>
        <w:rPr>
          <w:rFonts w:hint="eastAsia" w:ascii="宋体" w:hAnsi="宋体" w:eastAsia="宋体" w:cs="宋体"/>
          <w:color w:val="auto"/>
          <w:sz w:val="24"/>
          <w:szCs w:val="24"/>
          <w:lang w:val="en-US" w:eastAsia="zh-CN"/>
        </w:rPr>
        <w:t>级]</w:t>
      </w:r>
      <w:r>
        <w:rPr>
          <w:rFonts w:hint="eastAsia" w:ascii="宋体" w:hAnsi="宋体" w:eastAsia="宋体" w:cs="宋体"/>
          <w:b w:val="0"/>
          <w:bCs w:val="0"/>
          <w:color w:val="auto"/>
          <w:sz w:val="24"/>
          <w:szCs w:val="24"/>
        </w:rPr>
        <w:t>(含)以上</w:t>
      </w:r>
      <w:r>
        <w:rPr>
          <w:rFonts w:hint="eastAsia" w:ascii="宋体" w:hAnsi="宋体" w:eastAsia="宋体" w:cs="宋体"/>
          <w:color w:val="auto"/>
          <w:sz w:val="24"/>
          <w:szCs w:val="24"/>
          <w:lang w:val="en-US" w:eastAsia="zh-CN"/>
        </w:rPr>
        <w:t>资质</w:t>
      </w:r>
      <w:r>
        <w:rPr>
          <w:rFonts w:hint="eastAsia" w:ascii="宋体" w:hAnsi="宋体" w:eastAsia="宋体" w:cs="宋体"/>
          <w:color w:val="auto"/>
          <w:sz w:val="24"/>
          <w:szCs w:val="24"/>
        </w:rPr>
        <w:t>并具有有效的安全生产许可证。</w:t>
      </w:r>
    </w:p>
    <w:p w14:paraId="4DA1DA64">
      <w:pPr>
        <w:numPr>
          <w:ilvl w:val="0"/>
          <w:numId w:val="9"/>
        </w:numPr>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人员要求：</w:t>
      </w:r>
    </w:p>
    <w:p w14:paraId="253E8C0D">
      <w:pPr>
        <w:numPr>
          <w:ilvl w:val="0"/>
          <w:numId w:val="11"/>
        </w:numPr>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设计单位项目负责人资格要求：注册一级建筑师。其他设计人员专业要满足工程设计要求。</w:t>
      </w:r>
    </w:p>
    <w:p w14:paraId="64034061">
      <w:pPr>
        <w:numPr>
          <w:ilvl w:val="0"/>
          <w:numId w:val="11"/>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cs="宋体"/>
          <w:color w:val="auto"/>
          <w:sz w:val="24"/>
          <w:szCs w:val="24"/>
          <w:lang w:val="en-US" w:eastAsia="zh-CN"/>
        </w:rPr>
        <w:t>施工</w:t>
      </w:r>
      <w:r>
        <w:rPr>
          <w:rFonts w:hint="eastAsia" w:ascii="宋体" w:hAnsi="宋体" w:eastAsia="宋体" w:cs="宋体"/>
          <w:color w:val="auto"/>
          <w:sz w:val="24"/>
          <w:szCs w:val="24"/>
        </w:rPr>
        <w:t>单位项目负责人资格要求：</w:t>
      </w:r>
      <w:r>
        <w:rPr>
          <w:rFonts w:hint="eastAsia" w:ascii="宋体" w:hAnsi="宋体" w:eastAsia="宋体" w:cs="宋体"/>
          <w:color w:val="auto"/>
          <w:kern w:val="0"/>
          <w:sz w:val="24"/>
          <w:szCs w:val="24"/>
          <w:lang w:val="en-US" w:eastAsia="zh-CN" w:bidi="ar"/>
        </w:rPr>
        <w:t>项目经理：[注册</w:t>
      </w:r>
      <w:r>
        <w:rPr>
          <w:rFonts w:hint="eastAsia" w:ascii="宋体" w:hAnsi="宋体" w:cs="宋体"/>
          <w:color w:val="auto"/>
          <w:kern w:val="0"/>
          <w:sz w:val="24"/>
          <w:szCs w:val="24"/>
          <w:lang w:val="en-US" w:eastAsia="zh-CN" w:bidi="ar"/>
        </w:rPr>
        <w:t>二</w:t>
      </w:r>
      <w:r>
        <w:rPr>
          <w:rFonts w:hint="eastAsia" w:ascii="宋体" w:hAnsi="宋体" w:eastAsia="宋体" w:cs="宋体"/>
          <w:color w:val="auto"/>
          <w:kern w:val="0"/>
          <w:sz w:val="24"/>
          <w:szCs w:val="24"/>
          <w:lang w:val="en-US" w:eastAsia="zh-CN" w:bidi="ar"/>
        </w:rPr>
        <w:t>级建造师·建筑工程]</w:t>
      </w:r>
      <w:r>
        <w:rPr>
          <w:rFonts w:hint="eastAsia" w:ascii="宋体" w:hAnsi="宋体" w:eastAsia="宋体" w:cs="宋体"/>
          <w:b w:val="0"/>
          <w:bCs w:val="0"/>
          <w:color w:val="auto"/>
          <w:sz w:val="24"/>
          <w:szCs w:val="24"/>
        </w:rPr>
        <w:t>(含)以上</w:t>
      </w:r>
      <w:r>
        <w:rPr>
          <w:rFonts w:hint="eastAsia" w:ascii="宋体" w:hAnsi="宋体" w:eastAsia="宋体" w:cs="宋体"/>
          <w:color w:val="auto"/>
          <w:kern w:val="0"/>
          <w:sz w:val="24"/>
          <w:szCs w:val="24"/>
          <w:lang w:val="en-US" w:eastAsia="zh-CN" w:bidi="ar"/>
        </w:rPr>
        <w:t>注册证，具备B类安全生产考核合格证书；拟派项目经理在建项目期间不得参与投标（在建项目期间指：中标通知书签发之日起至甲方提供竣工证明之日或行政主管部门提供竣工验收报告之日）；</w:t>
      </w:r>
    </w:p>
    <w:p w14:paraId="4888D56D">
      <w:pPr>
        <w:numPr>
          <w:ilvl w:val="0"/>
          <w:numId w:val="11"/>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施工项目管理机构人员</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技术负责人、质检</w:t>
      </w:r>
      <w:r>
        <w:rPr>
          <w:rFonts w:hint="eastAsia" w:ascii="宋体" w:hAnsi="宋体" w:cs="宋体"/>
          <w:color w:val="auto"/>
          <w:kern w:val="0"/>
          <w:sz w:val="24"/>
          <w:szCs w:val="24"/>
          <w:lang w:val="en-US" w:eastAsia="zh-CN" w:bidi="ar"/>
        </w:rPr>
        <w:t>（量）</w:t>
      </w:r>
      <w:r>
        <w:rPr>
          <w:rFonts w:hint="eastAsia" w:ascii="宋体" w:hAnsi="宋体" w:eastAsia="宋体" w:cs="宋体"/>
          <w:color w:val="auto"/>
          <w:kern w:val="0"/>
          <w:sz w:val="24"/>
          <w:szCs w:val="24"/>
          <w:lang w:val="en-US" w:eastAsia="zh-CN" w:bidi="ar"/>
        </w:rPr>
        <w:t>员、施工员、安全员、资料员、材料员</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相关要求：安全员须具有C类安全生产考核证书；质检</w:t>
      </w:r>
      <w:r>
        <w:rPr>
          <w:rFonts w:hint="eastAsia" w:ascii="宋体" w:hAnsi="宋体" w:cs="宋体"/>
          <w:color w:val="auto"/>
          <w:kern w:val="0"/>
          <w:sz w:val="24"/>
          <w:szCs w:val="24"/>
          <w:lang w:val="en-US" w:eastAsia="zh-CN" w:bidi="ar"/>
        </w:rPr>
        <w:t>（量）</w:t>
      </w:r>
      <w:r>
        <w:rPr>
          <w:rFonts w:hint="eastAsia" w:ascii="宋体" w:hAnsi="宋体" w:eastAsia="宋体" w:cs="宋体"/>
          <w:color w:val="auto"/>
          <w:kern w:val="0"/>
          <w:sz w:val="24"/>
          <w:szCs w:val="24"/>
          <w:lang w:val="en-US" w:eastAsia="zh-CN" w:bidi="ar"/>
        </w:rPr>
        <w:t>员、施工员、安全员、资料员、材料员需具备岗位证书；拟派本项目的技术负责人须具备建筑工程专业</w:t>
      </w:r>
      <w:r>
        <w:rPr>
          <w:rFonts w:hint="eastAsia" w:ascii="宋体" w:hAnsi="宋体" w:cs="宋体"/>
          <w:color w:val="auto"/>
          <w:kern w:val="0"/>
          <w:sz w:val="24"/>
          <w:szCs w:val="24"/>
          <w:lang w:val="en-US" w:eastAsia="zh-CN" w:bidi="ar"/>
        </w:rPr>
        <w:t>中</w:t>
      </w:r>
      <w:r>
        <w:rPr>
          <w:rFonts w:hint="eastAsia" w:ascii="宋体" w:hAnsi="宋体" w:eastAsia="宋体" w:cs="宋体"/>
          <w:color w:val="auto"/>
          <w:kern w:val="0"/>
          <w:sz w:val="24"/>
          <w:szCs w:val="24"/>
          <w:lang w:val="en-US" w:eastAsia="zh-CN" w:bidi="ar"/>
        </w:rPr>
        <w:t>级</w:t>
      </w:r>
      <w:r>
        <w:rPr>
          <w:rFonts w:hint="eastAsia" w:ascii="宋体" w:hAnsi="宋体" w:cs="宋体"/>
          <w:color w:val="auto"/>
          <w:kern w:val="0"/>
          <w:sz w:val="24"/>
          <w:szCs w:val="24"/>
          <w:lang w:val="en-US" w:eastAsia="zh-CN" w:bidi="ar"/>
        </w:rPr>
        <w:t>（含以上）</w:t>
      </w:r>
      <w:r>
        <w:rPr>
          <w:rFonts w:hint="eastAsia" w:ascii="宋体" w:hAnsi="宋体" w:eastAsia="宋体" w:cs="宋体"/>
          <w:color w:val="auto"/>
          <w:kern w:val="0"/>
          <w:sz w:val="24"/>
          <w:szCs w:val="24"/>
          <w:lang w:val="en-US" w:eastAsia="zh-CN" w:bidi="ar"/>
        </w:rPr>
        <w:t>技术职称证书；</w:t>
      </w:r>
    </w:p>
    <w:p w14:paraId="6D130394">
      <w:pPr>
        <w:numPr>
          <w:ilvl w:val="0"/>
          <w:numId w:val="11"/>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拟派往本项目人员需提供</w:t>
      </w:r>
      <w:r>
        <w:rPr>
          <w:rFonts w:hint="eastAsia" w:ascii="宋体" w:hAnsi="宋体" w:eastAsia="宋体" w:cs="宋体"/>
          <w:color w:val="auto"/>
          <w:sz w:val="24"/>
          <w:szCs w:val="24"/>
          <w:highlight w:val="none"/>
          <w:lang w:eastAsia="zh-CN" w:bidi="ar"/>
        </w:rPr>
        <w:t>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eastAsia="zh-CN" w:bidi="ar"/>
        </w:rPr>
        <w:t>年</w:t>
      </w:r>
      <w:r>
        <w:rPr>
          <w:rFonts w:hint="eastAsia" w:ascii="宋体" w:hAnsi="宋体" w:eastAsia="宋体" w:cs="宋体"/>
          <w:color w:val="auto"/>
          <w:sz w:val="24"/>
          <w:szCs w:val="24"/>
          <w:highlight w:val="none"/>
          <w:lang w:val="en-US" w:eastAsia="zh-CN" w:bidi="ar"/>
        </w:rPr>
        <w:t>至今任意6个</w:t>
      </w:r>
      <w:r>
        <w:rPr>
          <w:rFonts w:hint="eastAsia" w:ascii="宋体" w:hAnsi="宋体" w:eastAsia="宋体" w:cs="宋体"/>
          <w:color w:val="auto"/>
          <w:sz w:val="24"/>
          <w:szCs w:val="24"/>
          <w:highlight w:val="none"/>
          <w:lang w:eastAsia="zh-CN" w:bidi="ar"/>
        </w:rPr>
        <w:t>月</w:t>
      </w:r>
      <w:r>
        <w:rPr>
          <w:rFonts w:hint="eastAsia" w:ascii="宋体" w:hAnsi="宋体" w:eastAsia="宋体" w:cs="宋体"/>
          <w:color w:val="auto"/>
          <w:kern w:val="0"/>
          <w:sz w:val="24"/>
          <w:szCs w:val="24"/>
          <w:lang w:val="en-US" w:eastAsia="zh-CN" w:bidi="ar"/>
        </w:rPr>
        <w:t>的社保缴纳证明（退休返聘人员需提供</w:t>
      </w:r>
      <w:r>
        <w:rPr>
          <w:rFonts w:hint="eastAsia" w:ascii="宋体" w:hAnsi="宋体" w:cs="宋体"/>
          <w:color w:val="auto"/>
          <w:kern w:val="0"/>
          <w:sz w:val="24"/>
          <w:szCs w:val="24"/>
          <w:lang w:val="en-US" w:eastAsia="zh-CN" w:bidi="ar"/>
        </w:rPr>
        <w:t>本人退休证明及返聘合同</w:t>
      </w:r>
      <w:r>
        <w:rPr>
          <w:rFonts w:hint="eastAsia" w:ascii="宋体" w:hAnsi="宋体" w:eastAsia="宋体" w:cs="宋体"/>
          <w:color w:val="auto"/>
          <w:kern w:val="0"/>
          <w:sz w:val="24"/>
          <w:szCs w:val="24"/>
          <w:lang w:val="en-US" w:eastAsia="zh-CN" w:bidi="ar"/>
        </w:rPr>
        <w:t>，入职时间不足的人员，自入职之月起算）。</w:t>
      </w:r>
    </w:p>
    <w:p w14:paraId="259484B8">
      <w:pPr>
        <w:numPr>
          <w:ilvl w:val="0"/>
          <w:numId w:val="9"/>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highlight w:val="none"/>
          <w:lang w:eastAsia="zh-CN" w:bidi="ar"/>
        </w:rPr>
        <w:t>财务要求：企业需提供企业近三年（</w:t>
      </w:r>
      <w:r>
        <w:rPr>
          <w:rFonts w:hint="eastAsia" w:ascii="宋体" w:hAnsi="宋体" w:eastAsia="宋体" w:cs="宋体"/>
          <w:color w:val="auto"/>
          <w:sz w:val="24"/>
          <w:szCs w:val="24"/>
          <w:highlight w:val="none"/>
          <w:lang w:val="en-US" w:eastAsia="zh-CN" w:bidi="ar"/>
        </w:rPr>
        <w:t>20</w:t>
      </w:r>
      <w:r>
        <w:rPr>
          <w:rFonts w:hint="eastAsia" w:ascii="宋体" w:hAnsi="宋体" w:cs="宋体"/>
          <w:color w:val="auto"/>
          <w:sz w:val="24"/>
          <w:szCs w:val="24"/>
          <w:highlight w:val="none"/>
          <w:lang w:val="en-US" w:eastAsia="zh-CN" w:bidi="ar"/>
        </w:rPr>
        <w:t>23</w:t>
      </w:r>
      <w:r>
        <w:rPr>
          <w:rFonts w:hint="eastAsia" w:ascii="宋体" w:hAnsi="宋体" w:eastAsia="宋体" w:cs="宋体"/>
          <w:color w:val="auto"/>
          <w:sz w:val="24"/>
          <w:szCs w:val="24"/>
          <w:highlight w:val="none"/>
          <w:lang w:val="en-US" w:eastAsia="zh-CN" w:bidi="ar"/>
        </w:rPr>
        <w:t>-202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eastAsia="zh-CN" w:bidi="ar"/>
        </w:rPr>
        <w:t>）经审计的财务报表（三年均需提供经审计后的资产负债表、利润表、现金流量表及所有者权益变动表</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eastAsia="zh-CN" w:bidi="ar"/>
        </w:rPr>
        <w:t>如成立不足三年，则自成立之年起算起）；</w:t>
      </w:r>
      <w:r>
        <w:rPr>
          <w:rFonts w:hint="eastAsia" w:ascii="宋体" w:hAnsi="宋体" w:eastAsia="宋体" w:cs="宋体"/>
          <w:b/>
          <w:bCs/>
          <w:color w:val="auto"/>
          <w:kern w:val="0"/>
          <w:sz w:val="24"/>
          <w:szCs w:val="24"/>
          <w:lang w:val="en-US" w:eastAsia="zh-CN" w:bidi="ar"/>
        </w:rPr>
        <w:t>注：如以联合体形式投标，则由联合体牵头人提供</w:t>
      </w:r>
      <w:r>
        <w:rPr>
          <w:rFonts w:hint="eastAsia" w:ascii="宋体" w:hAnsi="宋体" w:eastAsia="宋体" w:cs="宋体"/>
          <w:color w:val="auto"/>
          <w:kern w:val="0"/>
          <w:sz w:val="24"/>
          <w:szCs w:val="24"/>
          <w:lang w:val="en-US" w:eastAsia="zh-CN" w:bidi="ar"/>
        </w:rPr>
        <w:t>。</w:t>
      </w:r>
    </w:p>
    <w:p w14:paraId="193E05FE">
      <w:pPr>
        <w:numPr>
          <w:ilvl w:val="0"/>
          <w:numId w:val="9"/>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信誉要求：</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2"/>
          <w:sz w:val="24"/>
          <w:szCs w:val="24"/>
          <w:highlight w:val="none"/>
          <w:lang w:val="en-US" w:eastAsia="zh-CN" w:bidi="ar-SA"/>
        </w:rPr>
        <w:t>联</w:t>
      </w:r>
      <w:r>
        <w:rPr>
          <w:rFonts w:hint="eastAsia" w:ascii="宋体" w:hAnsi="宋体" w:cs="宋体"/>
          <w:color w:val="auto"/>
          <w:kern w:val="0"/>
          <w:sz w:val="24"/>
          <w:szCs w:val="24"/>
          <w:lang w:val="en-US" w:eastAsia="zh-CN" w:bidi="ar"/>
        </w:rPr>
        <w:t>合体成员均需满足以下信誉要求需提供相关网站截图或佐证材料）</w:t>
      </w:r>
    </w:p>
    <w:p w14:paraId="728CE1C4">
      <w:pPr>
        <w:widowControl w:val="0"/>
        <w:numPr>
          <w:ilvl w:val="0"/>
          <w:numId w:val="12"/>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未被工商行政管理机关在全国企业信用信息公示系统中列入严重违法失信企业名单；未被最高人民法院在“信用中国”网站（www.creditchina.gov.cn）中列入失信被执行人名单；未在全国建筑市场监管公共服务平台被计入黑名单、不良诚信记录。</w:t>
      </w:r>
    </w:p>
    <w:p w14:paraId="6939A528">
      <w:pPr>
        <w:widowControl w:val="0"/>
        <w:numPr>
          <w:ilvl w:val="0"/>
          <w:numId w:val="12"/>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通过“中国裁判文书网”（http://wenshu.court.gov.cn/）查询投标人、法定代表人及本项目拟派的项目负责人的行贿犯罪结果，对于有行贿犯罪的，将拒绝其参加本次招投标活动；</w:t>
      </w:r>
    </w:p>
    <w:p w14:paraId="67F5603A">
      <w:pPr>
        <w:widowControl w:val="0"/>
        <w:numPr>
          <w:ilvl w:val="0"/>
          <w:numId w:val="12"/>
        </w:numPr>
        <w:spacing w:line="360" w:lineRule="auto"/>
        <w:ind w:left="0" w:leftChars="0"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通住建发【2025】41号关于印发《通辽市建筑市场信用管理办法》文件规定，第十三条有不良行为信息的企业，除按照有关法律、法规进行纠正和处罚外，当不良行为记分单次达30分（含30分）以上的，公示期有效期内不得在通辽市范围内承揽任何房建和市政工程业务；（公示以通辽住房和城乡建设局网站为准，投标单位自行查询提供截图）注：投标截止时间前已撤销的不记为不良行为。注：若为联合体投标，联合体双方均需提供。</w:t>
      </w:r>
    </w:p>
    <w:p w14:paraId="35BE3D74">
      <w:pPr>
        <w:numPr>
          <w:ilvl w:val="0"/>
          <w:numId w:val="9"/>
        </w:numPr>
        <w:spacing w:line="360" w:lineRule="auto"/>
        <w:ind w:left="0" w:leftChars="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投标人不得采用挂靠、转包、虚报业绩和代为投标等形式，一经发现，其中标无效，并列入诚信黑名单同时负责赔偿招标人全部损失</w:t>
      </w:r>
      <w:r>
        <w:rPr>
          <w:rFonts w:hint="eastAsia" w:ascii="宋体" w:hAnsi="宋体" w:eastAsia="宋体" w:cs="宋体"/>
          <w:color w:val="auto"/>
          <w:sz w:val="24"/>
          <w:szCs w:val="24"/>
          <w:lang w:eastAsia="zh-CN"/>
        </w:rPr>
        <w:t>。</w:t>
      </w:r>
    </w:p>
    <w:p w14:paraId="2CF15A0E">
      <w:pPr>
        <w:spacing w:line="360" w:lineRule="auto"/>
        <w:ind w:firstLine="480" w:firstLineChars="200"/>
        <w:rPr>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投标人的单位负责人为同一人或者存在控股、管理关系的不同单位，不得同时参与本项目投标。</w:t>
      </w:r>
    </w:p>
    <w:p w14:paraId="29463D26">
      <w:pPr>
        <w:numPr>
          <w:ilvl w:val="0"/>
          <w:numId w:val="0"/>
        </w:numPr>
        <w:shd w:val="clear"/>
        <w:spacing w:line="360" w:lineRule="auto"/>
        <w:ind w:left="0" w:leftChars="0"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b/>
          <w:color w:val="auto"/>
          <w:sz w:val="24"/>
          <w:szCs w:val="24"/>
          <w:highlight w:val="none"/>
          <w:lang w:val="en-US" w:eastAsia="zh-CN"/>
        </w:rPr>
        <w:t>7.</w:t>
      </w:r>
      <w:r>
        <w:rPr>
          <w:rFonts w:hint="eastAsia" w:ascii="宋体" w:hAnsi="宋体" w:eastAsia="宋体" w:cs="宋体"/>
          <w:b/>
          <w:bCs/>
          <w:color w:val="auto"/>
          <w:kern w:val="0"/>
          <w:sz w:val="24"/>
          <w:szCs w:val="24"/>
          <w:lang w:val="en-US" w:eastAsia="zh-CN" w:bidi="ar"/>
        </w:rPr>
        <w:t>本项目接受联合体投标。</w:t>
      </w:r>
    </w:p>
    <w:p w14:paraId="434E0778">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联合体投标的，应满足下列要求：</w:t>
      </w:r>
    </w:p>
    <w:p w14:paraId="4A915C38">
      <w:pPr>
        <w:spacing w:before="28" w:line="360" w:lineRule="auto"/>
        <w:ind w:left="24" w:right="200"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（1）联合体各方应签订联合体协议书，以一个参与人的身份参与，联合体协议书中应明确各方的工作范围、权利、义务、分工和责任等。</w:t>
      </w:r>
    </w:p>
    <w:p w14:paraId="389AC300">
      <w:pPr>
        <w:spacing w:before="27" w:line="360" w:lineRule="auto"/>
        <w:ind w:left="25" w:right="200"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（2）联合体各方应当指定牵头人，授权其代表所有联合体成员负责投标和合同</w:t>
      </w:r>
      <w:r>
        <w:rPr>
          <w:rFonts w:ascii="宋体" w:hAnsi="宋体" w:eastAsia="宋体" w:cs="宋体"/>
          <w:color w:val="auto"/>
          <w:spacing w:val="-2"/>
          <w:sz w:val="24"/>
          <w:szCs w:val="24"/>
        </w:rPr>
        <w:t>实施阶段的主办、协调工作。</w:t>
      </w:r>
    </w:p>
    <w:p w14:paraId="49E868D1">
      <w:pPr>
        <w:spacing w:before="24" w:line="360" w:lineRule="auto"/>
        <w:ind w:left="21" w:right="200"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（3）联合体各方签订共同投标协议后，不得再以自己名义单独投标，联合体各方不得再以自己名义单独或参加其他联合体在同一标段中投标。</w:t>
      </w:r>
    </w:p>
    <w:p w14:paraId="0D87EABF">
      <w:pPr>
        <w:spacing w:before="26" w:line="360" w:lineRule="auto"/>
        <w:ind w:left="31"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（4）由联合体牵头人负责办理投标邀请、登记、领取文件、签署、递交投标文件、递交投标保证金（如有）等事宜。</w:t>
      </w:r>
    </w:p>
    <w:p w14:paraId="7E936711">
      <w:pPr>
        <w:spacing w:before="24" w:line="360" w:lineRule="auto"/>
        <w:ind w:left="19" w:right="80"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（5）支持央企与自治区建筑业企业、区外建筑业企业与自治区中小微建筑业企</w:t>
      </w:r>
      <w:r>
        <w:rPr>
          <w:rFonts w:ascii="宋体" w:hAnsi="宋体" w:eastAsia="宋体" w:cs="宋体"/>
          <w:color w:val="auto"/>
          <w:spacing w:val="-3"/>
          <w:sz w:val="24"/>
          <w:szCs w:val="24"/>
        </w:rPr>
        <w:t>业、自治区龙头企业与自治区中小微建筑业企业或者民营建筑业企业组成联合体投标，上述企业组成联合体投标的，联合体成员单位工作量不低于联合体投标标段工作量40%。</w:t>
      </w:r>
    </w:p>
    <w:p w14:paraId="74819AB6">
      <w:pPr>
        <w:spacing w:before="24" w:line="360" w:lineRule="auto"/>
        <w:ind w:left="20" w:right="54"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（6）联合体成员各方的业绩及奖项作均可作为本联合体的业绩及奖项。（如提</w:t>
      </w:r>
      <w:r>
        <w:rPr>
          <w:rFonts w:ascii="宋体" w:hAnsi="宋体" w:eastAsia="宋体" w:cs="宋体"/>
          <w:color w:val="auto"/>
          <w:spacing w:val="-2"/>
          <w:sz w:val="24"/>
          <w:szCs w:val="24"/>
        </w:rPr>
        <w:t>供的业绩或奖项是以联合体形式共同承接或获得的同一个项目的业绩或者奖项，不累计加分。）</w:t>
      </w:r>
    </w:p>
    <w:p w14:paraId="36CCD07D">
      <w:pPr>
        <w:spacing w:before="26" w:line="360" w:lineRule="auto"/>
        <w:ind w:firstLine="464" w:firstLineChars="200"/>
        <w:jc w:val="left"/>
        <w:rPr>
          <w:rFonts w:ascii="宋体" w:hAnsi="宋体" w:eastAsia="宋体" w:cs="宋体"/>
          <w:color w:val="auto"/>
          <w:sz w:val="24"/>
          <w:szCs w:val="24"/>
        </w:rPr>
      </w:pPr>
      <w:r>
        <w:rPr>
          <w:rFonts w:ascii="宋体" w:hAnsi="宋体" w:eastAsia="宋体" w:cs="宋体"/>
          <w:color w:val="auto"/>
          <w:spacing w:val="-4"/>
          <w:sz w:val="24"/>
          <w:szCs w:val="24"/>
        </w:rPr>
        <w:t>（7）由同一专业的单位组成的联合体，按照资质等级较低的单位确定资质等</w:t>
      </w:r>
      <w:r>
        <w:rPr>
          <w:rFonts w:ascii="宋体" w:hAnsi="宋体" w:eastAsia="宋体" w:cs="宋体"/>
          <w:color w:val="auto"/>
          <w:spacing w:val="-5"/>
          <w:sz w:val="24"/>
          <w:szCs w:val="24"/>
        </w:rPr>
        <w:t>级。</w:t>
      </w:r>
    </w:p>
    <w:p w14:paraId="63345113">
      <w:pPr>
        <w:spacing w:before="23" w:line="360" w:lineRule="auto"/>
        <w:ind w:left="21" w:right="116" w:firstLine="476" w:firstLineChars="200"/>
        <w:jc w:val="left"/>
        <w:rPr>
          <w:rFonts w:ascii="宋体" w:hAnsi="宋体" w:eastAsia="宋体" w:cs="宋体"/>
          <w:color w:val="auto"/>
          <w:sz w:val="24"/>
          <w:szCs w:val="24"/>
        </w:rPr>
      </w:pPr>
      <w:r>
        <w:rPr>
          <w:rFonts w:ascii="宋体" w:hAnsi="宋体" w:eastAsia="宋体" w:cs="宋体"/>
          <w:color w:val="auto"/>
          <w:spacing w:val="-1"/>
          <w:sz w:val="24"/>
          <w:szCs w:val="24"/>
        </w:rPr>
        <w:t>（8）联合体中标的，联合体各方应当共同与招标人签订合同，就中标项目向招</w:t>
      </w:r>
      <w:r>
        <w:rPr>
          <w:rFonts w:ascii="宋体" w:hAnsi="宋体" w:eastAsia="宋体" w:cs="宋体"/>
          <w:color w:val="auto"/>
          <w:spacing w:val="-2"/>
          <w:sz w:val="24"/>
          <w:szCs w:val="24"/>
        </w:rPr>
        <w:t>标人承担连带责任。</w:t>
      </w:r>
    </w:p>
    <w:p w14:paraId="22E3E8E9">
      <w:pPr>
        <w:shd w:val="clea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drawing>
          <wp:inline distT="0" distB="0" distL="114300" distR="114300">
            <wp:extent cx="5278120" cy="783082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21"/>
                    <a:srcRect r="7253"/>
                    <a:stretch>
                      <a:fillRect/>
                    </a:stretch>
                  </pic:blipFill>
                  <pic:spPr>
                    <a:xfrm>
                      <a:off x="0" y="0"/>
                      <a:ext cx="5278120" cy="7830820"/>
                    </a:xfrm>
                    <a:prstGeom prst="rect">
                      <a:avLst/>
                    </a:prstGeom>
                    <a:noFill/>
                    <a:ln>
                      <a:noFill/>
                    </a:ln>
                  </pic:spPr>
                </pic:pic>
              </a:graphicData>
            </a:graphic>
          </wp:inline>
        </w:drawing>
      </w:r>
    </w:p>
    <w:p w14:paraId="3215EBE8">
      <w:pPr>
        <w:shd w:val="clear"/>
        <w:rPr>
          <w:rFonts w:hint="eastAsia" w:ascii="宋体" w:hAnsi="宋体" w:eastAsia="宋体" w:cs="宋体"/>
          <w:color w:val="auto"/>
          <w:highlight w:val="none"/>
          <w:lang w:val="en-US" w:eastAsia="zh-CN"/>
        </w:rPr>
      </w:pPr>
    </w:p>
    <w:p w14:paraId="1648E9C8">
      <w:pPr>
        <w:shd w:val="clear"/>
        <w:rPr>
          <w:rFonts w:hint="eastAsia" w:ascii="宋体" w:hAnsi="宋体" w:eastAsia="宋体" w:cs="宋体"/>
          <w:color w:val="auto"/>
          <w:highlight w:val="none"/>
          <w:lang w:val="en-US" w:eastAsia="zh-CN"/>
        </w:rPr>
      </w:pPr>
    </w:p>
    <w:p w14:paraId="3D2DCEC7">
      <w:pPr>
        <w:shd w:val="clear"/>
        <w:rPr>
          <w:rFonts w:hint="eastAsia" w:ascii="宋体" w:hAnsi="宋体" w:eastAsia="宋体" w:cs="宋体"/>
          <w:color w:val="auto"/>
          <w:highlight w:val="none"/>
          <w:lang w:val="en-US" w:eastAsia="zh-CN"/>
        </w:rPr>
      </w:pPr>
    </w:p>
    <w:p w14:paraId="0B372CBC">
      <w:pPr>
        <w:shd w:val="clear"/>
        <w:rPr>
          <w:rFonts w:hint="eastAsia" w:ascii="宋体" w:hAnsi="宋体" w:eastAsia="宋体" w:cs="宋体"/>
          <w:color w:val="auto"/>
          <w:highlight w:val="none"/>
          <w:lang w:val="en-US" w:eastAsia="zh-CN"/>
        </w:rPr>
      </w:pPr>
    </w:p>
    <w:p w14:paraId="06A99B14">
      <w:pPr>
        <w:shd w:val="clear"/>
        <w:rPr>
          <w:rFonts w:hint="eastAsia" w:ascii="宋体" w:hAnsi="宋体" w:eastAsia="宋体" w:cs="宋体"/>
          <w:color w:val="auto"/>
          <w:highlight w:val="none"/>
          <w:lang w:val="en-US" w:eastAsia="zh-CN"/>
        </w:rPr>
      </w:pPr>
    </w:p>
    <w:p w14:paraId="0D8124EA">
      <w:pPr>
        <w:shd w:val="clea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drawing>
          <wp:inline distT="0" distB="0" distL="114300" distR="114300">
            <wp:extent cx="5309235" cy="7703820"/>
            <wp:effectExtent l="0" t="0" r="0" b="0"/>
            <wp:docPr id="13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
                    <pic:cNvPicPr>
                      <a:picLocks noChangeAspect="1"/>
                    </pic:cNvPicPr>
                  </pic:nvPicPr>
                  <pic:blipFill>
                    <a:blip r:embed="rId22"/>
                    <a:srcRect r="5118"/>
                    <a:stretch>
                      <a:fillRect/>
                    </a:stretch>
                  </pic:blipFill>
                  <pic:spPr>
                    <a:xfrm>
                      <a:off x="0" y="0"/>
                      <a:ext cx="5309235" cy="7703820"/>
                    </a:xfrm>
                    <a:prstGeom prst="rect">
                      <a:avLst/>
                    </a:prstGeom>
                    <a:noFill/>
                    <a:ln>
                      <a:noFill/>
                    </a:ln>
                  </pic:spPr>
                </pic:pic>
              </a:graphicData>
            </a:graphic>
          </wp:inline>
        </w:drawing>
      </w:r>
    </w:p>
    <w:p w14:paraId="079C5038">
      <w:pPr>
        <w:shd w:val="clear"/>
        <w:rPr>
          <w:rFonts w:hint="eastAsia" w:ascii="宋体" w:hAnsi="宋体" w:eastAsia="宋体" w:cs="宋体"/>
          <w:color w:val="auto"/>
          <w:highlight w:val="none"/>
          <w:lang w:val="en-US" w:eastAsia="zh-CN"/>
        </w:rPr>
      </w:pPr>
    </w:p>
    <w:p w14:paraId="385DB539">
      <w:pPr>
        <w:shd w:val="clear"/>
        <w:rPr>
          <w:rFonts w:hint="eastAsia" w:ascii="宋体" w:hAnsi="宋体" w:eastAsia="宋体" w:cs="宋体"/>
          <w:color w:val="auto"/>
          <w:highlight w:val="none"/>
          <w:lang w:val="en-US" w:eastAsia="zh-CN"/>
        </w:rPr>
      </w:pPr>
    </w:p>
    <w:p w14:paraId="529FA588">
      <w:pPr>
        <w:shd w:val="clear"/>
        <w:rPr>
          <w:rFonts w:hint="eastAsia" w:ascii="宋体" w:hAnsi="宋体" w:eastAsia="宋体" w:cs="宋体"/>
          <w:color w:val="auto"/>
          <w:highlight w:val="none"/>
          <w:lang w:val="en-US" w:eastAsia="zh-CN"/>
        </w:rPr>
      </w:pPr>
    </w:p>
    <w:p w14:paraId="6804FFC5">
      <w:pPr>
        <w:pStyle w:val="2"/>
        <w:bidi w:val="0"/>
        <w:spacing w:before="0" w:after="0" w:line="360" w:lineRule="auto"/>
        <w:jc w:val="center"/>
        <w:rPr>
          <w:rFonts w:hint="eastAsia" w:ascii="宋体" w:hAnsi="宋体" w:eastAsia="宋体" w:cs="宋体"/>
          <w:color w:val="auto"/>
          <w:highlight w:val="none"/>
          <w:lang w:val="en-US" w:eastAsia="zh-CN"/>
        </w:rPr>
      </w:pPr>
      <w:bookmarkStart w:id="26" w:name="_Toc25163"/>
      <w:bookmarkStart w:id="27" w:name="_Toc21249"/>
      <w:r>
        <w:rPr>
          <w:rFonts w:hint="eastAsia" w:ascii="宋体" w:hAnsi="宋体" w:eastAsia="宋体" w:cs="宋体"/>
          <w:color w:val="auto"/>
          <w:highlight w:val="none"/>
          <w:lang w:val="en-US" w:eastAsia="zh-CN"/>
        </w:rPr>
        <w:t>第二章投标人须知</w:t>
      </w:r>
      <w:bookmarkEnd w:id="11"/>
      <w:bookmarkEnd w:id="12"/>
      <w:bookmarkEnd w:id="13"/>
      <w:bookmarkEnd w:id="14"/>
      <w:bookmarkEnd w:id="21"/>
      <w:bookmarkEnd w:id="22"/>
      <w:bookmarkEnd w:id="23"/>
      <w:bookmarkEnd w:id="24"/>
      <w:bookmarkEnd w:id="25"/>
      <w:bookmarkEnd w:id="26"/>
      <w:bookmarkEnd w:id="27"/>
    </w:p>
    <w:p w14:paraId="218B5C11">
      <w:pPr>
        <w:spacing w:line="360" w:lineRule="auto"/>
        <w:jc w:val="center"/>
        <w:outlineLvl w:val="0"/>
        <w:rPr>
          <w:rFonts w:hint="eastAsia" w:ascii="宋体" w:hAnsi="宋体" w:eastAsia="宋体" w:cs="宋体"/>
          <w:b/>
          <w:bCs/>
          <w:color w:val="auto"/>
          <w:sz w:val="28"/>
          <w:szCs w:val="28"/>
          <w:highlight w:val="none"/>
        </w:rPr>
      </w:pPr>
      <w:bookmarkStart w:id="28" w:name="_Toc14614"/>
      <w:bookmarkStart w:id="29" w:name="_Toc15598"/>
      <w:bookmarkStart w:id="30" w:name="_Toc283289409"/>
      <w:bookmarkStart w:id="31" w:name="_Toc32482"/>
      <w:bookmarkStart w:id="32" w:name="_Toc11213"/>
      <w:bookmarkStart w:id="33" w:name="_Toc282823811"/>
      <w:bookmarkStart w:id="34" w:name="_Toc31827"/>
      <w:bookmarkStart w:id="35" w:name="_Toc26136"/>
      <w:bookmarkStart w:id="36" w:name="_Toc283196389"/>
      <w:bookmarkStart w:id="37" w:name="_Toc4440"/>
      <w:bookmarkStart w:id="38" w:name="_Toc980"/>
      <w:bookmarkStart w:id="39" w:name="_Toc26414"/>
      <w:r>
        <w:rPr>
          <w:rFonts w:hint="eastAsia" w:ascii="宋体" w:hAnsi="宋体" w:eastAsia="宋体" w:cs="宋体"/>
          <w:b/>
          <w:bCs/>
          <w:color w:val="auto"/>
          <w:sz w:val="28"/>
          <w:szCs w:val="28"/>
          <w:highlight w:val="none"/>
        </w:rPr>
        <w:t>投标人须知前附表</w:t>
      </w:r>
      <w:bookmarkEnd w:id="28"/>
      <w:bookmarkEnd w:id="29"/>
      <w:bookmarkEnd w:id="30"/>
      <w:bookmarkEnd w:id="31"/>
      <w:bookmarkEnd w:id="32"/>
      <w:bookmarkEnd w:id="33"/>
      <w:bookmarkEnd w:id="34"/>
      <w:bookmarkEnd w:id="35"/>
      <w:bookmarkEnd w:id="36"/>
      <w:bookmarkEnd w:id="37"/>
      <w:bookmarkEnd w:id="38"/>
      <w:bookmarkEnd w:id="39"/>
    </w:p>
    <w:tbl>
      <w:tblPr>
        <w:tblStyle w:val="18"/>
        <w:tblW w:w="88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1"/>
        <w:gridCol w:w="1671"/>
        <w:gridCol w:w="155"/>
        <w:gridCol w:w="6013"/>
      </w:tblGrid>
      <w:tr w14:paraId="506C87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jc w:val="center"/>
        </w:trPr>
        <w:tc>
          <w:tcPr>
            <w:tcW w:w="961" w:type="dxa"/>
            <w:tcBorders>
              <w:bottom w:val="single" w:color="auto" w:sz="4" w:space="0"/>
              <w:right w:val="single" w:color="auto" w:sz="4" w:space="0"/>
            </w:tcBorders>
            <w:noWrap w:val="0"/>
            <w:vAlign w:val="center"/>
          </w:tcPr>
          <w:p w14:paraId="7C0F5309">
            <w:pPr>
              <w:adjustRightInd w:val="0"/>
              <w:spacing w:line="360" w:lineRule="auto"/>
              <w:jc w:val="center"/>
              <w:textAlignment w:val="baseline"/>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条款号</w:t>
            </w:r>
          </w:p>
        </w:tc>
        <w:tc>
          <w:tcPr>
            <w:tcW w:w="1671" w:type="dxa"/>
            <w:tcBorders>
              <w:left w:val="single" w:color="auto" w:sz="4" w:space="0"/>
              <w:bottom w:val="single" w:color="auto" w:sz="4" w:space="0"/>
              <w:right w:val="single" w:color="auto" w:sz="4" w:space="0"/>
            </w:tcBorders>
            <w:noWrap w:val="0"/>
            <w:vAlign w:val="center"/>
          </w:tcPr>
          <w:p w14:paraId="5A26AA36">
            <w:pPr>
              <w:adjustRightInd w:val="0"/>
              <w:spacing w:line="360" w:lineRule="auto"/>
              <w:jc w:val="center"/>
              <w:textAlignment w:val="baseline"/>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条款名称</w:t>
            </w:r>
          </w:p>
        </w:tc>
        <w:tc>
          <w:tcPr>
            <w:tcW w:w="6168" w:type="dxa"/>
            <w:gridSpan w:val="2"/>
            <w:tcBorders>
              <w:left w:val="single" w:color="auto" w:sz="4" w:space="0"/>
              <w:bottom w:val="single" w:color="auto" w:sz="4" w:space="0"/>
            </w:tcBorders>
            <w:noWrap w:val="0"/>
            <w:vAlign w:val="center"/>
          </w:tcPr>
          <w:p w14:paraId="76BAAE46">
            <w:pPr>
              <w:adjustRightInd w:val="0"/>
              <w:spacing w:line="360" w:lineRule="auto"/>
              <w:jc w:val="center"/>
              <w:textAlignment w:val="baseline"/>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编列内容</w:t>
            </w:r>
          </w:p>
        </w:tc>
      </w:tr>
      <w:tr w14:paraId="7D8C34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1" w:hRule="atLeast"/>
          <w:jc w:val="center"/>
        </w:trPr>
        <w:tc>
          <w:tcPr>
            <w:tcW w:w="961" w:type="dxa"/>
            <w:tcBorders>
              <w:top w:val="single" w:color="auto" w:sz="4" w:space="0"/>
              <w:bottom w:val="single" w:color="auto" w:sz="4" w:space="0"/>
              <w:right w:val="single" w:color="auto" w:sz="4" w:space="0"/>
            </w:tcBorders>
            <w:noWrap w:val="0"/>
            <w:vAlign w:val="center"/>
          </w:tcPr>
          <w:p w14:paraId="6D45FF53">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1.1.2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41DB7E66">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招标人</w:t>
            </w:r>
          </w:p>
        </w:tc>
        <w:tc>
          <w:tcPr>
            <w:tcW w:w="6168" w:type="dxa"/>
            <w:gridSpan w:val="2"/>
            <w:tcBorders>
              <w:top w:val="single" w:color="auto" w:sz="4" w:space="0"/>
              <w:left w:val="single" w:color="auto" w:sz="4" w:space="0"/>
              <w:bottom w:val="single" w:color="auto" w:sz="4" w:space="0"/>
            </w:tcBorders>
            <w:noWrap w:val="0"/>
            <w:vAlign w:val="center"/>
          </w:tcPr>
          <w:p w14:paraId="3E8F3E1B">
            <w:pPr>
              <w:adjustRightInd w:val="0"/>
              <w:spacing w:line="360" w:lineRule="auto"/>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名称：</w:t>
            </w:r>
            <w:r>
              <w:rPr>
                <w:rFonts w:hint="eastAsia" w:ascii="宋体" w:hAnsi="宋体" w:cs="宋体"/>
                <w:color w:val="auto"/>
                <w:sz w:val="28"/>
                <w:szCs w:val="28"/>
                <w:highlight w:val="none"/>
                <w:lang w:val="en-US" w:eastAsia="zh-CN"/>
              </w:rPr>
              <w:t>库伦旗农牧和科技局</w:t>
            </w:r>
          </w:p>
          <w:p w14:paraId="78C2F9C7">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地</w:t>
            </w:r>
            <w:r>
              <w:rPr>
                <w:rFonts w:hint="eastAsia" w:ascii="宋体" w:hAnsi="宋体" w:eastAsia="宋体" w:cs="宋体"/>
                <w:color w:val="auto"/>
                <w:sz w:val="28"/>
                <w:szCs w:val="28"/>
                <w:highlight w:val="none"/>
                <w:lang w:eastAsia="zh-CN"/>
              </w:rPr>
              <w:t>址：</w:t>
            </w:r>
            <w:r>
              <w:rPr>
                <w:rFonts w:hint="eastAsia" w:ascii="宋体" w:hAnsi="宋体" w:eastAsia="宋体" w:cs="宋体"/>
                <w:color w:val="auto"/>
                <w:sz w:val="28"/>
                <w:szCs w:val="28"/>
                <w:highlight w:val="none"/>
                <w:lang w:val="en-US" w:eastAsia="zh-CN"/>
              </w:rPr>
              <w:t>内蒙古自治区通辽市库伦旗库伦镇安代大街</w:t>
            </w:r>
          </w:p>
          <w:p w14:paraId="2DF24DEB">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联系人</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王先生</w:t>
            </w:r>
          </w:p>
          <w:p w14:paraId="2DEEF68A">
            <w:pPr>
              <w:pStyle w:val="16"/>
              <w:spacing w:line="360" w:lineRule="auto"/>
              <w:ind w:left="0" w:leftChars="0" w:firstLine="0" w:firstLineChars="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联系电话：</w:t>
            </w:r>
            <w:r>
              <w:rPr>
                <w:rFonts w:hint="eastAsia" w:ascii="宋体" w:hAnsi="宋体" w:cs="宋体"/>
                <w:color w:val="auto"/>
                <w:sz w:val="28"/>
                <w:szCs w:val="28"/>
                <w:highlight w:val="none"/>
                <w:lang w:val="en-US" w:eastAsia="zh-CN"/>
              </w:rPr>
              <w:t>15947055944</w:t>
            </w:r>
          </w:p>
        </w:tc>
      </w:tr>
      <w:tr w14:paraId="51A260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6" w:hRule="atLeast"/>
          <w:jc w:val="center"/>
        </w:trPr>
        <w:tc>
          <w:tcPr>
            <w:tcW w:w="961" w:type="dxa"/>
            <w:tcBorders>
              <w:top w:val="single" w:color="auto" w:sz="4" w:space="0"/>
              <w:bottom w:val="single" w:color="auto" w:sz="4" w:space="0"/>
              <w:right w:val="single" w:color="auto" w:sz="4" w:space="0"/>
            </w:tcBorders>
            <w:noWrap w:val="0"/>
            <w:vAlign w:val="center"/>
          </w:tcPr>
          <w:p w14:paraId="3F022E59">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1.1.3</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C29FB67">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招标代理机构</w:t>
            </w:r>
          </w:p>
        </w:tc>
        <w:tc>
          <w:tcPr>
            <w:tcW w:w="6168" w:type="dxa"/>
            <w:gridSpan w:val="2"/>
            <w:tcBorders>
              <w:top w:val="single" w:color="auto" w:sz="4" w:space="0"/>
              <w:left w:val="single" w:color="auto" w:sz="4" w:space="0"/>
              <w:bottom w:val="single" w:color="auto" w:sz="4" w:space="0"/>
            </w:tcBorders>
            <w:noWrap w:val="0"/>
            <w:vAlign w:val="center"/>
          </w:tcPr>
          <w:p w14:paraId="2E916C7C">
            <w:pPr>
              <w:keepNext w:val="0"/>
              <w:keepLines w:val="0"/>
              <w:pageBreakBefore w:val="0"/>
              <w:widowControl w:val="0"/>
              <w:kinsoku/>
              <w:wordWrap/>
              <w:overflowPunct/>
              <w:topLinePunct w:val="0"/>
              <w:autoSpaceDE/>
              <w:autoSpaceDN/>
              <w:bidi w:val="0"/>
              <w:adjustRightInd w:val="0"/>
              <w:snapToGrid/>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名称：</w:t>
            </w:r>
            <w:r>
              <w:rPr>
                <w:rFonts w:hint="eastAsia" w:ascii="宋体" w:hAnsi="宋体" w:eastAsia="宋体" w:cs="宋体"/>
                <w:color w:val="auto"/>
                <w:sz w:val="28"/>
                <w:szCs w:val="28"/>
                <w:highlight w:val="none"/>
                <w:lang w:val="en-US" w:eastAsia="zh-CN"/>
              </w:rPr>
              <w:t>内蒙古鼎益工程项目管理有限公司</w:t>
            </w:r>
            <w:r>
              <w:rPr>
                <w:rFonts w:hint="eastAsia" w:ascii="宋体" w:hAnsi="宋体" w:eastAsia="宋体" w:cs="宋体"/>
                <w:color w:val="auto"/>
                <w:sz w:val="28"/>
                <w:szCs w:val="28"/>
                <w:highlight w:val="none"/>
              </w:rPr>
              <w:t xml:space="preserve"> </w:t>
            </w:r>
          </w:p>
          <w:p w14:paraId="7B3C0DB8">
            <w:pPr>
              <w:keepNext w:val="0"/>
              <w:keepLines w:val="0"/>
              <w:pageBreakBefore w:val="0"/>
              <w:widowControl w:val="0"/>
              <w:kinsoku/>
              <w:wordWrap/>
              <w:overflowPunct/>
              <w:topLinePunct w:val="0"/>
              <w:autoSpaceDE/>
              <w:autoSpaceDN/>
              <w:bidi w:val="0"/>
              <w:adjustRightInd w:val="0"/>
              <w:snapToGrid/>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地址：通辽市经济技术开发区万力城一期南区4#楼131、132</w:t>
            </w:r>
          </w:p>
          <w:p w14:paraId="0D667899">
            <w:pPr>
              <w:keepNext w:val="0"/>
              <w:keepLines w:val="0"/>
              <w:pageBreakBefore w:val="0"/>
              <w:widowControl w:val="0"/>
              <w:kinsoku/>
              <w:wordWrap/>
              <w:overflowPunct/>
              <w:topLinePunct w:val="0"/>
              <w:autoSpaceDE/>
              <w:autoSpaceDN/>
              <w:bidi w:val="0"/>
              <w:adjustRightInd w:val="0"/>
              <w:snapToGrid/>
              <w:spacing w:line="360" w:lineRule="auto"/>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lang w:val="en-US" w:eastAsia="zh-CN"/>
              </w:rPr>
              <w:t>刘然</w:t>
            </w:r>
          </w:p>
          <w:p w14:paraId="290DB866">
            <w:pPr>
              <w:keepNext w:val="0"/>
              <w:keepLines w:val="0"/>
              <w:pageBreakBefore w:val="0"/>
              <w:widowControl w:val="0"/>
              <w:kinsoku/>
              <w:wordWrap/>
              <w:overflowPunct/>
              <w:topLinePunct w:val="0"/>
              <w:autoSpaceDE/>
              <w:autoSpaceDN/>
              <w:bidi w:val="0"/>
              <w:adjustRightInd w:val="0"/>
              <w:snapToGrid/>
              <w:spacing w:line="360" w:lineRule="auto"/>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r>
              <w:rPr>
                <w:rFonts w:hint="eastAsia" w:ascii="宋体" w:hAnsi="宋体" w:eastAsia="宋体" w:cs="宋体"/>
                <w:color w:val="auto"/>
                <w:kern w:val="0"/>
                <w:sz w:val="28"/>
                <w:szCs w:val="28"/>
                <w:highlight w:val="none"/>
                <w:lang w:val="en-US" w:eastAsia="zh-CN" w:bidi="ar"/>
              </w:rPr>
              <w:t>0475-8217278</w:t>
            </w:r>
          </w:p>
        </w:tc>
      </w:tr>
      <w:tr w14:paraId="5FD89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961" w:type="dxa"/>
            <w:tcBorders>
              <w:top w:val="single" w:color="auto" w:sz="4" w:space="0"/>
              <w:bottom w:val="single" w:color="auto" w:sz="4" w:space="0"/>
              <w:right w:val="single" w:color="auto" w:sz="4" w:space="0"/>
            </w:tcBorders>
            <w:noWrap w:val="0"/>
            <w:vAlign w:val="center"/>
          </w:tcPr>
          <w:p w14:paraId="5EA567BB">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1.1.4</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33288D11">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6168" w:type="dxa"/>
            <w:gridSpan w:val="2"/>
            <w:tcBorders>
              <w:top w:val="single" w:color="auto" w:sz="4" w:space="0"/>
              <w:left w:val="single" w:color="auto" w:sz="4" w:space="0"/>
              <w:bottom w:val="single" w:color="auto" w:sz="4" w:space="0"/>
            </w:tcBorders>
            <w:noWrap w:val="0"/>
            <w:vAlign w:val="center"/>
          </w:tcPr>
          <w:p w14:paraId="3A08A152">
            <w:pPr>
              <w:widowControl/>
              <w:spacing w:line="360" w:lineRule="auto"/>
              <w:rPr>
                <w:rFonts w:hint="eastAsia" w:ascii="宋体" w:hAnsi="宋体" w:eastAsia="宋体" w:cs="宋体"/>
                <w:color w:val="auto"/>
                <w:sz w:val="28"/>
                <w:szCs w:val="28"/>
                <w:highlight w:val="none"/>
                <w:lang w:val="en-US"/>
              </w:rPr>
            </w:pPr>
            <w:r>
              <w:rPr>
                <w:rFonts w:hint="eastAsia" w:ascii="宋体" w:hAnsi="宋体" w:cs="宋体"/>
                <w:b/>
                <w:bCs/>
                <w:color w:val="auto"/>
                <w:kern w:val="0"/>
                <w:sz w:val="28"/>
                <w:szCs w:val="28"/>
                <w:highlight w:val="none"/>
                <w:lang w:val="en-US" w:eastAsia="zh-CN" w:bidi="ar-SA"/>
              </w:rPr>
              <w:t>库伦旗优质育肥肉牛可追溯智慧牧场建设项目（EPC+O）标段</w:t>
            </w:r>
          </w:p>
        </w:tc>
      </w:tr>
      <w:tr w14:paraId="5C3DA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jc w:val="center"/>
        </w:trPr>
        <w:tc>
          <w:tcPr>
            <w:tcW w:w="961" w:type="dxa"/>
            <w:tcBorders>
              <w:top w:val="single" w:color="auto" w:sz="4" w:space="0"/>
              <w:bottom w:val="single" w:color="auto" w:sz="4" w:space="0"/>
              <w:right w:val="single" w:color="auto" w:sz="4" w:space="0"/>
            </w:tcBorders>
            <w:noWrap w:val="0"/>
            <w:vAlign w:val="center"/>
          </w:tcPr>
          <w:p w14:paraId="6E02217C">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1.1.5</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35A39486">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建设地点</w:t>
            </w:r>
          </w:p>
        </w:tc>
        <w:tc>
          <w:tcPr>
            <w:tcW w:w="6168" w:type="dxa"/>
            <w:gridSpan w:val="2"/>
            <w:tcBorders>
              <w:top w:val="single" w:color="auto" w:sz="4" w:space="0"/>
              <w:left w:val="single" w:color="auto" w:sz="4" w:space="0"/>
              <w:bottom w:val="single" w:color="auto" w:sz="4" w:space="0"/>
            </w:tcBorders>
            <w:noWrap w:val="0"/>
            <w:vAlign w:val="center"/>
          </w:tcPr>
          <w:p w14:paraId="7A24F113">
            <w:pPr>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库伦旗额勒顺镇查干朝鲁嘎查</w:t>
            </w:r>
          </w:p>
        </w:tc>
      </w:tr>
      <w:tr w14:paraId="70188A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961" w:type="dxa"/>
            <w:tcBorders>
              <w:top w:val="single" w:color="auto" w:sz="4" w:space="0"/>
              <w:bottom w:val="single" w:color="auto" w:sz="4" w:space="0"/>
              <w:right w:val="single" w:color="auto" w:sz="4" w:space="0"/>
            </w:tcBorders>
            <w:noWrap w:val="0"/>
            <w:vAlign w:val="center"/>
          </w:tcPr>
          <w:p w14:paraId="510511D0">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1.2.1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41C1FC22">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资金来源</w:t>
            </w:r>
          </w:p>
        </w:tc>
        <w:tc>
          <w:tcPr>
            <w:tcW w:w="6168" w:type="dxa"/>
            <w:gridSpan w:val="2"/>
            <w:tcBorders>
              <w:top w:val="single" w:color="auto" w:sz="4" w:space="0"/>
              <w:left w:val="single" w:color="auto" w:sz="4" w:space="0"/>
              <w:bottom w:val="single" w:color="auto" w:sz="4" w:space="0"/>
            </w:tcBorders>
            <w:noWrap w:val="0"/>
            <w:vAlign w:val="center"/>
          </w:tcPr>
          <w:p w14:paraId="6AA6BAA1">
            <w:pPr>
              <w:adjustRightInd w:val="0"/>
              <w:spacing w:line="360" w:lineRule="auto"/>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衔接资金及财政配套资金</w:t>
            </w:r>
          </w:p>
        </w:tc>
      </w:tr>
      <w:tr w14:paraId="5B6C6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61" w:type="dxa"/>
            <w:tcBorders>
              <w:top w:val="single" w:color="auto" w:sz="4" w:space="0"/>
              <w:bottom w:val="single" w:color="auto" w:sz="4" w:space="0"/>
              <w:right w:val="single" w:color="auto" w:sz="4" w:space="0"/>
            </w:tcBorders>
            <w:noWrap w:val="0"/>
            <w:vAlign w:val="center"/>
          </w:tcPr>
          <w:p w14:paraId="7A3EBCF4">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1.2.2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5C0337A">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招标方式</w:t>
            </w:r>
          </w:p>
        </w:tc>
        <w:tc>
          <w:tcPr>
            <w:tcW w:w="6168" w:type="dxa"/>
            <w:gridSpan w:val="2"/>
            <w:tcBorders>
              <w:top w:val="single" w:color="auto" w:sz="4" w:space="0"/>
              <w:left w:val="single" w:color="auto" w:sz="4" w:space="0"/>
              <w:bottom w:val="single" w:color="auto" w:sz="4" w:space="0"/>
            </w:tcBorders>
            <w:noWrap w:val="0"/>
            <w:vAlign w:val="center"/>
          </w:tcPr>
          <w:p w14:paraId="777B0D43">
            <w:pPr>
              <w:adjustRightIn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公开招标</w:t>
            </w:r>
          </w:p>
        </w:tc>
      </w:tr>
      <w:tr w14:paraId="4F2F57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961" w:type="dxa"/>
            <w:tcBorders>
              <w:top w:val="single" w:color="auto" w:sz="4" w:space="0"/>
              <w:bottom w:val="single" w:color="auto" w:sz="4" w:space="0"/>
              <w:right w:val="single" w:color="auto" w:sz="4" w:space="0"/>
            </w:tcBorders>
            <w:noWrap w:val="0"/>
            <w:vAlign w:val="center"/>
          </w:tcPr>
          <w:p w14:paraId="47279402">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1.2.3</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4E751605">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资金落实情况</w:t>
            </w:r>
          </w:p>
        </w:tc>
        <w:tc>
          <w:tcPr>
            <w:tcW w:w="6168" w:type="dxa"/>
            <w:gridSpan w:val="2"/>
            <w:tcBorders>
              <w:top w:val="single" w:color="auto" w:sz="4" w:space="0"/>
              <w:left w:val="single" w:color="auto" w:sz="4" w:space="0"/>
              <w:bottom w:val="single" w:color="auto" w:sz="4" w:space="0"/>
            </w:tcBorders>
            <w:noWrap w:val="0"/>
            <w:vAlign w:val="center"/>
          </w:tcPr>
          <w:p w14:paraId="62A74387">
            <w:pPr>
              <w:adjustRightIn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现已落实到位</w:t>
            </w:r>
          </w:p>
        </w:tc>
      </w:tr>
      <w:tr w14:paraId="45082C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961" w:type="dxa"/>
            <w:tcBorders>
              <w:top w:val="single" w:color="auto" w:sz="4" w:space="0"/>
              <w:bottom w:val="single" w:color="auto" w:sz="4" w:space="0"/>
              <w:right w:val="single" w:color="auto" w:sz="4" w:space="0"/>
            </w:tcBorders>
            <w:noWrap w:val="0"/>
            <w:vAlign w:val="center"/>
          </w:tcPr>
          <w:p w14:paraId="31CC2274">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1.3.1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E4C29DF">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招标内容</w:t>
            </w:r>
          </w:p>
        </w:tc>
        <w:tc>
          <w:tcPr>
            <w:tcW w:w="6168" w:type="dxa"/>
            <w:gridSpan w:val="2"/>
            <w:tcBorders>
              <w:top w:val="single" w:color="auto" w:sz="4" w:space="0"/>
              <w:left w:val="single" w:color="auto" w:sz="4" w:space="0"/>
              <w:bottom w:val="single" w:color="auto" w:sz="4" w:space="0"/>
            </w:tcBorders>
            <w:noWrap w:val="0"/>
            <w:vAlign w:val="center"/>
          </w:tcPr>
          <w:p w14:paraId="3AE5B949">
            <w:pPr>
              <w:spacing w:beforeLines="0" w:afterLines="0" w:line="360" w:lineRule="auto"/>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本项目总用地面积约657.71亩，建设牛舍8栋，总建筑面积35000.00平方米，配套建设运动场围栏等。</w:t>
            </w:r>
          </w:p>
          <w:p w14:paraId="784835C5">
            <w:pPr>
              <w:spacing w:beforeLines="0" w:afterLines="0" w:line="360" w:lineRule="auto"/>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本工程为EPC总承包工程+O运营，招标范围包含与本项目有关的所有建安工程相关的设计、施工和采购内容，运营期20年。从工程设计、建设开始直至验收交付以及在质量保修期内的保修服务等全过程的 EPC+O总承包工程工作。包括但不限于：</w:t>
            </w:r>
          </w:p>
          <w:p w14:paraId="4EB8F5FF">
            <w:pPr>
              <w:spacing w:beforeLines="0" w:afterLines="0" w:line="360" w:lineRule="auto"/>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（1）设计：本次招标所需的设计方案图纸、设计方案的完善、深化，并出具施工图纸、竣工图纸及有关的所有设计服务；</w:t>
            </w:r>
          </w:p>
          <w:p w14:paraId="61457EEA">
            <w:pPr>
              <w:spacing w:beforeLines="0" w:afterLines="0" w:line="360" w:lineRule="auto"/>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（2）施工：按设计方案组织施工等直至通过有关部门组织的竣工验收；</w:t>
            </w:r>
          </w:p>
          <w:p w14:paraId="2EE3D40A">
            <w:pPr>
              <w:spacing w:beforeLines="0" w:afterLines="0" w:line="360" w:lineRule="auto"/>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（3）采购：与本项目有关的所有设备、材料等的采购；</w:t>
            </w:r>
          </w:p>
          <w:p w14:paraId="03F08434">
            <w:pPr>
              <w:spacing w:beforeLines="0" w:afterLines="0" w:line="360" w:lineRule="auto"/>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（4）总承包管理及其他服务：包括但不限于设计、采购、施工、试运行、风险、进度、质量、安全、职业健康与环境、沟通与信息、合同、项目收尾等的所有管理及运营工作。</w:t>
            </w:r>
          </w:p>
          <w:p w14:paraId="4F9DCD66">
            <w:pPr>
              <w:spacing w:beforeLines="0" w:afterLines="0" w:line="360" w:lineRule="auto"/>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具体</w:t>
            </w:r>
            <w:r>
              <w:rPr>
                <w:rFonts w:hint="eastAsia" w:ascii="宋体" w:hAnsi="宋体" w:eastAsia="宋体" w:cs="宋体"/>
                <w:color w:val="auto"/>
                <w:sz w:val="28"/>
                <w:szCs w:val="28"/>
                <w:highlight w:val="none"/>
                <w:lang w:val="en-US" w:eastAsia="zh-CN"/>
              </w:rPr>
              <w:t>内容详见第五章发包人要求和可行性研究报告。</w:t>
            </w:r>
          </w:p>
        </w:tc>
      </w:tr>
      <w:tr w14:paraId="74B835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right w:val="single" w:color="auto" w:sz="4" w:space="0"/>
            </w:tcBorders>
            <w:noWrap w:val="0"/>
            <w:vAlign w:val="center"/>
          </w:tcPr>
          <w:p w14:paraId="2DC6FE82">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1.3.2</w:t>
            </w:r>
          </w:p>
        </w:tc>
        <w:tc>
          <w:tcPr>
            <w:tcW w:w="1671" w:type="dxa"/>
            <w:tcBorders>
              <w:top w:val="single" w:color="auto" w:sz="4" w:space="0"/>
              <w:left w:val="single" w:color="auto" w:sz="4" w:space="0"/>
              <w:right w:val="single" w:color="auto" w:sz="4" w:space="0"/>
            </w:tcBorders>
            <w:noWrap w:val="0"/>
            <w:vAlign w:val="center"/>
          </w:tcPr>
          <w:p w14:paraId="56D1C6F2">
            <w:pPr>
              <w:adjustRightInd w:val="0"/>
              <w:spacing w:line="360" w:lineRule="auto"/>
              <w:jc w:val="center"/>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p>
        </w:tc>
        <w:tc>
          <w:tcPr>
            <w:tcW w:w="6168" w:type="dxa"/>
            <w:gridSpan w:val="2"/>
            <w:tcBorders>
              <w:top w:val="single" w:color="auto" w:sz="4" w:space="0"/>
              <w:left w:val="single" w:color="auto" w:sz="4" w:space="0"/>
              <w:bottom w:val="single" w:color="auto" w:sz="4" w:space="0"/>
            </w:tcBorders>
            <w:noWrap w:val="0"/>
            <w:vAlign w:val="center"/>
          </w:tcPr>
          <w:p w14:paraId="46C74EAE">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计划工期：</w:t>
            </w:r>
            <w:r>
              <w:rPr>
                <w:rFonts w:hint="eastAsia" w:ascii="宋体" w:hAnsi="宋体" w:cs="宋体"/>
                <w:color w:val="auto"/>
                <w:sz w:val="28"/>
                <w:szCs w:val="28"/>
                <w:highlight w:val="none"/>
                <w:lang w:val="en-US" w:eastAsia="zh-CN"/>
              </w:rPr>
              <w:t>183</w:t>
            </w:r>
            <w:r>
              <w:rPr>
                <w:rFonts w:hint="eastAsia" w:ascii="宋体" w:hAnsi="宋体" w:eastAsia="宋体" w:cs="宋体"/>
                <w:color w:val="auto"/>
                <w:sz w:val="28"/>
                <w:szCs w:val="28"/>
                <w:highlight w:val="none"/>
                <w:lang w:val="en-US" w:eastAsia="zh-CN"/>
              </w:rPr>
              <w:t>日历天（其中设计工期：30日历天）</w:t>
            </w:r>
          </w:p>
          <w:p w14:paraId="10C3F53C">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计划开工日期：20</w:t>
            </w:r>
            <w:r>
              <w:rPr>
                <w:rFonts w:hint="eastAsia" w:ascii="宋体" w:hAnsi="宋体" w:eastAsia="宋体" w:cs="宋体"/>
                <w:color w:val="auto"/>
                <w:sz w:val="28"/>
                <w:szCs w:val="28"/>
                <w:highlight w:val="none"/>
                <w:lang w:val="en-US" w:eastAsia="zh-CN"/>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rPr>
              <w:t>日</w:t>
            </w:r>
          </w:p>
          <w:p w14:paraId="2D7EE72E">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计划竣工日期：20</w:t>
            </w:r>
            <w:r>
              <w:rPr>
                <w:rFonts w:hint="eastAsia" w:ascii="宋体" w:hAnsi="宋体" w:eastAsia="宋体" w:cs="宋体"/>
                <w:color w:val="auto"/>
                <w:sz w:val="28"/>
                <w:szCs w:val="28"/>
                <w:highlight w:val="none"/>
                <w:lang w:val="en-US" w:eastAsia="zh-CN"/>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rPr>
              <w:t>日</w:t>
            </w:r>
          </w:p>
          <w:p w14:paraId="4D220748">
            <w:pPr>
              <w:shd w:val="clear" w:color="000000" w:fill="auto"/>
              <w:adjustRightInd w:val="0"/>
              <w:spacing w:line="360" w:lineRule="auto"/>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上述开工时间仅作为投标文件的规定时间，实际开工日期按合同约定执行。</w:t>
            </w:r>
          </w:p>
        </w:tc>
      </w:tr>
      <w:tr w14:paraId="3E6460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9" w:hRule="atLeast"/>
          <w:jc w:val="center"/>
        </w:trPr>
        <w:tc>
          <w:tcPr>
            <w:tcW w:w="961" w:type="dxa"/>
            <w:vMerge w:val="restart"/>
            <w:tcBorders>
              <w:top w:val="single" w:color="auto" w:sz="4" w:space="0"/>
              <w:right w:val="single" w:color="auto" w:sz="4" w:space="0"/>
            </w:tcBorders>
            <w:noWrap w:val="0"/>
            <w:vAlign w:val="center"/>
          </w:tcPr>
          <w:p w14:paraId="0F95B501">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z w:val="28"/>
                <w:szCs w:val="28"/>
                <w:highlight w:val="none"/>
              </w:rPr>
              <w:t>1.3.3</w:t>
            </w:r>
          </w:p>
        </w:tc>
        <w:tc>
          <w:tcPr>
            <w:tcW w:w="1671" w:type="dxa"/>
            <w:vMerge w:val="restart"/>
            <w:tcBorders>
              <w:top w:val="single" w:color="auto" w:sz="4" w:space="0"/>
              <w:left w:val="single" w:color="auto" w:sz="4" w:space="0"/>
              <w:right w:val="single" w:color="auto" w:sz="4" w:space="0"/>
            </w:tcBorders>
            <w:noWrap w:val="0"/>
            <w:vAlign w:val="center"/>
          </w:tcPr>
          <w:p w14:paraId="0ED0B2EB">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6168" w:type="dxa"/>
            <w:gridSpan w:val="2"/>
            <w:tcBorders>
              <w:top w:val="single" w:color="auto" w:sz="4" w:space="0"/>
              <w:left w:val="single" w:color="auto" w:sz="4" w:space="0"/>
              <w:bottom w:val="single" w:color="auto" w:sz="4" w:space="0"/>
            </w:tcBorders>
            <w:noWrap w:val="0"/>
            <w:vAlign w:val="center"/>
          </w:tcPr>
          <w:p w14:paraId="635A415A">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设计要求的质量标准：施工图设计质量必须满足国家现行工程设计规范标准及满足设计任务书要求，并通过相关部门的审查。</w:t>
            </w:r>
          </w:p>
        </w:tc>
      </w:tr>
      <w:tr w14:paraId="3C7F5F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9" w:hRule="atLeast"/>
          <w:jc w:val="center"/>
        </w:trPr>
        <w:tc>
          <w:tcPr>
            <w:tcW w:w="961" w:type="dxa"/>
            <w:vMerge w:val="continue"/>
            <w:tcBorders>
              <w:top w:val="single" w:color="auto" w:sz="4" w:space="0"/>
              <w:bottom w:val="single" w:color="auto" w:sz="4" w:space="0"/>
              <w:right w:val="single" w:color="auto" w:sz="4" w:space="0"/>
            </w:tcBorders>
            <w:noWrap w:val="0"/>
            <w:vAlign w:val="center"/>
          </w:tcPr>
          <w:p w14:paraId="44113F63">
            <w:pPr>
              <w:adjustRightInd w:val="0"/>
              <w:spacing w:line="360" w:lineRule="auto"/>
              <w:textAlignment w:val="baseline"/>
              <w:rPr>
                <w:rFonts w:hint="eastAsia" w:ascii="宋体" w:hAnsi="宋体" w:eastAsia="宋体" w:cs="宋体"/>
                <w:color w:val="auto"/>
                <w:sz w:val="28"/>
                <w:szCs w:val="28"/>
                <w:highlight w:val="none"/>
              </w:rPr>
            </w:pPr>
          </w:p>
        </w:tc>
        <w:tc>
          <w:tcPr>
            <w:tcW w:w="1671" w:type="dxa"/>
            <w:vMerge w:val="continue"/>
            <w:tcBorders>
              <w:top w:val="single" w:color="auto" w:sz="4" w:space="0"/>
              <w:left w:val="single" w:color="auto" w:sz="4" w:space="0"/>
              <w:bottom w:val="single" w:color="auto" w:sz="4" w:space="0"/>
              <w:right w:val="single" w:color="auto" w:sz="4" w:space="0"/>
            </w:tcBorders>
            <w:noWrap w:val="0"/>
            <w:vAlign w:val="center"/>
          </w:tcPr>
          <w:p w14:paraId="776BAF55">
            <w:pPr>
              <w:adjustRightInd w:val="0"/>
              <w:spacing w:line="360" w:lineRule="auto"/>
              <w:textAlignment w:val="baseline"/>
              <w:rPr>
                <w:rFonts w:hint="eastAsia" w:ascii="宋体" w:hAnsi="宋体" w:eastAsia="宋体" w:cs="宋体"/>
                <w:color w:val="auto"/>
                <w:sz w:val="28"/>
                <w:szCs w:val="28"/>
                <w:highlight w:val="none"/>
              </w:rPr>
            </w:pPr>
          </w:p>
        </w:tc>
        <w:tc>
          <w:tcPr>
            <w:tcW w:w="6168" w:type="dxa"/>
            <w:gridSpan w:val="2"/>
            <w:tcBorders>
              <w:top w:val="single" w:color="auto" w:sz="4" w:space="0"/>
              <w:left w:val="single" w:color="auto" w:sz="4" w:space="0"/>
              <w:bottom w:val="single" w:color="auto" w:sz="4" w:space="0"/>
            </w:tcBorders>
            <w:noWrap w:val="0"/>
            <w:vAlign w:val="center"/>
          </w:tcPr>
          <w:p w14:paraId="581867DD">
            <w:pPr>
              <w:adjustRightInd w:val="0"/>
              <w:spacing w:line="360" w:lineRule="auto"/>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rPr>
              <w:t>施工要求的质量标准：施工质量符合设计图纸及国家有关标准、规范要求，工程质量达到国家及行业现行施工验收规范合格标准。</w:t>
            </w:r>
          </w:p>
        </w:tc>
      </w:tr>
      <w:tr w14:paraId="40167C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noWrap w:val="0"/>
            <w:vAlign w:val="center"/>
          </w:tcPr>
          <w:p w14:paraId="19F14E70">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1.4.1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38134E2C">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投标人资质条件、能力和信誉</w:t>
            </w:r>
          </w:p>
        </w:tc>
        <w:tc>
          <w:tcPr>
            <w:tcW w:w="6168" w:type="dxa"/>
            <w:gridSpan w:val="2"/>
            <w:tcBorders>
              <w:top w:val="single" w:color="auto" w:sz="4" w:space="0"/>
              <w:left w:val="single" w:color="auto" w:sz="4" w:space="0"/>
              <w:bottom w:val="single" w:color="auto" w:sz="4" w:space="0"/>
            </w:tcBorders>
            <w:noWrap w:val="0"/>
            <w:vAlign w:val="center"/>
          </w:tcPr>
          <w:p w14:paraId="73E9C73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left"/>
              <w:textAlignment w:val="auto"/>
              <w:rPr>
                <w:rFonts w:hint="eastAsia" w:ascii="宋体" w:hAnsi="宋体" w:cs="宋体"/>
                <w:b/>
                <w:color w:val="auto"/>
                <w:kern w:val="0"/>
                <w:sz w:val="28"/>
                <w:szCs w:val="28"/>
                <w:highlight w:val="none"/>
                <w:lang w:eastAsia="zh-CN"/>
              </w:rPr>
            </w:pPr>
            <w:r>
              <w:rPr>
                <w:rFonts w:hint="eastAsia" w:ascii="宋体" w:hAnsi="宋体" w:cs="宋体"/>
                <w:b/>
                <w:color w:val="auto"/>
                <w:kern w:val="0"/>
                <w:sz w:val="28"/>
                <w:szCs w:val="28"/>
                <w:highlight w:val="none"/>
                <w:lang w:eastAsia="zh-CN"/>
              </w:rPr>
              <w:t>详见招标公告</w:t>
            </w:r>
          </w:p>
          <w:p w14:paraId="3265674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8"/>
                <w:szCs w:val="28"/>
                <w:highlight w:val="red"/>
                <w:lang w:val="en-US" w:eastAsia="zh-CN" w:bidi="ar"/>
              </w:rPr>
            </w:pPr>
            <w:r>
              <w:rPr>
                <w:rFonts w:hint="eastAsia" w:ascii="宋体" w:hAnsi="宋体" w:eastAsia="宋体" w:cs="宋体"/>
                <w:b/>
                <w:color w:val="auto"/>
                <w:kern w:val="0"/>
                <w:sz w:val="28"/>
                <w:szCs w:val="28"/>
                <w:highlight w:val="none"/>
              </w:rPr>
              <w:t>本次招标资格审查在开标后进行，以上资料评标委员会将从“诚信信息库”中调取信息，并与开标情况及投标文件中提供的资料相结合进行审查，以上资料不齐全或未按要求提供的为无效投标。（投标文件和诚信库中提供的信息应当合法合规、真实有效，所产生的一切法律后果均由投标人自行承担）。</w:t>
            </w:r>
          </w:p>
        </w:tc>
      </w:tr>
      <w:tr w14:paraId="7F5DF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61" w:type="dxa"/>
            <w:tcBorders>
              <w:top w:val="single" w:color="auto" w:sz="4" w:space="0"/>
              <w:bottom w:val="single" w:color="auto" w:sz="4" w:space="0"/>
              <w:right w:val="single" w:color="auto" w:sz="4" w:space="0"/>
            </w:tcBorders>
            <w:noWrap w:val="0"/>
            <w:vAlign w:val="center"/>
          </w:tcPr>
          <w:p w14:paraId="06BFEC10">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1.4.2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28354864">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是否接受联合体投标</w:t>
            </w:r>
          </w:p>
        </w:tc>
        <w:tc>
          <w:tcPr>
            <w:tcW w:w="6168" w:type="dxa"/>
            <w:gridSpan w:val="2"/>
            <w:tcBorders>
              <w:top w:val="single" w:color="auto" w:sz="4" w:space="0"/>
              <w:left w:val="single" w:color="auto" w:sz="4" w:space="0"/>
              <w:bottom w:val="single" w:color="auto" w:sz="4" w:space="0"/>
            </w:tcBorders>
            <w:noWrap w:val="0"/>
            <w:vAlign w:val="center"/>
          </w:tcPr>
          <w:p w14:paraId="6638D179">
            <w:pPr>
              <w:pStyle w:val="24"/>
              <w:topLinePunct/>
              <w:adjustRightInd w:val="0"/>
              <w:spacing w:line="360" w:lineRule="auto"/>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接受</w:t>
            </w:r>
          </w:p>
          <w:p w14:paraId="13B9186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280" w:firstLineChars="1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联合体投标的，应满足下列要求：</w:t>
            </w:r>
          </w:p>
          <w:p w14:paraId="46F30225">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0" w:firstLineChars="2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（1）联合体各方应签订联合体协议书，以一个参与人的身份参与，联合体协议书中应明确各方的工作范围、权利、义务、分工和责任等。</w:t>
            </w:r>
          </w:p>
          <w:p w14:paraId="796BA5BD">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0" w:firstLineChars="2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（2）联合体各方应当指定牵头人</w:t>
            </w:r>
            <w:r>
              <w:rPr>
                <w:rFonts w:hint="eastAsia" w:ascii="宋体" w:hAnsi="宋体" w:eastAsia="宋体" w:cs="宋体"/>
                <w:b/>
                <w:bCs/>
                <w:color w:val="auto"/>
                <w:kern w:val="2"/>
                <w:sz w:val="28"/>
                <w:szCs w:val="28"/>
                <w:highlight w:val="none"/>
                <w:lang w:val="en-US" w:eastAsia="zh-CN" w:bidi="ar-SA"/>
              </w:rPr>
              <w:t>（牵头人必须为施工单位）</w:t>
            </w:r>
            <w:r>
              <w:rPr>
                <w:rFonts w:hint="eastAsia" w:ascii="宋体" w:hAnsi="宋体" w:eastAsia="宋体" w:cs="宋体"/>
                <w:color w:val="auto"/>
                <w:kern w:val="2"/>
                <w:sz w:val="28"/>
                <w:szCs w:val="28"/>
                <w:highlight w:val="none"/>
                <w:lang w:val="en-US" w:eastAsia="zh-CN" w:bidi="ar-SA"/>
              </w:rPr>
              <w:t>，授权其代表所有联合体成员负责投标和合同实施阶段的主办、协调工作。</w:t>
            </w:r>
          </w:p>
          <w:p w14:paraId="1F8BBA74">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0" w:firstLineChars="2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（3）联合体各方签订共同投标协议后，不得再以自己名义单独投标，联合体各方不得再以自己名义单独或参加其他联合体在同一标段中投标。</w:t>
            </w:r>
          </w:p>
          <w:p w14:paraId="3222C77A">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0" w:firstLineChars="2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（4）由联合体牵头人负责办理投标邀请、登记、领取文件、签署、递交投标文件、递交投标保证金（如有）等事宜。</w:t>
            </w:r>
          </w:p>
          <w:p w14:paraId="3AE812F5">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0" w:firstLineChars="2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（5）由同一专业的单位组成的联合体，按照资质等级较低的单位确定资质等级。</w:t>
            </w:r>
          </w:p>
          <w:p w14:paraId="457A4B1A">
            <w:pPr>
              <w:keepNext w:val="0"/>
              <w:keepLines w:val="0"/>
              <w:pageBreakBefore w:val="0"/>
              <w:widowControl w:val="0"/>
              <w:numPr>
                <w:ilvl w:val="0"/>
                <w:numId w:val="0"/>
              </w:numPr>
              <w:shd w:val="clear"/>
              <w:kinsoku/>
              <w:wordWrap/>
              <w:overflowPunct/>
              <w:topLinePunct w:val="0"/>
              <w:autoSpaceDE/>
              <w:autoSpaceDN/>
              <w:bidi w:val="0"/>
              <w:adjustRightInd w:val="0"/>
              <w:snapToGrid/>
              <w:spacing w:line="360" w:lineRule="auto"/>
              <w:ind w:left="0" w:leftChars="0" w:firstLine="560" w:firstLineChars="200"/>
              <w:jc w:val="lef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（6）联合体中标的，联合体各方应当共同与招标人签订合同，就中标项目向招标人承担连带责任。</w:t>
            </w:r>
          </w:p>
        </w:tc>
      </w:tr>
      <w:tr w14:paraId="778452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noWrap w:val="0"/>
            <w:vAlign w:val="center"/>
          </w:tcPr>
          <w:p w14:paraId="68DE7118">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1.5</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6B2691B2">
            <w:pPr>
              <w:adjustRightInd w:val="0"/>
              <w:spacing w:line="360" w:lineRule="auto"/>
              <w:jc w:val="center"/>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费用承担和设计成果补偿</w:t>
            </w:r>
          </w:p>
        </w:tc>
        <w:tc>
          <w:tcPr>
            <w:tcW w:w="6168" w:type="dxa"/>
            <w:gridSpan w:val="2"/>
            <w:tcBorders>
              <w:top w:val="single" w:color="auto" w:sz="4" w:space="0"/>
              <w:left w:val="single" w:color="auto" w:sz="4" w:space="0"/>
              <w:bottom w:val="single" w:color="auto" w:sz="4" w:space="0"/>
            </w:tcBorders>
            <w:noWrap w:val="0"/>
            <w:vAlign w:val="center"/>
          </w:tcPr>
          <w:p w14:paraId="278797DF">
            <w:pPr>
              <w:keepNext w:val="0"/>
              <w:keepLines w:val="0"/>
              <w:widowControl/>
              <w:suppressLineNumbers w:val="0"/>
              <w:spacing w:line="360" w:lineRule="auto"/>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费用由投标人承担、招标人不补偿。</w:t>
            </w:r>
          </w:p>
        </w:tc>
      </w:tr>
      <w:tr w14:paraId="04C71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961" w:type="dxa"/>
            <w:tcBorders>
              <w:top w:val="single" w:color="auto" w:sz="4" w:space="0"/>
              <w:bottom w:val="single" w:color="auto" w:sz="4" w:space="0"/>
              <w:right w:val="single" w:color="auto" w:sz="4" w:space="0"/>
            </w:tcBorders>
            <w:noWrap w:val="0"/>
            <w:vAlign w:val="center"/>
          </w:tcPr>
          <w:p w14:paraId="3F3FDF71">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1.9.1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067B66A">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6168" w:type="dxa"/>
            <w:gridSpan w:val="2"/>
            <w:tcBorders>
              <w:top w:val="single" w:color="auto" w:sz="4" w:space="0"/>
              <w:left w:val="single" w:color="auto" w:sz="4" w:space="0"/>
              <w:bottom w:val="single" w:color="auto" w:sz="4" w:space="0"/>
            </w:tcBorders>
            <w:noWrap w:val="0"/>
            <w:vAlign w:val="center"/>
          </w:tcPr>
          <w:p w14:paraId="545FE5AA">
            <w:pPr>
              <w:snapToGrid w:val="0"/>
              <w:spacing w:line="360" w:lineRule="auto"/>
              <w:jc w:val="both"/>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不组织</w:t>
            </w:r>
          </w:p>
        </w:tc>
      </w:tr>
      <w:tr w14:paraId="1FB5E5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961" w:type="dxa"/>
            <w:tcBorders>
              <w:top w:val="single" w:color="auto" w:sz="4" w:space="0"/>
              <w:bottom w:val="single" w:color="auto" w:sz="4" w:space="0"/>
              <w:right w:val="single" w:color="auto" w:sz="4" w:space="0"/>
            </w:tcBorders>
            <w:noWrap w:val="0"/>
            <w:vAlign w:val="center"/>
          </w:tcPr>
          <w:p w14:paraId="667FE380">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1.10.1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01996BD8">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投标人提出问题的截止时间和提问方式</w:t>
            </w:r>
          </w:p>
        </w:tc>
        <w:tc>
          <w:tcPr>
            <w:tcW w:w="6168" w:type="dxa"/>
            <w:gridSpan w:val="2"/>
            <w:tcBorders>
              <w:top w:val="single" w:color="auto" w:sz="4" w:space="0"/>
              <w:left w:val="single" w:color="auto" w:sz="4" w:space="0"/>
              <w:bottom w:val="single" w:color="auto" w:sz="4" w:space="0"/>
            </w:tcBorders>
            <w:noWrap w:val="0"/>
            <w:vAlign w:val="center"/>
          </w:tcPr>
          <w:p w14:paraId="4B7D4045">
            <w:pPr>
              <w:adjustRightInd w:val="0"/>
              <w:spacing w:line="360" w:lineRule="auto"/>
              <w:jc w:val="both"/>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时间：递交投标文件截止之日10天前</w:t>
            </w:r>
          </w:p>
          <w:p w14:paraId="349CFA28">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形式：投标人应在上述规定时间之前登陆“内蒙古自治区工程建设电子招投标交易平台”将要求澄清的问题向招标人提出。并以电话的形式匿名通知招标人或招标代理机构。</w:t>
            </w:r>
          </w:p>
        </w:tc>
      </w:tr>
      <w:tr w14:paraId="34D908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61" w:type="dxa"/>
            <w:tcBorders>
              <w:top w:val="single" w:color="auto" w:sz="4" w:space="0"/>
              <w:bottom w:val="single" w:color="auto" w:sz="4" w:space="0"/>
              <w:right w:val="single" w:color="auto" w:sz="4" w:space="0"/>
            </w:tcBorders>
            <w:noWrap w:val="0"/>
            <w:vAlign w:val="center"/>
          </w:tcPr>
          <w:p w14:paraId="509C906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1.10.2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9EE45B4">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招标人澄清或者修改文件的时间和发布方式</w:t>
            </w:r>
          </w:p>
        </w:tc>
        <w:tc>
          <w:tcPr>
            <w:tcW w:w="6168" w:type="dxa"/>
            <w:gridSpan w:val="2"/>
            <w:tcBorders>
              <w:top w:val="single" w:color="auto" w:sz="4" w:space="0"/>
              <w:left w:val="single" w:color="auto" w:sz="4" w:space="0"/>
              <w:bottom w:val="single" w:color="auto" w:sz="4" w:space="0"/>
            </w:tcBorders>
            <w:noWrap w:val="0"/>
            <w:vAlign w:val="center"/>
          </w:tcPr>
          <w:p w14:paraId="430321C5">
            <w:pPr>
              <w:adjustRightInd w:val="0"/>
              <w:spacing w:line="360" w:lineRule="auto"/>
              <w:jc w:val="both"/>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时间：递交投标文件截止之日15天前</w:t>
            </w:r>
          </w:p>
          <w:p w14:paraId="5C18698C">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形式：招标文件的澄清将以编号的补遗书形式在相关网站上发布，所有投标人应密切关注相关网站与本项目相关的信息，未关注者后果自行承担。</w:t>
            </w:r>
          </w:p>
        </w:tc>
      </w:tr>
      <w:tr w14:paraId="744BB4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961" w:type="dxa"/>
            <w:tcBorders>
              <w:top w:val="single" w:color="auto" w:sz="4" w:space="0"/>
              <w:bottom w:val="single" w:color="auto" w:sz="4" w:space="0"/>
              <w:right w:val="single" w:color="auto" w:sz="4" w:space="0"/>
            </w:tcBorders>
            <w:noWrap w:val="0"/>
            <w:vAlign w:val="center"/>
          </w:tcPr>
          <w:p w14:paraId="7F393F3D">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1.11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04605719">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w:t>
            </w:r>
          </w:p>
        </w:tc>
        <w:tc>
          <w:tcPr>
            <w:tcW w:w="6168" w:type="dxa"/>
            <w:gridSpan w:val="2"/>
            <w:tcBorders>
              <w:top w:val="single" w:color="auto" w:sz="4" w:space="0"/>
              <w:left w:val="single" w:color="auto" w:sz="4" w:space="0"/>
              <w:bottom w:val="single" w:color="auto" w:sz="4" w:space="0"/>
            </w:tcBorders>
            <w:noWrap w:val="0"/>
            <w:vAlign w:val="center"/>
          </w:tcPr>
          <w:p w14:paraId="7B9945CA">
            <w:pPr>
              <w:pStyle w:val="24"/>
              <w:topLinePunct/>
              <w:adjustRightIn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不允许</w:t>
            </w:r>
          </w:p>
          <w:p w14:paraId="52B0B874">
            <w:pPr>
              <w:pStyle w:val="24"/>
              <w:topLinePunct/>
              <w:adjustRightIn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■允许，分包内容要求：法律法规允许分包的内容。</w:t>
            </w:r>
            <w:r>
              <w:rPr>
                <w:rFonts w:hint="eastAsia" w:ascii="宋体" w:hAnsi="宋体" w:eastAsia="宋体" w:cs="宋体"/>
                <w:b/>
                <w:bCs/>
                <w:color w:val="auto"/>
                <w:sz w:val="28"/>
                <w:szCs w:val="28"/>
                <w:highlight w:val="none"/>
              </w:rPr>
              <w:t>依法依规将分包工程发包给当地中小微建筑业企业。</w:t>
            </w:r>
          </w:p>
        </w:tc>
      </w:tr>
      <w:tr w14:paraId="6185D8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961" w:type="dxa"/>
            <w:tcBorders>
              <w:top w:val="single" w:color="auto" w:sz="4" w:space="0"/>
              <w:bottom w:val="single" w:color="auto" w:sz="4" w:space="0"/>
              <w:right w:val="single" w:color="auto" w:sz="4" w:space="0"/>
            </w:tcBorders>
            <w:noWrap w:val="0"/>
            <w:vAlign w:val="center"/>
          </w:tcPr>
          <w:p w14:paraId="402CDD4D">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1.1</w:t>
            </w:r>
            <w:r>
              <w:rPr>
                <w:rFonts w:hint="eastAsia" w:ascii="宋体" w:hAnsi="宋体" w:eastAsia="宋体" w:cs="宋体"/>
                <w:color w:val="auto"/>
                <w:spacing w:val="-20"/>
                <w:sz w:val="28"/>
                <w:szCs w:val="28"/>
                <w:highlight w:val="none"/>
                <w:lang w:val="en-US" w:eastAsia="zh-CN"/>
              </w:rPr>
              <w:t>1</w:t>
            </w:r>
            <w:r>
              <w:rPr>
                <w:rFonts w:hint="eastAsia" w:ascii="宋体" w:hAnsi="宋体" w:eastAsia="宋体" w:cs="宋体"/>
                <w:color w:val="auto"/>
                <w:spacing w:val="-20"/>
                <w:sz w:val="28"/>
                <w:szCs w:val="28"/>
                <w:highlight w:val="none"/>
              </w:rPr>
              <w:t>.2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7A8A57B2">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6168" w:type="dxa"/>
            <w:gridSpan w:val="2"/>
            <w:tcBorders>
              <w:top w:val="single" w:color="auto" w:sz="4" w:space="0"/>
              <w:left w:val="single" w:color="auto" w:sz="4" w:space="0"/>
              <w:bottom w:val="single" w:color="auto" w:sz="4" w:space="0"/>
            </w:tcBorders>
            <w:noWrap w:val="0"/>
            <w:vAlign w:val="center"/>
          </w:tcPr>
          <w:p w14:paraId="45E76E4E">
            <w:pPr>
              <w:pStyle w:val="26"/>
              <w:spacing w:before="36" w:line="360" w:lineRule="auto"/>
              <w:ind w:left="118" w:right="107"/>
              <w:jc w:val="both"/>
              <w:rPr>
                <w:rFonts w:hint="eastAsia" w:ascii="宋体" w:hAnsi="宋体" w:eastAsia="宋体" w:cs="宋体"/>
                <w:color w:val="auto"/>
                <w:sz w:val="28"/>
                <w:szCs w:val="28"/>
              </w:rPr>
            </w:pPr>
            <w:r>
              <w:rPr>
                <w:rFonts w:hint="eastAsia" w:ascii="宋体" w:hAnsi="宋体" w:eastAsia="宋体" w:cs="宋体"/>
                <w:b/>
                <w:bCs/>
                <w:color w:val="auto"/>
                <w:spacing w:val="-3"/>
                <w:sz w:val="28"/>
                <w:szCs w:val="28"/>
              </w:rPr>
              <w:t>不允许重大偏离，允许细微偏差。</w:t>
            </w:r>
            <w:r>
              <w:rPr>
                <w:rFonts w:hint="eastAsia" w:ascii="宋体" w:hAnsi="宋体" w:eastAsia="宋体" w:cs="宋体"/>
                <w:color w:val="auto"/>
                <w:spacing w:val="-3"/>
                <w:sz w:val="28"/>
                <w:szCs w:val="28"/>
              </w:rPr>
              <w:t>细微偏差是指投</w:t>
            </w:r>
            <w:r>
              <w:rPr>
                <w:rFonts w:hint="eastAsia" w:ascii="宋体" w:hAnsi="宋体" w:eastAsia="宋体" w:cs="宋体"/>
                <w:color w:val="auto"/>
                <w:spacing w:val="-4"/>
                <w:sz w:val="28"/>
                <w:szCs w:val="28"/>
              </w:rPr>
              <w:t>标文件在</w:t>
            </w:r>
            <w:r>
              <w:rPr>
                <w:rFonts w:hint="eastAsia" w:ascii="宋体" w:hAnsi="宋体" w:eastAsia="宋体" w:cs="宋体"/>
                <w:color w:val="auto"/>
                <w:spacing w:val="-3"/>
                <w:sz w:val="28"/>
                <w:szCs w:val="28"/>
              </w:rPr>
              <w:t>实质上响应招标文件要求，但在个别地方存在漏项</w:t>
            </w:r>
            <w:r>
              <w:rPr>
                <w:rFonts w:hint="eastAsia" w:ascii="宋体" w:hAnsi="宋体" w:eastAsia="宋体" w:cs="宋体"/>
                <w:color w:val="auto"/>
                <w:spacing w:val="-4"/>
                <w:sz w:val="28"/>
                <w:szCs w:val="28"/>
              </w:rPr>
              <w:t>或者提供</w:t>
            </w:r>
            <w:r>
              <w:rPr>
                <w:rFonts w:hint="eastAsia" w:ascii="宋体" w:hAnsi="宋体" w:eastAsia="宋体" w:cs="宋体"/>
                <w:color w:val="auto"/>
                <w:spacing w:val="-3"/>
                <w:sz w:val="28"/>
                <w:szCs w:val="28"/>
              </w:rPr>
              <w:t>了不完整的技术信息和数据等情况，并且补正这些</w:t>
            </w:r>
            <w:r>
              <w:rPr>
                <w:rFonts w:hint="eastAsia" w:ascii="宋体" w:hAnsi="宋体" w:eastAsia="宋体" w:cs="宋体"/>
                <w:color w:val="auto"/>
                <w:spacing w:val="-4"/>
                <w:sz w:val="28"/>
                <w:szCs w:val="28"/>
              </w:rPr>
              <w:t>遗漏或者</w:t>
            </w:r>
            <w:r>
              <w:rPr>
                <w:rFonts w:hint="eastAsia" w:ascii="宋体" w:hAnsi="宋体" w:eastAsia="宋体" w:cs="宋体"/>
                <w:color w:val="auto"/>
                <w:spacing w:val="-3"/>
                <w:sz w:val="28"/>
                <w:szCs w:val="28"/>
              </w:rPr>
              <w:t>不完整不会对其他投标人造成不公平的结果。细微</w:t>
            </w:r>
            <w:r>
              <w:rPr>
                <w:rFonts w:hint="eastAsia" w:ascii="宋体" w:hAnsi="宋体" w:eastAsia="宋体" w:cs="宋体"/>
                <w:color w:val="auto"/>
                <w:spacing w:val="-4"/>
                <w:sz w:val="28"/>
                <w:szCs w:val="28"/>
              </w:rPr>
              <w:t>偏差不影</w:t>
            </w:r>
            <w:r>
              <w:rPr>
                <w:rFonts w:hint="eastAsia" w:ascii="宋体" w:hAnsi="宋体" w:eastAsia="宋体" w:cs="宋体"/>
                <w:color w:val="auto"/>
                <w:spacing w:val="-2"/>
                <w:sz w:val="28"/>
                <w:szCs w:val="28"/>
              </w:rPr>
              <w:t>响投标文件的有效性。</w:t>
            </w:r>
          </w:p>
          <w:p w14:paraId="2FBA29F6">
            <w:pPr>
              <w:pStyle w:val="26"/>
              <w:spacing w:before="1" w:line="360" w:lineRule="auto"/>
              <w:ind w:left="114" w:right="47"/>
              <w:jc w:val="both"/>
              <w:rPr>
                <w:rFonts w:hint="eastAsia" w:ascii="宋体" w:hAnsi="宋体" w:eastAsia="宋体" w:cs="宋体"/>
                <w:color w:val="auto"/>
                <w:sz w:val="28"/>
                <w:szCs w:val="28"/>
              </w:rPr>
            </w:pPr>
            <w:r>
              <w:rPr>
                <w:rFonts w:hint="eastAsia" w:ascii="宋体" w:hAnsi="宋体" w:eastAsia="宋体" w:cs="宋体"/>
                <w:color w:val="auto"/>
                <w:spacing w:val="-3"/>
                <w:sz w:val="28"/>
                <w:szCs w:val="28"/>
              </w:rPr>
              <w:t>根据《中华人民共和国招标投标法实施条例》等规定，凡投标文件有下列情况之一的，属于重大偏差，视同未能对招标</w:t>
            </w:r>
            <w:r>
              <w:rPr>
                <w:rFonts w:hint="eastAsia" w:ascii="宋体" w:hAnsi="宋体" w:eastAsia="宋体" w:cs="宋体"/>
                <w:color w:val="auto"/>
                <w:spacing w:val="-10"/>
                <w:sz w:val="28"/>
                <w:szCs w:val="28"/>
              </w:rPr>
              <w:t>文件做出实质性响应，按否决投标处理，不再进入详细评标：</w:t>
            </w:r>
          </w:p>
          <w:p w14:paraId="702874CA">
            <w:pPr>
              <w:pStyle w:val="26"/>
              <w:spacing w:before="41" w:line="360" w:lineRule="auto"/>
              <w:ind w:left="120"/>
              <w:rPr>
                <w:rFonts w:hint="eastAsia" w:ascii="宋体" w:hAnsi="宋体" w:eastAsia="宋体" w:cs="宋体"/>
                <w:color w:val="auto"/>
                <w:sz w:val="28"/>
                <w:szCs w:val="28"/>
              </w:rPr>
            </w:pPr>
            <w:r>
              <w:rPr>
                <w:rFonts w:hint="eastAsia" w:ascii="宋体" w:hAnsi="宋体" w:eastAsia="宋体" w:cs="宋体"/>
                <w:color w:val="auto"/>
                <w:sz w:val="28"/>
                <w:szCs w:val="28"/>
              </w:rPr>
              <w:t>(1)投标文件中的投标函未加盖投标人的公章及企业法定代</w:t>
            </w:r>
            <w:r>
              <w:rPr>
                <w:rFonts w:hint="eastAsia" w:ascii="宋体" w:hAnsi="宋体" w:eastAsia="宋体" w:cs="宋体"/>
                <w:color w:val="auto"/>
                <w:spacing w:val="-3"/>
                <w:sz w:val="28"/>
                <w:szCs w:val="28"/>
              </w:rPr>
              <w:t>表人印章的，或者企业法定代表人委托代理人没有合法、有</w:t>
            </w:r>
            <w:r>
              <w:rPr>
                <w:rFonts w:hint="eastAsia" w:ascii="宋体" w:hAnsi="宋体" w:eastAsia="宋体" w:cs="宋体"/>
                <w:color w:val="auto"/>
                <w:spacing w:val="-1"/>
                <w:sz w:val="28"/>
                <w:szCs w:val="28"/>
              </w:rPr>
              <w:t>效的委托书(原件)及委托代理人印章的；</w:t>
            </w:r>
          </w:p>
          <w:p w14:paraId="7C89086F">
            <w:pPr>
              <w:pStyle w:val="26"/>
              <w:spacing w:before="24" w:line="360" w:lineRule="auto"/>
              <w:ind w:left="115" w:right="107" w:firstLine="41"/>
              <w:rPr>
                <w:rFonts w:hint="eastAsia" w:ascii="宋体" w:hAnsi="宋体" w:eastAsia="宋体" w:cs="宋体"/>
                <w:color w:val="auto"/>
                <w:sz w:val="28"/>
                <w:szCs w:val="28"/>
              </w:rPr>
            </w:pPr>
            <w:r>
              <w:rPr>
                <w:rFonts w:hint="eastAsia" w:ascii="宋体" w:hAnsi="宋体" w:eastAsia="宋体" w:cs="宋体"/>
                <w:color w:val="auto"/>
                <w:sz w:val="28"/>
                <w:szCs w:val="28"/>
              </w:rPr>
              <w:t>(2)未按招标文件要求提供投标担保或者所提供的投标担保</w:t>
            </w:r>
            <w:r>
              <w:rPr>
                <w:rFonts w:hint="eastAsia" w:ascii="宋体" w:hAnsi="宋体" w:eastAsia="宋体" w:cs="宋体"/>
                <w:color w:val="auto"/>
                <w:spacing w:val="-3"/>
                <w:sz w:val="28"/>
                <w:szCs w:val="28"/>
              </w:rPr>
              <w:t>有瑕疵的；</w:t>
            </w:r>
          </w:p>
          <w:p w14:paraId="41435FC2">
            <w:pPr>
              <w:pStyle w:val="26"/>
              <w:spacing w:before="24" w:line="360" w:lineRule="auto"/>
              <w:ind w:left="156"/>
              <w:rPr>
                <w:rFonts w:hint="eastAsia" w:ascii="宋体" w:hAnsi="宋体" w:eastAsia="宋体" w:cs="宋体"/>
                <w:color w:val="auto"/>
                <w:sz w:val="28"/>
                <w:szCs w:val="28"/>
              </w:rPr>
            </w:pPr>
            <w:r>
              <w:rPr>
                <w:rFonts w:hint="eastAsia" w:ascii="宋体" w:hAnsi="宋体" w:eastAsia="宋体" w:cs="宋体"/>
                <w:color w:val="auto"/>
                <w:spacing w:val="-2"/>
                <w:sz w:val="28"/>
                <w:szCs w:val="28"/>
              </w:rPr>
              <w:t>(3)投标文件内容不全或关键字迹模糊、无法辨</w:t>
            </w:r>
            <w:r>
              <w:rPr>
                <w:rFonts w:hint="eastAsia" w:ascii="宋体" w:hAnsi="宋体" w:eastAsia="宋体" w:cs="宋体"/>
                <w:color w:val="auto"/>
                <w:spacing w:val="-3"/>
                <w:sz w:val="28"/>
                <w:szCs w:val="28"/>
              </w:rPr>
              <w:t>认的；</w:t>
            </w:r>
          </w:p>
          <w:p w14:paraId="7672B0C1">
            <w:pPr>
              <w:pStyle w:val="26"/>
              <w:spacing w:before="24" w:line="360" w:lineRule="auto"/>
              <w:ind w:left="114" w:right="101" w:firstLine="42"/>
              <w:rPr>
                <w:rFonts w:hint="eastAsia" w:ascii="宋体" w:hAnsi="宋体" w:eastAsia="宋体" w:cs="宋体"/>
                <w:color w:val="auto"/>
                <w:sz w:val="28"/>
                <w:szCs w:val="28"/>
              </w:rPr>
            </w:pPr>
            <w:r>
              <w:rPr>
                <w:rFonts w:hint="eastAsia" w:ascii="宋体" w:hAnsi="宋体" w:eastAsia="宋体" w:cs="宋体"/>
                <w:color w:val="auto"/>
                <w:sz w:val="28"/>
                <w:szCs w:val="28"/>
              </w:rPr>
              <w:t>(4)投标人递交两份或者多份内容不同的投标文件，或在一</w:t>
            </w:r>
            <w:r>
              <w:rPr>
                <w:rFonts w:hint="eastAsia" w:ascii="宋体" w:hAnsi="宋体" w:eastAsia="宋体" w:cs="宋体"/>
                <w:color w:val="auto"/>
                <w:spacing w:val="-3"/>
                <w:sz w:val="28"/>
                <w:szCs w:val="28"/>
              </w:rPr>
              <w:t>份投标文件中对同一招标项目报有两个或多个报价，且未声明哪一个有效，按招标文件规定提交备选投标方案的除外；</w:t>
            </w:r>
          </w:p>
          <w:p w14:paraId="5A9943FF">
            <w:pPr>
              <w:pStyle w:val="26"/>
              <w:spacing w:before="27" w:line="360" w:lineRule="auto"/>
              <w:ind w:left="156"/>
              <w:rPr>
                <w:rFonts w:hint="eastAsia" w:ascii="宋体" w:hAnsi="宋体" w:eastAsia="宋体" w:cs="宋体"/>
                <w:color w:val="auto"/>
                <w:sz w:val="28"/>
                <w:szCs w:val="28"/>
              </w:rPr>
            </w:pPr>
            <w:r>
              <w:rPr>
                <w:rFonts w:hint="eastAsia" w:ascii="宋体" w:hAnsi="宋体" w:eastAsia="宋体" w:cs="宋体"/>
                <w:color w:val="auto"/>
                <w:spacing w:val="-2"/>
                <w:sz w:val="28"/>
                <w:szCs w:val="28"/>
              </w:rPr>
              <w:t>(5)投标人名称或组织结构与资格预审时</w:t>
            </w:r>
            <w:r>
              <w:rPr>
                <w:rFonts w:hint="eastAsia" w:ascii="宋体" w:hAnsi="宋体" w:eastAsia="宋体" w:cs="宋体"/>
                <w:color w:val="auto"/>
                <w:spacing w:val="-3"/>
                <w:sz w:val="28"/>
                <w:szCs w:val="28"/>
              </w:rPr>
              <w:t>不一致的；</w:t>
            </w:r>
          </w:p>
          <w:p w14:paraId="79AE651E">
            <w:pPr>
              <w:pStyle w:val="26"/>
              <w:spacing w:before="26" w:line="360" w:lineRule="auto"/>
              <w:ind w:left="124" w:right="107" w:firstLine="31"/>
              <w:rPr>
                <w:rFonts w:hint="eastAsia" w:ascii="宋体" w:hAnsi="宋体" w:eastAsia="宋体" w:cs="宋体"/>
                <w:color w:val="auto"/>
                <w:sz w:val="28"/>
                <w:szCs w:val="28"/>
              </w:rPr>
            </w:pPr>
            <w:r>
              <w:rPr>
                <w:rFonts w:hint="eastAsia" w:ascii="宋体" w:hAnsi="宋体" w:eastAsia="宋体" w:cs="宋体"/>
                <w:color w:val="auto"/>
                <w:sz w:val="28"/>
                <w:szCs w:val="28"/>
              </w:rPr>
              <w:t>(6)投标人资格条件不符合国家有关规定或招标文件规定的</w:t>
            </w:r>
            <w:r>
              <w:rPr>
                <w:rFonts w:hint="eastAsia" w:ascii="宋体" w:hAnsi="宋体" w:eastAsia="宋体" w:cs="宋体"/>
                <w:color w:val="auto"/>
                <w:spacing w:val="-4"/>
                <w:sz w:val="28"/>
                <w:szCs w:val="28"/>
              </w:rPr>
              <w:t>资格条件的；</w:t>
            </w:r>
          </w:p>
          <w:p w14:paraId="70A06D97">
            <w:pPr>
              <w:pStyle w:val="26"/>
              <w:spacing w:before="25" w:line="360" w:lineRule="auto"/>
              <w:ind w:left="117" w:right="107" w:firstLine="39"/>
              <w:rPr>
                <w:rFonts w:hint="eastAsia" w:ascii="宋体" w:hAnsi="宋体" w:eastAsia="宋体" w:cs="宋体"/>
                <w:color w:val="auto"/>
                <w:sz w:val="28"/>
                <w:szCs w:val="28"/>
              </w:rPr>
            </w:pPr>
            <w:r>
              <w:rPr>
                <w:rFonts w:hint="eastAsia" w:ascii="宋体" w:hAnsi="宋体" w:eastAsia="宋体" w:cs="宋体"/>
                <w:color w:val="auto"/>
                <w:sz w:val="28"/>
                <w:szCs w:val="28"/>
              </w:rPr>
              <w:t>(7)投标文件载明的招标项目完成期限超过招标文件规定的</w:t>
            </w:r>
            <w:r>
              <w:rPr>
                <w:rFonts w:hint="eastAsia" w:ascii="宋体" w:hAnsi="宋体" w:eastAsia="宋体" w:cs="宋体"/>
                <w:color w:val="auto"/>
                <w:spacing w:val="-5"/>
                <w:sz w:val="28"/>
                <w:szCs w:val="28"/>
              </w:rPr>
              <w:t>期限；</w:t>
            </w:r>
          </w:p>
          <w:p w14:paraId="0E73067E">
            <w:pPr>
              <w:pStyle w:val="26"/>
              <w:spacing w:before="26" w:line="360" w:lineRule="auto"/>
              <w:ind w:left="117" w:right="107" w:firstLine="39"/>
              <w:rPr>
                <w:rFonts w:hint="eastAsia" w:ascii="宋体" w:hAnsi="宋体" w:eastAsia="宋体" w:cs="宋体"/>
                <w:color w:val="auto"/>
                <w:sz w:val="28"/>
                <w:szCs w:val="28"/>
              </w:rPr>
            </w:pPr>
            <w:r>
              <w:rPr>
                <w:rFonts w:hint="eastAsia" w:ascii="宋体" w:hAnsi="宋体" w:eastAsia="宋体" w:cs="宋体"/>
                <w:color w:val="auto"/>
                <w:sz w:val="28"/>
                <w:szCs w:val="28"/>
              </w:rPr>
              <w:t>(8)投标报价经评委会认定低于成本或高于招标文件规定的</w:t>
            </w:r>
            <w:r>
              <w:rPr>
                <w:rFonts w:hint="eastAsia" w:ascii="宋体" w:hAnsi="宋体" w:eastAsia="宋体" w:cs="宋体"/>
                <w:color w:val="auto"/>
                <w:spacing w:val="-3"/>
                <w:sz w:val="28"/>
                <w:szCs w:val="28"/>
              </w:rPr>
              <w:t>最高限价的；</w:t>
            </w:r>
          </w:p>
          <w:p w14:paraId="19B9827A">
            <w:pPr>
              <w:pStyle w:val="26"/>
              <w:spacing w:before="30" w:line="360" w:lineRule="auto"/>
              <w:ind w:left="115" w:right="107" w:firstLine="41"/>
              <w:rPr>
                <w:rFonts w:hint="eastAsia" w:ascii="宋体" w:hAnsi="宋体" w:eastAsia="宋体" w:cs="宋体"/>
                <w:color w:val="auto"/>
                <w:sz w:val="28"/>
                <w:szCs w:val="28"/>
              </w:rPr>
            </w:pPr>
            <w:r>
              <w:rPr>
                <w:rFonts w:hint="eastAsia" w:ascii="宋体" w:hAnsi="宋体" w:eastAsia="宋体" w:cs="宋体"/>
                <w:color w:val="auto"/>
                <w:sz w:val="28"/>
                <w:szCs w:val="28"/>
              </w:rPr>
              <w:t>(9)不同投标人的投标文件出现了按照《中华人民共和国招</w:t>
            </w:r>
            <w:r>
              <w:rPr>
                <w:rFonts w:hint="eastAsia" w:ascii="宋体" w:hAnsi="宋体" w:eastAsia="宋体" w:cs="宋体"/>
                <w:color w:val="auto"/>
                <w:spacing w:val="-1"/>
                <w:sz w:val="28"/>
                <w:szCs w:val="28"/>
              </w:rPr>
              <w:t>标投标法实施条例》(国务院令第613</w:t>
            </w:r>
            <w:r>
              <w:rPr>
                <w:rFonts w:hint="eastAsia" w:ascii="宋体" w:hAnsi="宋体" w:eastAsia="宋体" w:cs="宋体"/>
                <w:color w:val="auto"/>
                <w:spacing w:val="-45"/>
                <w:sz w:val="28"/>
                <w:szCs w:val="28"/>
              </w:rPr>
              <w:t xml:space="preserve"> </w:t>
            </w:r>
            <w:r>
              <w:rPr>
                <w:rFonts w:hint="eastAsia" w:ascii="宋体" w:hAnsi="宋体" w:eastAsia="宋体" w:cs="宋体"/>
                <w:color w:val="auto"/>
                <w:spacing w:val="-1"/>
                <w:sz w:val="28"/>
                <w:szCs w:val="28"/>
              </w:rPr>
              <w:t>号)规定</w:t>
            </w:r>
            <w:r>
              <w:rPr>
                <w:rFonts w:hint="eastAsia" w:ascii="宋体" w:hAnsi="宋体" w:eastAsia="宋体" w:cs="宋体"/>
                <w:color w:val="auto"/>
                <w:spacing w:val="-2"/>
                <w:sz w:val="28"/>
                <w:szCs w:val="28"/>
              </w:rPr>
              <w:t>可以认定为串标，围标的情况；</w:t>
            </w:r>
          </w:p>
          <w:p w14:paraId="047204DC">
            <w:pPr>
              <w:pStyle w:val="26"/>
              <w:spacing w:before="23" w:line="360" w:lineRule="auto"/>
              <w:ind w:left="114" w:right="107" w:firstLine="42"/>
              <w:rPr>
                <w:rFonts w:hint="eastAsia" w:ascii="宋体" w:hAnsi="宋体" w:eastAsia="宋体" w:cs="宋体"/>
                <w:color w:val="auto"/>
                <w:sz w:val="28"/>
                <w:szCs w:val="28"/>
              </w:rPr>
            </w:pPr>
            <w:r>
              <w:rPr>
                <w:rFonts w:hint="eastAsia" w:ascii="宋体" w:hAnsi="宋体" w:eastAsia="宋体" w:cs="宋体"/>
                <w:color w:val="auto"/>
                <w:spacing w:val="-4"/>
                <w:sz w:val="28"/>
                <w:szCs w:val="28"/>
              </w:rPr>
              <w:t>(10)改变招标文件提供的工程量清单中的</w:t>
            </w:r>
            <w:r>
              <w:rPr>
                <w:rFonts w:hint="eastAsia" w:ascii="宋体" w:hAnsi="宋体" w:eastAsia="宋体" w:cs="宋体"/>
                <w:color w:val="auto"/>
                <w:spacing w:val="-5"/>
                <w:sz w:val="28"/>
                <w:szCs w:val="28"/>
              </w:rPr>
              <w:t>计量单位、工程数量；</w:t>
            </w:r>
          </w:p>
          <w:p w14:paraId="75254069">
            <w:pPr>
              <w:pStyle w:val="26"/>
              <w:spacing w:before="21" w:line="360" w:lineRule="auto"/>
              <w:ind w:left="156"/>
              <w:rPr>
                <w:rFonts w:hint="eastAsia" w:ascii="宋体" w:hAnsi="宋体" w:eastAsia="宋体" w:cs="宋体"/>
                <w:color w:val="auto"/>
                <w:sz w:val="28"/>
                <w:szCs w:val="28"/>
              </w:rPr>
            </w:pPr>
            <w:r>
              <w:rPr>
                <w:rFonts w:hint="eastAsia" w:ascii="宋体" w:hAnsi="宋体" w:eastAsia="宋体" w:cs="宋体"/>
                <w:color w:val="auto"/>
                <w:spacing w:val="-2"/>
                <w:sz w:val="28"/>
                <w:szCs w:val="28"/>
              </w:rPr>
              <w:t>(11)改变招标文件规定的暂定价格或不可竞争费用的；</w:t>
            </w:r>
          </w:p>
          <w:p w14:paraId="58DABE4A">
            <w:pPr>
              <w:pStyle w:val="26"/>
              <w:spacing w:before="29" w:line="360" w:lineRule="auto"/>
              <w:ind w:left="113" w:right="107" w:firstLine="43"/>
              <w:rPr>
                <w:rFonts w:hint="eastAsia" w:ascii="宋体" w:hAnsi="宋体" w:eastAsia="宋体" w:cs="宋体"/>
                <w:color w:val="auto"/>
                <w:sz w:val="28"/>
                <w:szCs w:val="28"/>
              </w:rPr>
            </w:pPr>
            <w:r>
              <w:rPr>
                <w:rFonts w:hint="eastAsia" w:ascii="宋体" w:hAnsi="宋体" w:eastAsia="宋体" w:cs="宋体"/>
                <w:color w:val="auto"/>
                <w:spacing w:val="4"/>
                <w:sz w:val="28"/>
                <w:szCs w:val="28"/>
              </w:rPr>
              <w:t>(12)投标文件提出了不能满足招标文件要求或招标人不能</w:t>
            </w:r>
            <w:r>
              <w:rPr>
                <w:rFonts w:hint="eastAsia" w:ascii="宋体" w:hAnsi="宋体" w:eastAsia="宋体" w:cs="宋体"/>
                <w:color w:val="auto"/>
                <w:spacing w:val="-1"/>
                <w:sz w:val="28"/>
                <w:szCs w:val="28"/>
              </w:rPr>
              <w:t>接受的工程验收、计量、价款结算支付办法；</w:t>
            </w:r>
          </w:p>
          <w:p w14:paraId="7A4D1AA0">
            <w:pPr>
              <w:pStyle w:val="26"/>
              <w:spacing w:before="27" w:line="360" w:lineRule="auto"/>
              <w:ind w:left="116" w:right="107" w:firstLine="40"/>
              <w:rPr>
                <w:rFonts w:hint="eastAsia" w:ascii="宋体" w:hAnsi="宋体" w:eastAsia="宋体" w:cs="宋体"/>
                <w:color w:val="auto"/>
                <w:sz w:val="28"/>
                <w:szCs w:val="28"/>
              </w:rPr>
            </w:pPr>
            <w:r>
              <w:rPr>
                <w:rFonts w:hint="eastAsia" w:ascii="宋体" w:hAnsi="宋体" w:eastAsia="宋体" w:cs="宋体"/>
                <w:color w:val="auto"/>
                <w:spacing w:val="-4"/>
                <w:sz w:val="28"/>
                <w:szCs w:val="28"/>
              </w:rPr>
              <w:t>(13)以他人名义投标、串通投标、以行贿</w:t>
            </w:r>
            <w:r>
              <w:rPr>
                <w:rFonts w:hint="eastAsia" w:ascii="宋体" w:hAnsi="宋体" w:eastAsia="宋体" w:cs="宋体"/>
                <w:color w:val="auto"/>
                <w:spacing w:val="-5"/>
                <w:sz w:val="28"/>
                <w:szCs w:val="28"/>
              </w:rPr>
              <w:t>手段谋取中标，或</w:t>
            </w:r>
            <w:r>
              <w:rPr>
                <w:rFonts w:hint="eastAsia" w:ascii="宋体" w:hAnsi="宋体" w:eastAsia="宋体" w:cs="宋体"/>
                <w:color w:val="auto"/>
                <w:spacing w:val="-1"/>
                <w:sz w:val="28"/>
                <w:szCs w:val="28"/>
              </w:rPr>
              <w:t>者以其他弄虚作假方式投标的；</w:t>
            </w:r>
          </w:p>
          <w:p w14:paraId="650E043B">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pacing w:val="-4"/>
                <w:sz w:val="28"/>
                <w:szCs w:val="28"/>
              </w:rPr>
              <w:t>(14)组成联合体投标的，投标文件未附联</w:t>
            </w:r>
            <w:r>
              <w:rPr>
                <w:rFonts w:hint="eastAsia" w:ascii="宋体" w:hAnsi="宋体" w:eastAsia="宋体" w:cs="宋体"/>
                <w:color w:val="auto"/>
                <w:spacing w:val="-5"/>
                <w:sz w:val="28"/>
                <w:szCs w:val="28"/>
              </w:rPr>
              <w:t>合体各方共同投标</w:t>
            </w:r>
            <w:r>
              <w:rPr>
                <w:rFonts w:hint="eastAsia" w:ascii="宋体" w:hAnsi="宋体" w:eastAsia="宋体" w:cs="宋体"/>
                <w:color w:val="auto"/>
                <w:spacing w:val="-3"/>
                <w:sz w:val="28"/>
                <w:szCs w:val="28"/>
              </w:rPr>
              <w:t>协议的。</w:t>
            </w:r>
          </w:p>
        </w:tc>
      </w:tr>
      <w:tr w14:paraId="1FD10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61" w:type="dxa"/>
            <w:tcBorders>
              <w:top w:val="single" w:color="auto" w:sz="4" w:space="0"/>
              <w:bottom w:val="single" w:color="auto" w:sz="4" w:space="0"/>
              <w:right w:val="single" w:color="auto" w:sz="4" w:space="0"/>
            </w:tcBorders>
            <w:noWrap w:val="0"/>
            <w:vAlign w:val="center"/>
          </w:tcPr>
          <w:p w14:paraId="2B4F0C2E">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2.1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4248CCA9">
            <w:pPr>
              <w:adjustRightInd w:val="0"/>
              <w:spacing w:line="360" w:lineRule="auto"/>
              <w:jc w:val="center"/>
              <w:textAlignment w:val="baseline"/>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rPr>
              <w:t>构成招标文件的其他材料</w:t>
            </w:r>
          </w:p>
        </w:tc>
        <w:tc>
          <w:tcPr>
            <w:tcW w:w="6168" w:type="dxa"/>
            <w:gridSpan w:val="2"/>
            <w:tcBorders>
              <w:top w:val="single" w:color="auto" w:sz="4" w:space="0"/>
              <w:left w:val="single" w:color="auto" w:sz="4" w:space="0"/>
              <w:bottom w:val="single" w:color="auto" w:sz="4" w:space="0"/>
            </w:tcBorders>
            <w:noWrap w:val="0"/>
            <w:vAlign w:val="center"/>
          </w:tcPr>
          <w:p w14:paraId="1A62B3D1">
            <w:pPr>
              <w:keepNext w:val="0"/>
              <w:keepLines w:val="0"/>
              <w:widowControl/>
              <w:suppressLineNumbers w:val="0"/>
              <w:spacing w:line="360" w:lineRule="auto"/>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招标过程中发出的澄清（答疑）纪要、有关修改、补充通知等。</w:t>
            </w:r>
          </w:p>
        </w:tc>
      </w:tr>
      <w:tr w14:paraId="3969E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61" w:type="dxa"/>
            <w:tcBorders>
              <w:top w:val="single" w:color="auto" w:sz="4" w:space="0"/>
              <w:bottom w:val="single" w:color="auto" w:sz="4" w:space="0"/>
              <w:right w:val="single" w:color="auto" w:sz="4" w:space="0"/>
            </w:tcBorders>
            <w:noWrap w:val="0"/>
            <w:vAlign w:val="center"/>
          </w:tcPr>
          <w:p w14:paraId="3B13FE9F">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2.2.1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312AD9D7">
            <w:pPr>
              <w:adjustRightInd w:val="0"/>
              <w:snapToGri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投标人要求澄清招标文件的截止时间</w:t>
            </w:r>
          </w:p>
        </w:tc>
        <w:tc>
          <w:tcPr>
            <w:tcW w:w="6168" w:type="dxa"/>
            <w:gridSpan w:val="2"/>
            <w:tcBorders>
              <w:top w:val="single" w:color="auto" w:sz="4" w:space="0"/>
              <w:left w:val="single" w:color="auto" w:sz="4" w:space="0"/>
              <w:bottom w:val="single" w:color="auto" w:sz="4" w:space="0"/>
            </w:tcBorders>
            <w:noWrap w:val="0"/>
            <w:vAlign w:val="center"/>
          </w:tcPr>
          <w:p w14:paraId="0AC3B710">
            <w:pPr>
              <w:keepNext w:val="0"/>
              <w:keepLines w:val="0"/>
              <w:pageBreakBefore w:val="0"/>
              <w:numPr>
                <w:ilvl w:val="0"/>
                <w:numId w:val="0"/>
              </w:numPr>
              <w:kinsoku/>
              <w:wordWrap/>
              <w:overflowPunct/>
              <w:topLinePunct w:val="0"/>
              <w:autoSpaceDE/>
              <w:autoSpaceDN/>
              <w:bidi w:val="0"/>
              <w:snapToGrid/>
              <w:spacing w:line="360" w:lineRule="auto"/>
              <w:ind w:leftChars="0"/>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eastAsia="zh-CN" w:bidi="ar"/>
              </w:rPr>
              <w:t>投标截止时间</w:t>
            </w:r>
            <w:r>
              <w:rPr>
                <w:rFonts w:hint="eastAsia" w:ascii="宋体" w:hAnsi="宋体" w:eastAsia="宋体" w:cs="宋体"/>
                <w:color w:val="auto"/>
                <w:sz w:val="28"/>
                <w:szCs w:val="28"/>
                <w:highlight w:val="none"/>
                <w:lang w:val="en-US" w:eastAsia="zh-CN" w:bidi="ar"/>
              </w:rPr>
              <w:t>10</w:t>
            </w:r>
            <w:r>
              <w:rPr>
                <w:rFonts w:hint="eastAsia" w:ascii="宋体" w:hAnsi="宋体" w:eastAsia="宋体" w:cs="宋体"/>
                <w:color w:val="auto"/>
                <w:sz w:val="28"/>
                <w:szCs w:val="28"/>
                <w:highlight w:val="none"/>
                <w:lang w:eastAsia="zh-CN" w:bidi="ar"/>
              </w:rPr>
              <w:t>日前提出。</w:t>
            </w:r>
          </w:p>
          <w:p w14:paraId="7B6C461C">
            <w:pPr>
              <w:adjustRightInd w:val="0"/>
              <w:snapToGri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TW" w:eastAsia="zh-CN" w:bidi="ar"/>
              </w:rPr>
              <w:t>形式：</w:t>
            </w:r>
            <w:r>
              <w:rPr>
                <w:rFonts w:hint="eastAsia" w:ascii="宋体" w:hAnsi="宋体" w:eastAsia="宋体" w:cs="宋体"/>
                <w:color w:val="auto"/>
                <w:sz w:val="28"/>
                <w:szCs w:val="28"/>
                <w:highlight w:val="none"/>
                <w:lang w:val="zh-TW" w:eastAsia="zh-TW" w:bidi="ar"/>
              </w:rPr>
              <w:t>投标人应在上述规定时间之前登陆</w:t>
            </w:r>
            <w:r>
              <w:rPr>
                <w:rFonts w:hint="eastAsia" w:ascii="宋体" w:hAnsi="宋体" w:eastAsia="宋体" w:cs="宋体"/>
                <w:color w:val="auto"/>
                <w:sz w:val="28"/>
                <w:szCs w:val="28"/>
                <w:highlight w:val="none"/>
                <w:lang w:val="en-US" w:eastAsia="zh-CN" w:bidi="ar"/>
              </w:rPr>
              <w:t>相关网站</w:t>
            </w:r>
            <w:r>
              <w:rPr>
                <w:rFonts w:hint="eastAsia" w:ascii="宋体" w:hAnsi="宋体" w:eastAsia="宋体" w:cs="宋体"/>
                <w:color w:val="auto"/>
                <w:sz w:val="28"/>
                <w:szCs w:val="28"/>
                <w:highlight w:val="none"/>
                <w:lang w:val="zh-TW" w:eastAsia="zh-TW" w:bidi="ar"/>
              </w:rPr>
              <w:t>将要求澄清的问题向招标人提出</w:t>
            </w:r>
            <w:r>
              <w:rPr>
                <w:rFonts w:hint="eastAsia" w:ascii="宋体" w:hAnsi="宋体" w:eastAsia="宋体" w:cs="宋体"/>
                <w:color w:val="auto"/>
                <w:sz w:val="28"/>
                <w:szCs w:val="28"/>
                <w:highlight w:val="none"/>
                <w:lang w:val="zh-TW" w:eastAsia="zh-CN" w:bidi="ar"/>
              </w:rPr>
              <w:t>。并</w:t>
            </w:r>
            <w:r>
              <w:rPr>
                <w:rFonts w:hint="eastAsia" w:ascii="宋体" w:hAnsi="宋体" w:eastAsia="宋体" w:cs="宋体"/>
                <w:color w:val="auto"/>
                <w:sz w:val="28"/>
                <w:szCs w:val="28"/>
                <w:highlight w:val="none"/>
                <w:lang w:val="zh-TW" w:eastAsia="zh-TW" w:bidi="ar"/>
              </w:rPr>
              <w:t>以电话的形式匿名</w:t>
            </w:r>
            <w:r>
              <w:rPr>
                <w:rFonts w:hint="eastAsia" w:ascii="宋体" w:hAnsi="宋体" w:eastAsia="宋体" w:cs="宋体"/>
                <w:color w:val="auto"/>
                <w:sz w:val="28"/>
                <w:szCs w:val="28"/>
                <w:highlight w:val="none"/>
                <w:lang w:val="zh-TW" w:eastAsia="zh-CN" w:bidi="ar"/>
              </w:rPr>
              <w:t>通知招标人或</w:t>
            </w:r>
            <w:r>
              <w:rPr>
                <w:rFonts w:hint="eastAsia" w:ascii="宋体" w:hAnsi="宋体" w:eastAsia="宋体" w:cs="宋体"/>
                <w:color w:val="auto"/>
                <w:sz w:val="28"/>
                <w:szCs w:val="28"/>
                <w:highlight w:val="none"/>
                <w:lang w:val="zh-TW" w:eastAsia="zh-TW" w:bidi="ar"/>
              </w:rPr>
              <w:t>招标代理机构</w:t>
            </w:r>
            <w:r>
              <w:rPr>
                <w:rFonts w:hint="eastAsia" w:ascii="宋体" w:hAnsi="宋体" w:eastAsia="宋体" w:cs="宋体"/>
                <w:color w:val="auto"/>
                <w:sz w:val="28"/>
                <w:szCs w:val="28"/>
                <w:highlight w:val="none"/>
                <w:lang w:val="zh-TW" w:eastAsia="zh-CN" w:bidi="ar"/>
              </w:rPr>
              <w:t>。</w:t>
            </w:r>
          </w:p>
        </w:tc>
      </w:tr>
      <w:tr w14:paraId="69DD44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961" w:type="dxa"/>
            <w:tcBorders>
              <w:top w:val="single" w:color="auto" w:sz="4" w:space="0"/>
              <w:bottom w:val="single" w:color="auto" w:sz="4" w:space="0"/>
              <w:right w:val="single" w:color="auto" w:sz="4" w:space="0"/>
            </w:tcBorders>
            <w:noWrap w:val="0"/>
            <w:vAlign w:val="center"/>
          </w:tcPr>
          <w:p w14:paraId="3B1E3B7A">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2.2.2</w:t>
            </w:r>
          </w:p>
        </w:tc>
        <w:tc>
          <w:tcPr>
            <w:tcW w:w="16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C23A2C">
            <w:pPr>
              <w:adjustRightInd w:val="0"/>
              <w:snapToGrid w:val="0"/>
              <w:spacing w:line="360" w:lineRule="auto"/>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投标截止时间</w:t>
            </w:r>
          </w:p>
        </w:tc>
        <w:tc>
          <w:tcPr>
            <w:tcW w:w="6168" w:type="dxa"/>
            <w:gridSpan w:val="2"/>
            <w:tcBorders>
              <w:top w:val="single" w:color="auto" w:sz="4" w:space="0"/>
              <w:left w:val="single" w:color="auto" w:sz="4" w:space="0"/>
              <w:bottom w:val="single" w:color="auto" w:sz="4" w:space="0"/>
            </w:tcBorders>
            <w:shd w:val="clear" w:color="auto" w:fill="auto"/>
            <w:noWrap w:val="0"/>
            <w:vAlign w:val="center"/>
          </w:tcPr>
          <w:p w14:paraId="67FC78EA">
            <w:pPr>
              <w:adjustRightInd w:val="0"/>
              <w:spacing w:line="360" w:lineRule="auto"/>
              <w:jc w:val="both"/>
              <w:textAlignment w:val="baseline"/>
              <w:rPr>
                <w:rFonts w:hint="eastAsia" w:ascii="宋体" w:hAnsi="宋体" w:eastAsia="宋体" w:cs="宋体"/>
                <w:b/>
                <w:bCs/>
                <w:color w:val="auto"/>
                <w:sz w:val="28"/>
                <w:szCs w:val="28"/>
                <w:highlight w:val="none"/>
                <w:u w:val="single"/>
                <w:lang w:val="en-US" w:eastAsia="zh-CN"/>
              </w:rPr>
            </w:pPr>
            <w:r>
              <w:rPr>
                <w:rFonts w:hint="eastAsia" w:ascii="宋体" w:hAnsi="宋体" w:cs="宋体"/>
                <w:b/>
                <w:bCs/>
                <w:color w:val="auto"/>
                <w:sz w:val="28"/>
                <w:szCs w:val="28"/>
                <w:highlight w:val="yellow"/>
                <w:lang w:eastAsia="zh-CN"/>
              </w:rPr>
              <w:t>202</w:t>
            </w:r>
            <w:r>
              <w:rPr>
                <w:rFonts w:hint="eastAsia" w:ascii="宋体" w:hAnsi="宋体" w:cs="宋体"/>
                <w:b/>
                <w:bCs/>
                <w:color w:val="auto"/>
                <w:sz w:val="28"/>
                <w:szCs w:val="28"/>
                <w:highlight w:val="yellow"/>
                <w:lang w:val="en-US" w:eastAsia="zh-CN"/>
              </w:rPr>
              <w:t>6</w:t>
            </w:r>
            <w:r>
              <w:rPr>
                <w:rFonts w:hint="eastAsia" w:ascii="宋体" w:hAnsi="宋体" w:cs="宋体"/>
                <w:b/>
                <w:bCs/>
                <w:color w:val="auto"/>
                <w:sz w:val="28"/>
                <w:szCs w:val="28"/>
                <w:highlight w:val="yellow"/>
                <w:lang w:eastAsia="zh-CN"/>
              </w:rPr>
              <w:t>年</w:t>
            </w:r>
            <w:r>
              <w:rPr>
                <w:rFonts w:hint="eastAsia" w:ascii="宋体" w:hAnsi="宋体" w:cs="宋体"/>
                <w:b/>
                <w:bCs/>
                <w:color w:val="auto"/>
                <w:sz w:val="28"/>
                <w:szCs w:val="28"/>
                <w:highlight w:val="yellow"/>
                <w:lang w:val="en-US" w:eastAsia="zh-CN"/>
              </w:rPr>
              <w:t>*</w:t>
            </w:r>
            <w:r>
              <w:rPr>
                <w:rFonts w:hint="eastAsia" w:ascii="宋体" w:hAnsi="宋体" w:cs="宋体"/>
                <w:b/>
                <w:bCs/>
                <w:color w:val="auto"/>
                <w:sz w:val="28"/>
                <w:szCs w:val="28"/>
                <w:highlight w:val="yellow"/>
                <w:lang w:eastAsia="zh-CN"/>
              </w:rPr>
              <w:t>月</w:t>
            </w:r>
            <w:r>
              <w:rPr>
                <w:rFonts w:hint="eastAsia" w:ascii="宋体" w:hAnsi="宋体" w:cs="宋体"/>
                <w:b/>
                <w:bCs/>
                <w:color w:val="auto"/>
                <w:sz w:val="28"/>
                <w:szCs w:val="28"/>
                <w:highlight w:val="yellow"/>
                <w:lang w:val="en-US" w:eastAsia="zh-CN"/>
              </w:rPr>
              <w:t>*</w:t>
            </w:r>
            <w:r>
              <w:rPr>
                <w:rFonts w:hint="eastAsia" w:ascii="宋体" w:hAnsi="宋体" w:cs="宋体"/>
                <w:b/>
                <w:bCs/>
                <w:color w:val="auto"/>
                <w:sz w:val="28"/>
                <w:szCs w:val="28"/>
                <w:highlight w:val="yellow"/>
                <w:lang w:eastAsia="zh-CN"/>
              </w:rPr>
              <w:t>日</w:t>
            </w:r>
            <w:r>
              <w:rPr>
                <w:rFonts w:hint="eastAsia" w:ascii="宋体" w:hAnsi="宋体" w:eastAsia="宋体" w:cs="宋体"/>
                <w:b/>
                <w:bCs/>
                <w:color w:val="auto"/>
                <w:sz w:val="28"/>
                <w:szCs w:val="28"/>
                <w:highlight w:val="yellow"/>
                <w:lang w:val="en-US" w:eastAsia="zh-CN"/>
              </w:rPr>
              <w:t>09：00时</w:t>
            </w:r>
          </w:p>
        </w:tc>
      </w:tr>
      <w:tr w14:paraId="5C16DC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961" w:type="dxa"/>
            <w:tcBorders>
              <w:top w:val="single" w:color="auto" w:sz="4" w:space="0"/>
              <w:bottom w:val="single" w:color="auto" w:sz="4" w:space="0"/>
              <w:right w:val="single" w:color="auto" w:sz="4" w:space="0"/>
            </w:tcBorders>
            <w:noWrap w:val="0"/>
            <w:vAlign w:val="center"/>
          </w:tcPr>
          <w:p w14:paraId="2612CBCF">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2.2.3</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43AF491D">
            <w:pPr>
              <w:adjustRightInd w:val="0"/>
              <w:snapToGri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投标人确认收到招标文件澄清的时间</w:t>
            </w:r>
          </w:p>
        </w:tc>
        <w:tc>
          <w:tcPr>
            <w:tcW w:w="6168" w:type="dxa"/>
            <w:gridSpan w:val="2"/>
            <w:tcBorders>
              <w:top w:val="single" w:color="auto" w:sz="4" w:space="0"/>
              <w:left w:val="single" w:color="auto" w:sz="4" w:space="0"/>
              <w:bottom w:val="single" w:color="auto" w:sz="4" w:space="0"/>
            </w:tcBorders>
            <w:noWrap w:val="0"/>
            <w:vAlign w:val="center"/>
          </w:tcPr>
          <w:p w14:paraId="2DE60F34">
            <w:pPr>
              <w:adjustRightInd w:val="0"/>
              <w:snapToGrid w:val="0"/>
              <w:spacing w:line="360" w:lineRule="auto"/>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不需确认，投标人自行下载查阅。</w:t>
            </w:r>
          </w:p>
        </w:tc>
      </w:tr>
      <w:tr w14:paraId="695BCB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961" w:type="dxa"/>
            <w:tcBorders>
              <w:top w:val="single" w:color="auto" w:sz="4" w:space="0"/>
              <w:bottom w:val="single" w:color="auto" w:sz="4" w:space="0"/>
              <w:right w:val="single" w:color="auto" w:sz="4" w:space="0"/>
            </w:tcBorders>
            <w:noWrap w:val="0"/>
            <w:vAlign w:val="center"/>
          </w:tcPr>
          <w:p w14:paraId="2FF8B760">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2.3.2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23D8726D">
            <w:pPr>
              <w:adjustRightInd w:val="0"/>
              <w:snapToGri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投标人确认收到招标文件修改的时间</w:t>
            </w:r>
          </w:p>
        </w:tc>
        <w:tc>
          <w:tcPr>
            <w:tcW w:w="6168" w:type="dxa"/>
            <w:gridSpan w:val="2"/>
            <w:tcBorders>
              <w:top w:val="single" w:color="auto" w:sz="4" w:space="0"/>
              <w:left w:val="single" w:color="auto" w:sz="4" w:space="0"/>
              <w:bottom w:val="single" w:color="auto" w:sz="4" w:space="0"/>
            </w:tcBorders>
            <w:noWrap w:val="0"/>
            <w:vAlign w:val="center"/>
          </w:tcPr>
          <w:p w14:paraId="27053FB5">
            <w:pPr>
              <w:keepNext w:val="0"/>
              <w:keepLines w:val="0"/>
              <w:widowControl/>
              <w:suppressLineNumbers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不需确认，投标人自行下载查阅。</w:t>
            </w:r>
          </w:p>
        </w:tc>
      </w:tr>
      <w:tr w14:paraId="4FE14B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961" w:type="dxa"/>
            <w:tcBorders>
              <w:top w:val="single" w:color="auto" w:sz="4" w:space="0"/>
              <w:bottom w:val="single" w:color="auto" w:sz="4" w:space="0"/>
              <w:right w:val="single" w:color="auto" w:sz="4" w:space="0"/>
            </w:tcBorders>
            <w:noWrap w:val="0"/>
            <w:vAlign w:val="center"/>
          </w:tcPr>
          <w:p w14:paraId="56DCB006">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3.2.4</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0AFA0C02">
            <w:pPr>
              <w:adjustRightInd w:val="0"/>
              <w:snapToGri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招标控制价或其计算方法</w:t>
            </w:r>
          </w:p>
        </w:tc>
        <w:tc>
          <w:tcPr>
            <w:tcW w:w="6168" w:type="dxa"/>
            <w:gridSpan w:val="2"/>
            <w:tcBorders>
              <w:top w:val="single" w:color="auto" w:sz="4" w:space="0"/>
              <w:left w:val="single" w:color="auto" w:sz="4" w:space="0"/>
              <w:bottom w:val="single" w:color="auto" w:sz="4" w:space="0"/>
            </w:tcBorders>
            <w:noWrap w:val="0"/>
            <w:vAlign w:val="center"/>
          </w:tcPr>
          <w:p w14:paraId="534CB7DE">
            <w:pPr>
              <w:adjustRightInd w:val="0"/>
              <w:spacing w:line="360" w:lineRule="auto"/>
              <w:jc w:val="left"/>
              <w:textAlignment w:val="baseline"/>
              <w:rPr>
                <w:rFonts w:hint="eastAsia" w:ascii="宋体" w:hAnsi="宋体" w:cs="宋体"/>
                <w:b w:val="0"/>
                <w:bCs w:val="0"/>
                <w:color w:val="auto"/>
                <w:kern w:val="0"/>
                <w:sz w:val="28"/>
                <w:szCs w:val="28"/>
                <w:highlight w:val="none"/>
                <w:lang w:val="en-US" w:eastAsia="zh-CN"/>
              </w:rPr>
            </w:pPr>
            <w:r>
              <w:rPr>
                <w:rFonts w:hint="eastAsia" w:ascii="宋体" w:hAnsi="宋体" w:cs="宋体"/>
                <w:b w:val="0"/>
                <w:bCs w:val="0"/>
                <w:color w:val="auto"/>
                <w:kern w:val="0"/>
                <w:sz w:val="28"/>
                <w:szCs w:val="28"/>
                <w:highlight w:val="none"/>
                <w:lang w:val="en-US" w:eastAsia="zh-CN"/>
              </w:rPr>
              <w:t>本次招标设有最高投标限价（招标控制价），投标总报价高于最高投标限价的作为无效投标处理；当投标人的投标报价低于最高投标限价80%，且可能低于该投标人个别成本影响履约的，评标委员会可以要求该投标人作出必要的澄清、说明，包括但不限于投标报价合理性、主要材料设备价格和人工费用等内容及相关证明材料；投标人不能合理说明或者不能提供相关证明材料的，评标委员会可以认定该投标报价低于成本；作无效投标处理。</w:t>
            </w:r>
          </w:p>
          <w:p w14:paraId="6B984699">
            <w:pPr>
              <w:adjustRightInd w:val="0"/>
              <w:spacing w:line="360" w:lineRule="auto"/>
              <w:jc w:val="left"/>
              <w:textAlignment w:val="baseline"/>
              <w:rPr>
                <w:rFonts w:hint="eastAsia" w:ascii="宋体" w:hAnsi="宋体" w:eastAsia="宋体" w:cs="宋体"/>
                <w:color w:val="auto"/>
                <w:sz w:val="28"/>
                <w:szCs w:val="28"/>
                <w:highlight w:val="none"/>
              </w:rPr>
            </w:pPr>
            <w:r>
              <w:rPr>
                <w:rFonts w:hint="eastAsia" w:ascii="宋体" w:hAnsi="宋体" w:cs="宋体"/>
                <w:b/>
                <w:bCs/>
                <w:color w:val="auto"/>
                <w:kern w:val="0"/>
                <w:sz w:val="28"/>
                <w:szCs w:val="28"/>
                <w:highlight w:val="none"/>
                <w:lang w:val="en-US" w:eastAsia="zh-CN"/>
              </w:rPr>
              <w:t>库伦旗优质育肥肉牛可追溯智慧牧场建设项目（EPC+O）标段</w:t>
            </w:r>
            <w:r>
              <w:rPr>
                <w:rFonts w:hint="eastAsia" w:ascii="宋体" w:hAnsi="宋体" w:eastAsia="宋体" w:cs="宋体"/>
                <w:b/>
                <w:bCs/>
                <w:color w:val="auto"/>
                <w:sz w:val="28"/>
                <w:szCs w:val="28"/>
                <w:highlight w:val="none"/>
              </w:rPr>
              <w:t>最高限价为</w:t>
            </w:r>
            <w:r>
              <w:rPr>
                <w:rFonts w:hint="eastAsia" w:ascii="宋体" w:hAnsi="宋体" w:cs="宋体"/>
                <w:b/>
                <w:bCs/>
                <w:color w:val="auto"/>
                <w:sz w:val="28"/>
                <w:szCs w:val="28"/>
                <w:highlight w:val="none"/>
                <w:lang w:val="en-US" w:eastAsia="zh-CN"/>
              </w:rPr>
              <w:t>19750000.00</w:t>
            </w:r>
            <w:r>
              <w:rPr>
                <w:rFonts w:hint="eastAsia" w:ascii="宋体" w:hAnsi="宋体" w:eastAsia="宋体" w:cs="宋体"/>
                <w:b/>
                <w:bCs/>
                <w:color w:val="auto"/>
                <w:sz w:val="28"/>
                <w:szCs w:val="28"/>
                <w:highlight w:val="none"/>
                <w:lang w:val="en-US" w:eastAsia="zh-CN"/>
              </w:rPr>
              <w:t>元</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其中设计费：</w:t>
            </w:r>
            <w:r>
              <w:rPr>
                <w:rFonts w:hint="eastAsia" w:ascii="宋体" w:hAnsi="宋体" w:cs="宋体"/>
                <w:b/>
                <w:bCs/>
                <w:color w:val="auto"/>
                <w:sz w:val="28"/>
                <w:szCs w:val="28"/>
                <w:highlight w:val="none"/>
                <w:lang w:val="en-US" w:eastAsia="zh-CN"/>
              </w:rPr>
              <w:t>150000</w:t>
            </w:r>
            <w:r>
              <w:rPr>
                <w:rFonts w:hint="eastAsia" w:ascii="宋体" w:hAnsi="宋体" w:eastAsia="宋体" w:cs="宋体"/>
                <w:b/>
                <w:bCs/>
                <w:color w:val="auto"/>
                <w:sz w:val="28"/>
                <w:szCs w:val="28"/>
                <w:highlight w:val="none"/>
                <w:lang w:val="en-US" w:eastAsia="zh-CN"/>
              </w:rPr>
              <w:t>.00元，施工费：</w:t>
            </w:r>
            <w:r>
              <w:rPr>
                <w:rFonts w:hint="eastAsia" w:ascii="宋体" w:hAnsi="宋体" w:cs="宋体"/>
                <w:b/>
                <w:bCs/>
                <w:color w:val="auto"/>
                <w:sz w:val="28"/>
                <w:szCs w:val="28"/>
                <w:highlight w:val="none"/>
                <w:lang w:val="en-US" w:eastAsia="zh-CN"/>
              </w:rPr>
              <w:t>19600000.</w:t>
            </w:r>
            <w:r>
              <w:rPr>
                <w:rFonts w:hint="eastAsia" w:ascii="宋体" w:hAnsi="宋体" w:eastAsia="宋体" w:cs="宋体"/>
                <w:b/>
                <w:bCs/>
                <w:color w:val="auto"/>
                <w:sz w:val="28"/>
                <w:szCs w:val="28"/>
                <w:highlight w:val="none"/>
                <w:lang w:val="en-US" w:eastAsia="zh-CN"/>
              </w:rPr>
              <w:t>00元</w:t>
            </w:r>
            <w:r>
              <w:rPr>
                <w:rFonts w:hint="eastAsia" w:ascii="宋体" w:hAnsi="宋体" w:eastAsia="宋体" w:cs="宋体"/>
                <w:b/>
                <w:bCs/>
                <w:color w:val="auto"/>
                <w:sz w:val="28"/>
                <w:szCs w:val="28"/>
                <w:highlight w:val="none"/>
              </w:rPr>
              <w:t>）。</w:t>
            </w:r>
          </w:p>
          <w:p w14:paraId="6EBD3C5B">
            <w:pPr>
              <w:pStyle w:val="15"/>
              <w:keepNext w:val="0"/>
              <w:keepLines w:val="0"/>
              <w:widowControl/>
              <w:suppressLineNumbers w:val="0"/>
              <w:spacing w:line="240" w:lineRule="auto"/>
              <w:ind w:left="0" w:firstLine="0"/>
              <w:jc w:val="both"/>
              <w:textAlignment w:val="center"/>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kern w:val="2"/>
                <w:sz w:val="28"/>
                <w:szCs w:val="28"/>
                <w:highlight w:val="none"/>
                <w:lang w:val="en-US" w:eastAsia="zh-CN" w:bidi="ar-SA"/>
              </w:rPr>
              <w:t>注：施工费及设计费均不得超过招标控制价。</w:t>
            </w:r>
          </w:p>
        </w:tc>
      </w:tr>
      <w:tr w14:paraId="0711B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961" w:type="dxa"/>
            <w:tcBorders>
              <w:top w:val="single" w:color="auto" w:sz="4" w:space="0"/>
              <w:bottom w:val="single" w:color="auto" w:sz="4" w:space="0"/>
              <w:right w:val="single" w:color="auto" w:sz="4" w:space="0"/>
            </w:tcBorders>
            <w:noWrap w:val="0"/>
            <w:vAlign w:val="center"/>
          </w:tcPr>
          <w:p w14:paraId="3C5F2080">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3.3.1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9DDC950">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投标有效期</w:t>
            </w:r>
          </w:p>
        </w:tc>
        <w:tc>
          <w:tcPr>
            <w:tcW w:w="6168" w:type="dxa"/>
            <w:gridSpan w:val="2"/>
            <w:tcBorders>
              <w:top w:val="single" w:color="auto" w:sz="4" w:space="0"/>
              <w:left w:val="single" w:color="auto" w:sz="4" w:space="0"/>
              <w:bottom w:val="single" w:color="auto" w:sz="4" w:space="0"/>
            </w:tcBorders>
            <w:noWrap w:val="0"/>
            <w:vAlign w:val="center"/>
          </w:tcPr>
          <w:p w14:paraId="2D45A68C">
            <w:pPr>
              <w:adjustRightInd w:val="0"/>
              <w:spacing w:line="360" w:lineRule="auto"/>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9</w:t>
            </w:r>
            <w:r>
              <w:rPr>
                <w:rFonts w:hint="eastAsia" w:ascii="宋体" w:hAnsi="宋体" w:eastAsia="宋体" w:cs="宋体"/>
                <w:color w:val="auto"/>
                <w:sz w:val="28"/>
                <w:szCs w:val="28"/>
                <w:highlight w:val="none"/>
                <w:u w:val="single"/>
              </w:rPr>
              <w:t>0</w:t>
            </w:r>
            <w:r>
              <w:rPr>
                <w:rFonts w:hint="eastAsia" w:ascii="宋体" w:hAnsi="宋体" w:eastAsia="宋体" w:cs="宋体"/>
                <w:color w:val="auto"/>
                <w:sz w:val="28"/>
                <w:szCs w:val="28"/>
                <w:highlight w:val="none"/>
              </w:rPr>
              <w:t>日历天（从投标截止之日算起）</w:t>
            </w:r>
          </w:p>
        </w:tc>
      </w:tr>
      <w:tr w14:paraId="59622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61" w:type="dxa"/>
            <w:tcBorders>
              <w:top w:val="single" w:color="auto" w:sz="4" w:space="0"/>
              <w:bottom w:val="single" w:color="auto" w:sz="4" w:space="0"/>
              <w:right w:val="single" w:color="auto" w:sz="4" w:space="0"/>
            </w:tcBorders>
            <w:noWrap w:val="0"/>
            <w:vAlign w:val="center"/>
          </w:tcPr>
          <w:p w14:paraId="45E9958F">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3.4.1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34309CF1">
            <w:pPr>
              <w:shd w:val="clear" w:color="auto" w:fill="FFFFFF"/>
              <w:adjustRightInd w:val="0"/>
              <w:spacing w:line="360" w:lineRule="auto"/>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投标保证金</w:t>
            </w:r>
          </w:p>
        </w:tc>
        <w:tc>
          <w:tcPr>
            <w:tcW w:w="6168" w:type="dxa"/>
            <w:gridSpan w:val="2"/>
            <w:tcBorders>
              <w:top w:val="single" w:color="auto" w:sz="4" w:space="0"/>
              <w:left w:val="single" w:color="auto" w:sz="4" w:space="0"/>
              <w:bottom w:val="single" w:color="auto" w:sz="4" w:space="0"/>
            </w:tcBorders>
            <w:noWrap w:val="0"/>
            <w:vAlign w:val="center"/>
          </w:tcPr>
          <w:p w14:paraId="3FBBD893">
            <w:pPr>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为贯彻落实《国家发展改革委等部门关于完善招标投标交易担保制度进一步降低招标投标交易成本的通知》 (发改法规 (2023)27号)，本项目采取下调投标保证金缴纳比例的方式，投标保证金由规定上限的2%下调至1%以内。</w:t>
            </w:r>
          </w:p>
          <w:p w14:paraId="13D54E87">
            <w:pPr>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要求投标人必须从其国内基本账户办理投标保证金</w:t>
            </w:r>
            <w:r>
              <w:rPr>
                <w:rFonts w:hint="eastAsia" w:ascii="宋体" w:hAnsi="宋体" w:eastAsia="宋体" w:cs="宋体"/>
                <w:b w:val="0"/>
                <w:bCs w:val="0"/>
                <w:color w:val="auto"/>
                <w:sz w:val="28"/>
                <w:szCs w:val="28"/>
                <w:highlight w:val="none"/>
                <w:lang w:val="en-US" w:eastAsia="zh-CN"/>
              </w:rPr>
              <w:t>递交事宜，可以使用</w:t>
            </w:r>
            <w:r>
              <w:rPr>
                <w:rFonts w:hint="eastAsia" w:ascii="宋体" w:hAnsi="宋体" w:eastAsia="宋体" w:cs="宋体"/>
                <w:b w:val="0"/>
                <w:bCs w:val="0"/>
                <w:color w:val="auto"/>
                <w:sz w:val="28"/>
                <w:szCs w:val="28"/>
                <w:highlight w:val="none"/>
              </w:rPr>
              <w:t>汇款</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银行</w:t>
            </w:r>
            <w:r>
              <w:rPr>
                <w:rFonts w:hint="eastAsia" w:ascii="宋体" w:hAnsi="宋体" w:eastAsia="宋体" w:cs="宋体"/>
                <w:b w:val="0"/>
                <w:bCs w:val="0"/>
                <w:color w:val="auto"/>
                <w:sz w:val="28"/>
                <w:szCs w:val="28"/>
                <w:highlight w:val="none"/>
              </w:rPr>
              <w:t>保函</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担保保函、保证金保险等合法形式递交投标保证金。采用汇款形式办理投标保证金的，</w:t>
            </w:r>
            <w:r>
              <w:rPr>
                <w:rFonts w:hint="eastAsia" w:ascii="宋体" w:hAnsi="宋体" w:eastAsia="宋体" w:cs="宋体"/>
                <w:b/>
                <w:bCs/>
                <w:color w:val="auto"/>
                <w:sz w:val="28"/>
                <w:szCs w:val="28"/>
                <w:highlight w:val="none"/>
                <w:lang w:val="en-US" w:eastAsia="zh-CN"/>
              </w:rPr>
              <w:t>投标人须</w:t>
            </w:r>
            <w:r>
              <w:rPr>
                <w:rFonts w:hint="eastAsia" w:ascii="宋体" w:hAnsi="宋体" w:eastAsia="宋体" w:cs="宋体"/>
                <w:b/>
                <w:bCs/>
                <w:color w:val="auto"/>
                <w:sz w:val="28"/>
                <w:szCs w:val="28"/>
                <w:highlight w:val="none"/>
              </w:rPr>
              <w:t>将投标保证金在规定时间内，一次性足额汇入</w:t>
            </w:r>
            <w:r>
              <w:rPr>
                <w:rFonts w:hint="eastAsia" w:ascii="宋体" w:hAnsi="宋体" w:eastAsia="宋体" w:cs="宋体"/>
                <w:b/>
                <w:bCs/>
                <w:color w:val="auto"/>
                <w:sz w:val="28"/>
                <w:szCs w:val="28"/>
                <w:highlight w:val="none"/>
                <w:lang w:val="en-US" w:eastAsia="zh-CN"/>
              </w:rPr>
              <w:t>电子交易系统生成的</w:t>
            </w:r>
            <w:r>
              <w:rPr>
                <w:rFonts w:hint="eastAsia" w:ascii="宋体" w:hAnsi="宋体" w:eastAsia="宋体" w:cs="宋体"/>
                <w:b/>
                <w:bCs/>
                <w:color w:val="auto"/>
                <w:sz w:val="28"/>
                <w:szCs w:val="28"/>
                <w:highlight w:val="none"/>
              </w:rPr>
              <w:t>指定银行的指定账户并到账（以电子交易系统平台实际到账时间为准，逾期到账的投标保证金，</w:t>
            </w:r>
            <w:r>
              <w:rPr>
                <w:rFonts w:hint="eastAsia" w:ascii="宋体" w:hAnsi="宋体" w:eastAsia="宋体" w:cs="宋体"/>
                <w:b/>
                <w:bCs/>
                <w:color w:val="auto"/>
                <w:sz w:val="28"/>
                <w:szCs w:val="28"/>
                <w:highlight w:val="none"/>
                <w:lang w:val="en-US" w:eastAsia="zh-CN"/>
              </w:rPr>
              <w:t>将</w:t>
            </w:r>
            <w:r>
              <w:rPr>
                <w:rFonts w:hint="eastAsia" w:ascii="宋体" w:hAnsi="宋体" w:eastAsia="宋体" w:cs="宋体"/>
                <w:b/>
                <w:bCs/>
                <w:color w:val="auto"/>
                <w:sz w:val="28"/>
                <w:szCs w:val="28"/>
                <w:highlight w:val="none"/>
              </w:rPr>
              <w:t>作无效投标处理）</w:t>
            </w:r>
            <w:r>
              <w:rPr>
                <w:rFonts w:hint="eastAsia" w:ascii="宋体" w:hAnsi="宋体" w:eastAsia="宋体" w:cs="宋体"/>
                <w:b/>
                <w:bCs/>
                <w:color w:val="auto"/>
                <w:sz w:val="28"/>
                <w:szCs w:val="28"/>
                <w:highlight w:val="none"/>
                <w:lang w:eastAsia="zh-CN"/>
              </w:rPr>
              <w:t>。</w:t>
            </w:r>
          </w:p>
          <w:p w14:paraId="02F157CC">
            <w:pPr>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投标保证金的金额：</w:t>
            </w:r>
          </w:p>
          <w:p w14:paraId="7074CF5E">
            <w:pPr>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大写：</w:t>
            </w:r>
            <w:r>
              <w:rPr>
                <w:rFonts w:hint="eastAsia" w:ascii="宋体" w:hAnsi="宋体" w:cs="宋体"/>
                <w:b/>
                <w:bCs/>
                <w:color w:val="auto"/>
                <w:sz w:val="28"/>
                <w:szCs w:val="28"/>
                <w:highlight w:val="none"/>
                <w:lang w:val="en-US" w:eastAsia="zh-CN"/>
              </w:rPr>
              <w:t>壹拾万</w:t>
            </w:r>
            <w:r>
              <w:rPr>
                <w:rFonts w:hint="eastAsia" w:ascii="宋体" w:hAnsi="宋体" w:eastAsia="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100,000.00</w:t>
            </w:r>
            <w:r>
              <w:rPr>
                <w:rFonts w:hint="eastAsia" w:ascii="宋体" w:hAnsi="宋体" w:eastAsia="宋体" w:cs="宋体"/>
                <w:b/>
                <w:bCs/>
                <w:color w:val="auto"/>
                <w:sz w:val="28"/>
                <w:szCs w:val="28"/>
                <w:highlight w:val="none"/>
                <w:lang w:val="en-US" w:eastAsia="zh-CN"/>
              </w:rPr>
              <w:t>元）；</w:t>
            </w:r>
          </w:p>
          <w:p w14:paraId="591FF6AB">
            <w:pPr>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TW"/>
              </w:rPr>
              <w:t>投标保证金递交截止时间：</w:t>
            </w:r>
            <w:r>
              <w:rPr>
                <w:rFonts w:hint="eastAsia" w:ascii="宋体" w:hAnsi="宋体" w:eastAsia="宋体" w:cs="宋体"/>
                <w:b w:val="0"/>
                <w:bCs w:val="0"/>
                <w:color w:val="auto"/>
                <w:sz w:val="28"/>
                <w:szCs w:val="28"/>
                <w:highlight w:val="none"/>
                <w:lang w:val="en-US" w:eastAsia="zh-CN"/>
              </w:rPr>
              <w:t>同投标截止时间</w:t>
            </w:r>
            <w:r>
              <w:rPr>
                <w:rFonts w:hint="eastAsia" w:ascii="宋体" w:hAnsi="宋体" w:eastAsia="宋体" w:cs="宋体"/>
                <w:b w:val="0"/>
                <w:bCs w:val="0"/>
                <w:color w:val="auto"/>
                <w:sz w:val="28"/>
                <w:szCs w:val="28"/>
                <w:highlight w:val="none"/>
              </w:rPr>
              <w:t>；</w:t>
            </w:r>
          </w:p>
          <w:p w14:paraId="1F60DCFE">
            <w:pPr>
              <w:spacing w:line="440" w:lineRule="exact"/>
              <w:rPr>
                <w:rFonts w:hint="eastAsia" w:ascii="宋体" w:hAnsi="宋体" w:eastAsia="宋体" w:cs="宋体"/>
                <w:b w:val="0"/>
                <w:bCs w:val="0"/>
                <w:color w:val="auto"/>
                <w:sz w:val="28"/>
                <w:szCs w:val="28"/>
                <w:highlight w:val="none"/>
                <w:lang w:val="en-US" w:eastAsia="zh-TW"/>
              </w:rPr>
            </w:pPr>
            <w:r>
              <w:rPr>
                <w:rFonts w:hint="eastAsia" w:ascii="宋体" w:hAnsi="宋体" w:eastAsia="宋体" w:cs="宋体"/>
                <w:b w:val="0"/>
                <w:bCs w:val="0"/>
                <w:color w:val="auto"/>
                <w:sz w:val="28"/>
                <w:szCs w:val="28"/>
                <w:highlight w:val="none"/>
                <w:lang w:val="en-US" w:eastAsia="zh-TW"/>
              </w:rPr>
              <w:t>账户名称</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TW"/>
              </w:rPr>
              <w:t>：</w:t>
            </w:r>
            <w:r>
              <w:rPr>
                <w:rFonts w:hint="eastAsia" w:ascii="宋体" w:hAnsi="宋体" w:eastAsia="宋体" w:cs="宋体"/>
                <w:b w:val="0"/>
                <w:bCs w:val="0"/>
                <w:color w:val="auto"/>
                <w:sz w:val="28"/>
                <w:szCs w:val="28"/>
                <w:highlight w:val="none"/>
              </w:rPr>
              <w:t>投标人使用单位数字证书（CA 锁）登录内蒙古自治区</w:t>
            </w:r>
            <w:r>
              <w:rPr>
                <w:rFonts w:hint="eastAsia" w:ascii="宋体" w:hAnsi="宋体" w:eastAsia="宋体" w:cs="宋体"/>
                <w:b w:val="0"/>
                <w:bCs w:val="0"/>
                <w:color w:val="auto"/>
                <w:sz w:val="28"/>
                <w:szCs w:val="28"/>
                <w:highlight w:val="none"/>
                <w:lang w:val="en-US" w:eastAsia="zh-CN"/>
              </w:rPr>
              <w:t>公共资源交易中心</w:t>
            </w:r>
            <w:r>
              <w:rPr>
                <w:rFonts w:hint="eastAsia" w:ascii="宋体" w:hAnsi="宋体" w:eastAsia="宋体" w:cs="宋体"/>
                <w:b w:val="0"/>
                <w:bCs w:val="0"/>
                <w:color w:val="auto"/>
                <w:sz w:val="28"/>
                <w:szCs w:val="28"/>
                <w:highlight w:val="none"/>
              </w:rPr>
              <w:t>工程项目交易系统获取；</w:t>
            </w:r>
          </w:p>
          <w:p w14:paraId="5AA07906">
            <w:pPr>
              <w:spacing w:line="44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TW"/>
              </w:rPr>
              <w:t>开户行：</w:t>
            </w:r>
            <w:r>
              <w:rPr>
                <w:rFonts w:hint="eastAsia" w:ascii="宋体" w:hAnsi="宋体" w:eastAsia="宋体" w:cs="宋体"/>
                <w:b w:val="0"/>
                <w:bCs w:val="0"/>
                <w:color w:val="auto"/>
                <w:sz w:val="28"/>
                <w:szCs w:val="28"/>
                <w:highlight w:val="none"/>
              </w:rPr>
              <w:t>投标人使用单位数字证书（CA 锁）登录内蒙古自治区</w:t>
            </w:r>
            <w:r>
              <w:rPr>
                <w:rFonts w:hint="eastAsia" w:ascii="宋体" w:hAnsi="宋体" w:eastAsia="宋体" w:cs="宋体"/>
                <w:b w:val="0"/>
                <w:bCs w:val="0"/>
                <w:color w:val="auto"/>
                <w:sz w:val="28"/>
                <w:szCs w:val="28"/>
                <w:highlight w:val="none"/>
                <w:lang w:val="en-US" w:eastAsia="zh-CN"/>
              </w:rPr>
              <w:t>公共资源交易中心</w:t>
            </w:r>
            <w:r>
              <w:rPr>
                <w:rFonts w:hint="eastAsia" w:ascii="宋体" w:hAnsi="宋体" w:eastAsia="宋体" w:cs="宋体"/>
                <w:b w:val="0"/>
                <w:bCs w:val="0"/>
                <w:color w:val="auto"/>
                <w:sz w:val="28"/>
                <w:szCs w:val="28"/>
                <w:highlight w:val="none"/>
              </w:rPr>
              <w:t>工程项目交易系统获取；</w:t>
            </w:r>
          </w:p>
          <w:p w14:paraId="37E6F87A">
            <w:pPr>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TW"/>
              </w:rPr>
              <w:t>帐</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TW"/>
              </w:rPr>
              <w:t>号：</w:t>
            </w:r>
            <w:r>
              <w:rPr>
                <w:rFonts w:hint="eastAsia" w:ascii="宋体" w:hAnsi="宋体" w:eastAsia="宋体" w:cs="宋体"/>
                <w:b w:val="0"/>
                <w:bCs w:val="0"/>
                <w:color w:val="auto"/>
                <w:sz w:val="28"/>
                <w:szCs w:val="28"/>
                <w:highlight w:val="none"/>
              </w:rPr>
              <w:t>投标人使用单位数字证书（CA 锁）登录内蒙古自治区</w:t>
            </w:r>
            <w:r>
              <w:rPr>
                <w:rFonts w:hint="eastAsia" w:ascii="宋体" w:hAnsi="宋体" w:eastAsia="宋体" w:cs="宋体"/>
                <w:b w:val="0"/>
                <w:bCs w:val="0"/>
                <w:color w:val="auto"/>
                <w:sz w:val="28"/>
                <w:szCs w:val="28"/>
                <w:highlight w:val="none"/>
                <w:lang w:val="en-US" w:eastAsia="zh-CN"/>
              </w:rPr>
              <w:t>公共资源交易中心</w:t>
            </w:r>
            <w:r>
              <w:rPr>
                <w:rFonts w:hint="eastAsia" w:ascii="宋体" w:hAnsi="宋体" w:eastAsia="宋体" w:cs="宋体"/>
                <w:b w:val="0"/>
                <w:bCs w:val="0"/>
                <w:color w:val="auto"/>
                <w:sz w:val="28"/>
                <w:szCs w:val="28"/>
                <w:highlight w:val="none"/>
              </w:rPr>
              <w:t>工程项目交易系统获取；</w:t>
            </w:r>
          </w:p>
          <w:p w14:paraId="3E7A0BB4">
            <w:pPr>
              <w:pStyle w:val="17"/>
              <w:keepNext w:val="0"/>
              <w:keepLines w:val="0"/>
              <w:pageBreakBefore w:val="0"/>
              <w:widowControl/>
              <w:kinsoku/>
              <w:wordWrap/>
              <w:overflowPunct/>
              <w:topLinePunct w:val="0"/>
              <w:autoSpaceDE/>
              <w:autoSpaceDN/>
              <w:bidi w:val="0"/>
              <w:adjustRightInd w:val="0"/>
              <w:snapToGrid/>
              <w:spacing w:after="0" w:line="360" w:lineRule="auto"/>
              <w:ind w:left="0" w:leftChars="0" w:firstLine="0" w:firstLineChars="0"/>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val="0"/>
                <w:bCs w:val="0"/>
                <w:color w:val="auto"/>
                <w:sz w:val="28"/>
                <w:szCs w:val="28"/>
                <w:highlight w:val="none"/>
              </w:rPr>
              <w:t>注：系统可能会生成多家银行虚拟子账户的信息，投标人可选择任意一个账户汇缴投标保证金。未递交或未按要求递交投标保证金，将做无效投标处理。</w:t>
            </w:r>
          </w:p>
        </w:tc>
      </w:tr>
      <w:tr w14:paraId="5A28F6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noWrap w:val="0"/>
            <w:vAlign w:val="center"/>
          </w:tcPr>
          <w:p w14:paraId="64840AEE">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3.5.2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0D285AED">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近年财务状况年份要求</w:t>
            </w:r>
          </w:p>
        </w:tc>
        <w:tc>
          <w:tcPr>
            <w:tcW w:w="6168" w:type="dxa"/>
            <w:gridSpan w:val="2"/>
            <w:tcBorders>
              <w:top w:val="single" w:color="auto" w:sz="4" w:space="0"/>
              <w:left w:val="single" w:color="auto" w:sz="4" w:space="0"/>
              <w:bottom w:val="single" w:color="auto" w:sz="4" w:space="0"/>
            </w:tcBorders>
            <w:noWrap w:val="0"/>
            <w:vAlign w:val="center"/>
          </w:tcPr>
          <w:p w14:paraId="0A52DBC5">
            <w:pPr>
              <w:spacing w:line="360" w:lineRule="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近三年（202</w:t>
            </w:r>
            <w:r>
              <w:rPr>
                <w:rFonts w:hint="eastAsia" w:ascii="宋体" w:hAnsi="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val="en-US" w:eastAsia="zh-CN"/>
              </w:rPr>
              <w:t>年-202</w:t>
            </w:r>
            <w:r>
              <w:rPr>
                <w:rFonts w:hint="eastAsia" w:ascii="宋体" w:hAnsi="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val="en-US" w:eastAsia="zh-CN"/>
              </w:rPr>
              <w:t>年）经会计师事务所或者审计机构审计的财务报表（包括</w:t>
            </w:r>
            <w:r>
              <w:rPr>
                <w:rFonts w:hint="eastAsia" w:ascii="宋体" w:hAnsi="宋体" w:eastAsia="宋体" w:cs="宋体"/>
                <w:color w:val="auto"/>
                <w:sz w:val="28"/>
                <w:szCs w:val="28"/>
                <w:highlight w:val="none"/>
                <w:lang w:eastAsia="zh-CN" w:bidi="ar"/>
              </w:rPr>
              <w:t>资产负债表、利润表、现金流量表及所有者权益变动表</w:t>
            </w:r>
            <w:r>
              <w:rPr>
                <w:rFonts w:hint="eastAsia" w:ascii="宋体" w:hAnsi="宋体" w:eastAsia="宋体" w:cs="宋体"/>
                <w:color w:val="auto"/>
                <w:kern w:val="0"/>
                <w:sz w:val="28"/>
                <w:szCs w:val="28"/>
                <w:highlight w:val="none"/>
                <w:lang w:val="en-US" w:eastAsia="zh-CN"/>
              </w:rPr>
              <w:t>），如成立不足三年则自成立之年起计算。</w:t>
            </w:r>
          </w:p>
        </w:tc>
      </w:tr>
      <w:tr w14:paraId="4BC7C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noWrap w:val="0"/>
            <w:vAlign w:val="center"/>
          </w:tcPr>
          <w:p w14:paraId="371CF194">
            <w:pPr>
              <w:spacing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3.5.3</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376D0153">
            <w:pPr>
              <w:spacing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近年完成的类似项目年份要求</w:t>
            </w:r>
          </w:p>
        </w:tc>
        <w:tc>
          <w:tcPr>
            <w:tcW w:w="6168" w:type="dxa"/>
            <w:gridSpan w:val="2"/>
            <w:tcBorders>
              <w:top w:val="single" w:color="auto" w:sz="4" w:space="0"/>
              <w:left w:val="single" w:color="auto" w:sz="4" w:space="0"/>
              <w:bottom w:val="single" w:color="auto" w:sz="4" w:space="0"/>
            </w:tcBorders>
            <w:noWrap w:val="0"/>
            <w:vAlign w:val="center"/>
          </w:tcPr>
          <w:p w14:paraId="040F7038">
            <w:pPr>
              <w:spacing w:line="360" w:lineRule="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设计类业绩年份要求：</w:t>
            </w:r>
            <w:r>
              <w:rPr>
                <w:rFonts w:hint="eastAsia" w:ascii="宋体" w:hAnsi="宋体" w:eastAsia="宋体" w:cs="宋体"/>
                <w:color w:val="auto"/>
                <w:sz w:val="28"/>
                <w:szCs w:val="28"/>
                <w:highlight w:val="none"/>
                <w:lang w:eastAsia="zh-CN"/>
              </w:rPr>
              <w:t>20</w:t>
            </w:r>
            <w:r>
              <w:rPr>
                <w:rFonts w:hint="eastAsia" w:ascii="宋体" w:hAnsi="宋体" w:eastAsia="宋体" w:cs="宋体"/>
                <w:color w:val="auto"/>
                <w:sz w:val="28"/>
                <w:szCs w:val="28"/>
                <w:highlight w:val="none"/>
                <w:lang w:val="en-US" w:eastAsia="zh-CN"/>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年</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eastAsia="zh-CN"/>
              </w:rPr>
              <w:t>月1日至递交投标文件截止时间前。</w:t>
            </w:r>
          </w:p>
          <w:p w14:paraId="1D1EC56E">
            <w:pPr>
              <w:spacing w:line="360" w:lineRule="auto"/>
              <w:rPr>
                <w:rFonts w:hint="eastAsia" w:ascii="宋体" w:hAnsi="宋体" w:eastAsia="宋体" w:cs="宋体"/>
                <w:color w:val="auto"/>
                <w:kern w:val="0"/>
                <w:sz w:val="28"/>
                <w:szCs w:val="28"/>
                <w:highlight w:val="red"/>
                <w:lang w:val="en-US" w:eastAsia="zh-CN"/>
              </w:rPr>
            </w:pPr>
            <w:r>
              <w:rPr>
                <w:rFonts w:hint="eastAsia" w:ascii="宋体" w:hAnsi="宋体" w:eastAsia="宋体" w:cs="宋体"/>
                <w:color w:val="auto"/>
                <w:kern w:val="0"/>
                <w:sz w:val="28"/>
                <w:szCs w:val="28"/>
                <w:highlight w:val="none"/>
                <w:lang w:val="en-US" w:eastAsia="zh-CN"/>
              </w:rPr>
              <w:t>施工类业绩年份要求：</w:t>
            </w:r>
            <w:r>
              <w:rPr>
                <w:rFonts w:hint="eastAsia" w:ascii="宋体" w:hAnsi="宋体" w:eastAsia="宋体" w:cs="宋体"/>
                <w:snapToGrid w:val="0"/>
                <w:color w:val="auto"/>
                <w:kern w:val="0"/>
                <w:sz w:val="28"/>
                <w:szCs w:val="28"/>
                <w:highlight w:val="none"/>
                <w:lang w:val="en-US" w:eastAsia="en-US" w:bidi="ar-SA"/>
              </w:rPr>
              <w:t>20</w:t>
            </w:r>
            <w:r>
              <w:rPr>
                <w:rFonts w:hint="eastAsia" w:ascii="宋体" w:hAnsi="宋体" w:eastAsia="宋体" w:cs="宋体"/>
                <w:snapToGrid w:val="0"/>
                <w:color w:val="auto"/>
                <w:kern w:val="0"/>
                <w:sz w:val="28"/>
                <w:szCs w:val="28"/>
                <w:highlight w:val="none"/>
                <w:lang w:val="en-US" w:eastAsia="zh-CN" w:bidi="ar-SA"/>
              </w:rPr>
              <w:t>2</w:t>
            </w:r>
            <w:r>
              <w:rPr>
                <w:rFonts w:hint="eastAsia" w:ascii="宋体" w:hAnsi="宋体" w:cs="宋体"/>
                <w:snapToGrid w:val="0"/>
                <w:color w:val="auto"/>
                <w:kern w:val="0"/>
                <w:sz w:val="28"/>
                <w:szCs w:val="28"/>
                <w:highlight w:val="none"/>
                <w:lang w:val="en-US" w:eastAsia="zh-CN" w:bidi="ar-SA"/>
              </w:rPr>
              <w:t>3</w:t>
            </w:r>
            <w:r>
              <w:rPr>
                <w:rFonts w:hint="eastAsia" w:ascii="宋体" w:hAnsi="宋体" w:eastAsia="宋体" w:cs="宋体"/>
                <w:snapToGrid w:val="0"/>
                <w:color w:val="auto"/>
                <w:kern w:val="0"/>
                <w:sz w:val="28"/>
                <w:szCs w:val="28"/>
                <w:highlight w:val="none"/>
                <w:lang w:val="en-US" w:eastAsia="en-US" w:bidi="ar-SA"/>
              </w:rPr>
              <w:t>年</w:t>
            </w:r>
            <w:r>
              <w:rPr>
                <w:rFonts w:hint="eastAsia" w:ascii="宋体" w:hAnsi="宋体" w:cs="宋体"/>
                <w:snapToGrid w:val="0"/>
                <w:color w:val="auto"/>
                <w:kern w:val="0"/>
                <w:sz w:val="28"/>
                <w:szCs w:val="28"/>
                <w:highlight w:val="none"/>
                <w:lang w:val="en-US" w:eastAsia="zh-CN" w:bidi="ar-SA"/>
              </w:rPr>
              <w:t>5</w:t>
            </w:r>
            <w:r>
              <w:rPr>
                <w:rFonts w:hint="eastAsia" w:ascii="宋体" w:hAnsi="宋体" w:eastAsia="宋体" w:cs="宋体"/>
                <w:snapToGrid w:val="0"/>
                <w:color w:val="auto"/>
                <w:kern w:val="0"/>
                <w:sz w:val="28"/>
                <w:szCs w:val="28"/>
                <w:highlight w:val="none"/>
                <w:lang w:val="en-US" w:eastAsia="en-US" w:bidi="ar-SA"/>
              </w:rPr>
              <w:t>月1日至递交投标文件截止时间前</w:t>
            </w:r>
            <w:r>
              <w:rPr>
                <w:rFonts w:hint="eastAsia" w:ascii="宋体" w:hAnsi="宋体" w:eastAsia="宋体" w:cs="宋体"/>
                <w:snapToGrid w:val="0"/>
                <w:color w:val="auto"/>
                <w:kern w:val="0"/>
                <w:sz w:val="28"/>
                <w:szCs w:val="28"/>
                <w:highlight w:val="none"/>
                <w:lang w:val="en-US" w:eastAsia="zh-CN" w:bidi="ar-SA"/>
              </w:rPr>
              <w:t>。</w:t>
            </w:r>
          </w:p>
        </w:tc>
      </w:tr>
      <w:tr w14:paraId="115AB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noWrap w:val="0"/>
            <w:vAlign w:val="center"/>
          </w:tcPr>
          <w:p w14:paraId="58D3E9A8">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3.6.1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DC3704A">
            <w:pPr>
              <w:adjustRightInd w:val="0"/>
              <w:snapToGri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是否允许递交备选投标方案</w:t>
            </w:r>
          </w:p>
        </w:tc>
        <w:tc>
          <w:tcPr>
            <w:tcW w:w="6168" w:type="dxa"/>
            <w:gridSpan w:val="2"/>
            <w:tcBorders>
              <w:top w:val="single" w:color="auto" w:sz="4" w:space="0"/>
              <w:left w:val="single" w:color="auto" w:sz="4" w:space="0"/>
              <w:bottom w:val="single" w:color="auto" w:sz="4" w:space="0"/>
            </w:tcBorders>
            <w:noWrap w:val="0"/>
            <w:vAlign w:val="center"/>
          </w:tcPr>
          <w:p w14:paraId="438B787D">
            <w:pPr>
              <w:pStyle w:val="24"/>
              <w:adjustRightIn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不允许</w:t>
            </w:r>
          </w:p>
        </w:tc>
      </w:tr>
      <w:tr w14:paraId="288FA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61" w:type="dxa"/>
            <w:tcBorders>
              <w:top w:val="single" w:color="auto" w:sz="4" w:space="0"/>
              <w:bottom w:val="single" w:color="auto" w:sz="4" w:space="0"/>
              <w:right w:val="single" w:color="auto" w:sz="4" w:space="0"/>
            </w:tcBorders>
            <w:noWrap w:val="0"/>
            <w:vAlign w:val="center"/>
          </w:tcPr>
          <w:p w14:paraId="08564EE2">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3.6.2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2F404501">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是否采用电子招标投标</w:t>
            </w:r>
          </w:p>
        </w:tc>
        <w:tc>
          <w:tcPr>
            <w:tcW w:w="6168" w:type="dxa"/>
            <w:gridSpan w:val="2"/>
            <w:tcBorders>
              <w:top w:val="single" w:color="auto" w:sz="4" w:space="0"/>
              <w:left w:val="single" w:color="auto" w:sz="4" w:space="0"/>
              <w:bottom w:val="single" w:color="auto" w:sz="4" w:space="0"/>
            </w:tcBorders>
            <w:noWrap w:val="0"/>
            <w:vAlign w:val="center"/>
          </w:tcPr>
          <w:p w14:paraId="64782E19">
            <w:pPr>
              <w:adjustRightInd w:val="0"/>
              <w:spacing w:line="360" w:lineRule="auto"/>
              <w:textAlignment w:val="baseline"/>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是</w:t>
            </w:r>
          </w:p>
        </w:tc>
      </w:tr>
      <w:tr w14:paraId="782408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61" w:type="dxa"/>
            <w:tcBorders>
              <w:top w:val="single" w:color="auto" w:sz="4" w:space="0"/>
              <w:bottom w:val="single" w:color="auto" w:sz="4" w:space="0"/>
              <w:right w:val="single" w:color="auto" w:sz="4" w:space="0"/>
            </w:tcBorders>
            <w:noWrap w:val="0"/>
            <w:vAlign w:val="center"/>
          </w:tcPr>
          <w:p w14:paraId="1BDA5ED6">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3.7.</w:t>
            </w:r>
            <w:r>
              <w:rPr>
                <w:rFonts w:hint="eastAsia" w:ascii="宋体" w:hAnsi="宋体" w:eastAsia="宋体" w:cs="宋体"/>
                <w:color w:val="auto"/>
                <w:spacing w:val="-20"/>
                <w:sz w:val="28"/>
                <w:szCs w:val="28"/>
                <w:highlight w:val="none"/>
                <w:lang w:val="en-US" w:eastAsia="zh-CN"/>
              </w:rPr>
              <w:t>3</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7B7E28B">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签字或盖章要求</w:t>
            </w:r>
          </w:p>
        </w:tc>
        <w:tc>
          <w:tcPr>
            <w:tcW w:w="6168" w:type="dxa"/>
            <w:gridSpan w:val="2"/>
            <w:tcBorders>
              <w:top w:val="single" w:color="auto" w:sz="4" w:space="0"/>
              <w:left w:val="single" w:color="auto" w:sz="4" w:space="0"/>
              <w:bottom w:val="single" w:color="auto" w:sz="4" w:space="0"/>
            </w:tcBorders>
            <w:noWrap w:val="0"/>
            <w:vAlign w:val="center"/>
          </w:tcPr>
          <w:p w14:paraId="0DBDDDE5">
            <w:pPr>
              <w:adjustRightInd w:val="0"/>
              <w:spacing w:line="360" w:lineRule="auto"/>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投标文件必须按规定盖章、签字</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单位公章其内容必须与单位营业执照名称一致，不得使用专用印章</w:t>
            </w:r>
            <w:r>
              <w:rPr>
                <w:rFonts w:hint="eastAsia" w:ascii="宋体" w:hAnsi="宋体" w:eastAsia="宋体" w:cs="宋体"/>
                <w:color w:val="auto"/>
                <w:sz w:val="28"/>
                <w:szCs w:val="28"/>
                <w:highlight w:val="none"/>
                <w:lang w:eastAsia="zh-CN"/>
              </w:rPr>
              <w:t>。</w:t>
            </w:r>
          </w:p>
        </w:tc>
      </w:tr>
      <w:tr w14:paraId="0F54B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61" w:type="dxa"/>
            <w:tcBorders>
              <w:top w:val="single" w:color="auto" w:sz="4" w:space="0"/>
              <w:bottom w:val="single" w:color="auto" w:sz="4" w:space="0"/>
              <w:right w:val="single" w:color="auto" w:sz="4" w:space="0"/>
            </w:tcBorders>
            <w:noWrap w:val="0"/>
            <w:vAlign w:val="center"/>
          </w:tcPr>
          <w:p w14:paraId="373A51A8">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3.7.</w:t>
            </w:r>
            <w:r>
              <w:rPr>
                <w:rFonts w:hint="eastAsia" w:ascii="宋体" w:hAnsi="宋体" w:eastAsia="宋体" w:cs="宋体"/>
                <w:color w:val="auto"/>
                <w:spacing w:val="-20"/>
                <w:sz w:val="28"/>
                <w:szCs w:val="28"/>
                <w:highlight w:val="none"/>
                <w:lang w:val="en-US" w:eastAsia="zh-CN"/>
              </w:rPr>
              <w:t>4</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196C3D20">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投标文件份数</w:t>
            </w:r>
          </w:p>
        </w:tc>
        <w:tc>
          <w:tcPr>
            <w:tcW w:w="6168" w:type="dxa"/>
            <w:gridSpan w:val="2"/>
            <w:tcBorders>
              <w:top w:val="single" w:color="auto" w:sz="4" w:space="0"/>
              <w:left w:val="single" w:color="auto" w:sz="4" w:space="0"/>
              <w:bottom w:val="single" w:color="auto" w:sz="4" w:space="0"/>
            </w:tcBorders>
            <w:noWrap w:val="0"/>
            <w:vAlign w:val="center"/>
          </w:tcPr>
          <w:p w14:paraId="6E53EC8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1.登录内蒙古自治区工程建设电子招投标交易平台，将加密版电子投标文件上传至系统； </w:t>
            </w:r>
          </w:p>
          <w:p w14:paraId="7C7E6016">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注：本次投标无须提供纸质投标文件。 </w:t>
            </w:r>
          </w:p>
          <w:p w14:paraId="43E6CDB7">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2.中标人在与招标人签订中标合同时，须再提供一份电子版投标文件及2份纸质版投标文件。 </w:t>
            </w:r>
          </w:p>
          <w:p w14:paraId="4CDC9054">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注：如纸质版与电子版投标文件内容不一致所引起一切法律责任及不良后果，由投标单位自行承担，并记入诚信档案。</w:t>
            </w:r>
          </w:p>
        </w:tc>
      </w:tr>
      <w:tr w14:paraId="3DF525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961" w:type="dxa"/>
            <w:tcBorders>
              <w:top w:val="single" w:color="auto" w:sz="4" w:space="0"/>
              <w:bottom w:val="single" w:color="auto" w:sz="4" w:space="0"/>
              <w:right w:val="single" w:color="auto" w:sz="4" w:space="0"/>
            </w:tcBorders>
            <w:noWrap w:val="0"/>
            <w:vAlign w:val="center"/>
          </w:tcPr>
          <w:p w14:paraId="68DA7197">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4.2.1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61CAC4F3">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递交投标文件地点</w:t>
            </w:r>
          </w:p>
        </w:tc>
        <w:tc>
          <w:tcPr>
            <w:tcW w:w="6168" w:type="dxa"/>
            <w:gridSpan w:val="2"/>
            <w:tcBorders>
              <w:top w:val="single" w:color="auto" w:sz="4" w:space="0"/>
              <w:left w:val="single" w:color="auto" w:sz="4" w:space="0"/>
              <w:bottom w:val="single" w:color="auto" w:sz="4" w:space="0"/>
            </w:tcBorders>
            <w:noWrap w:val="0"/>
            <w:vAlign w:val="center"/>
          </w:tcPr>
          <w:p w14:paraId="5C8EA0AA">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rPr>
              <w:t>登录内蒙古自治区工程建设电子招投标交易平台，将加密版电子投标文件上传至系统；上传至《内蒙古自治区工程项目项目交易系统》（https://219.148.175.179:9443/tpbidder）。</w:t>
            </w:r>
            <w:r>
              <w:rPr>
                <w:rFonts w:hint="eastAsia" w:ascii="宋体" w:hAnsi="宋体" w:eastAsia="宋体" w:cs="宋体"/>
                <w:bCs/>
                <w:color w:val="auto"/>
                <w:sz w:val="28"/>
                <w:szCs w:val="28"/>
                <w:highlight w:val="none"/>
              </w:rPr>
              <w:t>递交截止时间：</w:t>
            </w:r>
            <w:r>
              <w:rPr>
                <w:rFonts w:hint="eastAsia" w:ascii="宋体" w:hAnsi="宋体" w:eastAsia="宋体" w:cs="宋体"/>
                <w:bCs/>
                <w:color w:val="auto"/>
                <w:sz w:val="28"/>
                <w:szCs w:val="28"/>
                <w:highlight w:val="none"/>
                <w:lang w:val="en-US" w:eastAsia="zh-CN"/>
              </w:rPr>
              <w:t>详见招标公告</w:t>
            </w:r>
            <w:r>
              <w:rPr>
                <w:rFonts w:hint="eastAsia" w:ascii="宋体" w:hAnsi="宋体" w:eastAsia="宋体" w:cs="宋体"/>
                <w:color w:val="auto"/>
                <w:kern w:val="0"/>
                <w:sz w:val="28"/>
                <w:szCs w:val="28"/>
                <w:highlight w:val="none"/>
              </w:rPr>
              <w:t>投标文件递交截止时间</w:t>
            </w:r>
            <w:r>
              <w:rPr>
                <w:rFonts w:hint="eastAsia" w:ascii="宋体" w:hAnsi="宋体" w:eastAsia="宋体" w:cs="宋体"/>
                <w:color w:val="auto"/>
                <w:kern w:val="0"/>
                <w:sz w:val="28"/>
                <w:szCs w:val="28"/>
                <w:highlight w:val="none"/>
                <w:lang w:eastAsia="zh-CN"/>
              </w:rPr>
              <w:t>。</w:t>
            </w:r>
          </w:p>
        </w:tc>
      </w:tr>
      <w:tr w14:paraId="484561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961" w:type="dxa"/>
            <w:tcBorders>
              <w:top w:val="single" w:color="auto" w:sz="4" w:space="0"/>
              <w:bottom w:val="single" w:color="auto" w:sz="4" w:space="0"/>
              <w:right w:val="single" w:color="auto" w:sz="4" w:space="0"/>
            </w:tcBorders>
            <w:noWrap w:val="0"/>
            <w:vAlign w:val="center"/>
          </w:tcPr>
          <w:p w14:paraId="7136C875">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5.1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E101E80">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开标时间和地点</w:t>
            </w:r>
          </w:p>
        </w:tc>
        <w:tc>
          <w:tcPr>
            <w:tcW w:w="6168" w:type="dxa"/>
            <w:gridSpan w:val="2"/>
            <w:tcBorders>
              <w:top w:val="single" w:color="auto" w:sz="4" w:space="0"/>
              <w:left w:val="single" w:color="auto" w:sz="4" w:space="0"/>
              <w:bottom w:val="single" w:color="auto" w:sz="4" w:space="0"/>
            </w:tcBorders>
            <w:noWrap w:val="0"/>
            <w:vAlign w:val="center"/>
          </w:tcPr>
          <w:p w14:paraId="5FB7C8DD">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开标时间</w:t>
            </w:r>
            <w:bookmarkStart w:id="40" w:name="OLE_LINK3"/>
            <w:r>
              <w:rPr>
                <w:rFonts w:hint="eastAsia" w:ascii="宋体" w:hAnsi="宋体" w:eastAsia="宋体" w:cs="宋体"/>
                <w:color w:val="auto"/>
                <w:sz w:val="28"/>
                <w:szCs w:val="28"/>
                <w:highlight w:val="none"/>
                <w:lang w:eastAsia="zh-CN"/>
              </w:rPr>
              <w:t>：</w:t>
            </w:r>
            <w:bookmarkEnd w:id="40"/>
            <w:r>
              <w:rPr>
                <w:rFonts w:hint="eastAsia" w:ascii="宋体" w:hAnsi="宋体" w:eastAsia="宋体" w:cs="宋体"/>
                <w:color w:val="auto"/>
                <w:sz w:val="28"/>
                <w:szCs w:val="28"/>
                <w:highlight w:val="none"/>
                <w:lang w:val="en-US" w:eastAsia="zh-CN"/>
              </w:rPr>
              <w:t>同投标截止时间</w:t>
            </w:r>
          </w:p>
          <w:p w14:paraId="75400B05">
            <w:pPr>
              <w:adjustRightInd w:val="0"/>
              <w:spacing w:line="360" w:lineRule="auto"/>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kern w:val="0"/>
                <w:sz w:val="28"/>
                <w:szCs w:val="28"/>
                <w:highlight w:val="none"/>
              </w:rPr>
              <w:t>开标地点:开标主会场为通辽市公共资源交易中心</w:t>
            </w:r>
            <w:r>
              <w:rPr>
                <w:rFonts w:hint="eastAsia" w:ascii="宋体" w:hAnsi="宋体" w:cs="宋体"/>
                <w:color w:val="auto"/>
                <w:kern w:val="0"/>
                <w:sz w:val="28"/>
                <w:szCs w:val="28"/>
                <w:highlight w:val="none"/>
                <w:lang w:eastAsia="zh-CN"/>
              </w:rPr>
              <w:t>库伦旗分中心</w:t>
            </w:r>
            <w:r>
              <w:rPr>
                <w:rFonts w:hint="eastAsia" w:ascii="宋体" w:hAnsi="宋体" w:eastAsia="宋体" w:cs="宋体"/>
                <w:color w:val="auto"/>
                <w:kern w:val="0"/>
                <w:sz w:val="28"/>
                <w:szCs w:val="28"/>
                <w:highlight w:val="none"/>
              </w:rPr>
              <w:t>采取互联网不见面开标</w:t>
            </w:r>
          </w:p>
        </w:tc>
      </w:tr>
      <w:tr w14:paraId="66AF6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9" w:hRule="atLeast"/>
          <w:jc w:val="center"/>
        </w:trPr>
        <w:tc>
          <w:tcPr>
            <w:tcW w:w="961" w:type="dxa"/>
            <w:tcBorders>
              <w:top w:val="single" w:color="auto" w:sz="4" w:space="0"/>
              <w:bottom w:val="single" w:color="auto" w:sz="4" w:space="0"/>
              <w:right w:val="single" w:color="auto" w:sz="4" w:space="0"/>
            </w:tcBorders>
            <w:noWrap w:val="0"/>
            <w:vAlign w:val="center"/>
          </w:tcPr>
          <w:p w14:paraId="3EC3010E">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5.2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6F959FD0">
            <w:pPr>
              <w:adjustRightInd w:val="0"/>
              <w:spacing w:line="360" w:lineRule="auto"/>
              <w:jc w:val="center"/>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开标</w:t>
            </w:r>
            <w:r>
              <w:rPr>
                <w:rFonts w:hint="eastAsia" w:ascii="宋体" w:hAnsi="宋体" w:eastAsia="宋体" w:cs="宋体"/>
                <w:color w:val="auto"/>
                <w:sz w:val="28"/>
                <w:szCs w:val="28"/>
                <w:highlight w:val="none"/>
                <w:lang w:val="en-US" w:eastAsia="zh-CN"/>
              </w:rPr>
              <w:t>方式</w:t>
            </w:r>
          </w:p>
        </w:tc>
        <w:tc>
          <w:tcPr>
            <w:tcW w:w="6168" w:type="dxa"/>
            <w:gridSpan w:val="2"/>
            <w:tcBorders>
              <w:top w:val="single" w:color="auto" w:sz="4" w:space="0"/>
              <w:left w:val="single" w:color="auto" w:sz="4" w:space="0"/>
              <w:bottom w:val="single" w:color="auto" w:sz="4" w:space="0"/>
            </w:tcBorders>
            <w:noWrap w:val="0"/>
            <w:vAlign w:val="center"/>
          </w:tcPr>
          <w:p w14:paraId="336D913A">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zh-CN" w:eastAsia="zh-CN" w:bidi="ar-SA"/>
              </w:rPr>
              <w:t>1.本次开标采用全流程网上不见面开标（https://219.148.175.179:9443/BidOpening），</w:t>
            </w:r>
            <w:r>
              <w:rPr>
                <w:rFonts w:hint="eastAsia" w:ascii="宋体" w:hAnsi="宋体" w:eastAsia="宋体" w:cs="宋体"/>
                <w:b w:val="0"/>
                <w:bCs w:val="0"/>
                <w:color w:val="auto"/>
                <w:kern w:val="2"/>
                <w:sz w:val="28"/>
                <w:szCs w:val="28"/>
                <w:lang w:val="en-US" w:eastAsia="zh-CN" w:bidi="ar-SA"/>
              </w:rPr>
              <w:t>开标时线上进行投标文件解密，</w:t>
            </w:r>
            <w:r>
              <w:rPr>
                <w:rFonts w:hint="eastAsia" w:ascii="宋体" w:hAnsi="宋体" w:eastAsia="宋体" w:cs="宋体"/>
                <w:b w:val="0"/>
                <w:bCs w:val="0"/>
                <w:color w:val="auto"/>
                <w:kern w:val="2"/>
                <w:sz w:val="28"/>
                <w:szCs w:val="28"/>
                <w:lang w:val="zh-CN" w:eastAsia="zh-CN" w:bidi="ar-SA"/>
              </w:rPr>
              <w:t>不接受开标现场投标解密。</w:t>
            </w:r>
          </w:p>
          <w:p w14:paraId="0B999E41">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zh-CN" w:eastAsia="zh-CN" w:bidi="ar-SA"/>
              </w:rPr>
              <w:t>开标过程中如有问题请咨询：0512-58188511、0471-5332612</w:t>
            </w:r>
          </w:p>
          <w:p w14:paraId="065DEE68">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val="0"/>
                <w:bCs w:val="0"/>
                <w:color w:val="auto"/>
                <w:kern w:val="2"/>
                <w:sz w:val="28"/>
                <w:szCs w:val="28"/>
                <w:lang w:val="en-US" w:eastAsia="zh-CN" w:bidi="ar-SA"/>
              </w:rPr>
              <w:t>2.投标文件解密</w:t>
            </w:r>
            <w:r>
              <w:rPr>
                <w:rFonts w:hint="eastAsia" w:ascii="宋体" w:hAnsi="宋体" w:eastAsia="宋体" w:cs="宋体"/>
                <w:b w:val="0"/>
                <w:bCs w:val="0"/>
                <w:color w:val="auto"/>
                <w:kern w:val="2"/>
                <w:sz w:val="28"/>
                <w:szCs w:val="28"/>
                <w:lang w:val="zh-CN" w:eastAsia="zh-CN" w:bidi="ar-SA"/>
              </w:rPr>
              <w:t>时限：</w:t>
            </w:r>
            <w:r>
              <w:rPr>
                <w:rFonts w:hint="eastAsia" w:ascii="宋体" w:hAnsi="宋体" w:eastAsia="宋体" w:cs="宋体"/>
                <w:b w:val="0"/>
                <w:bCs w:val="0"/>
                <w:color w:val="auto"/>
                <w:kern w:val="2"/>
                <w:sz w:val="28"/>
                <w:szCs w:val="28"/>
                <w:lang w:val="en-US" w:eastAsia="zh-CN" w:bidi="ar-SA"/>
              </w:rPr>
              <w:t>投标文件实行限时解密，解密时长</w:t>
            </w:r>
            <w:r>
              <w:rPr>
                <w:rFonts w:hint="eastAsia" w:ascii="宋体" w:hAnsi="宋体" w:eastAsia="宋体" w:cs="宋体"/>
                <w:b w:val="0"/>
                <w:bCs w:val="0"/>
                <w:color w:val="auto"/>
                <w:kern w:val="2"/>
                <w:sz w:val="28"/>
                <w:szCs w:val="28"/>
                <w:lang w:val="zh-CN" w:eastAsia="zh-CN" w:bidi="ar-SA"/>
              </w:rPr>
              <w:t>30分钟，投标文件未在时限内解密或无法解密（包括经过电子交易平台技术支持后依然无法解密的情形），按放弃投标处理，由代理公司手动退回投标文件。</w:t>
            </w:r>
            <w:r>
              <w:rPr>
                <w:rFonts w:hint="eastAsia" w:ascii="宋体" w:hAnsi="宋体" w:eastAsia="宋体" w:cs="宋体"/>
                <w:b w:val="0"/>
                <w:bCs w:val="0"/>
                <w:color w:val="auto"/>
                <w:kern w:val="2"/>
                <w:sz w:val="28"/>
                <w:szCs w:val="28"/>
                <w:lang w:val="en-US" w:eastAsia="zh-CN" w:bidi="ar-SA"/>
              </w:rPr>
              <w:t>在解密时限内投标文件全部解密的，投标文件解密可提交前结束，进入下一环节。</w:t>
            </w:r>
          </w:p>
        </w:tc>
      </w:tr>
      <w:tr w14:paraId="1C4EB0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961" w:type="dxa"/>
            <w:tcBorders>
              <w:top w:val="single" w:color="auto" w:sz="4" w:space="0"/>
              <w:bottom w:val="single" w:color="auto" w:sz="4" w:space="0"/>
              <w:right w:val="single" w:color="auto" w:sz="4" w:space="0"/>
            </w:tcBorders>
            <w:noWrap w:val="0"/>
            <w:vAlign w:val="center"/>
          </w:tcPr>
          <w:p w14:paraId="7FA5014A">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lang w:val="en-US" w:eastAsia="zh-CN"/>
              </w:rPr>
              <w:t>6</w:t>
            </w:r>
            <w:r>
              <w:rPr>
                <w:rFonts w:hint="eastAsia" w:ascii="宋体" w:hAnsi="宋体" w:eastAsia="宋体" w:cs="宋体"/>
                <w:color w:val="auto"/>
                <w:spacing w:val="-20"/>
                <w:sz w:val="28"/>
                <w:szCs w:val="28"/>
                <w:highlight w:val="none"/>
              </w:rPr>
              <w:t>.1.1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1E8FAD5D">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评标委员会的组建</w:t>
            </w:r>
          </w:p>
        </w:tc>
        <w:tc>
          <w:tcPr>
            <w:tcW w:w="6168" w:type="dxa"/>
            <w:gridSpan w:val="2"/>
            <w:tcBorders>
              <w:top w:val="single" w:color="auto" w:sz="4" w:space="0"/>
              <w:left w:val="single" w:color="auto" w:sz="4" w:space="0"/>
              <w:bottom w:val="single" w:color="auto" w:sz="4" w:space="0"/>
            </w:tcBorders>
            <w:noWrap w:val="0"/>
            <w:vAlign w:val="center"/>
          </w:tcPr>
          <w:p w14:paraId="4A3F689C">
            <w:pPr>
              <w:adjustRightInd w:val="0"/>
              <w:spacing w:line="360" w:lineRule="auto"/>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评标委员会构成：</w:t>
            </w:r>
            <w:r>
              <w:rPr>
                <w:rFonts w:hint="eastAsia" w:ascii="宋体" w:hAnsi="宋体" w:eastAsia="宋体" w:cs="宋体"/>
                <w:color w:val="auto"/>
                <w:sz w:val="28"/>
                <w:szCs w:val="28"/>
                <w:highlight w:val="none"/>
                <w:u w:val="single"/>
                <w:lang w:val="en-US" w:eastAsia="zh-CN"/>
              </w:rPr>
              <w:t>7</w:t>
            </w:r>
            <w:r>
              <w:rPr>
                <w:rFonts w:hint="eastAsia" w:ascii="宋体" w:hAnsi="宋体" w:eastAsia="宋体" w:cs="宋体"/>
                <w:color w:val="auto"/>
                <w:sz w:val="28"/>
                <w:szCs w:val="28"/>
                <w:highlight w:val="none"/>
              </w:rPr>
              <w:t>人。</w:t>
            </w:r>
            <w:r>
              <w:rPr>
                <w:rFonts w:hint="eastAsia" w:ascii="宋体" w:hAnsi="宋体" w:eastAsia="宋体" w:cs="宋体"/>
                <w:color w:val="auto"/>
                <w:sz w:val="28"/>
                <w:szCs w:val="28"/>
                <w:highlight w:val="none"/>
                <w:lang w:val="en-US" w:eastAsia="zh-CN"/>
              </w:rPr>
              <w:t>招标代表</w:t>
            </w:r>
            <w:r>
              <w:rPr>
                <w:rFonts w:hint="eastAsia" w:ascii="宋体" w:hAnsi="宋体" w:eastAsia="宋体" w:cs="宋体"/>
                <w:color w:val="auto"/>
                <w:sz w:val="28"/>
                <w:szCs w:val="28"/>
                <w:highlight w:val="none"/>
                <w:u w:val="single"/>
                <w:lang w:val="en-US" w:eastAsia="zh-CN"/>
              </w:rPr>
              <w:t>2人</w:t>
            </w:r>
            <w:r>
              <w:rPr>
                <w:rFonts w:hint="eastAsia" w:ascii="宋体" w:hAnsi="宋体" w:eastAsia="宋体" w:cs="宋体"/>
                <w:color w:val="auto"/>
                <w:sz w:val="28"/>
                <w:szCs w:val="28"/>
                <w:highlight w:val="none"/>
                <w:u w:val="none"/>
                <w:lang w:val="en-US" w:eastAsia="zh-CN"/>
              </w:rPr>
              <w:t>，</w:t>
            </w:r>
            <w:r>
              <w:rPr>
                <w:rFonts w:hint="eastAsia" w:ascii="宋体" w:hAnsi="宋体" w:eastAsia="宋体" w:cs="宋体"/>
                <w:color w:val="auto"/>
                <w:sz w:val="28"/>
                <w:szCs w:val="28"/>
                <w:highlight w:val="none"/>
                <w:u w:val="none"/>
              </w:rPr>
              <w:t>专家</w:t>
            </w:r>
            <w:r>
              <w:rPr>
                <w:rFonts w:hint="eastAsia" w:ascii="宋体" w:hAnsi="宋体" w:eastAsia="宋体" w:cs="宋体"/>
                <w:color w:val="auto"/>
                <w:sz w:val="28"/>
                <w:szCs w:val="28"/>
                <w:highlight w:val="none"/>
                <w:u w:val="single"/>
                <w:lang w:val="en-US" w:eastAsia="zh-CN"/>
              </w:rPr>
              <w:t>5人</w:t>
            </w:r>
            <w:r>
              <w:rPr>
                <w:rFonts w:hint="eastAsia" w:ascii="宋体" w:hAnsi="宋体" w:eastAsia="宋体" w:cs="宋体"/>
                <w:color w:val="auto"/>
                <w:sz w:val="28"/>
                <w:szCs w:val="28"/>
                <w:highlight w:val="none"/>
                <w:lang w:eastAsia="zh-CN"/>
              </w:rPr>
              <w:t>。</w:t>
            </w:r>
          </w:p>
          <w:p w14:paraId="174CDBE8">
            <w:pPr>
              <w:adjustRightInd w:val="0"/>
              <w:spacing w:line="360" w:lineRule="auto"/>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评标专家确定方式：由专家库中随机抽取</w:t>
            </w:r>
          </w:p>
        </w:tc>
      </w:tr>
      <w:tr w14:paraId="0B36A5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961" w:type="dxa"/>
            <w:tcBorders>
              <w:top w:val="single" w:color="auto" w:sz="4" w:space="0"/>
              <w:bottom w:val="single" w:color="auto" w:sz="4" w:space="0"/>
              <w:right w:val="single" w:color="auto" w:sz="4" w:space="0"/>
            </w:tcBorders>
            <w:noWrap w:val="0"/>
            <w:vAlign w:val="center"/>
          </w:tcPr>
          <w:p w14:paraId="2C27AC9C">
            <w:pPr>
              <w:adjustRightInd w:val="0"/>
              <w:spacing w:line="360" w:lineRule="auto"/>
              <w:jc w:val="center"/>
              <w:textAlignment w:val="baseline"/>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lang w:val="en-US" w:eastAsia="zh-CN"/>
              </w:rPr>
              <w:t>7</w:t>
            </w:r>
            <w:r>
              <w:rPr>
                <w:rFonts w:hint="eastAsia" w:ascii="宋体" w:hAnsi="宋体" w:eastAsia="宋体" w:cs="宋体"/>
                <w:color w:val="auto"/>
                <w:spacing w:val="-20"/>
                <w:sz w:val="28"/>
                <w:szCs w:val="28"/>
                <w:highlight w:val="none"/>
              </w:rPr>
              <w:t>.1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74BD7036">
            <w:pPr>
              <w:adjustRightInd w:val="0"/>
              <w:snapToGri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是否授权评标委员会确定中标人</w:t>
            </w:r>
          </w:p>
        </w:tc>
        <w:tc>
          <w:tcPr>
            <w:tcW w:w="6168" w:type="dxa"/>
            <w:gridSpan w:val="2"/>
            <w:tcBorders>
              <w:top w:val="single" w:color="auto" w:sz="4" w:space="0"/>
              <w:left w:val="single" w:color="auto" w:sz="4" w:space="0"/>
              <w:bottom w:val="single" w:color="auto" w:sz="4" w:space="0"/>
            </w:tcBorders>
            <w:noWrap w:val="0"/>
            <w:vAlign w:val="center"/>
          </w:tcPr>
          <w:p w14:paraId="7D1FD789">
            <w:pPr>
              <w:keepNext w:val="0"/>
              <w:keepLines w:val="0"/>
              <w:widowControl/>
              <w:suppressLineNumbers w:val="0"/>
              <w:spacing w:line="360" w:lineRule="auto"/>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□是</w:t>
            </w:r>
          </w:p>
          <w:p w14:paraId="237644AA">
            <w:pPr>
              <w:keepNext w:val="0"/>
              <w:keepLines w:val="0"/>
              <w:widowControl/>
              <w:suppressLineNumbers w:val="0"/>
              <w:spacing w:line="360" w:lineRule="auto"/>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☑否，推荐的中标候选人数：前三名</w:t>
            </w:r>
          </w:p>
          <w:p w14:paraId="39D8460A">
            <w:pPr>
              <w:keepNext w:val="0"/>
              <w:keepLines w:val="0"/>
              <w:widowControl/>
              <w:suppressLineNumbers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本款细化为：招标人应确定评标委员会推荐的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tc>
      </w:tr>
      <w:tr w14:paraId="34A7A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07" w:hRule="atLeast"/>
          <w:jc w:val="center"/>
        </w:trPr>
        <w:tc>
          <w:tcPr>
            <w:tcW w:w="961" w:type="dxa"/>
            <w:tcBorders>
              <w:top w:val="single" w:color="auto" w:sz="4" w:space="0"/>
              <w:bottom w:val="single" w:color="auto" w:sz="4" w:space="0"/>
              <w:right w:val="single" w:color="auto" w:sz="4" w:space="0"/>
            </w:tcBorders>
            <w:noWrap w:val="0"/>
            <w:vAlign w:val="center"/>
          </w:tcPr>
          <w:p w14:paraId="3C04D88D">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7</w:t>
            </w:r>
            <w:r>
              <w:rPr>
                <w:rFonts w:hint="eastAsia" w:ascii="宋体" w:hAnsi="宋体" w:eastAsia="宋体" w:cs="宋体"/>
                <w:color w:val="auto"/>
                <w:spacing w:val="-20"/>
                <w:sz w:val="28"/>
                <w:szCs w:val="28"/>
                <w:highlight w:val="none"/>
              </w:rPr>
              <w:t>.</w:t>
            </w:r>
            <w:r>
              <w:rPr>
                <w:rFonts w:hint="eastAsia" w:ascii="宋体" w:hAnsi="宋体" w:eastAsia="宋体" w:cs="宋体"/>
                <w:color w:val="auto"/>
                <w:spacing w:val="-20"/>
                <w:sz w:val="28"/>
                <w:szCs w:val="28"/>
                <w:highlight w:val="none"/>
                <w:lang w:val="en-US" w:eastAsia="zh-CN"/>
              </w:rPr>
              <w:t>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2760C43C">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中标候选人公示媒介</w:t>
            </w:r>
          </w:p>
        </w:tc>
        <w:tc>
          <w:tcPr>
            <w:tcW w:w="6168" w:type="dxa"/>
            <w:gridSpan w:val="2"/>
            <w:tcBorders>
              <w:top w:val="single" w:color="auto" w:sz="4" w:space="0"/>
              <w:left w:val="single" w:color="auto" w:sz="4" w:space="0"/>
              <w:bottom w:val="single" w:color="auto" w:sz="4" w:space="0"/>
            </w:tcBorders>
            <w:noWrap w:val="0"/>
            <w:vAlign w:val="center"/>
          </w:tcPr>
          <w:p w14:paraId="423979F7">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内蒙古自治区公共资源交易网（http://ggzyjy.nmg.gov.cn）、中国招标投标公共服务平台（http://www.cebpubservice.com）</w:t>
            </w:r>
          </w:p>
          <w:p w14:paraId="6698125B">
            <w:pPr>
              <w:keepNext w:val="0"/>
              <w:keepLines w:val="0"/>
              <w:pageBreakBefore w:val="0"/>
              <w:numPr>
                <w:ilvl w:val="0"/>
                <w:numId w:val="0"/>
              </w:numPr>
              <w:kinsoku/>
              <w:wordWrap/>
              <w:overflowPunct/>
              <w:topLinePunct w:val="0"/>
              <w:autoSpaceDE/>
              <w:autoSpaceDN/>
              <w:bidi w:val="0"/>
              <w:snapToGrid/>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结果公示在上述网站公布，请各投标人关注网页。</w:t>
            </w:r>
          </w:p>
        </w:tc>
      </w:tr>
      <w:tr w14:paraId="1784B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2" w:hRule="atLeast"/>
          <w:jc w:val="center"/>
        </w:trPr>
        <w:tc>
          <w:tcPr>
            <w:tcW w:w="961" w:type="dxa"/>
            <w:tcBorders>
              <w:top w:val="single" w:color="auto" w:sz="4" w:space="0"/>
              <w:bottom w:val="single" w:color="auto" w:sz="4" w:space="0"/>
              <w:right w:val="single" w:color="auto" w:sz="4" w:space="0"/>
            </w:tcBorders>
            <w:noWrap w:val="0"/>
            <w:vAlign w:val="center"/>
          </w:tcPr>
          <w:p w14:paraId="6CA1026E">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7.4.1</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6F86C0BE">
            <w:pPr>
              <w:adjustRightInd w:val="0"/>
              <w:spacing w:line="36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履约保证金</w:t>
            </w:r>
          </w:p>
        </w:tc>
        <w:tc>
          <w:tcPr>
            <w:tcW w:w="6168" w:type="dxa"/>
            <w:gridSpan w:val="2"/>
            <w:tcBorders>
              <w:top w:val="single" w:color="auto" w:sz="4" w:space="0"/>
              <w:left w:val="single" w:color="auto" w:sz="4" w:space="0"/>
              <w:bottom w:val="single" w:color="auto" w:sz="4" w:space="0"/>
            </w:tcBorders>
            <w:noWrap w:val="0"/>
            <w:vAlign w:val="center"/>
          </w:tcPr>
          <w:p w14:paraId="0F3D5124">
            <w:pPr>
              <w:adjustRightInd w:val="0"/>
              <w:spacing w:line="360" w:lineRule="auto"/>
              <w:jc w:val="left"/>
              <w:textAlignment w:val="baseline"/>
              <w:rPr>
                <w:rFonts w:hint="eastAsia" w:ascii="宋体" w:hAnsi="宋体" w:eastAsia="宋体" w:cs="宋体"/>
                <w:snapToGrid/>
                <w:color w:val="auto"/>
                <w:kern w:val="0"/>
                <w:sz w:val="28"/>
                <w:szCs w:val="28"/>
                <w:highlight w:val="none"/>
                <w:lang w:val="en-US" w:eastAsia="zh-CN" w:bidi="ar"/>
              </w:rPr>
            </w:pPr>
            <w:r>
              <w:rPr>
                <w:rFonts w:hint="eastAsia" w:ascii="宋体" w:hAnsi="宋体" w:eastAsia="宋体" w:cs="宋体"/>
                <w:b/>
                <w:bCs/>
                <w:snapToGrid/>
                <w:color w:val="auto"/>
                <w:kern w:val="0"/>
                <w:sz w:val="28"/>
                <w:szCs w:val="28"/>
                <w:highlight w:val="none"/>
                <w:lang w:val="en-US" w:eastAsia="zh-CN" w:bidi="ar"/>
              </w:rPr>
              <w:t>履约保证金的形式：</w:t>
            </w:r>
            <w:r>
              <w:rPr>
                <w:rFonts w:hint="eastAsia" w:ascii="宋体" w:hAnsi="宋体" w:eastAsia="宋体" w:cs="宋体"/>
                <w:snapToGrid/>
                <w:color w:val="auto"/>
                <w:kern w:val="0"/>
                <w:sz w:val="28"/>
                <w:szCs w:val="28"/>
                <w:highlight w:val="none"/>
                <w:lang w:val="en-US" w:eastAsia="zh-CN" w:bidi="ar"/>
              </w:rPr>
              <w:t>现金或支票或者电汇或者履约保函，若采用现金形式，须由投标人基本账户汇至或转入招标人指定账户；具体形式签订合同前与甲方商定。</w:t>
            </w:r>
          </w:p>
          <w:p w14:paraId="1B268501">
            <w:pPr>
              <w:adjustRightInd w:val="0"/>
              <w:spacing w:line="360" w:lineRule="auto"/>
              <w:jc w:val="left"/>
              <w:textAlignment w:val="baseline"/>
              <w:rPr>
                <w:rFonts w:hint="eastAsia" w:ascii="宋体" w:hAnsi="宋体" w:eastAsia="宋体" w:cs="宋体"/>
                <w:snapToGrid/>
                <w:color w:val="auto"/>
                <w:kern w:val="0"/>
                <w:sz w:val="28"/>
                <w:szCs w:val="28"/>
                <w:highlight w:val="none"/>
                <w:lang w:val="en-US" w:eastAsia="zh-CN" w:bidi="ar"/>
              </w:rPr>
            </w:pPr>
            <w:r>
              <w:rPr>
                <w:rFonts w:hint="eastAsia" w:ascii="宋体" w:hAnsi="宋体" w:eastAsia="宋体" w:cs="宋体"/>
                <w:b/>
                <w:bCs/>
                <w:snapToGrid/>
                <w:color w:val="auto"/>
                <w:kern w:val="0"/>
                <w:sz w:val="28"/>
                <w:szCs w:val="28"/>
                <w:highlight w:val="none"/>
                <w:lang w:val="en-US" w:eastAsia="zh-CN" w:bidi="ar"/>
              </w:rPr>
              <w:t>履约保证金的金额：</w:t>
            </w:r>
            <w:r>
              <w:rPr>
                <w:rFonts w:hint="eastAsia" w:ascii="宋体" w:hAnsi="宋体" w:eastAsia="宋体" w:cs="宋体"/>
                <w:snapToGrid/>
                <w:color w:val="auto"/>
                <w:kern w:val="0"/>
                <w:sz w:val="28"/>
                <w:szCs w:val="28"/>
                <w:highlight w:val="none"/>
                <w:lang w:val="en-US" w:eastAsia="zh-CN" w:bidi="ar"/>
              </w:rPr>
              <w:t>中标价的</w:t>
            </w:r>
            <w:r>
              <w:rPr>
                <w:rFonts w:hint="eastAsia" w:ascii="宋体" w:hAnsi="宋体" w:cs="宋体"/>
                <w:snapToGrid/>
                <w:color w:val="auto"/>
                <w:kern w:val="0"/>
                <w:sz w:val="28"/>
                <w:szCs w:val="28"/>
                <w:highlight w:val="none"/>
                <w:lang w:val="en-US" w:eastAsia="zh-CN" w:bidi="ar"/>
              </w:rPr>
              <w:t>10</w:t>
            </w:r>
            <w:r>
              <w:rPr>
                <w:rFonts w:hint="eastAsia" w:ascii="宋体" w:hAnsi="宋体" w:eastAsia="宋体" w:cs="宋体"/>
                <w:snapToGrid/>
                <w:color w:val="auto"/>
                <w:kern w:val="0"/>
                <w:sz w:val="28"/>
                <w:szCs w:val="28"/>
                <w:highlight w:val="none"/>
                <w:lang w:val="en-US" w:eastAsia="zh-CN" w:bidi="ar"/>
              </w:rPr>
              <w:t>%。</w:t>
            </w:r>
          </w:p>
          <w:p w14:paraId="7951746D">
            <w:pPr>
              <w:adjustRightInd w:val="0"/>
              <w:spacing w:line="360" w:lineRule="auto"/>
              <w:jc w:val="left"/>
              <w:textAlignment w:val="baseline"/>
              <w:rPr>
                <w:rFonts w:hint="eastAsia" w:ascii="宋体" w:hAnsi="宋体" w:eastAsia="宋体" w:cs="宋体"/>
                <w:snapToGrid/>
                <w:color w:val="auto"/>
                <w:kern w:val="0"/>
                <w:sz w:val="28"/>
                <w:szCs w:val="28"/>
                <w:highlight w:val="none"/>
                <w:lang w:val="en-US" w:eastAsia="zh-CN" w:bidi="ar"/>
              </w:rPr>
            </w:pPr>
            <w:r>
              <w:rPr>
                <w:rFonts w:hint="eastAsia" w:ascii="宋体" w:hAnsi="宋体" w:eastAsia="宋体" w:cs="宋体"/>
                <w:b/>
                <w:bCs/>
                <w:snapToGrid/>
                <w:color w:val="auto"/>
                <w:kern w:val="0"/>
                <w:sz w:val="28"/>
                <w:szCs w:val="28"/>
                <w:highlight w:val="none"/>
                <w:lang w:val="en-US" w:eastAsia="zh-CN" w:bidi="ar"/>
              </w:rPr>
              <w:t>履约保证金提交时间：</w:t>
            </w:r>
            <w:r>
              <w:rPr>
                <w:rFonts w:hint="eastAsia" w:ascii="宋体" w:hAnsi="宋体" w:eastAsia="宋体" w:cs="宋体"/>
                <w:snapToGrid/>
                <w:color w:val="auto"/>
                <w:kern w:val="0"/>
                <w:sz w:val="28"/>
                <w:szCs w:val="28"/>
                <w:highlight w:val="none"/>
                <w:lang w:val="en-US" w:eastAsia="zh-CN" w:bidi="ar"/>
              </w:rPr>
              <w:t>领取中标通知书后28 天内。不按照上述规定缴纳的，甲方有权解除其中标资格。</w:t>
            </w:r>
          </w:p>
        </w:tc>
      </w:tr>
      <w:tr w14:paraId="53962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61" w:type="dxa"/>
            <w:tcBorders>
              <w:top w:val="single" w:color="auto" w:sz="4" w:space="0"/>
              <w:bottom w:val="single" w:color="auto" w:sz="4" w:space="0"/>
              <w:right w:val="single" w:color="auto" w:sz="4" w:space="0"/>
            </w:tcBorders>
            <w:noWrap w:val="0"/>
            <w:vAlign w:val="center"/>
          </w:tcPr>
          <w:p w14:paraId="027D689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w:t>
            </w:r>
          </w:p>
        </w:tc>
        <w:tc>
          <w:tcPr>
            <w:tcW w:w="7839" w:type="dxa"/>
            <w:gridSpan w:val="3"/>
            <w:tcBorders>
              <w:top w:val="single" w:color="auto" w:sz="4" w:space="0"/>
              <w:left w:val="single" w:color="auto" w:sz="4" w:space="0"/>
              <w:bottom w:val="single" w:color="auto" w:sz="4" w:space="0"/>
            </w:tcBorders>
            <w:noWrap w:val="0"/>
            <w:vAlign w:val="center"/>
          </w:tcPr>
          <w:p w14:paraId="3DE88ED9">
            <w:pPr>
              <w:keepNext w:val="0"/>
              <w:keepLines w:val="0"/>
              <w:widowControl/>
              <w:suppressLineNumbers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需要补充的其他内容</w:t>
            </w:r>
          </w:p>
        </w:tc>
      </w:tr>
      <w:tr w14:paraId="1BEA6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61" w:type="dxa"/>
            <w:tcBorders>
              <w:top w:val="single" w:color="auto" w:sz="4" w:space="0"/>
              <w:bottom w:val="single" w:color="auto" w:sz="4" w:space="0"/>
              <w:right w:val="single" w:color="auto" w:sz="4" w:space="0"/>
            </w:tcBorders>
            <w:noWrap w:val="0"/>
            <w:vAlign w:val="center"/>
          </w:tcPr>
          <w:p w14:paraId="2331AA6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10.1</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14AC8CDE">
            <w:pPr>
              <w:adjustRightInd w:val="0"/>
              <w:spacing w:line="360" w:lineRule="auto"/>
              <w:jc w:val="center"/>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招标方式</w:t>
            </w:r>
          </w:p>
        </w:tc>
        <w:tc>
          <w:tcPr>
            <w:tcW w:w="6013" w:type="dxa"/>
            <w:tcBorders>
              <w:top w:val="single" w:color="auto" w:sz="4" w:space="0"/>
              <w:left w:val="single" w:color="auto" w:sz="4" w:space="0"/>
              <w:bottom w:val="single" w:color="auto" w:sz="4" w:space="0"/>
            </w:tcBorders>
            <w:noWrap w:val="0"/>
            <w:vAlign w:val="center"/>
          </w:tcPr>
          <w:p w14:paraId="3F68127A">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公开招标</w:t>
            </w:r>
          </w:p>
        </w:tc>
      </w:tr>
      <w:tr w14:paraId="745928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8" w:hRule="atLeast"/>
          <w:jc w:val="center"/>
        </w:trPr>
        <w:tc>
          <w:tcPr>
            <w:tcW w:w="961" w:type="dxa"/>
            <w:tcBorders>
              <w:top w:val="single" w:color="auto" w:sz="4" w:space="0"/>
              <w:bottom w:val="single" w:color="auto" w:sz="4" w:space="0"/>
              <w:right w:val="single" w:color="auto" w:sz="4" w:space="0"/>
            </w:tcBorders>
            <w:noWrap w:val="0"/>
            <w:vAlign w:val="center"/>
          </w:tcPr>
          <w:p w14:paraId="039109A2">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10.2</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11CDB635">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评标办法标准</w:t>
            </w:r>
          </w:p>
        </w:tc>
        <w:tc>
          <w:tcPr>
            <w:tcW w:w="6013" w:type="dxa"/>
            <w:tcBorders>
              <w:top w:val="single" w:color="auto" w:sz="4" w:space="0"/>
              <w:left w:val="single" w:color="auto" w:sz="4" w:space="0"/>
              <w:bottom w:val="single" w:color="auto" w:sz="4" w:space="0"/>
            </w:tcBorders>
            <w:noWrap w:val="0"/>
            <w:vAlign w:val="center"/>
          </w:tcPr>
          <w:p w14:paraId="10D089A5">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综合评估法，详见“第三章评标办法”</w:t>
            </w:r>
          </w:p>
        </w:tc>
      </w:tr>
      <w:tr w14:paraId="778304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jc w:val="center"/>
        </w:trPr>
        <w:tc>
          <w:tcPr>
            <w:tcW w:w="961" w:type="dxa"/>
            <w:tcBorders>
              <w:top w:val="single" w:color="auto" w:sz="4" w:space="0"/>
              <w:bottom w:val="single" w:color="auto" w:sz="4" w:space="0"/>
              <w:right w:val="single" w:color="auto" w:sz="4" w:space="0"/>
            </w:tcBorders>
            <w:noWrap w:val="0"/>
            <w:vAlign w:val="center"/>
          </w:tcPr>
          <w:p w14:paraId="5FA4BB0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10.3</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29BF3A4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资格审查方式</w:t>
            </w:r>
          </w:p>
        </w:tc>
        <w:tc>
          <w:tcPr>
            <w:tcW w:w="6013" w:type="dxa"/>
            <w:tcBorders>
              <w:top w:val="single" w:color="auto" w:sz="4" w:space="0"/>
              <w:left w:val="single" w:color="auto" w:sz="4" w:space="0"/>
              <w:bottom w:val="single" w:color="auto" w:sz="4" w:space="0"/>
            </w:tcBorders>
            <w:noWrap w:val="0"/>
            <w:vAlign w:val="center"/>
          </w:tcPr>
          <w:p w14:paraId="4521CFF4">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资格后审</w:t>
            </w:r>
          </w:p>
        </w:tc>
      </w:tr>
      <w:tr w14:paraId="39A57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18" w:hRule="atLeast"/>
          <w:jc w:val="center"/>
        </w:trPr>
        <w:tc>
          <w:tcPr>
            <w:tcW w:w="961" w:type="dxa"/>
            <w:tcBorders>
              <w:top w:val="single" w:color="auto" w:sz="4" w:space="0"/>
              <w:bottom w:val="single" w:color="auto" w:sz="4" w:space="0"/>
              <w:right w:val="single" w:color="auto" w:sz="4" w:space="0"/>
            </w:tcBorders>
            <w:noWrap w:val="0"/>
            <w:vAlign w:val="center"/>
          </w:tcPr>
          <w:p w14:paraId="24FC4AA5">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10.4</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29209888">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最终结算</w:t>
            </w:r>
          </w:p>
        </w:tc>
        <w:tc>
          <w:tcPr>
            <w:tcW w:w="6013" w:type="dxa"/>
            <w:tcBorders>
              <w:top w:val="single" w:color="auto" w:sz="4" w:space="0"/>
              <w:left w:val="single" w:color="auto" w:sz="4" w:space="0"/>
              <w:bottom w:val="single" w:color="auto" w:sz="4" w:space="0"/>
            </w:tcBorders>
            <w:noWrap w:val="0"/>
            <w:vAlign w:val="center"/>
          </w:tcPr>
          <w:p w14:paraId="37688F37">
            <w:pPr>
              <w:adjustRightInd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设计部分按中标金额为准；施工、采购部分最终价款以最终审定的工程结算价格为准；按照签订的施工总承包合同约定方式或按资金落实情况分期拨付。</w:t>
            </w:r>
          </w:p>
        </w:tc>
      </w:tr>
      <w:tr w14:paraId="0228F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961" w:type="dxa"/>
            <w:tcBorders>
              <w:top w:val="single" w:color="auto" w:sz="4" w:space="0"/>
              <w:bottom w:val="single" w:color="auto" w:sz="4" w:space="0"/>
              <w:right w:val="single" w:color="auto" w:sz="4" w:space="0"/>
            </w:tcBorders>
            <w:noWrap w:val="0"/>
            <w:vAlign w:val="center"/>
          </w:tcPr>
          <w:p w14:paraId="564A0666">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10.5</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5D843DEC">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招标代理</w:t>
            </w:r>
          </w:p>
          <w:p w14:paraId="1B98370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服务费</w:t>
            </w:r>
          </w:p>
        </w:tc>
        <w:tc>
          <w:tcPr>
            <w:tcW w:w="6013" w:type="dxa"/>
            <w:tcBorders>
              <w:top w:val="single" w:color="auto" w:sz="4" w:space="0"/>
              <w:left w:val="single" w:color="auto" w:sz="4" w:space="0"/>
              <w:bottom w:val="single" w:color="auto" w:sz="4" w:space="0"/>
            </w:tcBorders>
            <w:noWrap w:val="0"/>
            <w:vAlign w:val="center"/>
          </w:tcPr>
          <w:p w14:paraId="0FC0907C">
            <w:pPr>
              <w:adjustRightInd/>
              <w:snapToGrid/>
              <w:spacing w:after="0" w:line="360" w:lineRule="auto"/>
              <w:jc w:val="left"/>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sz w:val="28"/>
                <w:szCs w:val="28"/>
                <w:highlight w:val="none"/>
                <w:lang w:val="en-US" w:eastAsia="zh-CN"/>
              </w:rPr>
              <w:t>招标服务收费标准参照内工建协[2022]34号文件规定的收费标准为依据，由</w:t>
            </w:r>
            <w:bookmarkStart w:id="546" w:name="_GoBack"/>
            <w:bookmarkEnd w:id="546"/>
            <w:r>
              <w:rPr>
                <w:rFonts w:hint="eastAsia" w:ascii="宋体" w:hAnsi="宋体" w:eastAsia="宋体" w:cs="宋体"/>
                <w:color w:val="auto"/>
                <w:sz w:val="28"/>
                <w:szCs w:val="28"/>
                <w:highlight w:val="none"/>
                <w:lang w:val="en-US" w:eastAsia="zh-CN"/>
              </w:rPr>
              <w:t>中标人支付。</w:t>
            </w:r>
          </w:p>
        </w:tc>
      </w:tr>
      <w:tr w14:paraId="20DC3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jc w:val="center"/>
        </w:trPr>
        <w:tc>
          <w:tcPr>
            <w:tcW w:w="961" w:type="dxa"/>
            <w:tcBorders>
              <w:top w:val="single" w:color="auto" w:sz="4" w:space="0"/>
              <w:bottom w:val="single" w:color="auto" w:sz="4" w:space="0"/>
              <w:right w:val="single" w:color="auto" w:sz="4" w:space="0"/>
            </w:tcBorders>
            <w:noWrap w:val="0"/>
            <w:vAlign w:val="center"/>
          </w:tcPr>
          <w:p w14:paraId="01B9DE0C">
            <w:pPr>
              <w:adjustRightInd w:val="0"/>
              <w:spacing w:line="360" w:lineRule="auto"/>
              <w:jc w:val="center"/>
              <w:textAlignment w:val="baseline"/>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lang w:val="en-US" w:eastAsia="zh-CN"/>
              </w:rPr>
              <w:t>10.6</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527838FA">
            <w:pPr>
              <w:adjustRightInd w:val="0"/>
              <w:spacing w:line="360" w:lineRule="auto"/>
              <w:jc w:val="center"/>
              <w:textAlignment w:val="baseline"/>
              <w:rPr>
                <w:rFonts w:hint="eastAsia" w:ascii="宋体" w:hAnsi="宋体" w:eastAsia="宋体" w:cs="宋体"/>
                <w:color w:val="auto"/>
                <w:sz w:val="28"/>
                <w:szCs w:val="28"/>
                <w:highlight w:val="red"/>
                <w:lang w:val="en-US" w:eastAsia="zh-CN"/>
              </w:rPr>
            </w:pPr>
            <w:r>
              <w:rPr>
                <w:rFonts w:hint="eastAsia" w:ascii="宋体" w:hAnsi="宋体" w:eastAsia="宋体" w:cs="宋体"/>
                <w:color w:val="auto"/>
                <w:sz w:val="28"/>
                <w:szCs w:val="28"/>
                <w:highlight w:val="none"/>
                <w:lang w:val="en-US" w:eastAsia="zh-CN"/>
              </w:rPr>
              <w:t>工程质量保证金</w:t>
            </w:r>
          </w:p>
        </w:tc>
        <w:tc>
          <w:tcPr>
            <w:tcW w:w="6013" w:type="dxa"/>
            <w:tcBorders>
              <w:top w:val="single" w:color="auto" w:sz="4" w:space="0"/>
              <w:left w:val="single" w:color="auto" w:sz="4" w:space="0"/>
              <w:bottom w:val="single" w:color="auto" w:sz="4" w:space="0"/>
            </w:tcBorders>
            <w:noWrap w:val="0"/>
            <w:vAlign w:val="center"/>
          </w:tcPr>
          <w:p w14:paraId="50723532">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本工程实行质量保证金制度，在项目通过上级主管部门验收前预留合同价款的3%作为工程质量保证金，质量保证金退还时间双方在合同中约定。</w:t>
            </w:r>
          </w:p>
          <w:p w14:paraId="08B4386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8"/>
                <w:szCs w:val="28"/>
                <w:highlight w:val="red"/>
                <w:lang w:val="en-US" w:eastAsia="zh-CN"/>
              </w:rPr>
            </w:pPr>
            <w:r>
              <w:rPr>
                <w:rFonts w:hint="eastAsia" w:ascii="宋体" w:hAnsi="宋体" w:eastAsia="宋体" w:cs="宋体"/>
                <w:color w:val="auto"/>
                <w:sz w:val="28"/>
                <w:szCs w:val="28"/>
                <w:highlight w:val="none"/>
                <w:lang w:val="en-US" w:eastAsia="zh-CN"/>
              </w:rPr>
              <w:t>质量保证金可采用银行保函或现金、支票形式，采用银行保函时，出具保函的银行须具有相应担保能力，且按照发包人批准的格式出具，所需费用由承包人承担。如工程存在质量问题，乙方在保修期内按照有关法律、法规及双方约定，承担本工程的保修责任，若乙方未按规定履行保修义务而发生的费用，将从预留工程质量保证金中扣取。</w:t>
            </w:r>
          </w:p>
        </w:tc>
      </w:tr>
      <w:tr w14:paraId="748662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961" w:type="dxa"/>
            <w:tcBorders>
              <w:top w:val="single" w:color="auto" w:sz="4" w:space="0"/>
              <w:bottom w:val="single" w:color="auto" w:sz="4" w:space="0"/>
              <w:right w:val="single" w:color="auto" w:sz="4" w:space="0"/>
            </w:tcBorders>
            <w:noWrap w:val="0"/>
            <w:vAlign w:val="center"/>
          </w:tcPr>
          <w:p w14:paraId="6807EAB0">
            <w:pPr>
              <w:adjustRightInd w:val="0"/>
              <w:spacing w:line="360" w:lineRule="auto"/>
              <w:jc w:val="center"/>
              <w:textAlignment w:val="baseline"/>
              <w:rPr>
                <w:rFonts w:hint="eastAsia" w:ascii="宋体" w:hAnsi="宋体" w:eastAsia="宋体" w:cs="宋体"/>
                <w:bCs/>
                <w:color w:val="auto"/>
                <w:spacing w:val="-20"/>
                <w:sz w:val="28"/>
                <w:szCs w:val="28"/>
                <w:highlight w:val="none"/>
                <w:lang w:val="en-US"/>
              </w:rPr>
            </w:pPr>
            <w:r>
              <w:rPr>
                <w:rFonts w:hint="eastAsia" w:ascii="宋体" w:hAnsi="宋体" w:eastAsia="宋体" w:cs="宋体"/>
                <w:color w:val="auto"/>
                <w:spacing w:val="-20"/>
                <w:sz w:val="28"/>
                <w:szCs w:val="28"/>
                <w:highlight w:val="none"/>
                <w:lang w:val="en-US" w:eastAsia="zh-CN"/>
              </w:rPr>
              <w:t>10.7</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4517FE49">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农（牧）民工工资保证金</w:t>
            </w:r>
          </w:p>
        </w:tc>
        <w:tc>
          <w:tcPr>
            <w:tcW w:w="6013" w:type="dxa"/>
            <w:tcBorders>
              <w:top w:val="single" w:color="auto" w:sz="4" w:space="0"/>
              <w:left w:val="single" w:color="auto" w:sz="4" w:space="0"/>
              <w:bottom w:val="single" w:color="auto" w:sz="4" w:space="0"/>
            </w:tcBorders>
            <w:noWrap w:val="0"/>
            <w:vAlign w:val="center"/>
          </w:tcPr>
          <w:p w14:paraId="3162585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按《内蒙古自治区建筑工人实名制和工资支付管理办法》内建工{2018}370号文件执行</w:t>
            </w:r>
          </w:p>
          <w:p w14:paraId="1AD756E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农民工工资保证金专用账户：</w:t>
            </w:r>
          </w:p>
          <w:p w14:paraId="1073161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（1）投标单位在中标后与招标人签订合同时必须出具项目所在地开具的《农民工工资保证金专用账户》。</w:t>
            </w:r>
          </w:p>
          <w:p w14:paraId="20D9825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中标单位须依法与招用的农民工签订劳动合同并严格履行，建立职工名册并办理劳动用工备案。全面实行农民工实名制管理制度，建立劳动计酬手册，记录施工现场作业农民工的身份信息、劳动考勤、工资结算以及经农民工本人签字确认的工资支付书面记录等材料一并提交至我方备查。</w:t>
            </w:r>
          </w:p>
        </w:tc>
      </w:tr>
      <w:tr w14:paraId="704238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61" w:type="dxa"/>
            <w:tcBorders>
              <w:top w:val="single" w:color="auto" w:sz="4" w:space="0"/>
              <w:bottom w:val="single" w:color="auto" w:sz="4" w:space="0"/>
              <w:right w:val="single" w:color="auto" w:sz="4" w:space="0"/>
            </w:tcBorders>
            <w:noWrap w:val="0"/>
            <w:vAlign w:val="center"/>
          </w:tcPr>
          <w:p w14:paraId="4D5FA00B">
            <w:pPr>
              <w:adjustRightInd w:val="0"/>
              <w:spacing w:line="360" w:lineRule="auto"/>
              <w:jc w:val="center"/>
              <w:textAlignment w:val="baseline"/>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kern w:val="0"/>
                <w:sz w:val="28"/>
                <w:szCs w:val="28"/>
                <w:highlight w:val="none"/>
                <w:lang w:val="en-US" w:eastAsia="zh-CN" w:bidi="zh-CN"/>
              </w:rPr>
              <w:t>10.8</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7CA12B54">
            <w:pPr>
              <w:adjustRightInd w:val="0"/>
              <w:spacing w:line="360" w:lineRule="auto"/>
              <w:jc w:val="center"/>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付款方式</w:t>
            </w:r>
            <w:r>
              <w:rPr>
                <w:rFonts w:hint="eastAsia" w:ascii="宋体" w:hAnsi="宋体" w:eastAsia="宋体" w:cs="宋体"/>
                <w:color w:val="auto"/>
                <w:sz w:val="28"/>
                <w:szCs w:val="28"/>
                <w:highlight w:val="none"/>
                <w:lang w:val="en-US" w:eastAsia="zh-CN"/>
              </w:rPr>
              <w:t>及付款依据</w:t>
            </w:r>
          </w:p>
        </w:tc>
        <w:tc>
          <w:tcPr>
            <w:tcW w:w="6013" w:type="dxa"/>
            <w:tcBorders>
              <w:top w:val="single" w:color="auto" w:sz="4" w:space="0"/>
              <w:left w:val="single" w:color="auto" w:sz="4" w:space="0"/>
              <w:bottom w:val="single" w:color="auto" w:sz="4" w:space="0"/>
            </w:tcBorders>
            <w:noWrap w:val="0"/>
            <w:vAlign w:val="center"/>
          </w:tcPr>
          <w:p w14:paraId="2A689274">
            <w:pPr>
              <w:numPr>
                <w:ilvl w:val="0"/>
                <w:numId w:val="0"/>
              </w:numPr>
              <w:spacing w:line="360" w:lineRule="auto"/>
              <w:ind w:left="0" w:leftChars="0" w:firstLine="0" w:firstLineChars="0"/>
              <w:jc w:val="left"/>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按工程进度付款，具体付款方式以签订施工合同为准。</w:t>
            </w:r>
          </w:p>
        </w:tc>
      </w:tr>
      <w:tr w14:paraId="55ADE0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61" w:type="dxa"/>
            <w:tcBorders>
              <w:top w:val="single" w:color="auto" w:sz="4" w:space="0"/>
              <w:bottom w:val="single" w:color="auto" w:sz="4" w:space="0"/>
              <w:right w:val="single" w:color="auto" w:sz="4" w:space="0"/>
            </w:tcBorders>
            <w:noWrap w:val="0"/>
            <w:vAlign w:val="center"/>
          </w:tcPr>
          <w:p w14:paraId="0039BF4F">
            <w:pPr>
              <w:adjustRightInd w:val="0"/>
              <w:spacing w:line="360" w:lineRule="auto"/>
              <w:jc w:val="center"/>
              <w:textAlignment w:val="baseline"/>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spacing w:val="-8"/>
                <w:sz w:val="28"/>
                <w:szCs w:val="28"/>
                <w:highlight w:val="none"/>
                <w:lang w:val="en-US" w:eastAsia="zh-CN"/>
              </w:rPr>
              <w:t>10.9</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0813AB0B">
            <w:pPr>
              <w:spacing w:line="360" w:lineRule="auto"/>
              <w:ind w:left="0" w:leftChars="0" w:right="0" w:right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签订合同</w:t>
            </w:r>
          </w:p>
        </w:tc>
        <w:tc>
          <w:tcPr>
            <w:tcW w:w="6013" w:type="dxa"/>
            <w:tcBorders>
              <w:top w:val="single" w:color="auto" w:sz="4" w:space="0"/>
              <w:left w:val="single" w:color="auto" w:sz="4" w:space="0"/>
              <w:bottom w:val="single" w:color="auto" w:sz="4" w:space="0"/>
            </w:tcBorders>
            <w:noWrap w:val="0"/>
            <w:vAlign w:val="center"/>
          </w:tcPr>
          <w:p w14:paraId="1E96EC4B">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Chars="0"/>
              <w:jc w:val="both"/>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为确保本项目按照约定工期开工及完成，自中标通知书发送之日起30日内未签订施工合同或未缴纳保证金（如有）则视为自动放弃中标资格，无法满足上述条件的自动放弃中标资格的中标人，招标人可根据中标候选人公示顺延中标单位或重新招标。</w:t>
            </w:r>
          </w:p>
          <w:p w14:paraId="573EE7F5">
            <w:pPr>
              <w:spacing w:line="360" w:lineRule="auto"/>
              <w:ind w:left="0" w:leftChars="0" w:right="0" w:rightChars="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依据：《中华人民共和国招标投标法》第四十六条招标人和中标人应当自中标通知书发出之日起三十日内，按照招标文件和中标人的投标文件订立书面合同。</w:t>
            </w:r>
          </w:p>
        </w:tc>
      </w:tr>
      <w:tr w14:paraId="3933E5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1" w:hRule="atLeast"/>
          <w:jc w:val="center"/>
        </w:trPr>
        <w:tc>
          <w:tcPr>
            <w:tcW w:w="961" w:type="dxa"/>
            <w:tcBorders>
              <w:top w:val="single" w:color="auto" w:sz="4" w:space="0"/>
              <w:bottom w:val="single" w:color="auto" w:sz="4" w:space="0"/>
              <w:right w:val="single" w:color="auto" w:sz="4" w:space="0"/>
            </w:tcBorders>
            <w:noWrap w:val="0"/>
            <w:vAlign w:val="center"/>
          </w:tcPr>
          <w:p w14:paraId="4CE06E2A">
            <w:pPr>
              <w:adjustRightInd w:val="0"/>
              <w:spacing w:line="360" w:lineRule="auto"/>
              <w:jc w:val="center"/>
              <w:textAlignment w:val="baseline"/>
              <w:rPr>
                <w:rFonts w:hint="eastAsia" w:ascii="宋体" w:hAnsi="宋体" w:eastAsia="宋体" w:cs="宋体"/>
                <w:color w:val="auto"/>
                <w:spacing w:val="-8"/>
                <w:sz w:val="28"/>
                <w:szCs w:val="28"/>
                <w:highlight w:val="none"/>
                <w:lang w:val="en-US" w:eastAsia="zh-CN"/>
              </w:rPr>
            </w:pPr>
            <w:bookmarkStart w:id="41" w:name="_Toc283289410"/>
            <w:bookmarkStart w:id="42" w:name="_Toc283196390"/>
            <w:bookmarkStart w:id="43" w:name="_Toc282958588"/>
            <w:bookmarkStart w:id="44" w:name="_Toc25263"/>
            <w:bookmarkStart w:id="45" w:name="_Toc282823812"/>
            <w:bookmarkStart w:id="46" w:name="_Toc275437765"/>
            <w:r>
              <w:rPr>
                <w:rFonts w:hint="eastAsia" w:ascii="宋体" w:hAnsi="宋体" w:eastAsia="宋体" w:cs="宋体"/>
                <w:color w:val="auto"/>
                <w:spacing w:val="-8"/>
                <w:sz w:val="28"/>
                <w:szCs w:val="28"/>
                <w:highlight w:val="none"/>
                <w:lang w:val="en-US" w:eastAsia="zh-CN"/>
              </w:rPr>
              <w:t>10.10</w:t>
            </w:r>
          </w:p>
        </w:tc>
        <w:tc>
          <w:tcPr>
            <w:tcW w:w="1826" w:type="dxa"/>
            <w:gridSpan w:val="2"/>
            <w:tcBorders>
              <w:top w:val="single" w:color="auto" w:sz="4" w:space="0"/>
              <w:left w:val="single" w:color="auto" w:sz="4" w:space="0"/>
              <w:bottom w:val="single" w:color="auto" w:sz="4" w:space="0"/>
              <w:right w:val="single" w:color="auto" w:sz="4" w:space="0"/>
            </w:tcBorders>
            <w:noWrap w:val="0"/>
            <w:vAlign w:val="center"/>
          </w:tcPr>
          <w:p w14:paraId="0F68A0DF">
            <w:pPr>
              <w:spacing w:line="360" w:lineRule="auto"/>
              <w:ind w:left="0" w:leftChars="0" w:right="0" w:rightChars="0"/>
              <w:jc w:val="center"/>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color w:val="auto"/>
                <w:sz w:val="28"/>
                <w:szCs w:val="28"/>
                <w:highlight w:val="none"/>
              </w:rPr>
              <w:t>关于本项目所有澄清、变更、补遗等信息资料发布的媒介</w:t>
            </w:r>
          </w:p>
        </w:tc>
        <w:tc>
          <w:tcPr>
            <w:tcW w:w="6013" w:type="dxa"/>
            <w:tcBorders>
              <w:top w:val="single" w:color="auto" w:sz="4" w:space="0"/>
              <w:left w:val="single" w:color="auto" w:sz="4" w:space="0"/>
              <w:bottom w:val="single" w:color="auto" w:sz="4" w:space="0"/>
            </w:tcBorders>
            <w:noWrap w:val="0"/>
            <w:vAlign w:val="center"/>
          </w:tcPr>
          <w:p w14:paraId="7AB81A1B">
            <w:pPr>
              <w:spacing w:line="360" w:lineRule="auto"/>
              <w:ind w:left="0" w:leftChars="0" w:right="0" w:rightChars="0"/>
              <w:jc w:val="left"/>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rPr>
              <w:t>关于本项目所有的澄清、变更、补遗等文件将在</w:t>
            </w:r>
            <w:r>
              <w:rPr>
                <w:rFonts w:hint="eastAsia" w:ascii="宋体" w:hAnsi="宋体" w:eastAsia="宋体" w:cs="宋体"/>
                <w:color w:val="auto"/>
                <w:sz w:val="28"/>
                <w:szCs w:val="28"/>
                <w:highlight w:val="none"/>
                <w:lang w:val="en-US" w:eastAsia="zh-CN"/>
              </w:rPr>
              <w:t>相关网站</w:t>
            </w:r>
            <w:r>
              <w:rPr>
                <w:rFonts w:hint="eastAsia" w:ascii="宋体" w:hAnsi="宋体" w:eastAsia="宋体" w:cs="宋体"/>
                <w:color w:val="auto"/>
                <w:sz w:val="28"/>
                <w:szCs w:val="28"/>
                <w:highlight w:val="none"/>
              </w:rPr>
              <w:t>上发布，望各投标单位及时关注本项目的更新信息。若因投标人自身原因未及时获取相关补遗、变更、澄清文件等相关的资料信息，由此造成的后果由投标人自己承担。</w:t>
            </w:r>
          </w:p>
        </w:tc>
      </w:tr>
      <w:tr w14:paraId="09FB8C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61" w:type="dxa"/>
            <w:tcBorders>
              <w:top w:val="single" w:color="auto" w:sz="4" w:space="0"/>
              <w:bottom w:val="single" w:color="auto" w:sz="4" w:space="0"/>
              <w:right w:val="single" w:color="auto" w:sz="4" w:space="0"/>
            </w:tcBorders>
            <w:shd w:val="clear" w:color="auto" w:fill="auto"/>
            <w:noWrap w:val="0"/>
            <w:vAlign w:val="center"/>
          </w:tcPr>
          <w:p w14:paraId="120EF157">
            <w:pPr>
              <w:adjustRightInd w:val="0"/>
              <w:spacing w:line="360" w:lineRule="auto"/>
              <w:jc w:val="center"/>
              <w:textAlignment w:val="baseline"/>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spacing w:val="-8"/>
                <w:sz w:val="28"/>
                <w:szCs w:val="28"/>
                <w:highlight w:val="none"/>
                <w:lang w:val="en-US" w:eastAsia="zh-CN"/>
              </w:rPr>
              <w:t>10.11</w:t>
            </w:r>
          </w:p>
        </w:tc>
        <w:tc>
          <w:tcPr>
            <w:tcW w:w="182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4ED16C4B">
            <w:pPr>
              <w:adjustRightInd w:val="0"/>
              <w:spacing w:line="360" w:lineRule="auto"/>
              <w:jc w:val="center"/>
              <w:textAlignment w:val="baseline"/>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暗标编制要求</w:t>
            </w:r>
          </w:p>
        </w:tc>
        <w:tc>
          <w:tcPr>
            <w:tcW w:w="6013" w:type="dxa"/>
            <w:tcBorders>
              <w:top w:val="single" w:color="auto" w:sz="4" w:space="0"/>
              <w:left w:val="single" w:color="auto" w:sz="4" w:space="0"/>
              <w:bottom w:val="single" w:color="auto" w:sz="4" w:space="0"/>
            </w:tcBorders>
            <w:shd w:val="clear" w:color="auto" w:fill="auto"/>
            <w:noWrap w:val="0"/>
            <w:vAlign w:val="center"/>
          </w:tcPr>
          <w:p w14:paraId="50AA4E75">
            <w:pPr>
              <w:pStyle w:val="17"/>
              <w:spacing w:after="0" w:line="360" w:lineRule="auto"/>
              <w:ind w:left="0" w:leftChars="0"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根据通发改法规字〔2024〕240号文件通知：投标文件编制要具体要求如下：</w:t>
            </w:r>
          </w:p>
          <w:p w14:paraId="4ED900DB">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1.技术标封皮:使用黑体一号字体(黑色)，顶行居中对齐，不得出现目录、日期和空白页，无需标注页码。</w:t>
            </w:r>
          </w:p>
          <w:p w14:paraId="463115BC">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字体：一级标题所用文字采用“宋体”三号字(黑色);二级及以下标题及技术标正文所用文字均采用“宋体”四号“常规”字(黑色);图表内部的字体内容统一使用小4号宋体字(黑色)，图表外部的字体与技术标全文字体保持一致。</w:t>
            </w:r>
          </w:p>
          <w:p w14:paraId="7087E7C9">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3.正文标题序号以阿拉伯数字编排，一级为1、2、3........；二级为1.1、1.2、........2.1、2.2、；三级为1.1.1、1.1.2.........1.2.1、1.2.2、以此类推。正文标题阿拉伯数字后应加入顿号，例如“1、”。</w:t>
            </w:r>
          </w:p>
          <w:p w14:paraId="24122047">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4.页码:全文所有版面均不得设置页眉、页脚，全文内容不允许使用页码。</w:t>
            </w:r>
          </w:p>
          <w:p w14:paraId="7B588F3E">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5.版面:全部内容版面应为A4大小,页边距要求左边距为3.17厘米，右边距及上下边距为2.54厘米(误差不超过10%):正文行距采用固定值30磅，字符间距为标准，标题及文字一律两端对齐，首行缩进2字符，不得有空格，段落前后不设置空行，不得勾选其他任何未要求选项；技术标全文的文字及图表连续编排。</w:t>
            </w:r>
          </w:p>
          <w:p w14:paraId="421EC056">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6.其他:潜在投标人在编制技术部分投标文件时，应按照招标文件中对暗标评审的格式等相关要求进行编制，技术标文件、内容、文字均不得出现彩色文字、标识图形，所有文字不得做加粗、倾斜处理，所有线条、边框不得做加粗处理;不得出现任何标识或暗示投标单位名称、人员姓名等信息的徽标、文字、语句及其他任何不符合常规、有别于其他投标人的做法;不得出现涂改、行间插字或删除痕迹。</w:t>
            </w:r>
          </w:p>
          <w:p w14:paraId="02EA9183">
            <w:pPr>
              <w:pStyle w:val="16"/>
              <w:spacing w:after="0" w:line="360" w:lineRule="auto"/>
              <w:ind w:leftChars="0"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highlight w:val="none"/>
                <w:lang w:val="en-US" w:eastAsia="zh-CN" w:bidi="ar-SA"/>
              </w:rPr>
              <w:t>7.凡招标文件及暗标制评审规定中未明确标明否决投标的，评标委员会不得作为判定否决投标的依据。投标文件违反技术暗标制作规则的,评标委员会应按照废标处理。</w:t>
            </w:r>
          </w:p>
          <w:p w14:paraId="3645ABF0">
            <w:pPr>
              <w:pStyle w:val="17"/>
              <w:spacing w:after="0" w:line="360" w:lineRule="auto"/>
              <w:ind w:left="0" w:leftChars="0" w:firstLine="560" w:firstLineChars="200"/>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采用暗标评审的项目，在评审技术标部分时，评标委员会成员应按照相关法律法规和招标文件的规定对每一份投标文件进行客观、公平、公正评审。评标委员会应注意把握审慎原则，避免武断、简单化、机械化地处理问题，避免不适当地排除具有竞争潜力的投标人。大力推行技术标暗标制评审智能化，提高评审效率。</w:t>
            </w:r>
          </w:p>
          <w:p w14:paraId="53BA2D7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560" w:firstLineChars="200"/>
              <w:textAlignment w:val="auto"/>
              <w:rPr>
                <w:rFonts w:hint="eastAsia" w:ascii="宋体" w:hAnsi="宋体" w:eastAsia="宋体" w:cs="宋体"/>
                <w:color w:val="auto"/>
                <w:kern w:val="2"/>
                <w:sz w:val="28"/>
                <w:szCs w:val="28"/>
                <w:highlight w:val="yellow"/>
                <w:lang w:val="en-US" w:eastAsia="zh-CN" w:bidi="ar-SA"/>
              </w:rPr>
            </w:pPr>
            <w:r>
              <w:rPr>
                <w:rFonts w:hint="eastAsia" w:ascii="宋体" w:hAnsi="宋体" w:eastAsia="宋体" w:cs="宋体"/>
                <w:color w:val="auto"/>
                <w:kern w:val="2"/>
                <w:sz w:val="28"/>
                <w:szCs w:val="28"/>
                <w:highlight w:val="none"/>
                <w:lang w:val="en-US" w:eastAsia="zh-CN" w:bidi="ar-SA"/>
              </w:rPr>
              <w:t>本项目技术标为暗标格式，评标时，如使用电子交易系统技术暗标格式检测功能，检测发现不符合技术标暗标格式问题时，评标委员会应当对检测结果进行人工复核,最终结论以评标委员会复核结果为准。</w:t>
            </w:r>
          </w:p>
          <w:p w14:paraId="04837505">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562" w:firstLineChars="200"/>
              <w:textAlignment w:val="auto"/>
              <w:rPr>
                <w:rFonts w:hint="eastAsia" w:cs="宋体"/>
                <w:b/>
                <w:bCs/>
                <w:color w:val="auto"/>
                <w:sz w:val="28"/>
                <w:szCs w:val="28"/>
                <w:lang w:val="en-US" w:eastAsia="zh-CN"/>
              </w:rPr>
            </w:pPr>
            <w:r>
              <w:rPr>
                <w:rFonts w:hint="eastAsia" w:ascii="宋体" w:hAnsi="宋体" w:eastAsia="宋体" w:cs="宋体"/>
                <w:b/>
                <w:bCs/>
                <w:color w:val="auto"/>
                <w:sz w:val="28"/>
                <w:szCs w:val="28"/>
                <w:lang w:eastAsia="zh-CN"/>
              </w:rPr>
              <w:t>注：依据通辽市发展和改革委员会等12部门关于印发《进一步促进招标投标市场健康有序发展》的通知(通发改法规字</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lang w:eastAsia="zh-CN"/>
              </w:rPr>
              <w:t>2025</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lang w:eastAsia="zh-CN"/>
              </w:rPr>
              <w:t>260号)中相关要求，投标人编制投标文件应科学合理、简洁明晰，杜绝重复冗余现象发生；整体“施工组织设计”编制页数（含封皮）≤</w:t>
            </w:r>
            <w:r>
              <w:rPr>
                <w:rFonts w:hint="eastAsia" w:cs="宋体"/>
                <w:b/>
                <w:bCs/>
                <w:color w:val="auto"/>
                <w:sz w:val="28"/>
                <w:szCs w:val="28"/>
                <w:lang w:val="en-US" w:eastAsia="zh-CN"/>
              </w:rPr>
              <w:t>5</w:t>
            </w:r>
            <w:r>
              <w:rPr>
                <w:rFonts w:hint="eastAsia" w:ascii="宋体" w:hAnsi="宋体" w:eastAsia="宋体" w:cs="宋体"/>
                <w:b/>
                <w:bCs/>
                <w:color w:val="auto"/>
                <w:sz w:val="28"/>
                <w:szCs w:val="28"/>
                <w:lang w:val="en-US" w:eastAsia="zh-CN"/>
              </w:rPr>
              <w:t>00页</w:t>
            </w:r>
            <w:r>
              <w:rPr>
                <w:rFonts w:hint="eastAsia" w:ascii="宋体" w:hAnsi="宋体" w:eastAsia="宋体" w:cs="宋体"/>
                <w:b/>
                <w:bCs/>
                <w:color w:val="auto"/>
                <w:sz w:val="28"/>
                <w:szCs w:val="28"/>
                <w:lang w:eastAsia="zh-CN"/>
              </w:rPr>
              <w:t>，</w:t>
            </w:r>
            <w:r>
              <w:rPr>
                <w:rFonts w:hint="eastAsia" w:cs="宋体"/>
                <w:b/>
                <w:bCs/>
                <w:color w:val="auto"/>
                <w:sz w:val="28"/>
                <w:szCs w:val="28"/>
                <w:lang w:val="en-US" w:eastAsia="zh-CN"/>
              </w:rPr>
              <w:t>评标过程中，评委应对超出500页的投标单位做否决投标。</w:t>
            </w:r>
          </w:p>
          <w:p w14:paraId="16F8F33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snapToGrid/>
                <w:color w:val="auto"/>
                <w:kern w:val="0"/>
                <w:sz w:val="28"/>
                <w:szCs w:val="28"/>
                <w:highlight w:val="none"/>
                <w:lang w:val="en-US" w:eastAsia="zh-CN" w:bidi="ar"/>
              </w:rPr>
            </w:pPr>
            <w:r>
              <w:rPr>
                <w:rFonts w:hint="eastAsia" w:cs="宋体"/>
                <w:b/>
                <w:bCs/>
                <w:color w:val="auto"/>
                <w:sz w:val="28"/>
                <w:szCs w:val="28"/>
                <w:lang w:val="en-US" w:eastAsia="zh-CN"/>
              </w:rPr>
              <w:t>评标专家针对每一份投标文件技术部分的评审以及打分情况做出详细书面说明，并作为评标报告的组成部分。</w:t>
            </w:r>
          </w:p>
        </w:tc>
      </w:tr>
      <w:tr w14:paraId="132324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961" w:type="dxa"/>
            <w:tcBorders>
              <w:top w:val="single" w:color="auto" w:sz="4" w:space="0"/>
              <w:bottom w:val="single" w:color="auto" w:sz="4" w:space="0"/>
              <w:right w:val="single" w:color="auto" w:sz="4" w:space="0"/>
            </w:tcBorders>
            <w:shd w:val="clear" w:color="auto" w:fill="auto"/>
            <w:noWrap w:val="0"/>
            <w:vAlign w:val="center"/>
          </w:tcPr>
          <w:p w14:paraId="08C01EC2">
            <w:pPr>
              <w:adjustRightInd w:val="0"/>
              <w:spacing w:line="360" w:lineRule="auto"/>
              <w:jc w:val="center"/>
              <w:textAlignment w:val="baseline"/>
              <w:rPr>
                <w:rFonts w:hint="eastAsia" w:ascii="宋体" w:hAnsi="宋体" w:eastAsia="宋体" w:cs="宋体"/>
                <w:color w:val="auto"/>
                <w:spacing w:val="-8"/>
                <w:kern w:val="2"/>
                <w:sz w:val="28"/>
                <w:szCs w:val="28"/>
                <w:highlight w:val="none"/>
                <w:lang w:val="en-US" w:eastAsia="zh-CN" w:bidi="ar-SA"/>
              </w:rPr>
            </w:pPr>
            <w:r>
              <w:rPr>
                <w:rFonts w:hint="eastAsia" w:ascii="宋体" w:hAnsi="宋体" w:eastAsia="宋体" w:cs="宋体"/>
                <w:color w:val="auto"/>
                <w:spacing w:val="-8"/>
                <w:sz w:val="28"/>
                <w:szCs w:val="28"/>
                <w:highlight w:val="none"/>
                <w:lang w:val="en-US" w:eastAsia="zh-CN"/>
              </w:rPr>
              <w:t>10.12</w:t>
            </w:r>
          </w:p>
        </w:tc>
        <w:tc>
          <w:tcPr>
            <w:tcW w:w="182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5CAB3AEC">
            <w:pPr>
              <w:spacing w:line="360" w:lineRule="auto"/>
              <w:ind w:left="0" w:leftChars="0" w:right="0" w:rightChars="0"/>
              <w:jc w:val="cente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解释权</w:t>
            </w:r>
          </w:p>
        </w:tc>
        <w:tc>
          <w:tcPr>
            <w:tcW w:w="6013" w:type="dxa"/>
            <w:tcBorders>
              <w:top w:val="single" w:color="auto" w:sz="4" w:space="0"/>
              <w:left w:val="single" w:color="auto" w:sz="4" w:space="0"/>
              <w:bottom w:val="single" w:color="auto" w:sz="4" w:space="0"/>
            </w:tcBorders>
            <w:shd w:val="clear" w:color="auto" w:fill="auto"/>
            <w:noWrap w:val="0"/>
            <w:vAlign w:val="center"/>
          </w:tcPr>
          <w:p w14:paraId="03BE279E">
            <w:pPr>
              <w:numPr>
                <w:ilvl w:val="0"/>
                <w:numId w:val="0"/>
              </w:numPr>
              <w:spacing w:line="360" w:lineRule="auto"/>
              <w:ind w:left="0" w:leftChars="0" w:right="0" w:rightChars="0" w:firstLine="0" w:firstLineChars="0"/>
              <w:jc w:val="left"/>
              <w:rPr>
                <w:rFonts w:hint="eastAsia" w:ascii="宋体" w:hAnsi="宋体" w:eastAsia="宋体" w:cs="宋体"/>
                <w:snapToGrid/>
                <w:color w:val="auto"/>
                <w:kern w:val="0"/>
                <w:sz w:val="28"/>
                <w:szCs w:val="28"/>
                <w:highlight w:val="none"/>
                <w:lang w:val="en-US" w:eastAsia="zh-CN" w:bidi="ar"/>
              </w:rPr>
            </w:pPr>
            <w:r>
              <w:rPr>
                <w:rFonts w:hint="eastAsia" w:ascii="宋体" w:hAnsi="宋体" w:eastAsia="宋体" w:cs="宋体"/>
                <w:color w:val="auto"/>
                <w:sz w:val="28"/>
                <w:szCs w:val="28"/>
                <w:highlight w:val="none"/>
                <w:lang w:val="en-US" w:eastAsia="zh-CN" w:bidi="ar"/>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2909E7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961" w:type="dxa"/>
            <w:tcBorders>
              <w:top w:val="single" w:color="auto" w:sz="4" w:space="0"/>
              <w:bottom w:val="single" w:color="auto" w:sz="4" w:space="0"/>
              <w:right w:val="single" w:color="auto" w:sz="4" w:space="0"/>
            </w:tcBorders>
            <w:shd w:val="clear" w:color="auto" w:fill="auto"/>
            <w:noWrap w:val="0"/>
            <w:vAlign w:val="center"/>
          </w:tcPr>
          <w:p w14:paraId="5EBBE9E0">
            <w:pPr>
              <w:adjustRightInd w:val="0"/>
              <w:spacing w:line="360" w:lineRule="auto"/>
              <w:jc w:val="center"/>
              <w:textAlignment w:val="baseline"/>
              <w:rPr>
                <w:rFonts w:hint="default" w:ascii="宋体" w:hAnsi="宋体" w:eastAsia="宋体" w:cs="宋体"/>
                <w:color w:val="auto"/>
                <w:spacing w:val="-8"/>
                <w:sz w:val="28"/>
                <w:szCs w:val="28"/>
                <w:highlight w:val="none"/>
                <w:lang w:val="en-US" w:eastAsia="zh-CN"/>
              </w:rPr>
            </w:pPr>
            <w:r>
              <w:rPr>
                <w:rFonts w:hint="eastAsia" w:ascii="宋体" w:hAnsi="宋体" w:cs="宋体"/>
                <w:color w:val="auto"/>
                <w:spacing w:val="-8"/>
                <w:sz w:val="28"/>
                <w:szCs w:val="28"/>
                <w:highlight w:val="none"/>
                <w:lang w:val="en-US" w:eastAsia="zh-CN"/>
              </w:rPr>
              <w:t>10.13</w:t>
            </w:r>
          </w:p>
        </w:tc>
        <w:tc>
          <w:tcPr>
            <w:tcW w:w="182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78BC9EE8">
            <w:pPr>
              <w:spacing w:line="360" w:lineRule="auto"/>
              <w:ind w:left="0" w:leftChars="0" w:right="0" w:rightChars="0"/>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特殊说明</w:t>
            </w:r>
          </w:p>
        </w:tc>
        <w:tc>
          <w:tcPr>
            <w:tcW w:w="6013" w:type="dxa"/>
            <w:tcBorders>
              <w:top w:val="single" w:color="auto" w:sz="4" w:space="0"/>
              <w:left w:val="single" w:color="auto" w:sz="4" w:space="0"/>
              <w:bottom w:val="single" w:color="auto" w:sz="4" w:space="0"/>
            </w:tcBorders>
            <w:shd w:val="clear" w:color="auto" w:fill="auto"/>
            <w:noWrap w:val="0"/>
            <w:vAlign w:val="center"/>
          </w:tcPr>
          <w:p w14:paraId="4E283138">
            <w:pPr>
              <w:numPr>
                <w:ilvl w:val="0"/>
                <w:numId w:val="0"/>
              </w:numPr>
              <w:spacing w:line="360" w:lineRule="auto"/>
              <w:ind w:left="0" w:leftChars="0" w:right="0" w:rightChars="0" w:firstLine="0" w:firstLineChars="0"/>
              <w:jc w:val="left"/>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运营要求：项目竣工验收合格后进入运营期（运营期20年），负责养殖、疾病防控、资产维护、租金缴纳等全部运营工作，需满足年缴纳财政审计结算金额的4 .75%收益金，初期一次性缴纳三年收益金的要求。如相关政策有变动，按上级政策执行。</w:t>
            </w:r>
          </w:p>
        </w:tc>
      </w:tr>
      <w:bookmarkEnd w:id="15"/>
      <w:bookmarkEnd w:id="16"/>
      <w:bookmarkEnd w:id="17"/>
      <w:bookmarkEnd w:id="18"/>
      <w:bookmarkEnd w:id="19"/>
      <w:bookmarkEnd w:id="20"/>
      <w:tr w14:paraId="467250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jc w:val="center"/>
        </w:trPr>
        <w:tc>
          <w:tcPr>
            <w:tcW w:w="961" w:type="dxa"/>
            <w:tcBorders>
              <w:top w:val="single" w:color="auto" w:sz="4" w:space="0"/>
              <w:bottom w:val="single" w:color="auto" w:sz="4" w:space="0"/>
              <w:right w:val="single" w:color="auto" w:sz="4" w:space="0"/>
            </w:tcBorders>
            <w:shd w:val="clear" w:color="auto" w:fill="auto"/>
            <w:vAlign w:val="center"/>
          </w:tcPr>
          <w:p w14:paraId="4CE6D41A">
            <w:pPr>
              <w:adjustRightInd w:val="0"/>
              <w:spacing w:line="360" w:lineRule="auto"/>
              <w:jc w:val="center"/>
              <w:textAlignment w:val="baseline"/>
              <w:rPr>
                <w:rFonts w:hint="eastAsia"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10.14</w:t>
            </w:r>
          </w:p>
        </w:tc>
        <w:tc>
          <w:tcPr>
            <w:tcW w:w="78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06960F">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left"/>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评标报告的具体内容，包括但不限于:基本情况和数据表，评标委员会成员名单，开标记录，符合要求的投标一览表，评标标准、评标方法或者评标因素一览表，经评审的价格或者评分比较一览表，经评审的投标人名称以及排序，中标候选人的投标文件载明的项目管理机构人员姓名及其相关证书名称和编号,中标候选人及其相关人员获得加分的具体业绩、信誉等投标承诺，所有被否决的投标以及否决原因，澄清、说明或者补正事项纪要。</w:t>
            </w:r>
          </w:p>
        </w:tc>
      </w:tr>
      <w:tr w14:paraId="42C578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jc w:val="center"/>
        </w:trPr>
        <w:tc>
          <w:tcPr>
            <w:tcW w:w="961" w:type="dxa"/>
            <w:tcBorders>
              <w:top w:val="single" w:color="auto" w:sz="4" w:space="0"/>
              <w:bottom w:val="single" w:color="auto" w:sz="4" w:space="0"/>
              <w:right w:val="single" w:color="auto" w:sz="4" w:space="0"/>
            </w:tcBorders>
            <w:shd w:val="clear" w:color="auto" w:fill="auto"/>
            <w:vAlign w:val="center"/>
          </w:tcPr>
          <w:p w14:paraId="0D146B52">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center"/>
              <w:textAlignment w:val="auto"/>
              <w:rPr>
                <w:rFonts w:hint="eastAsia" w:ascii="宋体" w:hAnsi="宋体" w:eastAsia="宋体" w:cs="宋体"/>
                <w:color w:val="auto"/>
                <w:spacing w:val="-8"/>
                <w:kern w:val="2"/>
                <w:sz w:val="28"/>
                <w:szCs w:val="28"/>
                <w:highlight w:val="none"/>
                <w:lang w:val="en-US" w:eastAsia="zh-CN" w:bidi="ar-SA"/>
              </w:rPr>
            </w:pPr>
            <w:r>
              <w:rPr>
                <w:rFonts w:hint="eastAsia" w:ascii="宋体" w:hAnsi="宋体" w:eastAsia="宋体" w:cs="宋体"/>
                <w:color w:val="auto"/>
                <w:sz w:val="28"/>
                <w:szCs w:val="28"/>
                <w:highlight w:val="none"/>
                <w:lang w:val="en-US" w:eastAsia="zh-CN" w:bidi="ar"/>
              </w:rPr>
              <w:t>10.1</w:t>
            </w:r>
            <w:r>
              <w:rPr>
                <w:rFonts w:hint="eastAsia" w:ascii="宋体" w:hAnsi="宋体" w:cs="宋体"/>
                <w:color w:val="auto"/>
                <w:sz w:val="28"/>
                <w:szCs w:val="28"/>
                <w:highlight w:val="none"/>
                <w:lang w:val="en-US" w:eastAsia="zh-CN" w:bidi="ar"/>
              </w:rPr>
              <w:t>5</w:t>
            </w:r>
          </w:p>
        </w:tc>
        <w:tc>
          <w:tcPr>
            <w:tcW w:w="783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125C05">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left"/>
              <w:textAlignment w:val="auto"/>
              <w:rPr>
                <w:rFonts w:hint="eastAsia" w:ascii="宋体" w:hAnsi="宋体" w:eastAsia="宋体" w:cs="宋体"/>
                <w:b/>
                <w:bCs/>
                <w:color w:val="auto"/>
                <w:kern w:val="2"/>
                <w:sz w:val="28"/>
                <w:szCs w:val="28"/>
                <w:highlight w:val="none"/>
                <w:lang w:val="en-US" w:eastAsia="zh-CN" w:bidi="ar"/>
              </w:rPr>
            </w:pPr>
            <w:r>
              <w:rPr>
                <w:rFonts w:hint="eastAsia" w:ascii="宋体" w:hAnsi="宋体" w:eastAsia="宋体" w:cs="宋体"/>
                <w:color w:val="auto"/>
                <w:sz w:val="28"/>
                <w:szCs w:val="28"/>
                <w:highlight w:val="none"/>
                <w:lang w:val="en-US" w:eastAsia="zh-CN" w:bidi="ar"/>
              </w:rPr>
              <w:t>中标候选人公示的具体内容，包括但不限于：中标候选人的排序、单位名称、投标报价、质量、工期以及评标情况，投标文件载明的项目管理机构人员姓名及其相关证书名称和编号，响应招标文件要求的资格能力条件和单位以及人员获得加分的具体业绩、信誉等，投标承诺，所有被否决的投标以及否决原因，提出异议的渠道和方式。</w:t>
            </w:r>
          </w:p>
        </w:tc>
      </w:tr>
      <w:tr w14:paraId="29A69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shd w:val="clear" w:color="auto" w:fill="auto"/>
            <w:vAlign w:val="center"/>
          </w:tcPr>
          <w:p w14:paraId="739B78F6">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center"/>
              <w:textAlignment w:val="auto"/>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sz w:val="28"/>
                <w:szCs w:val="28"/>
                <w:highlight w:val="none"/>
                <w:lang w:val="en-US" w:eastAsia="zh-CN" w:bidi="ar"/>
              </w:rPr>
              <w:t>10.1</w:t>
            </w:r>
            <w:r>
              <w:rPr>
                <w:rFonts w:hint="eastAsia" w:ascii="宋体" w:hAnsi="宋体" w:cs="宋体"/>
                <w:color w:val="auto"/>
                <w:sz w:val="28"/>
                <w:szCs w:val="28"/>
                <w:highlight w:val="none"/>
                <w:lang w:val="en-US" w:eastAsia="zh-CN" w:bidi="ar"/>
              </w:rPr>
              <w:t>6</w:t>
            </w:r>
          </w:p>
        </w:tc>
        <w:tc>
          <w:tcPr>
            <w:tcW w:w="7839" w:type="dxa"/>
            <w:gridSpan w:val="3"/>
            <w:tcBorders>
              <w:top w:val="single" w:color="auto" w:sz="4" w:space="0"/>
              <w:left w:val="single" w:color="auto" w:sz="4" w:space="0"/>
              <w:bottom w:val="single" w:color="auto" w:sz="4" w:space="0"/>
            </w:tcBorders>
            <w:shd w:val="clear" w:color="auto" w:fill="auto"/>
            <w:vAlign w:val="center"/>
          </w:tcPr>
          <w:p w14:paraId="50C28FA4">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left"/>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现场人员说明：1.投标人一旦中标，具备开工条件后，投标文件中拟派的项目经理、技术负责人及其他项目管理人员必须立即进场，组织施工。进场相关人员应与投标文件中所载明的项目管理机构成员一致，否则将依据有关规定对其进行处理处罚，投标人承担所有违约责任，并承担由此为招标人带来的一切损失。</w:t>
            </w:r>
          </w:p>
          <w:p w14:paraId="1A46666E">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left"/>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2.项目经理不得同时在其他在建工程中任职，且工程施工期间必须全程驻现场管理。 </w:t>
            </w:r>
          </w:p>
          <w:p w14:paraId="17E60926">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left"/>
              <w:textAlignment w:val="auto"/>
              <w:rPr>
                <w:rFonts w:hint="eastAsia" w:ascii="宋体" w:hAnsi="宋体" w:eastAsia="宋体" w:cs="宋体"/>
                <w:snapToGrid/>
                <w:color w:val="auto"/>
                <w:kern w:val="0"/>
                <w:sz w:val="28"/>
                <w:szCs w:val="28"/>
                <w:highlight w:val="none"/>
                <w:lang w:val="en-US" w:eastAsia="zh-CN" w:bidi="ar"/>
              </w:rPr>
            </w:pPr>
            <w:r>
              <w:rPr>
                <w:rFonts w:hint="eastAsia" w:ascii="宋体" w:hAnsi="宋体" w:eastAsia="宋体" w:cs="宋体"/>
                <w:color w:val="auto"/>
                <w:sz w:val="28"/>
                <w:szCs w:val="28"/>
                <w:highlight w:val="none"/>
                <w:lang w:val="en-US" w:eastAsia="zh-CN" w:bidi="ar"/>
              </w:rPr>
              <w:t>3.中标人不得随意变更项目管理人员，确需更换的，不得超过管理人员总数的50%，且在资格、业绩、信誉等方面与变更前管理人员一致。对于中标人变更后的管理人员在资格、业绩、信誉等方面与变更前管理人员条件不一致的、管理人员变更超过 50%的、合同未约定或者未经招标人（发包人）同意分包工程的，存在转包、挂靠、违法分包等行为的，招标人将报主管部门依法处理。</w:t>
            </w:r>
          </w:p>
        </w:tc>
      </w:tr>
      <w:tr w14:paraId="42B1C8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1" w:type="dxa"/>
            <w:tcBorders>
              <w:top w:val="single" w:color="auto" w:sz="4" w:space="0"/>
              <w:bottom w:val="single" w:color="auto" w:sz="4" w:space="0"/>
              <w:right w:val="single" w:color="auto" w:sz="4" w:space="0"/>
            </w:tcBorders>
            <w:shd w:val="clear" w:color="auto" w:fill="auto"/>
            <w:vAlign w:val="center"/>
          </w:tcPr>
          <w:p w14:paraId="79B2B9FD">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center"/>
              <w:textAlignment w:val="auto"/>
              <w:rPr>
                <w:rFonts w:hint="default" w:ascii="宋体" w:hAnsi="宋体" w:eastAsia="宋体" w:cs="宋体"/>
                <w:color w:val="auto"/>
                <w:sz w:val="28"/>
                <w:szCs w:val="28"/>
                <w:highlight w:val="none"/>
                <w:lang w:val="en-US" w:eastAsia="zh-CN" w:bidi="ar"/>
              </w:rPr>
            </w:pPr>
            <w:r>
              <w:rPr>
                <w:rFonts w:hint="eastAsia" w:ascii="宋体" w:hAnsi="宋体" w:cs="宋体"/>
                <w:color w:val="auto"/>
                <w:sz w:val="28"/>
                <w:szCs w:val="28"/>
                <w:highlight w:val="none"/>
                <w:lang w:val="en-US" w:eastAsia="zh-CN" w:bidi="ar"/>
              </w:rPr>
              <w:t>10.17</w:t>
            </w:r>
          </w:p>
        </w:tc>
        <w:tc>
          <w:tcPr>
            <w:tcW w:w="7839" w:type="dxa"/>
            <w:gridSpan w:val="3"/>
            <w:tcBorders>
              <w:top w:val="single" w:color="auto" w:sz="4" w:space="0"/>
              <w:left w:val="single" w:color="auto" w:sz="4" w:space="0"/>
              <w:bottom w:val="single" w:color="auto" w:sz="4" w:space="0"/>
            </w:tcBorders>
            <w:shd w:val="clear" w:color="auto" w:fill="auto"/>
            <w:vAlign w:val="center"/>
          </w:tcPr>
          <w:p w14:paraId="093B3F70">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重点核查的异常投标情形：</w:t>
            </w:r>
          </w:p>
          <w:p w14:paraId="173B82E0">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（一）法律法规规定视为串通投标的情形；</w:t>
            </w:r>
          </w:p>
          <w:p w14:paraId="48D4DABC">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（二）投标文件异常一致；</w:t>
            </w:r>
          </w:p>
          <w:p w14:paraId="22AA168A">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（三）投标活动异常关联；</w:t>
            </w:r>
          </w:p>
          <w:p w14:paraId="40F4A14B">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firstLine="0" w:firstLineChars="0"/>
              <w:textAlignment w:val="auto"/>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（四）通过受让、租借、挂靠资质投标，伪造、变造资质、资格证书或者其他许可证件，提供虚假业绩、奖项、项目负责人等材料。</w:t>
            </w:r>
          </w:p>
          <w:p w14:paraId="10A543D1">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left"/>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b w:val="0"/>
                <w:bCs w:val="0"/>
                <w:sz w:val="28"/>
                <w:szCs w:val="28"/>
                <w:highlight w:val="none"/>
                <w:lang w:eastAsia="zh-CN"/>
              </w:rPr>
              <w:t>前款第（二）（三）项的具体情形，允许投标人向评标委员会、招标人作出解释说明。评标委员会、招标人经核查发现投标人存在串通投标、弄虚作假等违法行为的，按照法律法规规定进行处理。投标人出现第一款所列异常投标情形的，列入不予退还投标保证金的情形。</w:t>
            </w:r>
          </w:p>
        </w:tc>
      </w:tr>
      <w:tr w14:paraId="435F0B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28" w:hRule="atLeast"/>
          <w:jc w:val="center"/>
        </w:trPr>
        <w:tc>
          <w:tcPr>
            <w:tcW w:w="961" w:type="dxa"/>
            <w:tcBorders>
              <w:top w:val="single" w:color="auto" w:sz="4" w:space="0"/>
              <w:bottom w:val="single" w:color="auto" w:sz="4" w:space="0"/>
              <w:right w:val="single" w:color="auto" w:sz="4" w:space="0"/>
            </w:tcBorders>
            <w:shd w:val="clear" w:color="auto" w:fill="auto"/>
            <w:vAlign w:val="center"/>
          </w:tcPr>
          <w:p w14:paraId="0FCE11DB">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both"/>
              <w:textAlignment w:val="auto"/>
              <w:rPr>
                <w:rFonts w:hint="eastAsia" w:ascii="宋体" w:hAnsi="宋体" w:eastAsia="宋体" w:cs="宋体"/>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重要说明</w:t>
            </w:r>
          </w:p>
        </w:tc>
        <w:tc>
          <w:tcPr>
            <w:tcW w:w="7839" w:type="dxa"/>
            <w:gridSpan w:val="3"/>
            <w:tcBorders>
              <w:top w:val="single" w:color="auto" w:sz="4" w:space="0"/>
              <w:left w:val="single" w:color="auto" w:sz="4" w:space="0"/>
              <w:bottom w:val="single" w:color="auto" w:sz="4" w:space="0"/>
            </w:tcBorders>
            <w:shd w:val="clear" w:color="auto" w:fill="auto"/>
            <w:vAlign w:val="center"/>
          </w:tcPr>
          <w:p w14:paraId="0F5821D2">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after="0" w:line="360" w:lineRule="auto"/>
              <w:ind w:left="0" w:leftChars="0" w:firstLine="0" w:firstLineChars="0"/>
              <w:jc w:val="both"/>
              <w:textAlignment w:val="auto"/>
              <w:rPr>
                <w:rFonts w:hint="eastAsia" w:ascii="宋体" w:hAnsi="宋体" w:eastAsia="宋体" w:cs="宋体"/>
                <w:b/>
                <w:bCs/>
                <w:color w:val="auto"/>
                <w:sz w:val="28"/>
                <w:szCs w:val="28"/>
                <w:highlight w:val="none"/>
                <w:lang w:val="en-US" w:eastAsia="zh-CN" w:bidi="ar"/>
              </w:rPr>
            </w:pPr>
            <w:r>
              <w:rPr>
                <w:rFonts w:hint="eastAsia" w:ascii="宋体" w:hAnsi="宋体" w:eastAsia="宋体" w:cs="宋体"/>
                <w:b/>
                <w:bCs/>
                <w:color w:val="auto"/>
                <w:sz w:val="28"/>
                <w:szCs w:val="28"/>
                <w:highlight w:val="none"/>
                <w:lang w:val="en-US" w:eastAsia="zh-CN" w:bidi="ar"/>
              </w:rPr>
              <w:t>有关本项目招标文件的修改、澄清、补遗等敬请各投标单位关注本项目招标公告发布的相关网站，若因投标人自身原因未能及时发现相关信息，后果自负。</w:t>
            </w:r>
          </w:p>
        </w:tc>
      </w:tr>
    </w:tbl>
    <w:p w14:paraId="1A7F883C">
      <w:pPr>
        <w:spacing w:line="240" w:lineRule="auto"/>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bookmarkStart w:id="47" w:name="_Toc30159"/>
      <w:bookmarkStart w:id="48" w:name="_Toc32429"/>
      <w:bookmarkStart w:id="49" w:name="_Toc10920"/>
      <w:bookmarkStart w:id="50" w:name="_Toc12797"/>
      <w:bookmarkStart w:id="51" w:name="_Toc27829"/>
      <w:bookmarkStart w:id="52" w:name="_Toc29122"/>
      <w:bookmarkStart w:id="53" w:name="_Toc23799"/>
      <w:bookmarkStart w:id="54" w:name="_Toc17603"/>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rPr>
        <w:t>投标人须知</w:t>
      </w:r>
      <w:bookmarkEnd w:id="41"/>
      <w:bookmarkEnd w:id="42"/>
      <w:bookmarkEnd w:id="43"/>
      <w:bookmarkEnd w:id="44"/>
      <w:bookmarkEnd w:id="47"/>
      <w:bookmarkEnd w:id="48"/>
      <w:bookmarkEnd w:id="49"/>
      <w:bookmarkEnd w:id="50"/>
      <w:bookmarkEnd w:id="51"/>
      <w:bookmarkEnd w:id="52"/>
      <w:bookmarkEnd w:id="53"/>
      <w:bookmarkEnd w:id="54"/>
    </w:p>
    <w:p w14:paraId="5624939B">
      <w:pPr>
        <w:tabs>
          <w:tab w:val="left" w:pos="1480"/>
        </w:tabs>
        <w:autoSpaceDE w:val="0"/>
        <w:autoSpaceDN w:val="0"/>
        <w:adjustRightInd w:val="0"/>
        <w:spacing w:line="360" w:lineRule="auto"/>
        <w:ind w:firstLine="478" w:firstLineChars="170"/>
        <w:jc w:val="left"/>
        <w:outlineLvl w:val="0"/>
        <w:rPr>
          <w:rFonts w:hint="eastAsia" w:ascii="宋体" w:hAnsi="宋体" w:eastAsia="宋体" w:cs="宋体"/>
          <w:b/>
          <w:color w:val="auto"/>
          <w:kern w:val="0"/>
          <w:sz w:val="28"/>
          <w:szCs w:val="28"/>
          <w:highlight w:val="none"/>
        </w:rPr>
      </w:pPr>
      <w:bookmarkStart w:id="55" w:name="_Toc26302"/>
      <w:bookmarkStart w:id="56" w:name="_Toc24773"/>
      <w:bookmarkStart w:id="57" w:name="_Toc20984"/>
      <w:bookmarkStart w:id="58" w:name="_Toc28793"/>
      <w:bookmarkStart w:id="59" w:name="_Toc283289411"/>
      <w:bookmarkStart w:id="60" w:name="_Toc21855"/>
      <w:bookmarkStart w:id="61" w:name="_Toc283128904"/>
      <w:bookmarkStart w:id="62" w:name="_Toc22113"/>
      <w:bookmarkStart w:id="63" w:name="_Toc7458"/>
      <w:bookmarkStart w:id="64" w:name="_Toc863"/>
      <w:bookmarkStart w:id="65" w:name="_Toc7603"/>
      <w:r>
        <w:rPr>
          <w:rFonts w:hint="eastAsia" w:ascii="宋体" w:hAnsi="宋体" w:eastAsia="宋体" w:cs="宋体"/>
          <w:b/>
          <w:color w:val="auto"/>
          <w:kern w:val="0"/>
          <w:sz w:val="28"/>
          <w:szCs w:val="28"/>
          <w:highlight w:val="none"/>
        </w:rPr>
        <w:t>1．总则</w:t>
      </w:r>
      <w:bookmarkEnd w:id="45"/>
      <w:bookmarkEnd w:id="46"/>
      <w:bookmarkEnd w:id="55"/>
      <w:bookmarkEnd w:id="56"/>
      <w:bookmarkEnd w:id="57"/>
      <w:bookmarkEnd w:id="58"/>
      <w:bookmarkEnd w:id="59"/>
      <w:bookmarkEnd w:id="60"/>
      <w:bookmarkEnd w:id="61"/>
      <w:bookmarkEnd w:id="62"/>
      <w:bookmarkEnd w:id="63"/>
      <w:bookmarkEnd w:id="64"/>
      <w:bookmarkEnd w:id="65"/>
    </w:p>
    <w:p w14:paraId="594E4C10">
      <w:pPr>
        <w:spacing w:line="360" w:lineRule="auto"/>
        <w:ind w:firstLine="478" w:firstLineChars="170"/>
        <w:rPr>
          <w:rFonts w:hint="eastAsia" w:ascii="宋体" w:hAnsi="宋体" w:eastAsia="宋体" w:cs="宋体"/>
          <w:b/>
          <w:color w:val="auto"/>
          <w:sz w:val="28"/>
          <w:szCs w:val="28"/>
          <w:highlight w:val="none"/>
        </w:rPr>
      </w:pPr>
      <w:bookmarkStart w:id="66" w:name="_Toc282843637"/>
      <w:bookmarkStart w:id="67" w:name="_Toc282823813"/>
      <w:r>
        <w:rPr>
          <w:rFonts w:hint="eastAsia" w:ascii="宋体" w:hAnsi="宋体" w:eastAsia="宋体" w:cs="宋体"/>
          <w:b/>
          <w:color w:val="auto"/>
          <w:sz w:val="28"/>
          <w:szCs w:val="28"/>
          <w:highlight w:val="none"/>
        </w:rPr>
        <w:t>1.1项目概况</w:t>
      </w:r>
      <w:bookmarkEnd w:id="66"/>
      <w:bookmarkEnd w:id="67"/>
    </w:p>
    <w:p w14:paraId="020192ED">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1.1.1根据《中华人民共和国招标投标法》等有关法律、法规和规章的规定，本招标项目己具备招标条件，现对本</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进行招标。</w:t>
      </w:r>
    </w:p>
    <w:p w14:paraId="73B140FD">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1.1.2本招标项目招标人：见投标人须知前附表。</w:t>
      </w:r>
    </w:p>
    <w:p w14:paraId="21437606">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1.1.3本标段招标代理机构：见投标人须知前附表。</w:t>
      </w:r>
    </w:p>
    <w:p w14:paraId="2E90B098">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1.1.4本招标项目名称：见投标人须知前附表。</w:t>
      </w:r>
    </w:p>
    <w:p w14:paraId="3F0E49A1">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1.1.5本标段建设地点：见投标人须知前附表。</w:t>
      </w:r>
    </w:p>
    <w:p w14:paraId="63A7293D">
      <w:pPr>
        <w:spacing w:line="360" w:lineRule="auto"/>
        <w:ind w:firstLine="478" w:firstLineChars="170"/>
        <w:rPr>
          <w:rFonts w:hint="eastAsia" w:ascii="宋体" w:hAnsi="宋体" w:eastAsia="宋体" w:cs="宋体"/>
          <w:color w:val="auto"/>
          <w:sz w:val="28"/>
          <w:szCs w:val="28"/>
          <w:highlight w:val="none"/>
        </w:rPr>
      </w:pPr>
      <w:bookmarkStart w:id="68" w:name="_Toc282843638"/>
      <w:bookmarkStart w:id="69" w:name="_Toc282823814"/>
      <w:r>
        <w:rPr>
          <w:rFonts w:hint="eastAsia" w:ascii="宋体" w:hAnsi="宋体" w:eastAsia="宋体" w:cs="宋体"/>
          <w:b/>
          <w:color w:val="auto"/>
          <w:sz w:val="28"/>
          <w:szCs w:val="28"/>
          <w:highlight w:val="none"/>
        </w:rPr>
        <w:t>1.2资金来源和落实情况</w:t>
      </w:r>
      <w:bookmarkEnd w:id="68"/>
      <w:bookmarkEnd w:id="69"/>
    </w:p>
    <w:p w14:paraId="337245A5">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bookmarkStart w:id="70" w:name="_Toc282843639"/>
      <w:bookmarkStart w:id="71" w:name="_Toc282823815"/>
      <w:r>
        <w:rPr>
          <w:rFonts w:hint="eastAsia" w:ascii="宋体" w:hAnsi="宋体" w:eastAsia="宋体" w:cs="宋体"/>
          <w:color w:val="auto"/>
          <w:sz w:val="28"/>
          <w:szCs w:val="28"/>
          <w:highlight w:val="none"/>
        </w:rPr>
        <w:t>1.2.1本招标项目的资金来源及出资比例：见投标人须知前附表。</w:t>
      </w:r>
    </w:p>
    <w:p w14:paraId="41A62EA1">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1.2.2本招标项目的资金落实情况：见投标人须知前附表。</w:t>
      </w:r>
    </w:p>
    <w:bookmarkEnd w:id="70"/>
    <w:bookmarkEnd w:id="71"/>
    <w:p w14:paraId="76B62E2D">
      <w:pPr>
        <w:spacing w:line="360" w:lineRule="auto"/>
        <w:ind w:firstLine="478" w:firstLineChars="170"/>
        <w:rPr>
          <w:rFonts w:hint="eastAsia" w:ascii="宋体" w:hAnsi="宋体" w:eastAsia="宋体" w:cs="宋体"/>
          <w:b/>
          <w:color w:val="auto"/>
          <w:sz w:val="28"/>
          <w:szCs w:val="28"/>
          <w:highlight w:val="none"/>
        </w:rPr>
      </w:pPr>
      <w:bookmarkStart w:id="72" w:name="_Toc144974500"/>
      <w:bookmarkStart w:id="73" w:name="_Toc247085692"/>
      <w:bookmarkStart w:id="74" w:name="_Toc152042308"/>
      <w:bookmarkStart w:id="75" w:name="_Toc27939"/>
      <w:bookmarkStart w:id="76" w:name="_Toc152045532"/>
      <w:bookmarkStart w:id="77" w:name="_Toc296602423"/>
      <w:bookmarkStart w:id="78" w:name="_Toc179632549"/>
      <w:bookmarkStart w:id="79" w:name="_Toc246996178"/>
      <w:bookmarkStart w:id="80" w:name="_Toc246996921"/>
      <w:bookmarkStart w:id="81" w:name="_Toc282823817"/>
      <w:bookmarkStart w:id="82" w:name="_Toc282843641"/>
      <w:r>
        <w:rPr>
          <w:rFonts w:hint="eastAsia" w:ascii="宋体" w:hAnsi="宋体" w:eastAsia="宋体" w:cs="宋体"/>
          <w:b/>
          <w:color w:val="auto"/>
          <w:sz w:val="28"/>
          <w:szCs w:val="28"/>
          <w:highlight w:val="none"/>
        </w:rPr>
        <w:t>1.3招标范围、计划工期、质量要求</w:t>
      </w:r>
      <w:bookmarkEnd w:id="72"/>
      <w:bookmarkEnd w:id="73"/>
      <w:bookmarkEnd w:id="74"/>
      <w:bookmarkEnd w:id="75"/>
      <w:bookmarkEnd w:id="76"/>
      <w:bookmarkEnd w:id="77"/>
      <w:bookmarkEnd w:id="78"/>
      <w:bookmarkEnd w:id="79"/>
      <w:bookmarkEnd w:id="80"/>
    </w:p>
    <w:p w14:paraId="29956C0E">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1.3.1本次招标范围：见投标人须知前附表。</w:t>
      </w:r>
    </w:p>
    <w:p w14:paraId="40C0BDEC">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1.3.2本招标项目的计划工期：见投标人须知前附表。</w:t>
      </w:r>
    </w:p>
    <w:p w14:paraId="362172ED">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1.3.3本招标项目的质量要求：见投标人须知前附表。</w:t>
      </w:r>
    </w:p>
    <w:p w14:paraId="0B15958F">
      <w:pPr>
        <w:spacing w:line="360" w:lineRule="auto"/>
        <w:ind w:firstLine="478" w:firstLineChars="17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1.4投标人资格要求</w:t>
      </w:r>
      <w:bookmarkEnd w:id="81"/>
      <w:bookmarkEnd w:id="82"/>
    </w:p>
    <w:p w14:paraId="279E4B7A">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1.4.1投标人应具备承担本</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的资质条件、能力和信誉。</w:t>
      </w:r>
    </w:p>
    <w:p w14:paraId="57D78EFB">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（1）资质条件：见投标人须知前附表；</w:t>
      </w:r>
    </w:p>
    <w:p w14:paraId="49C449BE">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（2）项目经理资格：见投标人须知前附表；</w:t>
      </w:r>
    </w:p>
    <w:p w14:paraId="0376CA4C">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（3）财务要求：见投标人须知前附表；</w:t>
      </w:r>
    </w:p>
    <w:p w14:paraId="19092AA3">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（4）业绩要求：见投标人须知前附表；</w:t>
      </w:r>
    </w:p>
    <w:p w14:paraId="2E898F4E">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（5）其他要求：见投标人须知前附表。</w:t>
      </w:r>
    </w:p>
    <w:p w14:paraId="510685EB">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1.4.3投标人须知前附表规定接受联合体投标的，除应符合本章第1.4.1项和投标人须知前附表的要求外，还应遵守以下规定：</w:t>
      </w:r>
    </w:p>
    <w:p w14:paraId="3CEFA612">
      <w:pPr>
        <w:spacing w:line="360" w:lineRule="auto"/>
        <w:ind w:firstLine="476" w:firstLineChars="17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（1）联合体各方应按招标文件提供的格式签订联合体协议书，明确联合体牵头人和各方权利义务；</w:t>
      </w:r>
    </w:p>
    <w:p w14:paraId="333C9D56">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（2）由同一专业的单位组成的联合体，按照资质等级较</w:t>
      </w:r>
      <w:r>
        <w:rPr>
          <w:rFonts w:hint="eastAsia" w:ascii="宋体" w:hAnsi="宋体" w:eastAsia="宋体" w:cs="宋体"/>
          <w:color w:val="auto"/>
          <w:sz w:val="28"/>
          <w:szCs w:val="28"/>
          <w:highlight w:val="none"/>
          <w:lang w:val="en-US" w:eastAsia="zh-CN"/>
        </w:rPr>
        <w:t>低</w:t>
      </w:r>
      <w:r>
        <w:rPr>
          <w:rFonts w:hint="eastAsia" w:ascii="宋体" w:hAnsi="宋体" w:eastAsia="宋体" w:cs="宋体"/>
          <w:color w:val="auto"/>
          <w:sz w:val="28"/>
          <w:szCs w:val="28"/>
          <w:highlight w:val="none"/>
        </w:rPr>
        <w:t>的单位确定资质等级；</w:t>
      </w:r>
    </w:p>
    <w:p w14:paraId="7601BB3E">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（3）联合体各方不得再以自己名义单独或参加其他联合体在同一标段中投标。</w:t>
      </w:r>
    </w:p>
    <w:p w14:paraId="41C2076E">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1.4.4投标人不得存在下列情形之一：</w:t>
      </w:r>
    </w:p>
    <w:p w14:paraId="686483C8">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bookmarkStart w:id="83" w:name="_Toc282823819"/>
      <w:bookmarkStart w:id="84" w:name="_Toc282843643"/>
      <w:r>
        <w:rPr>
          <w:rFonts w:hint="eastAsia" w:ascii="宋体" w:hAnsi="宋体" w:eastAsia="宋体" w:cs="宋体"/>
          <w:color w:val="auto"/>
          <w:sz w:val="28"/>
          <w:szCs w:val="28"/>
          <w:highlight w:val="none"/>
        </w:rPr>
        <w:t>（1）为招标人不具有独立法人资格的附属机构（单位）；</w:t>
      </w:r>
    </w:p>
    <w:p w14:paraId="40A54E5D">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（2）为本招标项目前期准备提供设计或咨询服务的；</w:t>
      </w:r>
    </w:p>
    <w:p w14:paraId="6A982F13">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（3）为本招标项目的监理人；</w:t>
      </w:r>
    </w:p>
    <w:p w14:paraId="12E12282">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（4）为本招标项目的代建人；</w:t>
      </w:r>
    </w:p>
    <w:p w14:paraId="156E859D">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（5）为本招标项目提供招标代理服务的；</w:t>
      </w:r>
    </w:p>
    <w:p w14:paraId="2DD97171">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（6）与本招标项目的监理人或代建人或招标代理机构同为一个法定代表人的；</w:t>
      </w:r>
    </w:p>
    <w:p w14:paraId="639085E3">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（7）与本招标项目的监理人或代建人或招标代理机构相互控股或参股的；</w:t>
      </w:r>
    </w:p>
    <w:p w14:paraId="17E3935E">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（8）与本招标项目的监理人或代建人或招标代理机构相互任职或工作的；</w:t>
      </w:r>
    </w:p>
    <w:p w14:paraId="4C506DC4">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（9）被责令停业的；</w:t>
      </w:r>
    </w:p>
    <w:p w14:paraId="7912074B">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（10）被暂停或取消投标资格的；</w:t>
      </w:r>
    </w:p>
    <w:p w14:paraId="03A15D55">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（11）财产被接管或冻结的；</w:t>
      </w:r>
    </w:p>
    <w:p w14:paraId="08842941">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（12）在最近三年内有骗取中标或严重违约或重大工程质量问题的。</w:t>
      </w:r>
    </w:p>
    <w:p w14:paraId="70AC4834">
      <w:pPr>
        <w:pageBreakBefore w:val="0"/>
        <w:kinsoku/>
        <w:wordWrap/>
        <w:overflowPunct/>
        <w:topLinePunct w:val="0"/>
        <w:autoSpaceDE/>
        <w:autoSpaceDN/>
        <w:bidi w:val="0"/>
        <w:snapToGrid w:val="0"/>
        <w:spacing w:after="0" w:line="360" w:lineRule="auto"/>
        <w:ind w:firstLine="478" w:firstLineChars="171"/>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（13）转包、违法分包工程的；</w:t>
      </w:r>
    </w:p>
    <w:p w14:paraId="1DA6A49B">
      <w:pPr>
        <w:pageBreakBefore w:val="0"/>
        <w:kinsoku/>
        <w:wordWrap/>
        <w:overflowPunct/>
        <w:topLinePunct w:val="0"/>
        <w:autoSpaceDE/>
        <w:autoSpaceDN/>
        <w:bidi w:val="0"/>
        <w:snapToGrid w:val="0"/>
        <w:spacing w:after="0" w:line="360" w:lineRule="auto"/>
        <w:ind w:firstLine="478" w:firstLineChars="171"/>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（14）被最高人民法院在“信用中国”网站（www.creditchina.gov.cn）或各级信用信息共享平台中列入失信被执行人名单。</w:t>
      </w:r>
    </w:p>
    <w:p w14:paraId="135AF81F">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（15）法律法规或投标人须知前附表规定的其他情形。</w:t>
      </w:r>
    </w:p>
    <w:p w14:paraId="2CEE8CB2">
      <w:pPr>
        <w:spacing w:line="360" w:lineRule="auto"/>
        <w:ind w:firstLine="478" w:firstLineChars="17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1.5费用承担</w:t>
      </w:r>
      <w:bookmarkEnd w:id="83"/>
      <w:bookmarkEnd w:id="84"/>
    </w:p>
    <w:p w14:paraId="00CBAA2D">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bookmarkStart w:id="85" w:name="_Toc282843644"/>
      <w:bookmarkStart w:id="86" w:name="_Toc282823820"/>
      <w:r>
        <w:rPr>
          <w:rFonts w:hint="eastAsia" w:ascii="宋体" w:hAnsi="宋体" w:eastAsia="宋体" w:cs="宋体"/>
          <w:color w:val="auto"/>
          <w:sz w:val="28"/>
          <w:szCs w:val="28"/>
          <w:highlight w:val="none"/>
        </w:rPr>
        <w:t>1.5.1投标人准备和参加投标活动发生的费用自理。</w:t>
      </w:r>
    </w:p>
    <w:p w14:paraId="72180AF6">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1.5.2投标人应承担其投标文件编制与递交所涉及的一切费用。招标人对未中标人不作任何经济补偿。不管投标结果如何，投标文件概不退还，招标人和招标代理机构对上述费用不负任何责任。</w:t>
      </w:r>
    </w:p>
    <w:p w14:paraId="1C53075E">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1.5.3本项目招标代理服务费收费标准参照内工建协（2022）34号文件{内蒙古自治区建设工程招标代理服务收费指导意见}标准收取。</w:t>
      </w:r>
    </w:p>
    <w:p w14:paraId="63CBBC90">
      <w:pPr>
        <w:spacing w:line="360" w:lineRule="auto"/>
        <w:ind w:firstLine="478" w:firstLineChars="17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1.6保密</w:t>
      </w:r>
      <w:bookmarkEnd w:id="85"/>
      <w:bookmarkEnd w:id="86"/>
    </w:p>
    <w:p w14:paraId="169BA98F">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lang w:eastAsia="zh-CN"/>
        </w:rPr>
      </w:pPr>
      <w:bookmarkStart w:id="87" w:name="_Toc282823821"/>
      <w:bookmarkStart w:id="88" w:name="_Toc282843645"/>
      <w:r>
        <w:rPr>
          <w:rFonts w:hint="eastAsia" w:ascii="宋体" w:hAnsi="宋体" w:eastAsia="宋体" w:cs="宋体"/>
          <w:color w:val="auto"/>
          <w:sz w:val="28"/>
          <w:szCs w:val="28"/>
          <w:highlight w:val="none"/>
        </w:rPr>
        <w:t>参与招标投标活动的各方应对招标文件和投标文件中的商业和技术等秘密保密，违者应对由此造成的后果承担法律责任。</w:t>
      </w:r>
    </w:p>
    <w:p w14:paraId="57CD0DD5">
      <w:pPr>
        <w:spacing w:line="360" w:lineRule="auto"/>
        <w:ind w:firstLine="478" w:firstLineChars="17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1.7语言文字</w:t>
      </w:r>
      <w:bookmarkEnd w:id="87"/>
      <w:bookmarkEnd w:id="88"/>
    </w:p>
    <w:p w14:paraId="07F72E9D">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bookmarkStart w:id="89" w:name="_Toc282823822"/>
      <w:bookmarkStart w:id="90" w:name="_Toc282843646"/>
      <w:r>
        <w:rPr>
          <w:rFonts w:hint="eastAsia" w:ascii="宋体" w:hAnsi="宋体" w:eastAsia="宋体" w:cs="宋体"/>
          <w:color w:val="auto"/>
          <w:sz w:val="28"/>
          <w:szCs w:val="28"/>
          <w:highlight w:val="none"/>
        </w:rPr>
        <w:t>招标投标文件使用的语言文字为中文。专用术语使用外文的，应附有中文注释。</w:t>
      </w:r>
    </w:p>
    <w:p w14:paraId="0EDB6656">
      <w:pPr>
        <w:spacing w:line="360" w:lineRule="auto"/>
        <w:ind w:firstLine="478" w:firstLineChars="17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1.8计量单位</w:t>
      </w:r>
      <w:bookmarkEnd w:id="89"/>
      <w:bookmarkEnd w:id="90"/>
    </w:p>
    <w:p w14:paraId="5B88D372">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所有计量均采用中华人民共和国法定计量单位。</w:t>
      </w:r>
    </w:p>
    <w:p w14:paraId="2462FA57">
      <w:pPr>
        <w:spacing w:line="360" w:lineRule="auto"/>
        <w:ind w:firstLine="478" w:firstLineChars="170"/>
        <w:rPr>
          <w:rFonts w:hint="eastAsia" w:ascii="宋体" w:hAnsi="宋体" w:eastAsia="宋体" w:cs="宋体"/>
          <w:b/>
          <w:color w:val="auto"/>
          <w:sz w:val="28"/>
          <w:szCs w:val="28"/>
          <w:highlight w:val="none"/>
        </w:rPr>
      </w:pPr>
      <w:bookmarkStart w:id="91" w:name="_Toc282843647"/>
      <w:bookmarkStart w:id="92" w:name="_Toc282823823"/>
      <w:r>
        <w:rPr>
          <w:rFonts w:hint="eastAsia" w:ascii="宋体" w:hAnsi="宋体" w:eastAsia="宋体" w:cs="宋体"/>
          <w:b/>
          <w:color w:val="auto"/>
          <w:sz w:val="28"/>
          <w:szCs w:val="28"/>
          <w:highlight w:val="none"/>
        </w:rPr>
        <w:t>1.9踏勘现场</w:t>
      </w:r>
      <w:bookmarkEnd w:id="91"/>
      <w:bookmarkEnd w:id="92"/>
    </w:p>
    <w:p w14:paraId="03BD704F">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1.9.1投标人须知前附表规定组织踏勘现场的，招标人按投标人须知前附表规定的时间、地点组织投标人踏勘项目现场。</w:t>
      </w:r>
    </w:p>
    <w:p w14:paraId="50022D09">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1.9.2投标人踏勘现场发生的费用自理。</w:t>
      </w:r>
    </w:p>
    <w:p w14:paraId="2CC85309">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1.9.3除招标人的原因外，投标人自行负责在踏勘现场中所发生的人员伤亡和财产损失。</w:t>
      </w:r>
    </w:p>
    <w:p w14:paraId="3473727E">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1.9.4招标人在踏勘现场中介绍的工程场地和相关的周边环境情况，供投标人在编制投标文件时参考，招标人不对投标人据此作出的判断和决策负责。</w:t>
      </w:r>
    </w:p>
    <w:p w14:paraId="7E1CD5C0">
      <w:pPr>
        <w:pStyle w:val="16"/>
        <w:pageBreakBefore w:val="0"/>
        <w:kinsoku/>
        <w:wordWrap/>
        <w:overflowPunct/>
        <w:topLinePunct w:val="0"/>
        <w:autoSpaceDE/>
        <w:autoSpaceDN/>
        <w:bidi w:val="0"/>
        <w:snapToGrid w:val="0"/>
        <w:spacing w:before="0" w:after="0" w:afterLines="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1.9.5投标人应了解施工现场及周围地形、地貌、水文、地质、交通道路等情况,仔细检査现有的建筑物以及可作为储存和施工用途的场地、空间,以获得一切可能影响投标报价的直接资料。中标时,不得以不完全了解现场情况为理由而提出额外付款或延长竣工日期等索赔的要求。对此类要求,招标人将不作任何答复与考虑,否则投标人要自负风险,中标资格被取消,投标保证金不予退还。</w:t>
      </w:r>
    </w:p>
    <w:p w14:paraId="7FF109D1">
      <w:pPr>
        <w:spacing w:line="360" w:lineRule="auto"/>
        <w:ind w:firstLine="281" w:firstLineChars="100"/>
        <w:rPr>
          <w:rFonts w:hint="eastAsia" w:ascii="宋体" w:hAnsi="宋体" w:eastAsia="宋体" w:cs="宋体"/>
          <w:b/>
          <w:color w:val="auto"/>
          <w:sz w:val="28"/>
          <w:szCs w:val="28"/>
          <w:highlight w:val="none"/>
        </w:rPr>
      </w:pPr>
      <w:bookmarkStart w:id="93" w:name="_Toc282843648"/>
      <w:bookmarkStart w:id="94" w:name="_Toc282823824"/>
      <w:r>
        <w:rPr>
          <w:rFonts w:hint="eastAsia" w:ascii="宋体" w:hAnsi="宋体" w:eastAsia="宋体" w:cs="宋体"/>
          <w:b/>
          <w:color w:val="auto"/>
          <w:sz w:val="28"/>
          <w:szCs w:val="28"/>
          <w:highlight w:val="none"/>
        </w:rPr>
        <w:t>1.10投标预备会</w:t>
      </w:r>
      <w:bookmarkEnd w:id="93"/>
      <w:bookmarkEnd w:id="94"/>
    </w:p>
    <w:p w14:paraId="244636C8">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1.10.1投标人须知前附表规定召开投标预备会的，招标人按投标人须知前附表规定的时间和地点召开投标预备会，澄清投标人提出的问题。</w:t>
      </w:r>
    </w:p>
    <w:p w14:paraId="38E8FD25">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1.10.2投标人应在投标人须知前附表规定的时间前，以书面形式将提出的问题送达招标人，以便招标人在会议期间澄清。</w:t>
      </w:r>
    </w:p>
    <w:p w14:paraId="2FC5A807">
      <w:pPr>
        <w:spacing w:line="360" w:lineRule="auto"/>
        <w:ind w:firstLine="476" w:firstLineChars="1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1.10.3投标预备会后，招标人在投标人须知前附表规定的时间内，将对投标人所提问题的澄清，以书面方式通知所有购买招标文件的投标人，但不包括问题的来源。该澄清内容为招标文件的组成部分。</w:t>
      </w:r>
    </w:p>
    <w:p w14:paraId="08D87BED">
      <w:pPr>
        <w:spacing w:line="360" w:lineRule="auto"/>
        <w:ind w:firstLine="478" w:firstLineChars="170"/>
        <w:rPr>
          <w:rFonts w:hint="eastAsia" w:ascii="宋体" w:hAnsi="宋体" w:eastAsia="宋体" w:cs="宋体"/>
          <w:b/>
          <w:color w:val="auto"/>
          <w:sz w:val="28"/>
          <w:szCs w:val="28"/>
          <w:highlight w:val="none"/>
        </w:rPr>
      </w:pPr>
      <w:bookmarkStart w:id="95" w:name="_Toc282823826"/>
      <w:bookmarkStart w:id="96" w:name="_Toc282843650"/>
      <w:r>
        <w:rPr>
          <w:rFonts w:hint="eastAsia" w:ascii="宋体" w:hAnsi="宋体" w:eastAsia="宋体" w:cs="宋体"/>
          <w:b/>
          <w:color w:val="auto"/>
          <w:sz w:val="28"/>
          <w:szCs w:val="28"/>
          <w:highlight w:val="none"/>
        </w:rPr>
        <w:t>1.1</w:t>
      </w:r>
      <w:r>
        <w:rPr>
          <w:rFonts w:hint="eastAsia" w:ascii="宋体" w:hAnsi="宋体" w:eastAsia="宋体" w:cs="宋体"/>
          <w:b/>
          <w:color w:val="auto"/>
          <w:sz w:val="28"/>
          <w:szCs w:val="28"/>
          <w:highlight w:val="none"/>
          <w:lang w:val="en-US" w:eastAsia="zh-CN"/>
        </w:rPr>
        <w:t>1</w:t>
      </w:r>
      <w:r>
        <w:rPr>
          <w:rFonts w:hint="eastAsia" w:ascii="宋体" w:hAnsi="宋体" w:eastAsia="宋体" w:cs="宋体"/>
          <w:b/>
          <w:color w:val="auto"/>
          <w:sz w:val="28"/>
          <w:szCs w:val="28"/>
          <w:highlight w:val="none"/>
        </w:rPr>
        <w:t>偏离</w:t>
      </w:r>
      <w:bookmarkEnd w:id="95"/>
      <w:bookmarkEnd w:id="96"/>
    </w:p>
    <w:p w14:paraId="0A4D9DCF">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bookmarkStart w:id="97" w:name="_Toc283128905"/>
      <w:bookmarkStart w:id="98" w:name="_Toc16919"/>
      <w:bookmarkStart w:id="99" w:name="_Toc283289412"/>
      <w:bookmarkStart w:id="100" w:name="_Toc282823827"/>
      <w:bookmarkStart w:id="101" w:name="_Toc27376"/>
      <w:bookmarkStart w:id="102" w:name="_Toc677"/>
      <w:bookmarkStart w:id="103" w:name="_Toc31686"/>
      <w:bookmarkStart w:id="104" w:name="_Toc28728"/>
      <w:bookmarkStart w:id="105" w:name="_Toc31557"/>
      <w:bookmarkStart w:id="106" w:name="_Toc9774"/>
      <w:r>
        <w:rPr>
          <w:rFonts w:hint="eastAsia" w:ascii="宋体" w:hAnsi="宋体" w:eastAsia="宋体" w:cs="宋体"/>
          <w:color w:val="auto"/>
          <w:sz w:val="28"/>
          <w:szCs w:val="28"/>
          <w:highlight w:val="none"/>
        </w:rPr>
        <w:t>1.11.1投标人须知前附表允许投标文件偏离招标文件某些要求的，偏离应当符合招标文件规定的偏离范围和幅度。</w:t>
      </w:r>
    </w:p>
    <w:p w14:paraId="5AF2F67D">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1.11.2投标文件中的下列偏离为细微偏离。</w:t>
      </w:r>
    </w:p>
    <w:p w14:paraId="25F3B9CC">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细微偏离是指投标文件在实质上响应招标文件要求，但在个别地方存在漏项或者不完全的技术信息和数据等情况，并且补正这些遗漏或者不完整不会对其他投标人造成不公平的结果。细微偏离不影响投标文件的有效性。</w:t>
      </w:r>
    </w:p>
    <w:p w14:paraId="60123127">
      <w:pPr>
        <w:tabs>
          <w:tab w:val="left" w:pos="1480"/>
        </w:tabs>
        <w:autoSpaceDE w:val="0"/>
        <w:autoSpaceDN w:val="0"/>
        <w:adjustRightInd w:val="0"/>
        <w:spacing w:line="360" w:lineRule="auto"/>
        <w:ind w:firstLine="478" w:firstLineChars="170"/>
        <w:jc w:val="left"/>
        <w:outlineLvl w:val="0"/>
        <w:rPr>
          <w:rFonts w:hint="eastAsia" w:ascii="宋体" w:hAnsi="宋体" w:eastAsia="宋体" w:cs="宋体"/>
          <w:b/>
          <w:color w:val="auto"/>
          <w:kern w:val="0"/>
          <w:sz w:val="28"/>
          <w:szCs w:val="28"/>
          <w:highlight w:val="none"/>
        </w:rPr>
      </w:pPr>
      <w:bookmarkStart w:id="107" w:name="_Toc6758"/>
      <w:bookmarkStart w:id="108" w:name="_Toc26707"/>
      <w:r>
        <w:rPr>
          <w:rFonts w:hint="eastAsia" w:ascii="宋体" w:hAnsi="宋体" w:eastAsia="宋体" w:cs="宋体"/>
          <w:b/>
          <w:color w:val="auto"/>
          <w:kern w:val="0"/>
          <w:sz w:val="28"/>
          <w:szCs w:val="28"/>
          <w:highlight w:val="none"/>
        </w:rPr>
        <w:t>2.招标文件</w:t>
      </w:r>
      <w:bookmarkEnd w:id="97"/>
      <w:bookmarkEnd w:id="98"/>
      <w:bookmarkEnd w:id="99"/>
      <w:bookmarkEnd w:id="100"/>
      <w:bookmarkEnd w:id="101"/>
      <w:bookmarkEnd w:id="102"/>
      <w:bookmarkEnd w:id="103"/>
      <w:bookmarkEnd w:id="104"/>
      <w:bookmarkEnd w:id="105"/>
      <w:bookmarkEnd w:id="106"/>
      <w:bookmarkEnd w:id="107"/>
      <w:bookmarkEnd w:id="108"/>
    </w:p>
    <w:p w14:paraId="331EA7A8">
      <w:pPr>
        <w:autoSpaceDE w:val="0"/>
        <w:autoSpaceDN w:val="0"/>
        <w:adjustRightInd w:val="0"/>
        <w:spacing w:line="360" w:lineRule="auto"/>
        <w:ind w:firstLine="481" w:firstLineChars="171"/>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2.1招标文件的组成</w:t>
      </w:r>
    </w:p>
    <w:p w14:paraId="3923E995">
      <w:pPr>
        <w:keepNext w:val="0"/>
        <w:keepLines w:val="0"/>
        <w:pageBreakBefore w:val="0"/>
        <w:widowControl w:val="0"/>
        <w:kinsoku/>
        <w:wordWrap/>
        <w:overflowPunct/>
        <w:topLinePunct w:val="0"/>
        <w:autoSpaceDE/>
        <w:autoSpaceDN/>
        <w:bidi w:val="0"/>
        <w:adjustRightInd/>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2.1.1本招标文件包括：</w:t>
      </w:r>
    </w:p>
    <w:p w14:paraId="2E2C084E">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（1）招标公告；</w:t>
      </w:r>
    </w:p>
    <w:p w14:paraId="68AC1451">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（2）投标人须知；</w:t>
      </w:r>
    </w:p>
    <w:p w14:paraId="2574B669">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（3）评标办法和标准；</w:t>
      </w:r>
    </w:p>
    <w:p w14:paraId="12B3FAD0">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（4）合同条款及格式；</w:t>
      </w:r>
    </w:p>
    <w:p w14:paraId="1EEA4BD9">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发包人要求</w:t>
      </w:r>
      <w:r>
        <w:rPr>
          <w:rFonts w:hint="eastAsia" w:ascii="宋体" w:hAnsi="宋体" w:eastAsia="宋体" w:cs="宋体"/>
          <w:color w:val="auto"/>
          <w:sz w:val="28"/>
          <w:szCs w:val="28"/>
          <w:highlight w:val="none"/>
        </w:rPr>
        <w:t>；</w:t>
      </w:r>
    </w:p>
    <w:p w14:paraId="4934D2E8">
      <w:pPr>
        <w:pageBreakBefore w:val="0"/>
        <w:kinsoku/>
        <w:wordWrap/>
        <w:overflowPunct/>
        <w:topLinePunct w:val="0"/>
        <w:autoSpaceDE/>
        <w:autoSpaceDN/>
        <w:bidi w:val="0"/>
        <w:snapToGrid w:val="0"/>
        <w:spacing w:after="0" w:line="360" w:lineRule="auto"/>
        <w:ind w:firstLine="478" w:firstLineChars="17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发包人提供的资料和条件</w:t>
      </w:r>
      <w:r>
        <w:rPr>
          <w:rFonts w:hint="eastAsia" w:ascii="宋体" w:hAnsi="宋体" w:eastAsia="宋体" w:cs="宋体"/>
          <w:color w:val="auto"/>
          <w:sz w:val="28"/>
          <w:szCs w:val="28"/>
          <w:highlight w:val="none"/>
        </w:rPr>
        <w:t>；</w:t>
      </w:r>
    </w:p>
    <w:p w14:paraId="0A891775">
      <w:pPr>
        <w:pageBreakBefore w:val="0"/>
        <w:kinsoku/>
        <w:wordWrap/>
        <w:overflowPunct/>
        <w:topLinePunct w:val="0"/>
        <w:autoSpaceDE/>
        <w:autoSpaceDN/>
        <w:bidi w:val="0"/>
        <w:snapToGrid w:val="0"/>
        <w:spacing w:after="0" w:line="360" w:lineRule="auto"/>
        <w:ind w:firstLine="478" w:firstLineChars="171"/>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）投标文件格式；</w:t>
      </w:r>
    </w:p>
    <w:p w14:paraId="6E984532">
      <w:pPr>
        <w:pageBreakBefore w:val="0"/>
        <w:kinsoku/>
        <w:wordWrap/>
        <w:overflowPunct/>
        <w:topLinePunct w:val="0"/>
        <w:autoSpaceDE/>
        <w:autoSpaceDN/>
        <w:bidi w:val="0"/>
        <w:snapToGrid w:val="0"/>
        <w:spacing w:after="0" w:line="360" w:lineRule="auto"/>
        <w:ind w:firstLine="478" w:firstLineChars="171"/>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）投标人须知前附表规定的其他材料。</w:t>
      </w:r>
    </w:p>
    <w:p w14:paraId="75A84236">
      <w:pPr>
        <w:pageBreakBefore w:val="0"/>
        <w:kinsoku/>
        <w:wordWrap/>
        <w:overflowPunct/>
        <w:topLinePunct w:val="0"/>
        <w:autoSpaceDE/>
        <w:autoSpaceDN/>
        <w:bidi w:val="0"/>
        <w:snapToGrid w:val="0"/>
        <w:spacing w:after="0"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2.1.2根据本章第1.10款、第2.2款和第2.3款对招标文件所作的澄清、修改，构成招标文件的组成部分。</w:t>
      </w:r>
    </w:p>
    <w:p w14:paraId="4ECBA2F4">
      <w:pPr>
        <w:autoSpaceDE w:val="0"/>
        <w:autoSpaceDN w:val="0"/>
        <w:adjustRightInd w:val="0"/>
        <w:spacing w:line="360" w:lineRule="auto"/>
        <w:ind w:firstLine="481" w:firstLineChars="171"/>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2.2招标文件的澄清</w:t>
      </w:r>
    </w:p>
    <w:p w14:paraId="202BB53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lang w:val="en-US" w:eastAsia="zh-CN"/>
        </w:rPr>
      </w:pPr>
      <w:bookmarkStart w:id="109" w:name="_Toc26224"/>
      <w:bookmarkStart w:id="110" w:name="_Toc247085704"/>
      <w:bookmarkStart w:id="111" w:name="_Toc152042321"/>
      <w:bookmarkStart w:id="112" w:name="_Toc144974513"/>
      <w:bookmarkStart w:id="113" w:name="_Toc246996190"/>
      <w:bookmarkStart w:id="114" w:name="_Toc179632563"/>
      <w:bookmarkStart w:id="115" w:name="_Toc296602435"/>
      <w:bookmarkStart w:id="116" w:name="_Toc152045545"/>
      <w:bookmarkStart w:id="117" w:name="_Toc246996933"/>
      <w:bookmarkStart w:id="118" w:name="_Toc282823828"/>
      <w:bookmarkStart w:id="119" w:name="_Toc12924"/>
      <w:bookmarkStart w:id="120" w:name="_Toc12620"/>
      <w:bookmarkStart w:id="121" w:name="_Toc13538"/>
      <w:bookmarkStart w:id="122" w:name="_Toc283289413"/>
      <w:bookmarkStart w:id="123" w:name="_Toc283128906"/>
      <w:bookmarkStart w:id="124" w:name="_Toc10985"/>
      <w:bookmarkStart w:id="125" w:name="_Toc30711"/>
      <w:bookmarkStart w:id="126" w:name="_Toc17514"/>
      <w:bookmarkStart w:id="127" w:name="_Toc29715"/>
      <w:r>
        <w:rPr>
          <w:rFonts w:hint="eastAsia" w:ascii="宋体" w:hAnsi="宋体" w:eastAsia="宋体" w:cs="宋体"/>
          <w:color w:val="auto"/>
          <w:sz w:val="28"/>
          <w:szCs w:val="28"/>
          <w:highlight w:val="none"/>
        </w:rPr>
        <w:t>2.2.1投标人应仔细阅读和检查招标文件的全部内容。如发现缺页或附件不全，应及时向招标人提出，以便补齐。如有疑问，应在投标人须知前附表规定的时间前登陆“交易中心系统”将问题以澄清的形式提出。并以电话的形式匿名通知招标代理机构或招标人。招标代理机构将组织招标人对投标人所要求澄清的内容予以答复。必要时，招标代理机构将组织相关专家召开答疑会，并将会议内容以澄清或者补遗的形式在</w:t>
      </w:r>
      <w:r>
        <w:rPr>
          <w:rFonts w:hint="eastAsia" w:ascii="宋体" w:hAnsi="宋体" w:eastAsia="宋体" w:cs="宋体"/>
          <w:color w:val="auto"/>
          <w:sz w:val="28"/>
          <w:szCs w:val="28"/>
          <w:highlight w:val="none"/>
          <w:lang w:val="en-US" w:eastAsia="zh-CN"/>
        </w:rPr>
        <w:t>内蒙古自治区公共资源交易网（http://ggzyjy.nmg.gov.cn）</w:t>
      </w:r>
      <w:r>
        <w:rPr>
          <w:rFonts w:hint="eastAsia" w:ascii="宋体" w:hAnsi="宋体" w:eastAsia="宋体" w:cs="宋体"/>
          <w:color w:val="auto"/>
          <w:sz w:val="28"/>
          <w:szCs w:val="28"/>
          <w:highlight w:val="none"/>
        </w:rPr>
        <w:t>上发布给潜在投标人，所有投标人应密切关注</w:t>
      </w:r>
      <w:r>
        <w:rPr>
          <w:rFonts w:hint="eastAsia" w:ascii="宋体" w:hAnsi="宋体" w:eastAsia="宋体" w:cs="宋体"/>
          <w:color w:val="auto"/>
          <w:sz w:val="28"/>
          <w:szCs w:val="28"/>
          <w:highlight w:val="none"/>
          <w:lang w:val="en-US" w:eastAsia="zh-CN"/>
        </w:rPr>
        <w:t>内蒙古自治区公共资源交易网</w:t>
      </w:r>
      <w:r>
        <w:rPr>
          <w:rFonts w:hint="eastAsia" w:ascii="宋体" w:hAnsi="宋体" w:eastAsia="宋体" w:cs="宋体"/>
          <w:color w:val="auto"/>
          <w:sz w:val="28"/>
          <w:szCs w:val="28"/>
          <w:highlight w:val="none"/>
        </w:rPr>
        <w:t>与本项目相关的信息，未关注者后果自行承担。投标人在规定的时间内未对招标文件澄清或提出疑问的，招标代理机构将视其为无异议。</w:t>
      </w:r>
    </w:p>
    <w:p w14:paraId="3844F17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2.2.2招标文件的澄清将在投标人须知前附表规定的投标截止时间15天前在</w:t>
      </w:r>
      <w:r>
        <w:rPr>
          <w:rFonts w:hint="eastAsia" w:ascii="宋体" w:hAnsi="宋体" w:eastAsia="宋体" w:cs="宋体"/>
          <w:color w:val="auto"/>
          <w:sz w:val="28"/>
          <w:szCs w:val="28"/>
          <w:highlight w:val="none"/>
          <w:lang w:val="en-US" w:eastAsia="zh-CN"/>
        </w:rPr>
        <w:t>内蒙古自治区公共资源交易网（http://ggzyjy.nmg.gov.cn）</w:t>
      </w:r>
      <w:r>
        <w:rPr>
          <w:rFonts w:hint="eastAsia" w:ascii="宋体" w:hAnsi="宋体" w:eastAsia="宋体" w:cs="宋体"/>
          <w:b w:val="0"/>
          <w:bCs/>
          <w:color w:val="auto"/>
          <w:sz w:val="28"/>
          <w:szCs w:val="28"/>
          <w:highlight w:val="none"/>
        </w:rPr>
        <w:t>上发布，所有投标人应密切关注</w:t>
      </w:r>
      <w:r>
        <w:rPr>
          <w:rFonts w:hint="eastAsia" w:ascii="宋体" w:hAnsi="宋体" w:eastAsia="宋体" w:cs="宋体"/>
          <w:color w:val="auto"/>
          <w:sz w:val="28"/>
          <w:szCs w:val="28"/>
          <w:highlight w:val="none"/>
          <w:lang w:val="en-US" w:eastAsia="zh-CN"/>
        </w:rPr>
        <w:t>内蒙古自治区公共资源交易网</w:t>
      </w:r>
      <w:r>
        <w:rPr>
          <w:rFonts w:hint="eastAsia" w:ascii="宋体" w:hAnsi="宋体" w:eastAsia="宋体" w:cs="宋体"/>
          <w:b w:val="0"/>
          <w:bCs/>
          <w:color w:val="auto"/>
          <w:sz w:val="28"/>
          <w:szCs w:val="28"/>
          <w:highlight w:val="none"/>
        </w:rPr>
        <w:t>与本项目相关的信息，未关注者后果自行承担。如果澄清发出的时间距投标人须知前附表规定的投标截止时间不足15天，并且澄清内容影响投标文件编制的，将相应延长投标截止时间。</w:t>
      </w:r>
    </w:p>
    <w:p w14:paraId="4CFF1A1B">
      <w:pPr>
        <w:pStyle w:val="17"/>
        <w:spacing w:line="360" w:lineRule="auto"/>
        <w:ind w:left="0" w:leftChars="0" w:firstLine="560" w:firstLineChars="200"/>
        <w:rPr>
          <w:rFonts w:hint="eastAsia"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lang w:val="en-US" w:eastAsia="zh-CN" w:bidi="ar-SA"/>
        </w:rPr>
        <w:t>2.2.3投标人在收到澄清后，应在投标人须知前附表规定的时间内以书面形式通知招标人，确认已收到该澄清。</w:t>
      </w:r>
    </w:p>
    <w:bookmarkEnd w:id="109"/>
    <w:bookmarkEnd w:id="110"/>
    <w:bookmarkEnd w:id="111"/>
    <w:bookmarkEnd w:id="112"/>
    <w:bookmarkEnd w:id="113"/>
    <w:bookmarkEnd w:id="114"/>
    <w:bookmarkEnd w:id="115"/>
    <w:bookmarkEnd w:id="116"/>
    <w:bookmarkEnd w:id="117"/>
    <w:p w14:paraId="0BC09A4D">
      <w:pPr>
        <w:pStyle w:val="4"/>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b/>
          <w:bCs/>
          <w:color w:val="auto"/>
          <w:kern w:val="2"/>
          <w:sz w:val="28"/>
          <w:szCs w:val="28"/>
          <w:highlight w:val="none"/>
          <w:lang w:val="en-US" w:eastAsia="zh-CN" w:bidi="ar"/>
        </w:rPr>
      </w:pPr>
      <w:bookmarkStart w:id="128" w:name="_Toc31782"/>
      <w:r>
        <w:rPr>
          <w:rFonts w:hint="eastAsia" w:ascii="宋体" w:hAnsi="宋体" w:eastAsia="宋体" w:cs="宋体"/>
          <w:b/>
          <w:bCs/>
          <w:color w:val="auto"/>
          <w:kern w:val="2"/>
          <w:sz w:val="28"/>
          <w:szCs w:val="28"/>
          <w:highlight w:val="none"/>
          <w:lang w:val="en-US" w:eastAsia="zh-CN" w:bidi="ar"/>
        </w:rPr>
        <w:t>2.3招标文件的修改</w:t>
      </w:r>
      <w:bookmarkEnd w:id="128"/>
    </w:p>
    <w:p w14:paraId="7B271341">
      <w:pPr>
        <w:pStyle w:val="4"/>
        <w:keepNext/>
        <w:keepLines/>
        <w:pageBreakBefore w:val="0"/>
        <w:widowControl w:val="0"/>
        <w:kinsoku/>
        <w:wordWrap/>
        <w:overflowPunct/>
        <w:topLinePunct w:val="0"/>
        <w:autoSpaceDE/>
        <w:autoSpaceDN/>
        <w:bidi w:val="0"/>
        <w:adjustRightInd/>
        <w:snapToGrid w:val="0"/>
        <w:spacing w:before="0" w:beforeLines="0" w:after="0" w:afterLines="0" w:line="360" w:lineRule="auto"/>
        <w:ind w:firstLine="560" w:firstLineChars="200"/>
        <w:textAlignment w:val="auto"/>
        <w:rPr>
          <w:rFonts w:hint="eastAsia" w:ascii="宋体" w:hAnsi="宋体" w:eastAsia="宋体" w:cs="宋体"/>
          <w:b w:val="0"/>
          <w:bCs w:val="0"/>
          <w:color w:val="auto"/>
          <w:kern w:val="2"/>
          <w:sz w:val="28"/>
          <w:szCs w:val="28"/>
          <w:highlight w:val="none"/>
          <w:lang w:val="en-US" w:eastAsia="zh-CN" w:bidi="ar"/>
        </w:rPr>
      </w:pPr>
      <w:bookmarkStart w:id="129" w:name="_Toc7923"/>
      <w:r>
        <w:rPr>
          <w:rFonts w:hint="eastAsia" w:ascii="宋体" w:hAnsi="宋体" w:eastAsia="宋体" w:cs="宋体"/>
          <w:b w:val="0"/>
          <w:bCs w:val="0"/>
          <w:color w:val="auto"/>
          <w:kern w:val="2"/>
          <w:sz w:val="28"/>
          <w:szCs w:val="28"/>
          <w:highlight w:val="none"/>
          <w:lang w:val="en-US" w:eastAsia="zh-CN" w:bidi="ar"/>
        </w:rPr>
        <w:t>2.3.1招标人可以书面形式修改招标文件，并通知所有已购买招标文件的投标人。但如果修改招标文件的时间距投标截止时间不足15天，并且修改内容影响投标文件编制的，将相应延长投标截止时间。</w:t>
      </w:r>
      <w:bookmarkEnd w:id="129"/>
    </w:p>
    <w:p w14:paraId="124FE891">
      <w:pPr>
        <w:pStyle w:val="4"/>
        <w:keepNext/>
        <w:keepLines/>
        <w:pageBreakBefore w:val="0"/>
        <w:widowControl w:val="0"/>
        <w:kinsoku/>
        <w:wordWrap/>
        <w:overflowPunct/>
        <w:topLinePunct w:val="0"/>
        <w:autoSpaceDE/>
        <w:autoSpaceDN/>
        <w:bidi w:val="0"/>
        <w:adjustRightInd/>
        <w:snapToGrid w:val="0"/>
        <w:spacing w:before="0" w:beforeLines="0" w:after="0" w:afterLines="0" w:line="360" w:lineRule="auto"/>
        <w:ind w:firstLine="560" w:firstLineChars="200"/>
        <w:textAlignment w:val="auto"/>
        <w:rPr>
          <w:rFonts w:hint="eastAsia" w:ascii="宋体" w:hAnsi="宋体" w:eastAsia="宋体" w:cs="宋体"/>
          <w:b w:val="0"/>
          <w:bCs w:val="0"/>
          <w:color w:val="auto"/>
          <w:kern w:val="2"/>
          <w:sz w:val="28"/>
          <w:szCs w:val="28"/>
          <w:highlight w:val="none"/>
          <w:lang w:val="en-US" w:eastAsia="zh-CN" w:bidi="ar"/>
        </w:rPr>
      </w:pPr>
      <w:bookmarkStart w:id="130" w:name="_Toc22127"/>
      <w:r>
        <w:rPr>
          <w:rFonts w:hint="eastAsia" w:ascii="宋体" w:hAnsi="宋体" w:eastAsia="宋体" w:cs="宋体"/>
          <w:b w:val="0"/>
          <w:bCs w:val="0"/>
          <w:color w:val="auto"/>
          <w:kern w:val="2"/>
          <w:sz w:val="28"/>
          <w:szCs w:val="28"/>
          <w:highlight w:val="none"/>
          <w:lang w:val="en-US" w:eastAsia="zh-CN" w:bidi="ar"/>
        </w:rPr>
        <w:t>2.3.2投标人收到修改内容后，应在投标人须知前附表规定的时间内以书面形式通知招标人，确认已收到该修改。</w:t>
      </w:r>
      <w:bookmarkEnd w:id="130"/>
    </w:p>
    <w:p w14:paraId="39BD8420">
      <w:pPr>
        <w:tabs>
          <w:tab w:val="left" w:pos="1480"/>
        </w:tabs>
        <w:autoSpaceDE w:val="0"/>
        <w:autoSpaceDN w:val="0"/>
        <w:adjustRightInd w:val="0"/>
        <w:spacing w:line="360" w:lineRule="auto"/>
        <w:ind w:firstLine="562" w:firstLineChars="200"/>
        <w:jc w:val="left"/>
        <w:outlineLvl w:val="0"/>
        <w:rPr>
          <w:rFonts w:hint="eastAsia" w:ascii="宋体" w:hAnsi="宋体" w:eastAsia="宋体" w:cs="宋体"/>
          <w:b/>
          <w:color w:val="auto"/>
          <w:kern w:val="0"/>
          <w:sz w:val="28"/>
          <w:szCs w:val="28"/>
          <w:highlight w:val="none"/>
        </w:rPr>
      </w:pPr>
      <w:bookmarkStart w:id="131" w:name="_Toc15883"/>
      <w:bookmarkStart w:id="132" w:name="_Toc9707"/>
      <w:r>
        <w:rPr>
          <w:rFonts w:hint="eastAsia" w:ascii="宋体" w:hAnsi="宋体" w:eastAsia="宋体" w:cs="宋体"/>
          <w:b/>
          <w:color w:val="auto"/>
          <w:kern w:val="0"/>
          <w:sz w:val="28"/>
          <w:szCs w:val="28"/>
          <w:highlight w:val="none"/>
        </w:rPr>
        <w:t>3.投标文件</w:t>
      </w:r>
      <w:bookmarkEnd w:id="118"/>
      <w:bookmarkEnd w:id="119"/>
      <w:bookmarkEnd w:id="120"/>
      <w:bookmarkEnd w:id="121"/>
      <w:bookmarkEnd w:id="122"/>
      <w:bookmarkEnd w:id="123"/>
      <w:bookmarkEnd w:id="124"/>
      <w:bookmarkEnd w:id="125"/>
      <w:bookmarkEnd w:id="126"/>
      <w:bookmarkEnd w:id="127"/>
      <w:bookmarkEnd w:id="131"/>
      <w:bookmarkEnd w:id="132"/>
    </w:p>
    <w:p w14:paraId="78077368">
      <w:pPr>
        <w:autoSpaceDE w:val="0"/>
        <w:autoSpaceDN w:val="0"/>
        <w:adjustRightInd w:val="0"/>
        <w:spacing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3.1投标文件的组成</w:t>
      </w:r>
    </w:p>
    <w:p w14:paraId="41FD6F7A">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3.1.1投标文件应包括下列内容：</w:t>
      </w:r>
    </w:p>
    <w:p w14:paraId="3FBD454F">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_Toc22245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投标函及投标函附录</w:t>
      </w:r>
      <w:r>
        <w:rPr>
          <w:rFonts w:hint="eastAsia" w:ascii="宋体" w:hAnsi="宋体" w:eastAsia="宋体" w:cs="宋体"/>
          <w:color w:val="auto"/>
          <w:sz w:val="28"/>
          <w:szCs w:val="28"/>
          <w:highlight w:val="none"/>
        </w:rPr>
        <w:fldChar w:fldCharType="end"/>
      </w:r>
    </w:p>
    <w:p w14:paraId="552140F5">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_Toc19184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eastAsia="zh-CN"/>
        </w:rPr>
        <w:t>法定代表人身份证明</w:t>
      </w:r>
      <w:r>
        <w:rPr>
          <w:rFonts w:hint="eastAsia" w:ascii="宋体" w:hAnsi="宋体" w:eastAsia="宋体" w:cs="宋体"/>
          <w:color w:val="auto"/>
          <w:sz w:val="28"/>
          <w:szCs w:val="28"/>
          <w:highlight w:val="none"/>
        </w:rPr>
        <w:fldChar w:fldCharType="end"/>
      </w:r>
    </w:p>
    <w:p w14:paraId="0E8332D7">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eastAsia="zh-CN"/>
        </w:rPr>
        <w:t>授权委托书</w:t>
      </w:r>
      <w:r>
        <w:rPr>
          <w:rFonts w:hint="eastAsia" w:ascii="宋体" w:hAnsi="宋体" w:eastAsia="宋体" w:cs="宋体"/>
          <w:color w:val="auto"/>
          <w:sz w:val="28"/>
          <w:szCs w:val="28"/>
          <w:highlight w:val="none"/>
        </w:rPr>
        <w:fldChar w:fldCharType="end"/>
      </w:r>
    </w:p>
    <w:p w14:paraId="7F87CE7F">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_Toc25948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投标保证金</w:t>
      </w:r>
      <w:r>
        <w:rPr>
          <w:rFonts w:hint="eastAsia" w:ascii="宋体" w:hAnsi="宋体" w:eastAsia="宋体" w:cs="宋体"/>
          <w:color w:val="auto"/>
          <w:sz w:val="28"/>
          <w:szCs w:val="28"/>
          <w:highlight w:val="none"/>
        </w:rPr>
        <w:fldChar w:fldCharType="end"/>
      </w:r>
    </w:p>
    <w:p w14:paraId="142B0153">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报价内容</w:t>
      </w:r>
      <w:r>
        <w:rPr>
          <w:rFonts w:hint="eastAsia" w:ascii="宋体" w:hAnsi="宋体" w:eastAsia="宋体" w:cs="宋体"/>
          <w:color w:val="auto"/>
          <w:sz w:val="28"/>
          <w:szCs w:val="28"/>
          <w:highlight w:val="none"/>
        </w:rPr>
        <w:fldChar w:fldCharType="end"/>
      </w:r>
    </w:p>
    <w:p w14:paraId="1E6940DE">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_Toc1280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联合体投标协议书</w:t>
      </w:r>
      <w:r>
        <w:rPr>
          <w:rFonts w:hint="eastAsia" w:ascii="宋体" w:hAnsi="宋体" w:eastAsia="宋体" w:cs="宋体"/>
          <w:color w:val="auto"/>
          <w:sz w:val="28"/>
          <w:szCs w:val="28"/>
          <w:highlight w:val="none"/>
        </w:rPr>
        <w:fldChar w:fldCharType="end"/>
      </w:r>
    </w:p>
    <w:p w14:paraId="458E5573">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_Toc8826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项目管理机构</w:t>
      </w:r>
      <w:r>
        <w:rPr>
          <w:rFonts w:hint="eastAsia" w:ascii="宋体" w:hAnsi="宋体" w:eastAsia="宋体" w:cs="宋体"/>
          <w:color w:val="auto"/>
          <w:sz w:val="28"/>
          <w:szCs w:val="28"/>
          <w:highlight w:val="none"/>
        </w:rPr>
        <w:fldChar w:fldCharType="end"/>
      </w:r>
    </w:p>
    <w:p w14:paraId="36BCF5E2">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_Toc32295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资格审查资料</w:t>
      </w:r>
      <w:r>
        <w:rPr>
          <w:rFonts w:hint="eastAsia" w:ascii="宋体" w:hAnsi="宋体" w:eastAsia="宋体" w:cs="宋体"/>
          <w:color w:val="auto"/>
          <w:sz w:val="28"/>
          <w:szCs w:val="28"/>
          <w:highlight w:val="none"/>
        </w:rPr>
        <w:fldChar w:fldCharType="end"/>
      </w:r>
    </w:p>
    <w:p w14:paraId="39365EA2">
      <w:pPr>
        <w:numPr>
          <w:ilvl w:val="0"/>
          <w:numId w:val="13"/>
        </w:numPr>
        <w:spacing w:line="360" w:lineRule="auto"/>
        <w:ind w:left="425" w:lef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_Toc26945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技术方案</w:t>
      </w:r>
      <w:r>
        <w:rPr>
          <w:rFonts w:hint="eastAsia" w:ascii="宋体" w:hAnsi="宋体" w:eastAsia="宋体" w:cs="宋体"/>
          <w:color w:val="auto"/>
          <w:sz w:val="28"/>
          <w:szCs w:val="28"/>
          <w:highlight w:val="none"/>
        </w:rPr>
        <w:fldChar w:fldCharType="end"/>
      </w:r>
    </w:p>
    <w:p w14:paraId="069C9B96">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投标文件其他内容</w:t>
      </w:r>
      <w:r>
        <w:rPr>
          <w:rFonts w:hint="eastAsia" w:ascii="宋体" w:hAnsi="宋体" w:eastAsia="宋体" w:cs="宋体"/>
          <w:color w:val="auto"/>
          <w:sz w:val="28"/>
          <w:szCs w:val="28"/>
          <w:highlight w:val="none"/>
        </w:rPr>
        <w:fldChar w:fldCharType="end"/>
      </w:r>
    </w:p>
    <w:p w14:paraId="79D62DD0">
      <w:pPr>
        <w:spacing w:line="360" w:lineRule="auto"/>
        <w:ind w:firstLine="562" w:firstLineChars="200"/>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3.2投标报价</w:t>
      </w:r>
    </w:p>
    <w:p w14:paraId="120E5A81">
      <w:pPr>
        <w:autoSpaceDE w:val="0"/>
        <w:autoSpaceDN w:val="0"/>
        <w:adjustRightInd w:val="0"/>
        <w:spacing w:line="360" w:lineRule="auto"/>
        <w:ind w:firstLine="560" w:firstLineChars="200"/>
        <w:jc w:val="left"/>
        <w:rPr>
          <w:rFonts w:hint="eastAsia" w:ascii="宋体" w:hAnsi="宋体" w:eastAsia="宋体" w:cs="宋体"/>
          <w:i w:val="0"/>
          <w:iCs w:val="0"/>
          <w:color w:val="auto"/>
          <w:kern w:val="0"/>
          <w:sz w:val="28"/>
          <w:szCs w:val="28"/>
          <w:highlight w:val="none"/>
        </w:rPr>
      </w:pPr>
      <w:r>
        <w:rPr>
          <w:rFonts w:hint="eastAsia" w:ascii="宋体" w:hAnsi="宋体" w:eastAsia="宋体" w:cs="宋体"/>
          <w:color w:val="auto"/>
          <w:kern w:val="0"/>
          <w:sz w:val="28"/>
          <w:szCs w:val="28"/>
          <w:highlight w:val="none"/>
        </w:rPr>
        <w:t>3.2.1投标人应按</w:t>
      </w:r>
      <w:r>
        <w:rPr>
          <w:rFonts w:hint="eastAsia" w:ascii="宋体" w:hAnsi="宋体" w:eastAsia="宋体" w:cs="宋体"/>
          <w:color w:val="auto"/>
          <w:kern w:val="0"/>
          <w:sz w:val="28"/>
          <w:szCs w:val="28"/>
          <w:highlight w:val="none"/>
          <w:lang w:val="en-US" w:eastAsia="zh-CN"/>
        </w:rPr>
        <w:t>报价</w:t>
      </w:r>
      <w:r>
        <w:rPr>
          <w:rFonts w:hint="eastAsia" w:ascii="宋体" w:hAnsi="宋体" w:eastAsia="宋体" w:cs="宋体"/>
          <w:color w:val="auto"/>
          <w:kern w:val="0"/>
          <w:sz w:val="28"/>
          <w:szCs w:val="28"/>
          <w:highlight w:val="none"/>
        </w:rPr>
        <w:t>要求填写相应</w:t>
      </w:r>
      <w:r>
        <w:rPr>
          <w:rFonts w:hint="eastAsia" w:ascii="宋体" w:hAnsi="宋体" w:eastAsia="宋体" w:cs="宋体"/>
          <w:color w:val="auto"/>
          <w:kern w:val="0"/>
          <w:sz w:val="28"/>
          <w:szCs w:val="28"/>
          <w:highlight w:val="none"/>
          <w:lang w:val="en-US" w:eastAsia="zh-CN"/>
        </w:rPr>
        <w:t>报价</w:t>
      </w:r>
      <w:r>
        <w:rPr>
          <w:rFonts w:hint="eastAsia" w:ascii="宋体" w:hAnsi="宋体" w:eastAsia="宋体" w:cs="宋体"/>
          <w:color w:val="auto"/>
          <w:kern w:val="0"/>
          <w:sz w:val="28"/>
          <w:szCs w:val="28"/>
          <w:highlight w:val="none"/>
        </w:rPr>
        <w:t>表格</w:t>
      </w:r>
      <w:r>
        <w:rPr>
          <w:rFonts w:hint="eastAsia" w:ascii="宋体" w:hAnsi="宋体" w:eastAsia="宋体" w:cs="宋体"/>
          <w:i w:val="0"/>
          <w:iCs w:val="0"/>
          <w:color w:val="auto"/>
          <w:kern w:val="0"/>
          <w:sz w:val="28"/>
          <w:szCs w:val="28"/>
          <w:highlight w:val="none"/>
        </w:rPr>
        <w:t>。</w:t>
      </w:r>
    </w:p>
    <w:p w14:paraId="3BBE082F">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3.2.2投标人应充分了解项目特点、施工场地的位置、周边环境、道路、装卸、保管、安装限制以及影响投标报价的其他要素。投标人根据投标设计，结合市场情况进行投标报价。</w:t>
      </w:r>
    </w:p>
    <w:p w14:paraId="2374CD52">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3.2.3投标人在投标截止时间前修改投标函中的投标报价，应同时修改投标文件“投标报价汇总表”中的相应报价，投标报价总额为各分项金额之和。此修改须符合本章第4.3款的有关要求。</w:t>
      </w:r>
    </w:p>
    <w:p w14:paraId="3EA2B27A">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3.2.4招标人设有最高投标限价的，投标人的投标报价不得超过最高投标限价，最高投标限价或其计算方法在投标人须知前附表中载明。</w:t>
      </w:r>
    </w:p>
    <w:p w14:paraId="0CB86DB9">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3.2.5投标报价的其他要求见投标人须知前附表。</w:t>
      </w:r>
    </w:p>
    <w:p w14:paraId="79B7974A">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lang w:val="en-US" w:eastAsia="zh-CN"/>
        </w:rPr>
        <w:t>3.3投标有效期</w:t>
      </w:r>
    </w:p>
    <w:p w14:paraId="4B1BE56C">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3.3.1除投标人须知前附表另有规定外，投标有效期为90天。</w:t>
      </w:r>
    </w:p>
    <w:p w14:paraId="0F9DD81D">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3.3.2在投标有效期内，投标人撤销或修改其投标文件的，应承担招标文件和法律规定的责任。</w:t>
      </w:r>
    </w:p>
    <w:p w14:paraId="33580C26">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9906EDF">
      <w:pPr>
        <w:autoSpaceDE w:val="0"/>
        <w:autoSpaceDN w:val="0"/>
        <w:adjustRightInd w:val="0"/>
        <w:spacing w:line="360" w:lineRule="auto"/>
        <w:ind w:firstLine="481" w:firstLineChars="171"/>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3.4投标保证金</w:t>
      </w:r>
    </w:p>
    <w:p w14:paraId="16B5F86F">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3.4.1投标人在递交投标文件的同时，应按投标人须知前附表规定的金额、担保形式、规定的时间递交投标保证金，并作为其投标文件的组成部分。</w:t>
      </w:r>
    </w:p>
    <w:p w14:paraId="763C4F00">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3.4.2投标人不按投标人须知前附表要求提交投标保证金的，其投标文件作废标处理。</w:t>
      </w:r>
    </w:p>
    <w:p w14:paraId="60CCFAF7">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3.4.3中标公示期满后，无投标人质疑，退还中标人以外的投标人的投标保证金；招标人与中标人签订合同后5日内，退还中标单位的投标保证金。</w:t>
      </w:r>
    </w:p>
    <w:p w14:paraId="3CCA1BA4">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3.4.4有下列情形之一的，投标保证金将不予退还：</w:t>
      </w:r>
    </w:p>
    <w:p w14:paraId="4ED14525">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（1）投标人在规定的投标有效期内撤销或修改其投标文件；</w:t>
      </w:r>
    </w:p>
    <w:p w14:paraId="44828CCF">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（2）中标人在收到中标通知书后，无正当理由拒签合同协议书或未按招标文件的规定提交履约担保。</w:t>
      </w:r>
    </w:p>
    <w:p w14:paraId="1BCF7AB9">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3.5资格审查资</w:t>
      </w:r>
      <w:r>
        <w:rPr>
          <w:rFonts w:hint="eastAsia" w:ascii="宋体" w:hAnsi="宋体" w:eastAsia="宋体" w:cs="宋体"/>
          <w:b/>
          <w:bCs/>
          <w:i w:val="0"/>
          <w:iCs w:val="0"/>
          <w:color w:val="auto"/>
          <w:kern w:val="0"/>
          <w:sz w:val="28"/>
          <w:szCs w:val="28"/>
          <w:highlight w:val="none"/>
        </w:rPr>
        <w:t>料（适用于未进行资格预审的）</w:t>
      </w:r>
    </w:p>
    <w:p w14:paraId="1F78BE5A">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3.5.1“投标人基本情况表”应附投标人营业执照副本、资质证书副本和安全生产许可证</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开户许可证</w:t>
      </w:r>
      <w:r>
        <w:rPr>
          <w:rFonts w:hint="eastAsia" w:ascii="宋体" w:hAnsi="宋体" w:eastAsia="宋体" w:cs="宋体"/>
          <w:color w:val="auto"/>
          <w:kern w:val="0"/>
          <w:sz w:val="28"/>
          <w:szCs w:val="28"/>
          <w:highlight w:val="none"/>
        </w:rPr>
        <w:t>等材料的复印件。</w:t>
      </w:r>
    </w:p>
    <w:p w14:paraId="55F22875">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3.5.2“近年财务状况表”应附经会计师事务所或审计机构审计的财务会计报表，包括资产负债表、现金流量表、利润表和财务情况说明书的复印件，具体年份要求见投标人须知前附表。</w:t>
      </w:r>
    </w:p>
    <w:p w14:paraId="5E430635">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3.5.3“近年完成的类似项目情况表”应附中标通知书和（或）合同协议书、工程接收证书（工程竣工验收证书）的复印件，具体年份要求见投标人须知前附表。每张表格只填写一个项目，并标明序号。</w:t>
      </w:r>
    </w:p>
    <w:p w14:paraId="50E9FDAF">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3.5.4“正在施工和新承接的项目情况表”应附中标通知书和（或）合同协议书复印件。每张表格只填写一个项目，并标明序号。</w:t>
      </w:r>
    </w:p>
    <w:p w14:paraId="52B5B0E9">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3.5.5“近年发生的诉讼及仲裁情况”应说明相关情况，并附法院或仲裁机构作出的判决、裁决等有关法律文书复印件，具体年份要求见投标人须知前附表。</w:t>
      </w:r>
    </w:p>
    <w:p w14:paraId="53B81CA2">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3.5.6投标人须知前附表规定接受联合体投标的，本章第3.5.1项至第3.5.5项规定的表格和资料应包括联合体各方相关情况。</w:t>
      </w:r>
    </w:p>
    <w:p w14:paraId="4CD66E6D">
      <w:pPr>
        <w:keepNext w:val="0"/>
        <w:keepLines w:val="0"/>
        <w:widowControl/>
        <w:suppressLineNumbers w:val="0"/>
        <w:spacing w:line="360" w:lineRule="auto"/>
        <w:ind w:firstLine="562" w:firstLineChars="200"/>
        <w:jc w:val="left"/>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8"/>
          <w:szCs w:val="28"/>
          <w:highlight w:val="none"/>
          <w:lang w:val="en-US" w:eastAsia="zh-CN" w:bidi="ar"/>
        </w:rPr>
        <w:t xml:space="preserve">3.6备选投标方案 </w:t>
      </w:r>
    </w:p>
    <w:p w14:paraId="71C26316">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3.6.1除投标人须知前附表另有规定外，投标人不得递交备选投标方案。</w:t>
      </w:r>
    </w:p>
    <w:p w14:paraId="128F8120">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3.7投标文件的编制</w:t>
      </w:r>
    </w:p>
    <w:p w14:paraId="7D73373F">
      <w:pPr>
        <w:spacing w:line="360" w:lineRule="auto"/>
        <w:ind w:firstLine="560" w:firstLineChars="200"/>
        <w:rPr>
          <w:rFonts w:hint="eastAsia" w:ascii="宋体" w:hAnsi="宋体" w:eastAsia="宋体" w:cs="宋体"/>
          <w:color w:val="auto"/>
          <w:sz w:val="28"/>
          <w:szCs w:val="28"/>
          <w:highlight w:val="none"/>
          <w:lang w:eastAsia="zh-CN"/>
        </w:rPr>
      </w:pPr>
      <w:bookmarkStart w:id="133" w:name="_Toc16401"/>
      <w:bookmarkStart w:id="134" w:name="_Toc28270"/>
      <w:bookmarkStart w:id="135" w:name="_Toc283289414"/>
      <w:bookmarkStart w:id="136" w:name="_Toc282823829"/>
      <w:bookmarkStart w:id="137" w:name="_Toc12593"/>
      <w:bookmarkStart w:id="138" w:name="_Toc1724"/>
      <w:bookmarkStart w:id="139" w:name="_Toc28131"/>
      <w:bookmarkStart w:id="140" w:name="_Toc6953"/>
      <w:bookmarkStart w:id="141" w:name="_Toc29686"/>
      <w:r>
        <w:rPr>
          <w:rFonts w:hint="eastAsia" w:ascii="宋体" w:hAnsi="宋体" w:eastAsia="宋体" w:cs="宋体"/>
          <w:color w:val="auto"/>
          <w:sz w:val="28"/>
          <w:szCs w:val="28"/>
          <w:highlight w:val="none"/>
        </w:rPr>
        <w:t>3.7.1投标文件应按第</w:t>
      </w:r>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rPr>
        <w:t>章“投标文件格式”进行编写，如有必要，可以增加附页，作为投标文件的组成部分。其中，投标函附录在满足招标文件实质性要求的基础上，可以提出比招标文件要求更有利于招标人的承诺。</w:t>
      </w:r>
    </w:p>
    <w:p w14:paraId="43E8B8BF">
      <w:pPr>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3.7.2投标文件应当对招标文件有关招标范围、投标有效期、工期、质量标准、发包人要求等实质性内容作出响应。</w:t>
      </w:r>
    </w:p>
    <w:p w14:paraId="3472E57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3.7.3投标人按招标文件要求编制投标文件，在投标截止时间前，将使用“</w:t>
      </w:r>
      <w:r>
        <w:rPr>
          <w:rFonts w:hint="eastAsia" w:ascii="宋体" w:hAnsi="宋体" w:eastAsia="宋体" w:cs="宋体"/>
          <w:color w:val="auto"/>
          <w:kern w:val="0"/>
          <w:sz w:val="28"/>
          <w:szCs w:val="28"/>
          <w:lang w:val="en-US" w:eastAsia="zh-CN" w:bidi="ar"/>
        </w:rPr>
        <w:t>新点投标文件制作软件(内蒙古)版”生成的电子版加密投标文件，登录《内蒙古自治区工程项目交易系统（https://219.148.175.179:9443/tpbidder）后，将加密版电子投标文件上传至系统</w:t>
      </w:r>
      <w:r>
        <w:rPr>
          <w:rFonts w:hint="eastAsia" w:ascii="宋体" w:hAnsi="宋体" w:eastAsia="宋体" w:cs="宋体"/>
          <w:color w:val="auto"/>
          <w:sz w:val="28"/>
          <w:szCs w:val="28"/>
          <w:highlight w:val="none"/>
        </w:rPr>
        <w:t>。</w:t>
      </w:r>
    </w:p>
    <w:p w14:paraId="78EFC94D">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3.7.4投标文件份数见投标人须知前附表。正本、副本、电子版的封面上应清楚地标记“正本”或“副本”“电子版”投标文件的字样。当副本和正本不一致时，以正本为准。（如适用）</w:t>
      </w:r>
    </w:p>
    <w:p w14:paraId="30FA2E0F">
      <w:pPr>
        <w:numPr>
          <w:ilvl w:val="0"/>
          <w:numId w:val="14"/>
        </w:numPr>
        <w:autoSpaceDE w:val="0"/>
        <w:autoSpaceDN w:val="0"/>
        <w:adjustRightInd w:val="0"/>
        <w:spacing w:line="360" w:lineRule="auto"/>
        <w:ind w:firstLine="481" w:firstLineChars="171"/>
        <w:jc w:val="left"/>
        <w:outlineLvl w:val="0"/>
        <w:rPr>
          <w:rFonts w:hint="eastAsia" w:ascii="宋体" w:hAnsi="宋体" w:eastAsia="宋体" w:cs="宋体"/>
          <w:b/>
          <w:color w:val="auto"/>
          <w:kern w:val="0"/>
          <w:sz w:val="28"/>
          <w:szCs w:val="28"/>
          <w:highlight w:val="none"/>
        </w:rPr>
      </w:pPr>
      <w:bookmarkStart w:id="142" w:name="_Toc14926"/>
      <w:bookmarkStart w:id="143" w:name="_Toc1352"/>
      <w:r>
        <w:rPr>
          <w:rFonts w:hint="eastAsia" w:ascii="宋体" w:hAnsi="宋体" w:eastAsia="宋体" w:cs="宋体"/>
          <w:b/>
          <w:color w:val="auto"/>
          <w:kern w:val="0"/>
          <w:sz w:val="28"/>
          <w:szCs w:val="28"/>
          <w:highlight w:val="none"/>
        </w:rPr>
        <w:t>投标</w:t>
      </w:r>
      <w:bookmarkEnd w:id="133"/>
      <w:bookmarkEnd w:id="134"/>
      <w:bookmarkEnd w:id="135"/>
      <w:bookmarkEnd w:id="136"/>
      <w:bookmarkEnd w:id="137"/>
      <w:bookmarkEnd w:id="138"/>
      <w:bookmarkEnd w:id="139"/>
      <w:bookmarkEnd w:id="140"/>
      <w:bookmarkEnd w:id="141"/>
      <w:bookmarkEnd w:id="142"/>
      <w:bookmarkEnd w:id="143"/>
    </w:p>
    <w:p w14:paraId="6E466B13">
      <w:pPr>
        <w:pStyle w:val="5"/>
        <w:pageBreakBefore w:val="0"/>
        <w:kinsoku/>
        <w:wordWrap/>
        <w:overflowPunct/>
        <w:topLinePunct w:val="0"/>
        <w:autoSpaceDE/>
        <w:autoSpaceDN/>
        <w:bidi w:val="0"/>
        <w:snapToGrid w:val="0"/>
        <w:spacing w:before="0" w:beforeLines="0" w:after="0" w:afterLines="0" w:line="360" w:lineRule="auto"/>
        <w:ind w:firstLine="281" w:firstLineChars="100"/>
        <w:textAlignment w:val="auto"/>
        <w:rPr>
          <w:rFonts w:hint="eastAsia" w:ascii="宋体" w:hAnsi="宋体" w:eastAsia="宋体" w:cs="宋体"/>
          <w:color w:val="auto"/>
          <w:sz w:val="28"/>
          <w:szCs w:val="28"/>
          <w:highlight w:val="none"/>
          <w:lang w:eastAsia="zh-CN"/>
        </w:rPr>
      </w:pPr>
      <w:bookmarkStart w:id="144" w:name="_Toc246996200"/>
      <w:bookmarkStart w:id="145" w:name="_Toc152045556"/>
      <w:bookmarkStart w:id="146" w:name="_Toc247085714"/>
      <w:bookmarkStart w:id="147" w:name="_Toc16151"/>
      <w:bookmarkStart w:id="148" w:name="_Toc152042332"/>
      <w:bookmarkStart w:id="149" w:name="_Toc246996943"/>
      <w:bookmarkStart w:id="150" w:name="_Toc296602444"/>
      <w:bookmarkStart w:id="151" w:name="_Toc179632574"/>
      <w:bookmarkStart w:id="152" w:name="_Toc144974524"/>
      <w:r>
        <w:rPr>
          <w:rFonts w:hint="eastAsia" w:ascii="宋体" w:hAnsi="宋体" w:eastAsia="宋体" w:cs="宋体"/>
          <w:color w:val="auto"/>
          <w:sz w:val="28"/>
          <w:szCs w:val="28"/>
          <w:highlight w:val="none"/>
        </w:rPr>
        <w:t>4.1投标文件的密封和标记</w:t>
      </w:r>
      <w:bookmarkEnd w:id="144"/>
      <w:bookmarkEnd w:id="145"/>
      <w:bookmarkEnd w:id="146"/>
      <w:bookmarkEnd w:id="147"/>
      <w:bookmarkEnd w:id="148"/>
      <w:bookmarkEnd w:id="149"/>
      <w:bookmarkEnd w:id="150"/>
      <w:bookmarkEnd w:id="151"/>
      <w:bookmarkEnd w:id="152"/>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如有</w:t>
      </w:r>
      <w:r>
        <w:rPr>
          <w:rFonts w:hint="eastAsia" w:ascii="宋体" w:hAnsi="宋体" w:eastAsia="宋体" w:cs="宋体"/>
          <w:color w:val="auto"/>
          <w:sz w:val="28"/>
          <w:szCs w:val="28"/>
          <w:highlight w:val="none"/>
          <w:lang w:eastAsia="zh-CN"/>
        </w:rPr>
        <w:t>）</w:t>
      </w:r>
    </w:p>
    <w:p w14:paraId="31236FDB">
      <w:pPr>
        <w:pageBreakBefore w:val="0"/>
        <w:widowControl w:val="0"/>
        <w:kinsoku/>
        <w:wordWrap/>
        <w:overflowPunct/>
        <w:topLinePunct w:val="0"/>
        <w:autoSpaceDE/>
        <w:autoSpaceDN/>
        <w:bidi w:val="0"/>
        <w:adjustRightInd/>
        <w:snapToGrid w:val="0"/>
        <w:spacing w:after="0" w:line="360" w:lineRule="auto"/>
        <w:ind w:firstLine="560" w:firstLineChars="200"/>
        <w:jc w:val="both"/>
        <w:textAlignment w:val="auto"/>
        <w:rPr>
          <w:rFonts w:hint="eastAsia" w:ascii="宋体" w:hAnsi="宋体" w:eastAsia="宋体" w:cs="宋体"/>
          <w:color w:val="auto"/>
          <w:kern w:val="2"/>
          <w:sz w:val="28"/>
          <w:szCs w:val="28"/>
          <w:highlight w:val="none"/>
        </w:rPr>
      </w:pPr>
      <w:bookmarkStart w:id="153" w:name="_Toc179632575"/>
      <w:bookmarkStart w:id="154" w:name="_Toc32365"/>
      <w:bookmarkStart w:id="155" w:name="_Toc144974525"/>
      <w:bookmarkStart w:id="156" w:name="_Toc296602445"/>
      <w:bookmarkStart w:id="157" w:name="_Toc247085715"/>
      <w:bookmarkStart w:id="158" w:name="_Toc152042333"/>
      <w:bookmarkStart w:id="159" w:name="_Toc246996201"/>
      <w:bookmarkStart w:id="160" w:name="_Toc246996944"/>
      <w:bookmarkStart w:id="161" w:name="_Toc152045557"/>
      <w:r>
        <w:rPr>
          <w:rFonts w:hint="eastAsia" w:ascii="宋体" w:hAnsi="宋体" w:eastAsia="宋体" w:cs="宋体"/>
          <w:color w:val="auto"/>
          <w:kern w:val="2"/>
          <w:sz w:val="28"/>
          <w:szCs w:val="28"/>
          <w:highlight w:val="none"/>
        </w:rPr>
        <w:t>4.1.1投标文件的正本与</w:t>
      </w:r>
      <w:r>
        <w:rPr>
          <w:rFonts w:hint="eastAsia" w:ascii="宋体" w:hAnsi="宋体" w:eastAsia="宋体" w:cs="宋体"/>
          <w:color w:val="auto"/>
          <w:kern w:val="2"/>
          <w:sz w:val="28"/>
          <w:szCs w:val="28"/>
          <w:highlight w:val="none"/>
          <w:lang w:val="en-US" w:eastAsia="zh-CN"/>
        </w:rPr>
        <w:t>所有</w:t>
      </w:r>
      <w:r>
        <w:rPr>
          <w:rFonts w:hint="eastAsia" w:ascii="宋体" w:hAnsi="宋体" w:eastAsia="宋体" w:cs="宋体"/>
          <w:color w:val="auto"/>
          <w:kern w:val="2"/>
          <w:sz w:val="28"/>
          <w:szCs w:val="28"/>
          <w:highlight w:val="none"/>
        </w:rPr>
        <w:t>副本及电子版应分开包装，并在封口处加贴密封字样封条，加盖投标人单位章。</w:t>
      </w:r>
    </w:p>
    <w:p w14:paraId="7750D5C7">
      <w:pPr>
        <w:pageBreakBefore w:val="0"/>
        <w:widowControl w:val="0"/>
        <w:kinsoku/>
        <w:wordWrap/>
        <w:overflowPunct/>
        <w:topLinePunct w:val="0"/>
        <w:autoSpaceDE/>
        <w:autoSpaceDN/>
        <w:bidi w:val="0"/>
        <w:adjustRightInd/>
        <w:snapToGrid w:val="0"/>
        <w:spacing w:after="0" w:line="360" w:lineRule="auto"/>
        <w:ind w:firstLine="560" w:firstLineChars="200"/>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4.1.2投标文件的封套上应清楚地标记“正本”、“副本”、“电子版”字样，封套上应写明的其</w:t>
      </w:r>
      <w:r>
        <w:rPr>
          <w:rFonts w:hint="eastAsia" w:ascii="宋体" w:hAnsi="宋体" w:eastAsia="宋体" w:cs="宋体"/>
          <w:color w:val="auto"/>
          <w:kern w:val="2"/>
          <w:sz w:val="28"/>
          <w:szCs w:val="28"/>
          <w:highlight w:val="none"/>
          <w:lang w:eastAsia="zh-CN"/>
        </w:rPr>
        <w:t>它</w:t>
      </w:r>
      <w:r>
        <w:rPr>
          <w:rFonts w:hint="eastAsia" w:ascii="宋体" w:hAnsi="宋体" w:eastAsia="宋体" w:cs="宋体"/>
          <w:color w:val="auto"/>
          <w:kern w:val="2"/>
          <w:sz w:val="28"/>
          <w:szCs w:val="28"/>
          <w:highlight w:val="none"/>
        </w:rPr>
        <w:t>内容，见投标人须知前附表。</w:t>
      </w:r>
    </w:p>
    <w:bookmarkEnd w:id="153"/>
    <w:bookmarkEnd w:id="154"/>
    <w:bookmarkEnd w:id="155"/>
    <w:bookmarkEnd w:id="156"/>
    <w:bookmarkEnd w:id="157"/>
    <w:bookmarkEnd w:id="158"/>
    <w:bookmarkEnd w:id="159"/>
    <w:bookmarkEnd w:id="160"/>
    <w:bookmarkEnd w:id="161"/>
    <w:p w14:paraId="573D3E5C">
      <w:pPr>
        <w:keepNext w:val="0"/>
        <w:keepLines w:val="0"/>
        <w:pageBreakBefore w:val="0"/>
        <w:widowControl/>
        <w:kinsoku/>
        <w:wordWrap/>
        <w:overflowPunct/>
        <w:topLinePunct w:val="0"/>
        <w:autoSpaceDE/>
        <w:autoSpaceDN/>
        <w:bidi w:val="0"/>
        <w:adjustRightInd w:val="0"/>
        <w:snapToGrid w:val="0"/>
        <w:spacing w:after="0" w:line="360" w:lineRule="auto"/>
        <w:ind w:firstLine="562" w:firstLineChars="200"/>
        <w:textAlignment w:val="auto"/>
        <w:rPr>
          <w:rFonts w:hint="eastAsia" w:ascii="宋体" w:hAnsi="宋体" w:eastAsia="宋体" w:cs="宋体"/>
          <w:b/>
          <w:bCs/>
          <w:color w:val="auto"/>
          <w:sz w:val="28"/>
          <w:szCs w:val="28"/>
          <w:highlight w:val="none"/>
        </w:rPr>
      </w:pPr>
      <w:bookmarkStart w:id="162" w:name="_Toc14905"/>
      <w:r>
        <w:rPr>
          <w:rFonts w:hint="eastAsia" w:ascii="宋体" w:hAnsi="宋体" w:eastAsia="宋体" w:cs="宋体"/>
          <w:b/>
          <w:bCs/>
          <w:color w:val="auto"/>
          <w:sz w:val="28"/>
          <w:szCs w:val="28"/>
          <w:highlight w:val="none"/>
          <w:lang w:val="en-US" w:eastAsia="zh-CN"/>
        </w:rPr>
        <w:t>4.2投标文件的递交（实行互联网不见面开标，需提供的纸质版投标文件要求见投标人须知前附表）</w:t>
      </w:r>
    </w:p>
    <w:p w14:paraId="7CF3CFE9">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4.2.1在投标截止时间前，将使用“</w:t>
      </w:r>
      <w:r>
        <w:rPr>
          <w:rFonts w:hint="eastAsia" w:ascii="宋体" w:hAnsi="宋体" w:eastAsia="宋体" w:cs="宋体"/>
          <w:color w:val="auto"/>
          <w:kern w:val="0"/>
          <w:sz w:val="28"/>
          <w:szCs w:val="28"/>
          <w:lang w:val="en-US" w:eastAsia="zh-CN" w:bidi="ar"/>
        </w:rPr>
        <w:t>新点投标文件制作软件(内蒙古)版”生成的电子版加密投标文件，登录《内蒙古自治区工程项目交易系统（https://219.148.175.179:9443/tpbidder）后，将加密版电子投标文件上传至系统</w:t>
      </w:r>
      <w:r>
        <w:rPr>
          <w:rFonts w:hint="eastAsia" w:ascii="宋体" w:hAnsi="宋体" w:eastAsia="宋体" w:cs="宋体"/>
          <w:color w:val="auto"/>
          <w:sz w:val="28"/>
          <w:szCs w:val="28"/>
          <w:highlight w:val="none"/>
        </w:rPr>
        <w:t>。</w:t>
      </w:r>
    </w:p>
    <w:p w14:paraId="29718C8A">
      <w:pPr>
        <w:keepNext w:val="0"/>
        <w:keepLines w:val="0"/>
        <w:pageBreakBefore w:val="0"/>
        <w:widowControl/>
        <w:kinsoku/>
        <w:wordWrap/>
        <w:overflowPunct/>
        <w:topLinePunct w:val="0"/>
        <w:autoSpaceDE/>
        <w:autoSpaceDN/>
        <w:bidi w:val="0"/>
        <w:adjustRightInd w:val="0"/>
        <w:snapToGrid w:val="0"/>
        <w:spacing w:after="0" w:line="360" w:lineRule="auto"/>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4.3投标文件的修改与撤回</w:t>
      </w:r>
    </w:p>
    <w:p w14:paraId="35B497C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4.3.1在本章第2.2.2项规定的投标截止时间前，投标人可以</w:t>
      </w:r>
      <w:r>
        <w:rPr>
          <w:rFonts w:hint="eastAsia" w:ascii="宋体" w:hAnsi="宋体" w:eastAsia="宋体" w:cs="宋体"/>
          <w:color w:val="auto"/>
          <w:sz w:val="28"/>
          <w:szCs w:val="28"/>
          <w:highlight w:val="none"/>
          <w:lang w:val="en-US" w:eastAsia="zh-CN"/>
        </w:rPr>
        <w:t>内蒙古自治区公共资源交易网</w:t>
      </w:r>
      <w:r>
        <w:rPr>
          <w:rFonts w:hint="eastAsia" w:ascii="宋体" w:hAnsi="宋体" w:eastAsia="宋体" w:cs="宋体"/>
          <w:color w:val="auto"/>
          <w:sz w:val="28"/>
          <w:szCs w:val="28"/>
          <w:highlight w:val="none"/>
        </w:rPr>
        <w:t>系统内修改或撤回已递交的电子版加密投标文件</w:t>
      </w:r>
      <w:bookmarkEnd w:id="162"/>
      <w:r>
        <w:rPr>
          <w:rFonts w:hint="eastAsia" w:ascii="宋体" w:hAnsi="宋体" w:eastAsia="宋体" w:cs="宋体"/>
          <w:color w:val="auto"/>
          <w:sz w:val="28"/>
          <w:szCs w:val="28"/>
          <w:highlight w:val="none"/>
          <w:lang w:eastAsia="zh-CN"/>
        </w:rPr>
        <w:t>。</w:t>
      </w:r>
    </w:p>
    <w:p w14:paraId="4E7DDBB0">
      <w:pPr>
        <w:autoSpaceDE w:val="0"/>
        <w:autoSpaceDN w:val="0"/>
        <w:adjustRightInd w:val="0"/>
        <w:spacing w:line="360" w:lineRule="auto"/>
        <w:ind w:firstLine="481" w:firstLineChars="171"/>
        <w:jc w:val="left"/>
        <w:outlineLvl w:val="0"/>
        <w:rPr>
          <w:rFonts w:hint="eastAsia" w:ascii="宋体" w:hAnsi="宋体" w:eastAsia="宋体" w:cs="宋体"/>
          <w:b/>
          <w:color w:val="auto"/>
          <w:kern w:val="0"/>
          <w:sz w:val="28"/>
          <w:szCs w:val="28"/>
          <w:highlight w:val="none"/>
        </w:rPr>
      </w:pPr>
      <w:bookmarkStart w:id="163" w:name="_Toc8118"/>
      <w:bookmarkStart w:id="164" w:name="_Toc2552"/>
      <w:bookmarkStart w:id="165" w:name="_Toc14539"/>
      <w:bookmarkStart w:id="166" w:name="_Toc23680"/>
      <w:bookmarkStart w:id="167" w:name="_Toc282823830"/>
      <w:bookmarkStart w:id="168" w:name="_Toc22176"/>
      <w:bookmarkStart w:id="169" w:name="_Toc13637"/>
      <w:bookmarkStart w:id="170" w:name="_Toc283289415"/>
      <w:bookmarkStart w:id="171" w:name="_Toc6097"/>
      <w:bookmarkStart w:id="172" w:name="_Toc21070"/>
      <w:bookmarkStart w:id="173" w:name="_Toc6422"/>
      <w:r>
        <w:rPr>
          <w:rFonts w:hint="eastAsia" w:ascii="宋体" w:hAnsi="宋体" w:eastAsia="宋体" w:cs="宋体"/>
          <w:b/>
          <w:color w:val="auto"/>
          <w:kern w:val="0"/>
          <w:sz w:val="28"/>
          <w:szCs w:val="28"/>
          <w:highlight w:val="none"/>
        </w:rPr>
        <w:t>5.开标</w:t>
      </w:r>
      <w:bookmarkEnd w:id="163"/>
      <w:bookmarkEnd w:id="164"/>
      <w:bookmarkEnd w:id="165"/>
      <w:bookmarkEnd w:id="166"/>
      <w:bookmarkEnd w:id="167"/>
      <w:bookmarkEnd w:id="168"/>
      <w:bookmarkEnd w:id="169"/>
      <w:bookmarkEnd w:id="170"/>
      <w:bookmarkEnd w:id="171"/>
      <w:bookmarkEnd w:id="172"/>
      <w:bookmarkEnd w:id="173"/>
    </w:p>
    <w:p w14:paraId="0DC6DF6D">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5.1开标时间和地点</w:t>
      </w:r>
    </w:p>
    <w:p w14:paraId="0279BBE6">
      <w:pPr>
        <w:pageBreakBefore w:val="0"/>
        <w:widowControl/>
        <w:numPr>
          <w:ilvl w:val="0"/>
          <w:numId w:val="0"/>
        </w:numPr>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招标人在规定的开标时间和投标人须知前附表规定的地点公开开标。</w:t>
      </w:r>
    </w:p>
    <w:p w14:paraId="60A13106">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5.2开标</w:t>
      </w:r>
      <w:r>
        <w:rPr>
          <w:rFonts w:hint="eastAsia" w:ascii="宋体" w:hAnsi="宋体" w:cs="宋体"/>
          <w:b/>
          <w:bCs/>
          <w:color w:val="auto"/>
          <w:kern w:val="0"/>
          <w:sz w:val="28"/>
          <w:szCs w:val="28"/>
          <w:highlight w:val="none"/>
          <w:lang w:val="en-US" w:eastAsia="zh-CN"/>
        </w:rPr>
        <w:t>方式</w:t>
      </w:r>
    </w:p>
    <w:p w14:paraId="271CC0AE">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zh-CN" w:eastAsia="zh-CN" w:bidi="ar-SA"/>
        </w:rPr>
        <w:t>1.本次开标采用全流程网上不见面开标（https://219.148.175.179:9443/BidOpening），</w:t>
      </w:r>
      <w:r>
        <w:rPr>
          <w:rFonts w:hint="eastAsia" w:ascii="宋体" w:hAnsi="宋体" w:eastAsia="宋体" w:cs="宋体"/>
          <w:b w:val="0"/>
          <w:bCs w:val="0"/>
          <w:color w:val="auto"/>
          <w:kern w:val="2"/>
          <w:sz w:val="28"/>
          <w:szCs w:val="28"/>
          <w:lang w:val="en-US" w:eastAsia="zh-CN" w:bidi="ar-SA"/>
        </w:rPr>
        <w:t>开标时线上进行投标文件解密，</w:t>
      </w:r>
      <w:r>
        <w:rPr>
          <w:rFonts w:hint="eastAsia" w:ascii="宋体" w:hAnsi="宋体" w:eastAsia="宋体" w:cs="宋体"/>
          <w:b w:val="0"/>
          <w:bCs w:val="0"/>
          <w:color w:val="auto"/>
          <w:kern w:val="2"/>
          <w:sz w:val="28"/>
          <w:szCs w:val="28"/>
          <w:lang w:val="zh-CN" w:eastAsia="zh-CN" w:bidi="ar-SA"/>
        </w:rPr>
        <w:t>不接受开标现场投标解密。</w:t>
      </w:r>
    </w:p>
    <w:p w14:paraId="60F9F5DD">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zh-CN" w:eastAsia="zh-CN" w:bidi="ar-SA"/>
        </w:rPr>
        <w:t>开标过程中如有问题请咨询：0512-58188511、0471-5332612</w:t>
      </w:r>
    </w:p>
    <w:p w14:paraId="48FBD432">
      <w:pPr>
        <w:pStyle w:val="8"/>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firstLine="560" w:firstLineChars="200"/>
        <w:jc w:val="left"/>
        <w:textAlignment w:val="auto"/>
        <w:rPr>
          <w:rFonts w:hint="eastAsia" w:ascii="宋体" w:hAnsi="宋体" w:eastAsia="宋体" w:cs="宋体"/>
          <w:b w:val="0"/>
          <w:bCs w:val="0"/>
          <w:color w:val="auto"/>
          <w:kern w:val="2"/>
          <w:sz w:val="28"/>
          <w:szCs w:val="28"/>
          <w:lang w:val="zh-CN" w:eastAsia="zh-CN" w:bidi="ar-SA"/>
        </w:rPr>
      </w:pPr>
      <w:r>
        <w:rPr>
          <w:rFonts w:hint="eastAsia" w:ascii="宋体" w:hAnsi="宋体" w:eastAsia="宋体" w:cs="宋体"/>
          <w:b w:val="0"/>
          <w:bCs w:val="0"/>
          <w:color w:val="auto"/>
          <w:kern w:val="2"/>
          <w:sz w:val="28"/>
          <w:szCs w:val="28"/>
          <w:lang w:val="en-US" w:eastAsia="zh-CN" w:bidi="ar-SA"/>
        </w:rPr>
        <w:t>2.投标文件解密</w:t>
      </w:r>
      <w:r>
        <w:rPr>
          <w:rFonts w:hint="eastAsia" w:ascii="宋体" w:hAnsi="宋体" w:eastAsia="宋体" w:cs="宋体"/>
          <w:b w:val="0"/>
          <w:bCs w:val="0"/>
          <w:color w:val="auto"/>
          <w:kern w:val="2"/>
          <w:sz w:val="28"/>
          <w:szCs w:val="28"/>
          <w:lang w:val="zh-CN" w:eastAsia="zh-CN" w:bidi="ar-SA"/>
        </w:rPr>
        <w:t>时限：</w:t>
      </w:r>
      <w:r>
        <w:rPr>
          <w:rFonts w:hint="eastAsia" w:ascii="宋体" w:hAnsi="宋体" w:eastAsia="宋体" w:cs="宋体"/>
          <w:b w:val="0"/>
          <w:bCs w:val="0"/>
          <w:color w:val="auto"/>
          <w:kern w:val="2"/>
          <w:sz w:val="28"/>
          <w:szCs w:val="28"/>
          <w:lang w:val="en-US" w:eastAsia="zh-CN" w:bidi="ar-SA"/>
        </w:rPr>
        <w:t>投标文件实行限时解密，解密时长</w:t>
      </w:r>
      <w:r>
        <w:rPr>
          <w:rFonts w:hint="eastAsia" w:ascii="宋体" w:hAnsi="宋体" w:eastAsia="宋体" w:cs="宋体"/>
          <w:b w:val="0"/>
          <w:bCs w:val="0"/>
          <w:color w:val="auto"/>
          <w:kern w:val="2"/>
          <w:sz w:val="28"/>
          <w:szCs w:val="28"/>
          <w:lang w:val="zh-CN" w:eastAsia="zh-CN" w:bidi="ar-SA"/>
        </w:rPr>
        <w:t>30分钟，投标文件未在时限内解密或无法解密（包括经过电子交易平台技术支持后依然无法解密的情形），按放弃投标处理，由代理公司手动退回投标文件。</w:t>
      </w:r>
      <w:r>
        <w:rPr>
          <w:rFonts w:hint="eastAsia" w:ascii="宋体" w:hAnsi="宋体" w:eastAsia="宋体" w:cs="宋体"/>
          <w:b w:val="0"/>
          <w:bCs w:val="0"/>
          <w:color w:val="auto"/>
          <w:kern w:val="2"/>
          <w:sz w:val="28"/>
          <w:szCs w:val="28"/>
          <w:lang w:val="en-US" w:eastAsia="zh-CN" w:bidi="ar-SA"/>
        </w:rPr>
        <w:t>在解密时限内投标文件全部解密的，投标文件解密可提交前结束，进入下一环节。</w:t>
      </w:r>
    </w:p>
    <w:p w14:paraId="045CE43A">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注：详情请参照内蒙古自治区工程项目交易系统投标人操作手册。</w:t>
      </w:r>
    </w:p>
    <w:p w14:paraId="57A6500F">
      <w:pPr>
        <w:autoSpaceDE w:val="0"/>
        <w:autoSpaceDN w:val="0"/>
        <w:adjustRightInd w:val="0"/>
        <w:spacing w:line="360" w:lineRule="auto"/>
        <w:ind w:firstLine="481" w:firstLineChars="171"/>
        <w:jc w:val="left"/>
        <w:outlineLvl w:val="0"/>
        <w:rPr>
          <w:rFonts w:hint="eastAsia" w:ascii="宋体" w:hAnsi="宋体" w:eastAsia="宋体" w:cs="宋体"/>
          <w:b/>
          <w:color w:val="auto"/>
          <w:kern w:val="0"/>
          <w:sz w:val="28"/>
          <w:szCs w:val="28"/>
          <w:highlight w:val="none"/>
        </w:rPr>
      </w:pPr>
      <w:bookmarkStart w:id="174" w:name="_Toc14520"/>
      <w:bookmarkStart w:id="175" w:name="_Toc15651"/>
      <w:bookmarkStart w:id="176" w:name="_Toc22833"/>
      <w:bookmarkStart w:id="177" w:name="_Toc282823831"/>
      <w:bookmarkStart w:id="178" w:name="_Toc18330"/>
      <w:bookmarkStart w:id="179" w:name="_Toc24216"/>
      <w:bookmarkStart w:id="180" w:name="_Toc23579"/>
      <w:bookmarkStart w:id="181" w:name="_Toc23223"/>
      <w:bookmarkStart w:id="182" w:name="_Toc29692"/>
      <w:bookmarkStart w:id="183" w:name="_Toc283289416"/>
      <w:bookmarkStart w:id="184" w:name="_Toc223"/>
      <w:r>
        <w:rPr>
          <w:rFonts w:hint="eastAsia" w:ascii="宋体" w:hAnsi="宋体" w:eastAsia="宋体" w:cs="宋体"/>
          <w:b/>
          <w:color w:val="auto"/>
          <w:kern w:val="0"/>
          <w:sz w:val="28"/>
          <w:szCs w:val="28"/>
          <w:highlight w:val="none"/>
        </w:rPr>
        <w:t>6.评标</w:t>
      </w:r>
      <w:bookmarkEnd w:id="174"/>
      <w:bookmarkEnd w:id="175"/>
      <w:bookmarkEnd w:id="176"/>
      <w:bookmarkEnd w:id="177"/>
      <w:bookmarkEnd w:id="178"/>
      <w:bookmarkEnd w:id="179"/>
      <w:bookmarkEnd w:id="180"/>
      <w:bookmarkEnd w:id="181"/>
      <w:bookmarkEnd w:id="182"/>
      <w:bookmarkEnd w:id="183"/>
      <w:bookmarkEnd w:id="184"/>
    </w:p>
    <w:p w14:paraId="58C3538D">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6.1评标委员会</w:t>
      </w:r>
    </w:p>
    <w:p w14:paraId="786BC8AE">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6.1.1评标由招标人依法组建的评标委员会负责。评标委员会由招标人以及有关技术、经济等方面的专家组成。评标委员会成员人数以及技术、经济等方面专家的确定方式见投标人须知前附表。</w:t>
      </w:r>
    </w:p>
    <w:p w14:paraId="615A2E66">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6.1.2评标委员会成员有下列情形之一的，应当回避：</w:t>
      </w:r>
    </w:p>
    <w:p w14:paraId="40ECD8FF">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（1）招标人或投标人的主要负责人的近亲属；</w:t>
      </w:r>
    </w:p>
    <w:p w14:paraId="7CB2EB65">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（2）项目主管部门或者行政监督部门的人员：</w:t>
      </w:r>
    </w:p>
    <w:p w14:paraId="45278FED">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（3）与投标人有经济利益关系，可能影响对投标公正评审的；</w:t>
      </w:r>
    </w:p>
    <w:p w14:paraId="34B13A79">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（4）曾因在招标、评标以及其它与招标投标有关活动中从事违法行为而受过行政处罚或刑事处罚的。</w:t>
      </w:r>
    </w:p>
    <w:p w14:paraId="374C0AAD">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6.2评标原则</w:t>
      </w:r>
    </w:p>
    <w:p w14:paraId="43A26323">
      <w:pPr>
        <w:autoSpaceDE w:val="0"/>
        <w:autoSpaceDN w:val="0"/>
        <w:adjustRightInd w:val="0"/>
        <w:spacing w:line="360" w:lineRule="auto"/>
        <w:ind w:firstLine="478" w:firstLineChars="171"/>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评标活动遵循公平、公正、科学和择优的原则。</w:t>
      </w:r>
    </w:p>
    <w:p w14:paraId="1B0EABCB">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6.3评标</w:t>
      </w:r>
    </w:p>
    <w:p w14:paraId="12B52A79">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6.3.1评标委员会按照第三章“评标办法和标准”规定的方法、评审因素、标准和程序对投标文件进行评审。第三章“评标办法和标准”没有规定的方法、评审因素和标准，不作为评标依据。</w:t>
      </w:r>
    </w:p>
    <w:p w14:paraId="4D48BA5A">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6.3.2评标由招标人依法组建的评标委员会负责。评标委员会成员应当客观公正履职，遵守职业道德，并按照招标文件规定的评标标准和方法提出评审意见，对所提出的评审意见承担责任。</w:t>
      </w:r>
    </w:p>
    <w:p w14:paraId="36AB7C5E">
      <w:pPr>
        <w:autoSpaceDE w:val="0"/>
        <w:autoSpaceDN w:val="0"/>
        <w:adjustRightInd w:val="0"/>
        <w:spacing w:line="360" w:lineRule="auto"/>
        <w:ind w:firstLine="481" w:firstLineChars="171"/>
        <w:jc w:val="left"/>
        <w:outlineLvl w:val="0"/>
        <w:rPr>
          <w:rFonts w:hint="eastAsia" w:ascii="宋体" w:hAnsi="宋体" w:eastAsia="宋体" w:cs="宋体"/>
          <w:b/>
          <w:color w:val="auto"/>
          <w:kern w:val="0"/>
          <w:sz w:val="28"/>
          <w:szCs w:val="28"/>
          <w:highlight w:val="none"/>
        </w:rPr>
      </w:pPr>
      <w:bookmarkStart w:id="185" w:name="_Toc13452"/>
      <w:bookmarkStart w:id="186" w:name="_Toc11521"/>
      <w:bookmarkStart w:id="187" w:name="_Toc282823832"/>
      <w:bookmarkStart w:id="188" w:name="_Toc1905"/>
      <w:bookmarkStart w:id="189" w:name="_Toc283289417"/>
      <w:bookmarkStart w:id="190" w:name="_Toc23827"/>
      <w:bookmarkStart w:id="191" w:name="_Toc19257"/>
      <w:bookmarkStart w:id="192" w:name="_Toc28023"/>
      <w:bookmarkStart w:id="193" w:name="_Toc8115"/>
      <w:bookmarkStart w:id="194" w:name="_Toc12403"/>
      <w:bookmarkStart w:id="195" w:name="_Toc13339"/>
      <w:r>
        <w:rPr>
          <w:rFonts w:hint="eastAsia" w:ascii="宋体" w:hAnsi="宋体" w:eastAsia="宋体" w:cs="宋体"/>
          <w:b/>
          <w:color w:val="auto"/>
          <w:kern w:val="0"/>
          <w:sz w:val="28"/>
          <w:szCs w:val="28"/>
          <w:highlight w:val="none"/>
        </w:rPr>
        <w:t>7.合同授予</w:t>
      </w:r>
      <w:bookmarkEnd w:id="185"/>
      <w:bookmarkEnd w:id="186"/>
      <w:bookmarkEnd w:id="187"/>
      <w:bookmarkEnd w:id="188"/>
      <w:bookmarkEnd w:id="189"/>
      <w:bookmarkEnd w:id="190"/>
      <w:bookmarkEnd w:id="191"/>
      <w:bookmarkEnd w:id="192"/>
      <w:bookmarkEnd w:id="193"/>
      <w:bookmarkEnd w:id="194"/>
      <w:bookmarkEnd w:id="195"/>
    </w:p>
    <w:p w14:paraId="1984BE71">
      <w:pPr>
        <w:autoSpaceDE w:val="0"/>
        <w:autoSpaceDN w:val="0"/>
        <w:adjustRightInd w:val="0"/>
        <w:spacing w:line="360" w:lineRule="auto"/>
        <w:ind w:firstLine="481" w:firstLineChars="171"/>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7.1定标方式</w:t>
      </w:r>
    </w:p>
    <w:p w14:paraId="76393B87">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评标委员会推荐中标候选人的人数为1-3名。</w:t>
      </w:r>
    </w:p>
    <w:p w14:paraId="18AF3D3F">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招标人根据评标委员会递交的评标报告，最终审定中标人。</w:t>
      </w:r>
    </w:p>
    <w:p w14:paraId="2C0F7C9E">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依法必须进行公开招标的项目，招标人应当确定排名第一的中标候选人为中标人。</w:t>
      </w:r>
    </w:p>
    <w:p w14:paraId="5B3EC20B">
      <w:pPr>
        <w:pageBreakBefore w:val="0"/>
        <w:kinsoku/>
        <w:wordWrap/>
        <w:overflowPunct/>
        <w:topLinePunct w:val="0"/>
        <w:autoSpaceDE/>
        <w:autoSpaceDN/>
        <w:bidi w:val="0"/>
        <w:snapToGrid w:val="0"/>
        <w:spacing w:after="0" w:line="360" w:lineRule="auto"/>
        <w:ind w:firstLine="280" w:firstLineChars="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排名第一的中标候选人放弃中标、或因不可抗力原因提出不能履行合同，招标人可以确定排名第二的中标候选人为中标人。以此类推，如所有中标候选人均出现上述所列的情形，为招标失败，招标人依法重新招标。</w:t>
      </w:r>
    </w:p>
    <w:p w14:paraId="4CB2821C">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7.2中标候选人公示</w:t>
      </w:r>
    </w:p>
    <w:p w14:paraId="1B95493A">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7.2.1招标人在投标人须知前附表规定的媒介公示中标候选人。</w:t>
      </w:r>
    </w:p>
    <w:p w14:paraId="672F584B">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7.2.2公示的评标结果包括以下内容：评标委运会成员推荐的中标候选人名单及其排序；中标价；工期；工程质量；中标候选人的投标文件载明的项目管理机构人员名单；中标候选人的投标文件载明的类似项目业绩等情况；招标文件设置为实质性要求和条件的内容；否决投标人投标的原因及依据；其他需要公示的内容等。</w:t>
      </w:r>
    </w:p>
    <w:p w14:paraId="40FDB410">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196" w:name="_Toc152045568"/>
      <w:bookmarkStart w:id="197" w:name="_Toc9054"/>
      <w:bookmarkStart w:id="198" w:name="_Toc246996212"/>
      <w:bookmarkStart w:id="199" w:name="_Toc296602458"/>
      <w:bookmarkStart w:id="200" w:name="_Toc247085726"/>
      <w:bookmarkStart w:id="201" w:name="_Toc152042344"/>
      <w:bookmarkStart w:id="202" w:name="_Toc144974536"/>
      <w:bookmarkStart w:id="203" w:name="_Toc179632586"/>
      <w:bookmarkStart w:id="204" w:name="_Toc246996955"/>
      <w:r>
        <w:rPr>
          <w:rFonts w:hint="eastAsia" w:ascii="宋体" w:hAnsi="宋体" w:eastAsia="宋体" w:cs="宋体"/>
          <w:color w:val="auto"/>
          <w:sz w:val="28"/>
          <w:szCs w:val="28"/>
          <w:highlight w:val="none"/>
        </w:rPr>
        <w:t>7.3中标通知</w:t>
      </w:r>
      <w:bookmarkEnd w:id="196"/>
      <w:bookmarkEnd w:id="197"/>
      <w:bookmarkEnd w:id="198"/>
      <w:bookmarkEnd w:id="199"/>
      <w:bookmarkEnd w:id="200"/>
      <w:bookmarkEnd w:id="201"/>
      <w:bookmarkEnd w:id="202"/>
      <w:bookmarkEnd w:id="203"/>
      <w:bookmarkEnd w:id="204"/>
    </w:p>
    <w:p w14:paraId="4A51856E">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在本章规定的投标有效期内，招标人以书面形式向中标人发出中标通知书，同时将中标结果通知未中标的投标人。</w:t>
      </w:r>
    </w:p>
    <w:p w14:paraId="26AEBB4B">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lang w:val="en-US" w:eastAsia="zh-CN"/>
        </w:rPr>
      </w:pPr>
      <w:bookmarkStart w:id="205" w:name="_Toc152042346"/>
      <w:bookmarkStart w:id="206" w:name="_Toc152045570"/>
      <w:bookmarkStart w:id="207" w:name="_Toc144974538"/>
      <w:bookmarkStart w:id="208" w:name="_Toc246996214"/>
      <w:bookmarkStart w:id="209" w:name="_Toc246996957"/>
      <w:bookmarkStart w:id="210" w:name="_Toc296602460"/>
      <w:bookmarkStart w:id="211" w:name="_Toc179632588"/>
      <w:bookmarkStart w:id="212" w:name="_Toc30573"/>
      <w:bookmarkStart w:id="213" w:name="_Toc247085728"/>
      <w:r>
        <w:rPr>
          <w:rFonts w:hint="eastAsia" w:ascii="宋体" w:hAnsi="宋体" w:eastAsia="宋体" w:cs="宋体"/>
          <w:color w:val="auto"/>
          <w:sz w:val="28"/>
          <w:szCs w:val="28"/>
          <w:highlight w:val="none"/>
          <w:lang w:val="en-US" w:eastAsia="zh-CN"/>
        </w:rPr>
        <w:t>7.4履约担保（如有）</w:t>
      </w:r>
    </w:p>
    <w:p w14:paraId="7727C2A2">
      <w:pPr>
        <w:spacing w:beforeLines="0" w:afterLines="0" w:line="360" w:lineRule="auto"/>
        <w:ind w:firstLine="560" w:firstLineChars="200"/>
        <w:jc w:val="lef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7.4.1在签订合同前，中标人应按投标人须知前附表规定的担保形式和招标文件第四章“合同条款及格式”规定的或者事先经过招标人书面认可的履约担保格式向招标人提交履约担保。除投标人须知前附表另有规定外，履约担保金额为中标金额的</w:t>
      </w:r>
      <w:r>
        <w:rPr>
          <w:rFonts w:hint="eastAsia" w:ascii="宋体" w:hAnsi="宋体" w:eastAsia="宋体" w:cs="宋体"/>
          <w:color w:val="auto"/>
          <w:sz w:val="28"/>
          <w:szCs w:val="32"/>
          <w:highlight w:val="none"/>
          <w:lang w:val="en-US" w:eastAsia="zh-CN"/>
        </w:rPr>
        <w:t>5</w:t>
      </w:r>
      <w:r>
        <w:rPr>
          <w:rFonts w:hint="eastAsia" w:ascii="宋体" w:hAnsi="宋体" w:eastAsia="宋体" w:cs="宋体"/>
          <w:color w:val="auto"/>
          <w:sz w:val="28"/>
          <w:szCs w:val="32"/>
          <w:highlight w:val="none"/>
        </w:rPr>
        <w:t>%。联合体中标的，其履约担保由联合体各方或者联合体中牵头人的名义提交。</w:t>
      </w:r>
    </w:p>
    <w:p w14:paraId="5B627EFF">
      <w:pPr>
        <w:spacing w:beforeLines="0" w:afterLines="0"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32"/>
          <w:highlight w:val="none"/>
        </w:rPr>
        <w:t>7.4.2中标人不能按本章第7.4.1项要求提交履约担保的，视为放弃中标，其投标保证金不予退还，给招标人造成的损失超过投标保证金数额的，中标人还应当对超过部分予以赔偿。</w:t>
      </w:r>
    </w:p>
    <w:p w14:paraId="0F9154AD">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签订合同</w:t>
      </w:r>
      <w:bookmarkEnd w:id="205"/>
      <w:bookmarkEnd w:id="206"/>
      <w:bookmarkEnd w:id="207"/>
      <w:bookmarkEnd w:id="208"/>
      <w:bookmarkEnd w:id="209"/>
      <w:bookmarkEnd w:id="210"/>
      <w:bookmarkEnd w:id="211"/>
      <w:bookmarkEnd w:id="212"/>
      <w:bookmarkEnd w:id="213"/>
    </w:p>
    <w:p w14:paraId="1CDF0CDA">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211F1D81">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.2发出中标通知书后，招标人无正当理由拒签合同的，招标人向中标人退还投标保证金；给中标人造成损失的，还应当赔偿损失。</w:t>
      </w:r>
    </w:p>
    <w:p w14:paraId="022803CE">
      <w:pPr>
        <w:pStyle w:val="4"/>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14" w:name="_Toc27462"/>
      <w:bookmarkStart w:id="215" w:name="_Toc18886"/>
      <w:bookmarkStart w:id="216" w:name="_Toc22253"/>
      <w:bookmarkStart w:id="217" w:name="_Toc26743"/>
      <w:r>
        <w:rPr>
          <w:rFonts w:hint="eastAsia" w:ascii="宋体" w:hAnsi="宋体" w:eastAsia="宋体" w:cs="宋体"/>
          <w:color w:val="auto"/>
          <w:sz w:val="28"/>
          <w:szCs w:val="28"/>
          <w:highlight w:val="none"/>
        </w:rPr>
        <w:t>8.重新招标和不再招标</w:t>
      </w:r>
      <w:bookmarkEnd w:id="214"/>
      <w:bookmarkEnd w:id="215"/>
      <w:bookmarkEnd w:id="216"/>
      <w:bookmarkEnd w:id="217"/>
    </w:p>
    <w:p w14:paraId="73307031">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18" w:name="_Toc18192"/>
      <w:r>
        <w:rPr>
          <w:rFonts w:hint="eastAsia" w:ascii="宋体" w:hAnsi="宋体" w:eastAsia="宋体" w:cs="宋体"/>
          <w:color w:val="auto"/>
          <w:sz w:val="28"/>
          <w:szCs w:val="28"/>
          <w:highlight w:val="none"/>
        </w:rPr>
        <w:t>8.1重新招标</w:t>
      </w:r>
      <w:bookmarkEnd w:id="218"/>
    </w:p>
    <w:p w14:paraId="2B394DB4">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有下列情形之一的，招标人将重新招标：</w:t>
      </w:r>
    </w:p>
    <w:p w14:paraId="5F6CD8FC">
      <w:pPr>
        <w:pageBreakBefore w:val="0"/>
        <w:numPr>
          <w:ilvl w:val="0"/>
          <w:numId w:val="15"/>
        </w:numPr>
        <w:kinsoku/>
        <w:wordWrap/>
        <w:overflowPunct/>
        <w:topLinePunct w:val="0"/>
        <w:autoSpaceDE/>
        <w:autoSpaceDN/>
        <w:bidi w:val="0"/>
        <w:snapToGrid w:val="0"/>
        <w:spacing w:after="0"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投标截止时间止，投标人少于3个的；</w:t>
      </w:r>
    </w:p>
    <w:p w14:paraId="6F51ACEF">
      <w:pPr>
        <w:pageBreakBefore w:val="0"/>
        <w:numPr>
          <w:ilvl w:val="0"/>
          <w:numId w:val="15"/>
        </w:numPr>
        <w:kinsoku/>
        <w:wordWrap/>
        <w:overflowPunct/>
        <w:topLinePunct w:val="0"/>
        <w:autoSpaceDE/>
        <w:autoSpaceDN/>
        <w:bidi w:val="0"/>
        <w:snapToGrid w:val="0"/>
        <w:spacing w:after="0"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经评委会评审否决所有投标的。</w:t>
      </w:r>
    </w:p>
    <w:p w14:paraId="720E4054">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19" w:name="_Toc1628"/>
      <w:r>
        <w:rPr>
          <w:rFonts w:hint="eastAsia" w:ascii="宋体" w:hAnsi="宋体" w:eastAsia="宋体" w:cs="宋体"/>
          <w:color w:val="auto"/>
          <w:sz w:val="28"/>
          <w:szCs w:val="28"/>
          <w:highlight w:val="none"/>
        </w:rPr>
        <w:t>8.2不再招标</w:t>
      </w:r>
      <w:bookmarkEnd w:id="219"/>
    </w:p>
    <w:p w14:paraId="096D96CD">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重新招标后投标人仍少于3个或者所有投标被否决的，属于必须审批或核准的工程建设项目，经原审批或核准部门批准后不再进行招标。</w:t>
      </w:r>
    </w:p>
    <w:p w14:paraId="41212950">
      <w:pPr>
        <w:pStyle w:val="4"/>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20" w:name="_Toc11665"/>
      <w:bookmarkStart w:id="221" w:name="_Toc1804"/>
      <w:bookmarkStart w:id="222" w:name="_Toc9835"/>
      <w:bookmarkStart w:id="223" w:name="_Toc296602461"/>
      <w:bookmarkStart w:id="224" w:name="_Toc353"/>
      <w:r>
        <w:rPr>
          <w:rFonts w:hint="eastAsia" w:ascii="宋体" w:hAnsi="宋体" w:eastAsia="宋体" w:cs="宋体"/>
          <w:color w:val="auto"/>
          <w:sz w:val="28"/>
          <w:szCs w:val="28"/>
          <w:highlight w:val="none"/>
        </w:rPr>
        <w:t>9.纪律和监督</w:t>
      </w:r>
      <w:bookmarkEnd w:id="220"/>
      <w:bookmarkEnd w:id="221"/>
      <w:bookmarkEnd w:id="222"/>
      <w:bookmarkEnd w:id="223"/>
      <w:bookmarkEnd w:id="224"/>
    </w:p>
    <w:p w14:paraId="00057383">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25" w:name="_Toc296602462"/>
      <w:bookmarkStart w:id="226" w:name="_Toc152045575"/>
      <w:bookmarkStart w:id="227" w:name="_Toc247085733"/>
      <w:bookmarkStart w:id="228" w:name="_Toc152042351"/>
      <w:bookmarkStart w:id="229" w:name="_Toc246996962"/>
      <w:bookmarkStart w:id="230" w:name="_Toc144974543"/>
      <w:bookmarkStart w:id="231" w:name="_Toc246996219"/>
      <w:bookmarkStart w:id="232" w:name="_Toc296590983"/>
      <w:bookmarkStart w:id="233" w:name="_Toc179632593"/>
      <w:bookmarkStart w:id="234" w:name="_Toc25113"/>
      <w:r>
        <w:rPr>
          <w:rFonts w:hint="eastAsia" w:ascii="宋体" w:hAnsi="宋体" w:eastAsia="宋体" w:cs="宋体"/>
          <w:color w:val="auto"/>
          <w:sz w:val="28"/>
          <w:szCs w:val="28"/>
          <w:highlight w:val="none"/>
        </w:rPr>
        <w:t>9.1对招标人的纪律要求</w:t>
      </w:r>
      <w:bookmarkEnd w:id="225"/>
      <w:bookmarkEnd w:id="226"/>
      <w:bookmarkEnd w:id="227"/>
      <w:bookmarkEnd w:id="228"/>
      <w:bookmarkEnd w:id="229"/>
      <w:bookmarkEnd w:id="230"/>
      <w:bookmarkEnd w:id="231"/>
      <w:bookmarkEnd w:id="232"/>
      <w:bookmarkEnd w:id="233"/>
      <w:bookmarkEnd w:id="234"/>
    </w:p>
    <w:p w14:paraId="5656F42C">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招标人不得泄漏招标投标活动中应当保密的情况和资料，不得与投标人串通损害国家利益、社会公共利益或者他人合法权益。</w:t>
      </w:r>
      <w:bookmarkStart w:id="235" w:name="_Toc152045576"/>
      <w:bookmarkStart w:id="236" w:name="_Toc296602463"/>
      <w:bookmarkStart w:id="237" w:name="_Toc247085734"/>
      <w:bookmarkStart w:id="238" w:name="_Toc246996963"/>
      <w:bookmarkStart w:id="239" w:name="_Toc179632594"/>
      <w:bookmarkStart w:id="240" w:name="_Toc152042352"/>
      <w:bookmarkStart w:id="241" w:name="_Toc246996220"/>
      <w:bookmarkStart w:id="242" w:name="_Toc144974544"/>
    </w:p>
    <w:p w14:paraId="26A45965">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43" w:name="_Toc31341"/>
      <w:r>
        <w:rPr>
          <w:rFonts w:hint="eastAsia" w:ascii="宋体" w:hAnsi="宋体" w:eastAsia="宋体" w:cs="宋体"/>
          <w:color w:val="auto"/>
          <w:sz w:val="28"/>
          <w:szCs w:val="28"/>
          <w:highlight w:val="none"/>
        </w:rPr>
        <w:t>9.2对投标人的纪律要求</w:t>
      </w:r>
      <w:bookmarkEnd w:id="235"/>
      <w:bookmarkEnd w:id="236"/>
      <w:bookmarkEnd w:id="237"/>
      <w:bookmarkEnd w:id="238"/>
      <w:bookmarkEnd w:id="239"/>
      <w:bookmarkEnd w:id="240"/>
      <w:bookmarkEnd w:id="241"/>
      <w:bookmarkEnd w:id="242"/>
      <w:bookmarkEnd w:id="243"/>
    </w:p>
    <w:p w14:paraId="0FD7D50B">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EC58D05">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44" w:name="_Toc179632595"/>
      <w:bookmarkStart w:id="245" w:name="_Toc246996221"/>
      <w:bookmarkStart w:id="246" w:name="_Toc144974545"/>
      <w:bookmarkStart w:id="247" w:name="_Toc247085735"/>
      <w:bookmarkStart w:id="248" w:name="_Toc246996964"/>
      <w:bookmarkStart w:id="249" w:name="_Toc12932"/>
      <w:bookmarkStart w:id="250" w:name="_Toc152042353"/>
      <w:bookmarkStart w:id="251" w:name="_Toc296602464"/>
      <w:bookmarkStart w:id="252" w:name="_Toc152045577"/>
      <w:r>
        <w:rPr>
          <w:rFonts w:hint="eastAsia" w:ascii="宋体" w:hAnsi="宋体" w:eastAsia="宋体" w:cs="宋体"/>
          <w:color w:val="auto"/>
          <w:sz w:val="28"/>
          <w:szCs w:val="28"/>
          <w:highlight w:val="none"/>
        </w:rPr>
        <w:t>9.3对评标委员会成员的纪律要求</w:t>
      </w:r>
      <w:bookmarkEnd w:id="244"/>
      <w:bookmarkEnd w:id="245"/>
      <w:bookmarkEnd w:id="246"/>
      <w:bookmarkEnd w:id="247"/>
      <w:bookmarkEnd w:id="248"/>
      <w:bookmarkEnd w:id="249"/>
      <w:bookmarkEnd w:id="250"/>
      <w:bookmarkEnd w:id="251"/>
      <w:bookmarkEnd w:id="252"/>
    </w:p>
    <w:p w14:paraId="30DCAEB7">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p>
    <w:p w14:paraId="1BA1DDC7">
      <w:pPr>
        <w:pStyle w:val="5"/>
        <w:pageBreakBefore w:val="0"/>
        <w:kinsoku/>
        <w:wordWrap/>
        <w:overflowPunct/>
        <w:topLinePunct w:val="0"/>
        <w:autoSpaceDE/>
        <w:autoSpaceDN/>
        <w:bidi w:val="0"/>
        <w:snapToGrid w:val="0"/>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53" w:name="_Toc152045578"/>
      <w:bookmarkStart w:id="254" w:name="_Toc246996965"/>
      <w:bookmarkStart w:id="255" w:name="_Toc7543"/>
      <w:bookmarkStart w:id="256" w:name="_Toc296602465"/>
      <w:bookmarkStart w:id="257" w:name="_Toc247085736"/>
      <w:bookmarkStart w:id="258" w:name="_Toc179632596"/>
      <w:bookmarkStart w:id="259" w:name="_Toc246996222"/>
      <w:bookmarkStart w:id="260" w:name="_Toc152042354"/>
      <w:bookmarkStart w:id="261" w:name="_Toc144974546"/>
      <w:r>
        <w:rPr>
          <w:rFonts w:hint="eastAsia" w:ascii="宋体" w:hAnsi="宋体" w:eastAsia="宋体" w:cs="宋体"/>
          <w:color w:val="auto"/>
          <w:sz w:val="28"/>
          <w:szCs w:val="28"/>
          <w:highlight w:val="none"/>
        </w:rPr>
        <w:t>9.4对与评标活动有关的工作人员的纪律要求</w:t>
      </w:r>
      <w:bookmarkEnd w:id="253"/>
      <w:bookmarkEnd w:id="254"/>
      <w:bookmarkEnd w:id="255"/>
      <w:bookmarkEnd w:id="256"/>
      <w:bookmarkEnd w:id="257"/>
      <w:bookmarkEnd w:id="258"/>
      <w:bookmarkEnd w:id="259"/>
      <w:bookmarkEnd w:id="260"/>
    </w:p>
    <w:p w14:paraId="4C871F78">
      <w:pPr>
        <w:pageBreakBefore w:val="0"/>
        <w:kinsoku/>
        <w:wordWrap/>
        <w:overflowPunct/>
        <w:topLinePunct w:val="0"/>
        <w:autoSpaceDE/>
        <w:autoSpaceDN/>
        <w:bidi w:val="0"/>
        <w:snapToGrid w:val="0"/>
        <w:spacing w:after="0" w:line="360" w:lineRule="auto"/>
        <w:ind w:firstLine="560" w:firstLineChars="200"/>
        <w:textAlignment w:val="auto"/>
        <w:rPr>
          <w:rFonts w:hint="eastAsia" w:ascii="宋体" w:hAnsi="宋体" w:eastAsia="宋体" w:cs="宋体"/>
          <w:color w:val="auto"/>
          <w:sz w:val="28"/>
          <w:szCs w:val="28"/>
          <w:highlight w:val="none"/>
        </w:rPr>
      </w:pPr>
      <w:bookmarkStart w:id="262" w:name="_Toc152042355"/>
      <w:r>
        <w:rPr>
          <w:rFonts w:hint="eastAsia" w:ascii="宋体" w:hAnsi="宋体" w:eastAsia="宋体" w:cs="宋体"/>
          <w:color w:val="auto"/>
          <w:sz w:val="28"/>
          <w:szCs w:val="28"/>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62"/>
    </w:p>
    <w:p w14:paraId="255D6B35">
      <w:pPr>
        <w:pStyle w:val="5"/>
        <w:pageBreakBefore w:val="0"/>
        <w:widowControl w:val="0"/>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63" w:name="_Toc296602466"/>
      <w:bookmarkStart w:id="264" w:name="_Toc152045579"/>
      <w:bookmarkStart w:id="265" w:name="_Toc179632597"/>
      <w:bookmarkStart w:id="266" w:name="_Toc152042356"/>
      <w:bookmarkStart w:id="267" w:name="_Toc246996223"/>
      <w:bookmarkStart w:id="268" w:name="_Toc246996966"/>
      <w:bookmarkStart w:id="269" w:name="_Toc247085737"/>
      <w:r>
        <w:rPr>
          <w:rFonts w:hint="eastAsia" w:ascii="宋体" w:hAnsi="宋体" w:eastAsia="宋体" w:cs="宋体"/>
          <w:color w:val="auto"/>
          <w:sz w:val="28"/>
          <w:szCs w:val="28"/>
          <w:highlight w:val="none"/>
        </w:rPr>
        <w:t>9.5投诉</w:t>
      </w:r>
      <w:bookmarkEnd w:id="261"/>
      <w:bookmarkEnd w:id="263"/>
      <w:bookmarkEnd w:id="264"/>
      <w:bookmarkEnd w:id="265"/>
      <w:bookmarkEnd w:id="266"/>
      <w:bookmarkEnd w:id="267"/>
      <w:bookmarkEnd w:id="268"/>
      <w:bookmarkEnd w:id="269"/>
    </w:p>
    <w:p w14:paraId="213FB8D5">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9.5.1投标人和其他利害关系人认为本次招标活动违反法律、法规和规章规定的，有权向有关行政监督部门投诉。</w:t>
      </w:r>
    </w:p>
    <w:p w14:paraId="1BD39B7A">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9.5.2投诉人投诉时，应当提交投诉书。投诉书应当包括下列内容：投诉人的名称、地址及有效联系方式；被投诉人的名称、地址及有效联系方式；投诉事项的基本事实；相关请求及主张；有效线索及相关证明材料。</w:t>
      </w:r>
    </w:p>
    <w:p w14:paraId="0982D50C">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9.5.3投诉人是法人的，投诉书必须由其法定代表人或者授权代表签字并盖章；其他组织或者自然人投诉的，投诉书必须由其主要负责人或者投诉人本人签字，并附有效身份证明复印件。</w:t>
      </w:r>
    </w:p>
    <w:p w14:paraId="1D2347B1">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9.5.4对招标投标法实施条例规定应当先提出异议的事项进行投诉的，应当附提出异议的证明文件。已向有关房屋建筑和</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招标投标监督部门投诉的，应当一并说明。</w:t>
      </w:r>
    </w:p>
    <w:p w14:paraId="4069819E">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9.4.5有下列情形之一的投诉，不予受理：</w:t>
      </w:r>
    </w:p>
    <w:p w14:paraId="604669FA">
      <w:pPr>
        <w:pageBreakBefore w:val="0"/>
        <w:widowControl w:val="0"/>
        <w:numPr>
          <w:ilvl w:val="0"/>
          <w:numId w:val="16"/>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投诉人不是所投诉招标投标活动的参与者，或者与投诉项目无任何厉害关系；</w:t>
      </w:r>
    </w:p>
    <w:p w14:paraId="067F634E">
      <w:pPr>
        <w:pageBreakBefore w:val="0"/>
        <w:widowControl w:val="0"/>
        <w:numPr>
          <w:ilvl w:val="0"/>
          <w:numId w:val="16"/>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投诉事项不具体，且未提供有效线索，难以查证的；</w:t>
      </w:r>
    </w:p>
    <w:p w14:paraId="3319B273">
      <w:pPr>
        <w:pageBreakBefore w:val="0"/>
        <w:widowControl w:val="0"/>
        <w:numPr>
          <w:ilvl w:val="0"/>
          <w:numId w:val="16"/>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投诉书未署投诉人真实姓名、签字和有效联系方式的；以法人名义投诉的，投诉书未经法定代表人签字并加盖公章的；</w:t>
      </w:r>
    </w:p>
    <w:p w14:paraId="30E289AD">
      <w:pPr>
        <w:pageBreakBefore w:val="0"/>
        <w:widowControl w:val="0"/>
        <w:numPr>
          <w:ilvl w:val="0"/>
          <w:numId w:val="16"/>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超过投诉时效的；</w:t>
      </w:r>
    </w:p>
    <w:p w14:paraId="263400E5">
      <w:pPr>
        <w:pageBreakBefore w:val="0"/>
        <w:widowControl w:val="0"/>
        <w:numPr>
          <w:ilvl w:val="0"/>
          <w:numId w:val="16"/>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已经做出处理决定的，并且投诉人没有提出新的证据的；</w:t>
      </w:r>
    </w:p>
    <w:p w14:paraId="2C8AEEF7">
      <w:pPr>
        <w:pageBreakBefore w:val="0"/>
        <w:widowControl w:val="0"/>
        <w:numPr>
          <w:ilvl w:val="0"/>
          <w:numId w:val="16"/>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投诉事项应当先提出异议没有提出异议、已进入行政复议或者行政诉讼程序的。</w:t>
      </w:r>
    </w:p>
    <w:p w14:paraId="02961A71">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9.5.6投诉人故意捏造事实，伪造证明材料或者以非法手段取得证明材料进行投诉，给他人造成损失的，依法承担赔偿责任。</w:t>
      </w:r>
    </w:p>
    <w:p w14:paraId="7E536F5A">
      <w:pPr>
        <w:pStyle w:val="4"/>
        <w:pageBreakBefore w:val="0"/>
        <w:widowControl w:val="0"/>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宋体" w:hAnsi="宋体" w:eastAsia="宋体" w:cs="宋体"/>
          <w:color w:val="auto"/>
          <w:sz w:val="28"/>
          <w:szCs w:val="28"/>
          <w:highlight w:val="none"/>
        </w:rPr>
      </w:pPr>
      <w:bookmarkStart w:id="270" w:name="_Toc144974547"/>
      <w:bookmarkStart w:id="271" w:name="_Toc152045580"/>
      <w:bookmarkStart w:id="272" w:name="_Toc246996224"/>
      <w:bookmarkStart w:id="273" w:name="_Toc12583"/>
      <w:bookmarkStart w:id="274" w:name="_Toc17334"/>
      <w:bookmarkStart w:id="275" w:name="_Toc152042357"/>
      <w:bookmarkStart w:id="276" w:name="_Toc247085738"/>
      <w:bookmarkStart w:id="277" w:name="_Toc179632598"/>
      <w:bookmarkStart w:id="278" w:name="_Toc6635"/>
      <w:bookmarkStart w:id="279" w:name="_Toc246996967"/>
      <w:bookmarkStart w:id="280" w:name="_Toc12240"/>
      <w:bookmarkStart w:id="281" w:name="_Toc296602467"/>
      <w:r>
        <w:rPr>
          <w:rFonts w:hint="eastAsia" w:ascii="宋体" w:hAnsi="宋体" w:eastAsia="宋体" w:cs="宋体"/>
          <w:color w:val="auto"/>
          <w:sz w:val="28"/>
          <w:szCs w:val="28"/>
          <w:highlight w:val="none"/>
        </w:rPr>
        <w:t>10.需要补充的其他内容</w:t>
      </w:r>
      <w:bookmarkEnd w:id="270"/>
      <w:bookmarkEnd w:id="271"/>
      <w:bookmarkEnd w:id="272"/>
      <w:bookmarkEnd w:id="273"/>
      <w:bookmarkEnd w:id="274"/>
      <w:bookmarkEnd w:id="275"/>
      <w:bookmarkEnd w:id="276"/>
      <w:bookmarkEnd w:id="277"/>
      <w:bookmarkEnd w:id="278"/>
      <w:bookmarkEnd w:id="279"/>
      <w:bookmarkEnd w:id="280"/>
      <w:bookmarkEnd w:id="281"/>
    </w:p>
    <w:p w14:paraId="56412B38">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需要补充的其他内容：见投标人须知前附表。</w:t>
      </w:r>
    </w:p>
    <w:p w14:paraId="19A86CAB">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14:paraId="42AB1CD6">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14:paraId="58199880">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14:paraId="1F08A0AD">
      <w:pPr>
        <w:rPr>
          <w:rFonts w:hint="eastAsia" w:ascii="宋体" w:hAnsi="宋体" w:eastAsia="宋体" w:cs="宋体"/>
          <w:b/>
          <w:bCs/>
          <w:color w:val="auto"/>
          <w:kern w:val="44"/>
          <w:sz w:val="44"/>
          <w:szCs w:val="44"/>
          <w:highlight w:val="none"/>
          <w:lang w:val="en-US" w:eastAsia="zh-CN" w:bidi="ar-SA"/>
        </w:rPr>
      </w:pPr>
      <w:bookmarkStart w:id="282" w:name="_Toc282823836"/>
      <w:bookmarkStart w:id="283" w:name="_Toc283196391"/>
      <w:bookmarkStart w:id="284" w:name="_Toc282843651"/>
      <w:bookmarkStart w:id="285" w:name="_Toc283289421"/>
      <w:bookmarkStart w:id="286" w:name="_Toc26577"/>
      <w:bookmarkStart w:id="287" w:name="_Toc354"/>
      <w:bookmarkStart w:id="288" w:name="_Toc25264"/>
      <w:bookmarkStart w:id="289" w:name="_Toc13497"/>
      <w:bookmarkStart w:id="290" w:name="_Toc22493"/>
      <w:bookmarkStart w:id="291" w:name="_Toc29099"/>
      <w:bookmarkStart w:id="292" w:name="_Toc1016"/>
      <w:r>
        <w:rPr>
          <w:rFonts w:hint="eastAsia" w:ascii="宋体" w:hAnsi="宋体" w:eastAsia="宋体" w:cs="宋体"/>
          <w:b/>
          <w:bCs/>
          <w:color w:val="auto"/>
          <w:kern w:val="44"/>
          <w:sz w:val="44"/>
          <w:szCs w:val="44"/>
          <w:highlight w:val="none"/>
          <w:lang w:val="en-US" w:eastAsia="zh-CN" w:bidi="ar-SA"/>
        </w:rPr>
        <w:br w:type="page"/>
      </w:r>
    </w:p>
    <w:p w14:paraId="34479D8E">
      <w:pPr>
        <w:spacing w:line="360" w:lineRule="auto"/>
        <w:jc w:val="center"/>
        <w:outlineLvl w:val="0"/>
        <w:rPr>
          <w:rFonts w:hint="eastAsia" w:ascii="宋体" w:hAnsi="宋体" w:eastAsia="宋体" w:cs="宋体"/>
          <w:color w:val="auto"/>
          <w:highlight w:val="none"/>
        </w:rPr>
      </w:pPr>
      <w:r>
        <w:rPr>
          <w:rFonts w:hint="eastAsia" w:ascii="宋体" w:hAnsi="宋体" w:eastAsia="宋体" w:cs="宋体"/>
          <w:b/>
          <w:bCs/>
          <w:color w:val="auto"/>
          <w:kern w:val="44"/>
          <w:sz w:val="44"/>
          <w:szCs w:val="44"/>
          <w:highlight w:val="none"/>
          <w:lang w:val="en-US" w:eastAsia="zh-CN" w:bidi="ar-SA"/>
        </w:rPr>
        <w:t>第三章评标办法</w:t>
      </w:r>
      <w:bookmarkEnd w:id="282"/>
      <w:bookmarkEnd w:id="283"/>
      <w:bookmarkEnd w:id="284"/>
      <w:bookmarkEnd w:id="285"/>
      <w:r>
        <w:rPr>
          <w:rFonts w:hint="eastAsia" w:ascii="宋体" w:hAnsi="宋体" w:eastAsia="宋体" w:cs="宋体"/>
          <w:b/>
          <w:bCs/>
          <w:color w:val="auto"/>
          <w:kern w:val="44"/>
          <w:sz w:val="44"/>
          <w:szCs w:val="44"/>
          <w:highlight w:val="none"/>
          <w:lang w:val="en-US" w:eastAsia="zh-CN" w:bidi="ar-SA"/>
        </w:rPr>
        <w:t>（综合评估法）</w:t>
      </w:r>
      <w:bookmarkEnd w:id="286"/>
      <w:bookmarkEnd w:id="287"/>
      <w:bookmarkEnd w:id="288"/>
      <w:bookmarkEnd w:id="289"/>
      <w:bookmarkEnd w:id="290"/>
      <w:bookmarkEnd w:id="291"/>
      <w:bookmarkEnd w:id="292"/>
    </w:p>
    <w:p w14:paraId="4E55A26A">
      <w:pPr>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评标办法前附表</w:t>
      </w:r>
    </w:p>
    <w:tbl>
      <w:tblPr>
        <w:tblStyle w:val="18"/>
        <w:tblW w:w="88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5"/>
        <w:gridCol w:w="705"/>
        <w:gridCol w:w="2004"/>
        <w:gridCol w:w="5409"/>
      </w:tblGrid>
      <w:tr w14:paraId="5464C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jc w:val="center"/>
        </w:trPr>
        <w:tc>
          <w:tcPr>
            <w:tcW w:w="1460" w:type="dxa"/>
            <w:gridSpan w:val="2"/>
            <w:noWrap w:val="0"/>
            <w:vAlign w:val="center"/>
          </w:tcPr>
          <w:p w14:paraId="275F2D6F">
            <w:pPr>
              <w:widowControl w:val="0"/>
              <w:autoSpaceDE w:val="0"/>
              <w:autoSpaceDN w:val="0"/>
              <w:spacing w:after="0" w:line="240" w:lineRule="auto"/>
              <w:ind w:right="0"/>
              <w:jc w:val="center"/>
              <w:rPr>
                <w:rFonts w:hint="eastAsia" w:ascii="宋体" w:hAnsi="宋体" w:eastAsia="宋体" w:cs="宋体"/>
                <w:b/>
                <w:color w:val="auto"/>
                <w:sz w:val="28"/>
                <w:szCs w:val="28"/>
                <w:lang w:val="zh-CN" w:eastAsia="zh-CN" w:bidi="zh-CN"/>
              </w:rPr>
            </w:pPr>
            <w:r>
              <w:rPr>
                <w:rFonts w:hint="eastAsia" w:ascii="宋体" w:hAnsi="宋体" w:eastAsia="宋体" w:cs="宋体"/>
                <w:b/>
                <w:color w:val="auto"/>
                <w:sz w:val="28"/>
                <w:szCs w:val="28"/>
                <w:lang w:val="zh-CN" w:eastAsia="zh-CN" w:bidi="zh-CN"/>
              </w:rPr>
              <w:t>条款号</w:t>
            </w:r>
          </w:p>
        </w:tc>
        <w:tc>
          <w:tcPr>
            <w:tcW w:w="2004" w:type="dxa"/>
            <w:noWrap w:val="0"/>
            <w:vAlign w:val="center"/>
          </w:tcPr>
          <w:p w14:paraId="543D0EC3">
            <w:pPr>
              <w:widowControl w:val="0"/>
              <w:autoSpaceDE w:val="0"/>
              <w:autoSpaceDN w:val="0"/>
              <w:spacing w:before="147" w:after="0" w:line="240" w:lineRule="auto"/>
              <w:ind w:right="526"/>
              <w:jc w:val="center"/>
              <w:rPr>
                <w:rFonts w:hint="eastAsia" w:ascii="宋体" w:hAnsi="宋体" w:eastAsia="宋体" w:cs="宋体"/>
                <w:b/>
                <w:color w:val="auto"/>
                <w:sz w:val="28"/>
                <w:szCs w:val="28"/>
                <w:lang w:val="zh-CN" w:eastAsia="zh-CN" w:bidi="zh-CN"/>
              </w:rPr>
            </w:pPr>
            <w:r>
              <w:rPr>
                <w:rFonts w:hint="eastAsia" w:ascii="宋体" w:hAnsi="宋体" w:cs="宋体"/>
                <w:b/>
                <w:color w:val="auto"/>
                <w:sz w:val="28"/>
                <w:szCs w:val="28"/>
                <w:lang w:val="en-US" w:eastAsia="zh-CN" w:bidi="zh-CN"/>
              </w:rPr>
              <w:t xml:space="preserve">  </w:t>
            </w:r>
            <w:r>
              <w:rPr>
                <w:rFonts w:hint="eastAsia" w:ascii="宋体" w:hAnsi="宋体" w:eastAsia="宋体" w:cs="宋体"/>
                <w:b/>
                <w:color w:val="auto"/>
                <w:sz w:val="28"/>
                <w:szCs w:val="28"/>
                <w:lang w:val="zh-CN" w:eastAsia="zh-CN" w:bidi="zh-CN"/>
              </w:rPr>
              <w:t>评审因素</w:t>
            </w:r>
          </w:p>
        </w:tc>
        <w:tc>
          <w:tcPr>
            <w:tcW w:w="5409" w:type="dxa"/>
            <w:noWrap w:val="0"/>
            <w:vAlign w:val="center"/>
          </w:tcPr>
          <w:p w14:paraId="30E7DD69">
            <w:pPr>
              <w:widowControl w:val="0"/>
              <w:autoSpaceDE w:val="0"/>
              <w:autoSpaceDN w:val="0"/>
              <w:spacing w:before="147" w:after="0" w:line="240" w:lineRule="auto"/>
              <w:ind w:left="269" w:right="257"/>
              <w:jc w:val="center"/>
              <w:rPr>
                <w:rFonts w:hint="eastAsia" w:ascii="宋体" w:hAnsi="宋体" w:eastAsia="宋体" w:cs="宋体"/>
                <w:b/>
                <w:color w:val="auto"/>
                <w:sz w:val="28"/>
                <w:szCs w:val="28"/>
                <w:lang w:val="zh-CN" w:eastAsia="zh-CN" w:bidi="zh-CN"/>
              </w:rPr>
            </w:pPr>
            <w:r>
              <w:rPr>
                <w:rFonts w:hint="eastAsia" w:ascii="宋体" w:hAnsi="宋体" w:eastAsia="宋体" w:cs="宋体"/>
                <w:b/>
                <w:color w:val="auto"/>
                <w:sz w:val="28"/>
                <w:szCs w:val="28"/>
                <w:lang w:val="zh-CN" w:eastAsia="zh-CN" w:bidi="zh-CN"/>
              </w:rPr>
              <w:t>评审标准</w:t>
            </w:r>
          </w:p>
        </w:tc>
      </w:tr>
      <w:tr w14:paraId="062C3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restart"/>
            <w:noWrap w:val="0"/>
            <w:vAlign w:val="center"/>
          </w:tcPr>
          <w:p w14:paraId="27A3D51D">
            <w:pPr>
              <w:widowControl w:val="0"/>
              <w:autoSpaceDE w:val="0"/>
              <w:autoSpaceDN w:val="0"/>
              <w:spacing w:before="0" w:after="0" w:line="240" w:lineRule="auto"/>
              <w:ind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2.1.1</w:t>
            </w:r>
          </w:p>
        </w:tc>
        <w:tc>
          <w:tcPr>
            <w:tcW w:w="705" w:type="dxa"/>
            <w:vMerge w:val="restart"/>
            <w:noWrap w:val="0"/>
            <w:vAlign w:val="center"/>
          </w:tcPr>
          <w:p w14:paraId="0180A1D3">
            <w:pPr>
              <w:widowControl w:val="0"/>
              <w:autoSpaceDE w:val="0"/>
              <w:autoSpaceDN w:val="0"/>
              <w:spacing w:before="0" w:after="0" w:line="254" w:lineRule="auto"/>
              <w:ind w:left="231" w:right="219"/>
              <w:jc w:val="both"/>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形式评审标准</w:t>
            </w:r>
          </w:p>
        </w:tc>
        <w:tc>
          <w:tcPr>
            <w:tcW w:w="2004" w:type="dxa"/>
            <w:noWrap w:val="0"/>
            <w:vAlign w:val="center"/>
          </w:tcPr>
          <w:p w14:paraId="6B100E32">
            <w:pPr>
              <w:widowControl w:val="0"/>
              <w:autoSpaceDE w:val="0"/>
              <w:autoSpaceDN w:val="0"/>
              <w:spacing w:after="0" w:line="240" w:lineRule="auto"/>
              <w:ind w:left="0"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投标人名称</w:t>
            </w:r>
          </w:p>
        </w:tc>
        <w:tc>
          <w:tcPr>
            <w:tcW w:w="5409" w:type="dxa"/>
            <w:noWrap w:val="0"/>
            <w:vAlign w:val="center"/>
          </w:tcPr>
          <w:p w14:paraId="3416DA11">
            <w:pPr>
              <w:widowControl w:val="0"/>
              <w:autoSpaceDE w:val="0"/>
              <w:autoSpaceDN w:val="0"/>
              <w:spacing w:before="146" w:after="0" w:line="240" w:lineRule="auto"/>
              <w:ind w:left="269" w:right="257"/>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与营业执照、资质证书、安全生产许可证一致</w:t>
            </w:r>
          </w:p>
        </w:tc>
      </w:tr>
      <w:tr w14:paraId="2DC20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755" w:type="dxa"/>
            <w:vMerge w:val="continue"/>
            <w:tcBorders>
              <w:top w:val="nil"/>
            </w:tcBorders>
            <w:noWrap w:val="0"/>
            <w:vAlign w:val="center"/>
          </w:tcPr>
          <w:p w14:paraId="5AFF9B0A">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0EC9432C">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02518A7E">
            <w:pPr>
              <w:widowControl w:val="0"/>
              <w:autoSpaceDE w:val="0"/>
              <w:autoSpaceDN w:val="0"/>
              <w:spacing w:before="0" w:after="0" w:line="240" w:lineRule="auto"/>
              <w:ind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投标函签字盖章</w:t>
            </w:r>
          </w:p>
        </w:tc>
        <w:tc>
          <w:tcPr>
            <w:tcW w:w="5409" w:type="dxa"/>
            <w:noWrap w:val="0"/>
            <w:vAlign w:val="center"/>
          </w:tcPr>
          <w:p w14:paraId="1447D0E3">
            <w:pPr>
              <w:widowControl w:val="0"/>
              <w:autoSpaceDE w:val="0"/>
              <w:autoSpaceDN w:val="0"/>
              <w:spacing w:before="0" w:after="0" w:line="240" w:lineRule="auto"/>
              <w:ind w:right="260"/>
              <w:jc w:val="center"/>
              <w:rPr>
                <w:rFonts w:hint="default" w:ascii="宋体" w:hAnsi="宋体" w:eastAsia="宋体" w:cs="宋体"/>
                <w:color w:val="auto"/>
                <w:sz w:val="24"/>
                <w:szCs w:val="24"/>
                <w:lang w:val="en-US" w:eastAsia="zh-CN" w:bidi="zh-CN"/>
              </w:rPr>
            </w:pPr>
            <w:r>
              <w:rPr>
                <w:rFonts w:hint="eastAsia" w:ascii="宋体" w:hAnsi="宋体" w:eastAsia="宋体" w:cs="宋体"/>
                <w:color w:val="auto"/>
                <w:sz w:val="24"/>
                <w:szCs w:val="24"/>
                <w:highlight w:val="none"/>
                <w:lang w:val="en-US" w:eastAsia="zh-CN" w:bidi="zh-CN"/>
              </w:rPr>
              <w:t>有法定代表人（或其委托代理人）签字并加盖名章</w:t>
            </w:r>
            <w:r>
              <w:rPr>
                <w:rFonts w:hint="eastAsia" w:ascii="宋体" w:hAnsi="宋体" w:cs="宋体"/>
                <w:color w:val="auto"/>
                <w:sz w:val="24"/>
                <w:szCs w:val="24"/>
                <w:highlight w:val="none"/>
                <w:lang w:val="en-US" w:eastAsia="zh-CN" w:bidi="zh-CN"/>
              </w:rPr>
              <w:t>及加盖单位公章</w:t>
            </w:r>
          </w:p>
        </w:tc>
      </w:tr>
      <w:tr w14:paraId="31529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5" w:type="dxa"/>
            <w:vMerge w:val="continue"/>
            <w:tcBorders>
              <w:top w:val="nil"/>
            </w:tcBorders>
            <w:noWrap w:val="0"/>
            <w:vAlign w:val="center"/>
          </w:tcPr>
          <w:p w14:paraId="786658FC">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26AB9A98">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396D1BF7">
            <w:pPr>
              <w:widowControl w:val="0"/>
              <w:autoSpaceDE w:val="0"/>
              <w:autoSpaceDN w:val="0"/>
              <w:spacing w:after="0" w:line="240" w:lineRule="auto"/>
              <w:ind w:left="0"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投标文件格式</w:t>
            </w:r>
          </w:p>
        </w:tc>
        <w:tc>
          <w:tcPr>
            <w:tcW w:w="5409" w:type="dxa"/>
            <w:noWrap w:val="0"/>
            <w:vAlign w:val="center"/>
          </w:tcPr>
          <w:p w14:paraId="2B57A14A">
            <w:pPr>
              <w:widowControl w:val="0"/>
              <w:autoSpaceDE w:val="0"/>
              <w:autoSpaceDN w:val="0"/>
              <w:spacing w:before="146"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highlight w:val="none"/>
                <w:lang w:val="zh-CN" w:eastAsia="zh-CN" w:bidi="zh-CN"/>
              </w:rPr>
              <w:t>符合第</w:t>
            </w:r>
            <w:r>
              <w:rPr>
                <w:rFonts w:hint="eastAsia" w:ascii="宋体" w:hAnsi="宋体" w:eastAsia="宋体" w:cs="宋体"/>
                <w:color w:val="auto"/>
                <w:sz w:val="24"/>
                <w:szCs w:val="24"/>
                <w:highlight w:val="none"/>
                <w:lang w:val="en-US" w:eastAsia="zh-CN" w:bidi="zh-CN"/>
              </w:rPr>
              <w:t>七</w:t>
            </w:r>
            <w:r>
              <w:rPr>
                <w:rFonts w:hint="eastAsia" w:ascii="宋体" w:hAnsi="宋体" w:eastAsia="宋体" w:cs="宋体"/>
                <w:color w:val="auto"/>
                <w:sz w:val="24"/>
                <w:szCs w:val="24"/>
                <w:highlight w:val="none"/>
                <w:lang w:val="zh-CN" w:eastAsia="zh-CN" w:bidi="zh-CN"/>
              </w:rPr>
              <w:t>章“投标文件格式”的要求</w:t>
            </w:r>
          </w:p>
        </w:tc>
      </w:tr>
      <w:tr w14:paraId="3A522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tcBorders>
              <w:top w:val="nil"/>
            </w:tcBorders>
            <w:noWrap w:val="0"/>
            <w:vAlign w:val="center"/>
          </w:tcPr>
          <w:p w14:paraId="10071E31">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7A71A1CC">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732DFC72">
            <w:pPr>
              <w:widowControl w:val="0"/>
              <w:autoSpaceDE w:val="0"/>
              <w:autoSpaceDN w:val="0"/>
              <w:spacing w:before="146"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报价唯一</w:t>
            </w:r>
          </w:p>
        </w:tc>
        <w:tc>
          <w:tcPr>
            <w:tcW w:w="5409" w:type="dxa"/>
            <w:noWrap w:val="0"/>
            <w:vAlign w:val="center"/>
          </w:tcPr>
          <w:p w14:paraId="259C2E83">
            <w:pPr>
              <w:widowControl w:val="0"/>
              <w:autoSpaceDE w:val="0"/>
              <w:autoSpaceDN w:val="0"/>
              <w:spacing w:before="146"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只能有一个有效报价</w:t>
            </w:r>
          </w:p>
        </w:tc>
      </w:tr>
      <w:tr w14:paraId="15DA0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755" w:type="dxa"/>
            <w:vMerge w:val="restart"/>
            <w:noWrap w:val="0"/>
            <w:vAlign w:val="center"/>
          </w:tcPr>
          <w:p w14:paraId="6F4CC87F">
            <w:pPr>
              <w:widowControl w:val="0"/>
              <w:autoSpaceDE w:val="0"/>
              <w:autoSpaceDN w:val="0"/>
              <w:spacing w:before="151" w:after="0" w:line="240" w:lineRule="auto"/>
              <w:ind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2.1.2</w:t>
            </w:r>
          </w:p>
        </w:tc>
        <w:tc>
          <w:tcPr>
            <w:tcW w:w="705" w:type="dxa"/>
            <w:vMerge w:val="restart"/>
            <w:noWrap w:val="0"/>
            <w:vAlign w:val="center"/>
          </w:tcPr>
          <w:p w14:paraId="6696C9BC">
            <w:pPr>
              <w:widowControl w:val="0"/>
              <w:autoSpaceDE w:val="0"/>
              <w:autoSpaceDN w:val="0"/>
              <w:spacing w:before="0" w:after="0" w:line="254" w:lineRule="auto"/>
              <w:ind w:left="231" w:right="219"/>
              <w:jc w:val="both"/>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资格评审标准</w:t>
            </w:r>
          </w:p>
        </w:tc>
        <w:tc>
          <w:tcPr>
            <w:tcW w:w="2004" w:type="dxa"/>
            <w:noWrap w:val="0"/>
            <w:vAlign w:val="center"/>
          </w:tcPr>
          <w:p w14:paraId="7567C04E">
            <w:pPr>
              <w:widowControl w:val="0"/>
              <w:autoSpaceDE w:val="0"/>
              <w:autoSpaceDN w:val="0"/>
              <w:spacing w:before="148"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营业执照</w:t>
            </w:r>
          </w:p>
        </w:tc>
        <w:tc>
          <w:tcPr>
            <w:tcW w:w="5409" w:type="dxa"/>
            <w:noWrap w:val="0"/>
            <w:vAlign w:val="center"/>
          </w:tcPr>
          <w:p w14:paraId="408946C4">
            <w:pPr>
              <w:widowControl w:val="0"/>
              <w:autoSpaceDE w:val="0"/>
              <w:autoSpaceDN w:val="0"/>
              <w:spacing w:before="148" w:after="0" w:line="240" w:lineRule="auto"/>
              <w:ind w:left="269" w:right="260"/>
              <w:jc w:val="center"/>
              <w:rPr>
                <w:rFonts w:hint="default" w:ascii="宋体" w:hAnsi="宋体" w:eastAsia="宋体" w:cs="宋体"/>
                <w:color w:val="auto"/>
                <w:sz w:val="24"/>
                <w:szCs w:val="24"/>
                <w:lang w:val="en-US" w:eastAsia="zh-CN" w:bidi="zh-CN"/>
              </w:rPr>
            </w:pPr>
            <w:r>
              <w:rPr>
                <w:rFonts w:hint="eastAsia" w:ascii="宋体" w:hAnsi="宋体" w:eastAsia="宋体" w:cs="宋体"/>
                <w:color w:val="auto"/>
                <w:sz w:val="24"/>
                <w:szCs w:val="24"/>
                <w:lang w:val="zh-CN" w:eastAsia="zh-CN" w:bidi="zh-CN"/>
              </w:rPr>
              <w:t>具备有效的营业执照</w:t>
            </w:r>
            <w:r>
              <w:rPr>
                <w:rFonts w:hint="eastAsia" w:ascii="宋体" w:hAnsi="宋体" w:cs="宋体"/>
                <w:color w:val="auto"/>
                <w:sz w:val="24"/>
                <w:szCs w:val="24"/>
                <w:lang w:val="en-US" w:eastAsia="zh-CN" w:bidi="zh-CN"/>
              </w:rPr>
              <w:t>或副本</w:t>
            </w:r>
          </w:p>
        </w:tc>
      </w:tr>
      <w:tr w14:paraId="602B9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jc w:val="center"/>
        </w:trPr>
        <w:tc>
          <w:tcPr>
            <w:tcW w:w="755" w:type="dxa"/>
            <w:vMerge w:val="continue"/>
            <w:tcBorders>
              <w:top w:val="nil"/>
            </w:tcBorders>
            <w:noWrap w:val="0"/>
            <w:vAlign w:val="center"/>
          </w:tcPr>
          <w:p w14:paraId="44027748">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35F0AD67">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5C6EB97C">
            <w:pPr>
              <w:widowControl w:val="0"/>
              <w:autoSpaceDE w:val="0"/>
              <w:autoSpaceDN w:val="0"/>
              <w:spacing w:after="0" w:line="240" w:lineRule="auto"/>
              <w:ind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安全生产许可证</w:t>
            </w:r>
          </w:p>
        </w:tc>
        <w:tc>
          <w:tcPr>
            <w:tcW w:w="5409" w:type="dxa"/>
            <w:noWrap w:val="0"/>
            <w:vAlign w:val="center"/>
          </w:tcPr>
          <w:p w14:paraId="116FBA6E">
            <w:pPr>
              <w:widowControl w:val="0"/>
              <w:autoSpaceDE w:val="0"/>
              <w:autoSpaceDN w:val="0"/>
              <w:spacing w:before="147" w:after="0" w:line="240" w:lineRule="auto"/>
              <w:ind w:left="267"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具备有效的安全生产许可证</w:t>
            </w:r>
          </w:p>
        </w:tc>
      </w:tr>
      <w:tr w14:paraId="0BC6E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tcBorders>
              <w:top w:val="nil"/>
            </w:tcBorders>
            <w:noWrap w:val="0"/>
            <w:vAlign w:val="center"/>
          </w:tcPr>
          <w:p w14:paraId="64458F48">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1C62888A">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39F3E89B">
            <w:pPr>
              <w:widowControl w:val="0"/>
              <w:autoSpaceDE w:val="0"/>
              <w:autoSpaceDN w:val="0"/>
              <w:spacing w:before="146"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资质等级</w:t>
            </w:r>
          </w:p>
        </w:tc>
        <w:tc>
          <w:tcPr>
            <w:tcW w:w="5409" w:type="dxa"/>
            <w:noWrap w:val="0"/>
            <w:vAlign w:val="center"/>
          </w:tcPr>
          <w:p w14:paraId="0E5519BD">
            <w:pPr>
              <w:widowControl w:val="0"/>
              <w:autoSpaceDE w:val="0"/>
              <w:autoSpaceDN w:val="0"/>
              <w:spacing w:before="146"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符合第二章“投标人须知”第1.4.1项规定</w:t>
            </w:r>
          </w:p>
        </w:tc>
      </w:tr>
      <w:tr w14:paraId="0F6EC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755" w:type="dxa"/>
            <w:vMerge w:val="continue"/>
            <w:tcBorders>
              <w:top w:val="nil"/>
            </w:tcBorders>
            <w:noWrap w:val="0"/>
            <w:vAlign w:val="center"/>
          </w:tcPr>
          <w:p w14:paraId="2F35CD9F">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41785F59">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3F119314">
            <w:pPr>
              <w:widowControl w:val="0"/>
              <w:autoSpaceDE w:val="0"/>
              <w:autoSpaceDN w:val="0"/>
              <w:spacing w:before="147"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财务状况</w:t>
            </w:r>
          </w:p>
        </w:tc>
        <w:tc>
          <w:tcPr>
            <w:tcW w:w="5409" w:type="dxa"/>
            <w:noWrap w:val="0"/>
            <w:vAlign w:val="center"/>
          </w:tcPr>
          <w:p w14:paraId="1581EC95">
            <w:pPr>
              <w:widowControl w:val="0"/>
              <w:autoSpaceDE w:val="0"/>
              <w:autoSpaceDN w:val="0"/>
              <w:spacing w:before="147"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符合第二章“投标人须知”第1.4.1项规定</w:t>
            </w:r>
          </w:p>
        </w:tc>
      </w:tr>
      <w:tr w14:paraId="1903C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755" w:type="dxa"/>
            <w:vMerge w:val="continue"/>
            <w:tcBorders>
              <w:top w:val="nil"/>
            </w:tcBorders>
            <w:noWrap w:val="0"/>
            <w:vAlign w:val="center"/>
          </w:tcPr>
          <w:p w14:paraId="2C6AA217">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1B9564B5">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53E7247D">
            <w:pPr>
              <w:widowControl w:val="0"/>
              <w:autoSpaceDE w:val="0"/>
              <w:autoSpaceDN w:val="0"/>
              <w:spacing w:before="148"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信誉</w:t>
            </w:r>
          </w:p>
        </w:tc>
        <w:tc>
          <w:tcPr>
            <w:tcW w:w="5409" w:type="dxa"/>
            <w:noWrap w:val="0"/>
            <w:vAlign w:val="center"/>
          </w:tcPr>
          <w:p w14:paraId="2792294D">
            <w:pPr>
              <w:widowControl w:val="0"/>
              <w:autoSpaceDE w:val="0"/>
              <w:autoSpaceDN w:val="0"/>
              <w:spacing w:before="148"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符合第二章“投标人须知”第1.4.1项规定</w:t>
            </w:r>
          </w:p>
        </w:tc>
      </w:tr>
      <w:tr w14:paraId="75E4A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tcBorders>
              <w:top w:val="nil"/>
            </w:tcBorders>
            <w:noWrap w:val="0"/>
            <w:vAlign w:val="center"/>
          </w:tcPr>
          <w:p w14:paraId="0E1292F8">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06AD3339">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0F8D8578">
            <w:pPr>
              <w:widowControl w:val="0"/>
              <w:autoSpaceDE w:val="0"/>
              <w:autoSpaceDN w:val="0"/>
              <w:spacing w:before="146"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项目经理</w:t>
            </w:r>
          </w:p>
        </w:tc>
        <w:tc>
          <w:tcPr>
            <w:tcW w:w="5409" w:type="dxa"/>
            <w:noWrap w:val="0"/>
            <w:vAlign w:val="center"/>
          </w:tcPr>
          <w:p w14:paraId="00EC3743">
            <w:pPr>
              <w:widowControl w:val="0"/>
              <w:autoSpaceDE w:val="0"/>
              <w:autoSpaceDN w:val="0"/>
              <w:spacing w:before="146"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符合第二章“投标人须知”第1.4.1项规定</w:t>
            </w:r>
          </w:p>
        </w:tc>
      </w:tr>
      <w:tr w14:paraId="0C6FE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tcBorders>
              <w:top w:val="nil"/>
            </w:tcBorders>
            <w:noWrap w:val="0"/>
            <w:vAlign w:val="center"/>
          </w:tcPr>
          <w:p w14:paraId="2F8C7C62">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622DE264">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1BEFFBC5">
            <w:pPr>
              <w:widowControl w:val="0"/>
              <w:autoSpaceDE w:val="0"/>
              <w:autoSpaceDN w:val="0"/>
              <w:spacing w:before="146" w:after="0" w:line="240" w:lineRule="auto"/>
              <w:ind w:right="526"/>
              <w:jc w:val="center"/>
              <w:rPr>
                <w:rFonts w:hint="eastAsia" w:ascii="宋体" w:hAnsi="宋体" w:eastAsia="宋体" w:cs="宋体"/>
                <w:color w:val="auto"/>
                <w:sz w:val="24"/>
                <w:szCs w:val="24"/>
                <w:lang w:val="en-US" w:eastAsia="zh-CN" w:bidi="zh-CN"/>
              </w:rPr>
            </w:pPr>
            <w:r>
              <w:rPr>
                <w:rFonts w:hint="eastAsia" w:ascii="宋体" w:hAnsi="宋体" w:cs="宋体"/>
                <w:color w:val="auto"/>
                <w:sz w:val="24"/>
                <w:szCs w:val="24"/>
                <w:lang w:val="en-US" w:eastAsia="zh-CN" w:bidi="zh-CN"/>
              </w:rPr>
              <w:t>设计负责人</w:t>
            </w:r>
          </w:p>
        </w:tc>
        <w:tc>
          <w:tcPr>
            <w:tcW w:w="5409" w:type="dxa"/>
            <w:noWrap w:val="0"/>
            <w:vAlign w:val="center"/>
          </w:tcPr>
          <w:p w14:paraId="3C0AC423">
            <w:pPr>
              <w:widowControl w:val="0"/>
              <w:autoSpaceDE w:val="0"/>
              <w:autoSpaceDN w:val="0"/>
              <w:spacing w:before="146"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符合第二章“投标人须知”第1.4.1项规定</w:t>
            </w:r>
          </w:p>
        </w:tc>
      </w:tr>
      <w:tr w14:paraId="60267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755" w:type="dxa"/>
            <w:vMerge w:val="continue"/>
            <w:tcBorders>
              <w:top w:val="nil"/>
            </w:tcBorders>
            <w:noWrap w:val="0"/>
            <w:vAlign w:val="center"/>
          </w:tcPr>
          <w:p w14:paraId="46D81EA5">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38168F55">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18F607A7">
            <w:pPr>
              <w:widowControl w:val="0"/>
              <w:autoSpaceDE w:val="0"/>
              <w:autoSpaceDN w:val="0"/>
              <w:spacing w:before="148"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其他要求</w:t>
            </w:r>
          </w:p>
        </w:tc>
        <w:tc>
          <w:tcPr>
            <w:tcW w:w="5409" w:type="dxa"/>
            <w:noWrap w:val="0"/>
            <w:vAlign w:val="center"/>
          </w:tcPr>
          <w:p w14:paraId="31751267">
            <w:pPr>
              <w:widowControl w:val="0"/>
              <w:autoSpaceDE w:val="0"/>
              <w:autoSpaceDN w:val="0"/>
              <w:spacing w:before="148"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符合第二章“投标人须知”第1.4.1项规定</w:t>
            </w:r>
          </w:p>
        </w:tc>
      </w:tr>
      <w:tr w14:paraId="1E2A4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755" w:type="dxa"/>
            <w:vMerge w:val="continue"/>
            <w:tcBorders>
              <w:top w:val="nil"/>
            </w:tcBorders>
            <w:noWrap w:val="0"/>
            <w:vAlign w:val="center"/>
          </w:tcPr>
          <w:p w14:paraId="62240E4C">
            <w:pPr>
              <w:autoSpaceDE w:val="0"/>
              <w:autoSpaceDN w:val="0"/>
              <w:spacing w:before="0" w:after="0" w:line="240" w:lineRule="auto"/>
              <w:ind w:left="0" w:right="0"/>
              <w:jc w:val="center"/>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2706ABA8">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3279A463">
            <w:pPr>
              <w:widowControl w:val="0"/>
              <w:autoSpaceDE w:val="0"/>
              <w:autoSpaceDN w:val="0"/>
              <w:spacing w:after="0" w:line="240" w:lineRule="auto"/>
              <w:ind w:left="0"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联合体投标人</w:t>
            </w:r>
          </w:p>
        </w:tc>
        <w:tc>
          <w:tcPr>
            <w:tcW w:w="5409" w:type="dxa"/>
            <w:noWrap w:val="0"/>
            <w:vAlign w:val="center"/>
          </w:tcPr>
          <w:p w14:paraId="58191D55">
            <w:pPr>
              <w:widowControl w:val="0"/>
              <w:autoSpaceDE w:val="0"/>
              <w:autoSpaceDN w:val="0"/>
              <w:spacing w:before="147"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符合第二章“投标人须知”第1.4.2项规定</w:t>
            </w:r>
          </w:p>
        </w:tc>
      </w:tr>
      <w:tr w14:paraId="42B7D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restart"/>
            <w:noWrap w:val="0"/>
            <w:vAlign w:val="center"/>
          </w:tcPr>
          <w:p w14:paraId="3D8E92B0">
            <w:pPr>
              <w:widowControl w:val="0"/>
              <w:autoSpaceDE w:val="0"/>
              <w:autoSpaceDN w:val="0"/>
              <w:spacing w:before="158" w:after="0" w:line="240" w:lineRule="auto"/>
              <w:ind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2.1.3</w:t>
            </w:r>
          </w:p>
        </w:tc>
        <w:tc>
          <w:tcPr>
            <w:tcW w:w="705" w:type="dxa"/>
            <w:vMerge w:val="restart"/>
            <w:noWrap w:val="0"/>
            <w:vAlign w:val="center"/>
          </w:tcPr>
          <w:p w14:paraId="57E9D56B">
            <w:pPr>
              <w:widowControl w:val="0"/>
              <w:autoSpaceDE w:val="0"/>
              <w:autoSpaceDN w:val="0"/>
              <w:spacing w:before="0" w:after="0" w:line="254" w:lineRule="auto"/>
              <w:ind w:left="231" w:right="219"/>
              <w:jc w:val="both"/>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响应性评审标准</w:t>
            </w:r>
          </w:p>
        </w:tc>
        <w:tc>
          <w:tcPr>
            <w:tcW w:w="2004" w:type="dxa"/>
            <w:noWrap w:val="0"/>
            <w:vAlign w:val="center"/>
          </w:tcPr>
          <w:p w14:paraId="33CC574C">
            <w:pPr>
              <w:pStyle w:val="25"/>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center"/>
              <w:textAlignment w:val="auto"/>
              <w:rPr>
                <w:rFonts w:hint="eastAsia" w:ascii="宋体" w:hAnsi="宋体" w:eastAsia="宋体" w:cs="宋体"/>
                <w:color w:val="auto"/>
                <w:sz w:val="24"/>
                <w:szCs w:val="24"/>
                <w:lang w:val="zh-CN" w:eastAsia="zh-CN" w:bidi="zh-CN"/>
              </w:rPr>
            </w:pPr>
            <w:r>
              <w:rPr>
                <w:spacing w:val="0"/>
                <w:w w:val="100"/>
                <w:sz w:val="24"/>
                <w:szCs w:val="24"/>
              </w:rPr>
              <w:t>投标报价</w:t>
            </w:r>
          </w:p>
        </w:tc>
        <w:tc>
          <w:tcPr>
            <w:tcW w:w="5409" w:type="dxa"/>
            <w:noWrap w:val="0"/>
            <w:vAlign w:val="center"/>
          </w:tcPr>
          <w:p w14:paraId="0566ED5A">
            <w:pPr>
              <w:pStyle w:val="25"/>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0" w:firstLineChars="0"/>
              <w:jc w:val="center"/>
              <w:textAlignment w:val="auto"/>
              <w:rPr>
                <w:rFonts w:hint="eastAsia" w:ascii="宋体" w:hAnsi="宋体" w:eastAsia="宋体" w:cs="宋体"/>
                <w:color w:val="auto"/>
                <w:sz w:val="24"/>
                <w:szCs w:val="24"/>
                <w:lang w:val="zh-CN" w:eastAsia="zh-CN" w:bidi="zh-CN"/>
              </w:rPr>
            </w:pPr>
            <w:r>
              <w:rPr>
                <w:spacing w:val="0"/>
                <w:w w:val="100"/>
                <w:sz w:val="24"/>
                <w:szCs w:val="24"/>
              </w:rPr>
              <w:t>符合第二章“投标人须知”第3.2.4项规定</w:t>
            </w:r>
          </w:p>
        </w:tc>
      </w:tr>
      <w:tr w14:paraId="2300D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noWrap w:val="0"/>
            <w:vAlign w:val="center"/>
          </w:tcPr>
          <w:p w14:paraId="16889B8D">
            <w:pPr>
              <w:widowControl w:val="0"/>
              <w:autoSpaceDE w:val="0"/>
              <w:autoSpaceDN w:val="0"/>
              <w:spacing w:before="158" w:after="0" w:line="240" w:lineRule="auto"/>
              <w:ind w:right="0"/>
              <w:jc w:val="center"/>
              <w:rPr>
                <w:rFonts w:hint="eastAsia" w:ascii="宋体" w:hAnsi="宋体" w:eastAsia="宋体" w:cs="宋体"/>
                <w:color w:val="auto"/>
                <w:sz w:val="24"/>
                <w:szCs w:val="24"/>
                <w:lang w:val="zh-CN" w:eastAsia="zh-CN" w:bidi="zh-CN"/>
              </w:rPr>
            </w:pPr>
          </w:p>
        </w:tc>
        <w:tc>
          <w:tcPr>
            <w:tcW w:w="705" w:type="dxa"/>
            <w:vMerge w:val="continue"/>
            <w:noWrap w:val="0"/>
            <w:vAlign w:val="center"/>
          </w:tcPr>
          <w:p w14:paraId="4B55D07F">
            <w:pPr>
              <w:widowControl w:val="0"/>
              <w:autoSpaceDE w:val="0"/>
              <w:autoSpaceDN w:val="0"/>
              <w:spacing w:before="0" w:after="0" w:line="254" w:lineRule="auto"/>
              <w:ind w:left="231" w:right="219"/>
              <w:jc w:val="both"/>
              <w:rPr>
                <w:rFonts w:hint="eastAsia" w:ascii="宋体" w:hAnsi="宋体" w:eastAsia="宋体" w:cs="宋体"/>
                <w:color w:val="auto"/>
                <w:sz w:val="24"/>
                <w:szCs w:val="24"/>
                <w:lang w:val="zh-CN" w:eastAsia="zh-CN" w:bidi="zh-CN"/>
              </w:rPr>
            </w:pPr>
          </w:p>
        </w:tc>
        <w:tc>
          <w:tcPr>
            <w:tcW w:w="2004" w:type="dxa"/>
            <w:shd w:val="clear" w:color="auto" w:fill="auto"/>
            <w:noWrap w:val="0"/>
            <w:vAlign w:val="center"/>
          </w:tcPr>
          <w:p w14:paraId="0F1EC9EF">
            <w:pPr>
              <w:widowControl w:val="0"/>
              <w:autoSpaceDE w:val="0"/>
              <w:autoSpaceDN w:val="0"/>
              <w:spacing w:before="146" w:after="0" w:line="240" w:lineRule="auto"/>
              <w:ind w:right="526" w:rightChars="0"/>
              <w:jc w:val="center"/>
              <w:rPr>
                <w:rFonts w:hint="eastAsia" w:ascii="宋体" w:hAnsi="宋体" w:eastAsia="宋体" w:cs="宋体"/>
                <w:color w:val="auto"/>
                <w:kern w:val="2"/>
                <w:sz w:val="24"/>
                <w:szCs w:val="24"/>
                <w:lang w:val="en-US"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投标内容</w:t>
            </w:r>
          </w:p>
        </w:tc>
        <w:tc>
          <w:tcPr>
            <w:tcW w:w="5409" w:type="dxa"/>
            <w:shd w:val="clear" w:color="auto" w:fill="auto"/>
            <w:noWrap w:val="0"/>
            <w:vAlign w:val="center"/>
          </w:tcPr>
          <w:p w14:paraId="30CA2D25">
            <w:pPr>
              <w:widowControl w:val="0"/>
              <w:autoSpaceDE w:val="0"/>
              <w:autoSpaceDN w:val="0"/>
              <w:spacing w:before="146" w:after="0" w:line="240" w:lineRule="auto"/>
              <w:ind w:left="269" w:leftChars="0" w:right="260" w:rightChars="0"/>
              <w:jc w:val="center"/>
              <w:rPr>
                <w:rFonts w:hint="eastAsia" w:ascii="宋体" w:hAnsi="宋体" w:eastAsia="宋体" w:cs="宋体"/>
                <w:color w:val="auto"/>
                <w:kern w:val="2"/>
                <w:sz w:val="24"/>
                <w:szCs w:val="24"/>
                <w:lang w:val="zh-CN" w:eastAsia="zh-CN" w:bidi="zh-CN"/>
              </w:rPr>
            </w:pPr>
            <w:r>
              <w:rPr>
                <w:rFonts w:hint="eastAsia" w:ascii="宋体" w:hAnsi="宋体" w:eastAsia="宋体" w:cs="宋体"/>
                <w:color w:val="auto"/>
                <w:sz w:val="24"/>
                <w:szCs w:val="24"/>
                <w:lang w:val="zh-CN" w:eastAsia="zh-CN" w:bidi="zh-CN"/>
              </w:rPr>
              <w:t>符合第二章“投标人须知”第1.3.1项规定</w:t>
            </w:r>
          </w:p>
        </w:tc>
      </w:tr>
      <w:tr w14:paraId="3F826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755" w:type="dxa"/>
            <w:vMerge w:val="continue"/>
            <w:tcBorders>
              <w:top w:val="nil"/>
            </w:tcBorders>
            <w:noWrap w:val="0"/>
            <w:vAlign w:val="center"/>
          </w:tcPr>
          <w:p w14:paraId="0DC127C7">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5AD8B9FC">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3DF48024">
            <w:pPr>
              <w:widowControl w:val="0"/>
              <w:autoSpaceDE w:val="0"/>
              <w:autoSpaceDN w:val="0"/>
              <w:spacing w:before="147"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工期</w:t>
            </w:r>
          </w:p>
        </w:tc>
        <w:tc>
          <w:tcPr>
            <w:tcW w:w="5409" w:type="dxa"/>
            <w:noWrap w:val="0"/>
            <w:vAlign w:val="center"/>
          </w:tcPr>
          <w:p w14:paraId="04AEE942">
            <w:pPr>
              <w:widowControl w:val="0"/>
              <w:autoSpaceDE w:val="0"/>
              <w:autoSpaceDN w:val="0"/>
              <w:spacing w:before="147"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符合第二章“投标人须知”第1.3.2项规定</w:t>
            </w:r>
          </w:p>
        </w:tc>
      </w:tr>
      <w:tr w14:paraId="7DEE1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tcBorders>
              <w:top w:val="nil"/>
            </w:tcBorders>
            <w:noWrap w:val="0"/>
            <w:vAlign w:val="center"/>
          </w:tcPr>
          <w:p w14:paraId="6C3B99C4">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center"/>
          </w:tcPr>
          <w:p w14:paraId="17D1E2E8">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42946533">
            <w:pPr>
              <w:widowControl w:val="0"/>
              <w:autoSpaceDE w:val="0"/>
              <w:autoSpaceDN w:val="0"/>
              <w:spacing w:before="146" w:after="0" w:line="240" w:lineRule="auto"/>
              <w:ind w:right="526"/>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en-US" w:eastAsia="zh-CN" w:bidi="zh-CN"/>
              </w:rPr>
              <w:t xml:space="preserve">   </w:t>
            </w:r>
            <w:r>
              <w:rPr>
                <w:rFonts w:hint="eastAsia" w:ascii="宋体" w:hAnsi="宋体" w:eastAsia="宋体" w:cs="宋体"/>
                <w:color w:val="auto"/>
                <w:sz w:val="24"/>
                <w:szCs w:val="24"/>
                <w:lang w:val="zh-CN" w:eastAsia="zh-CN" w:bidi="zh-CN"/>
              </w:rPr>
              <w:t>质量</w:t>
            </w:r>
            <w:r>
              <w:rPr>
                <w:rFonts w:hint="eastAsia" w:ascii="宋体" w:hAnsi="宋体" w:cs="宋体"/>
                <w:color w:val="auto"/>
                <w:sz w:val="24"/>
                <w:szCs w:val="24"/>
                <w:lang w:val="zh-CN" w:eastAsia="zh-CN" w:bidi="zh-CN"/>
              </w:rPr>
              <w:t>标准</w:t>
            </w:r>
          </w:p>
        </w:tc>
        <w:tc>
          <w:tcPr>
            <w:tcW w:w="5409" w:type="dxa"/>
            <w:noWrap w:val="0"/>
            <w:vAlign w:val="center"/>
          </w:tcPr>
          <w:p w14:paraId="43D80452">
            <w:pPr>
              <w:widowControl w:val="0"/>
              <w:autoSpaceDE w:val="0"/>
              <w:autoSpaceDN w:val="0"/>
              <w:spacing w:before="146"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符合第二章“投标人须知”第1.3.3项规定</w:t>
            </w:r>
          </w:p>
        </w:tc>
      </w:tr>
      <w:tr w14:paraId="5677A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jc w:val="center"/>
        </w:trPr>
        <w:tc>
          <w:tcPr>
            <w:tcW w:w="755" w:type="dxa"/>
            <w:vMerge w:val="continue"/>
            <w:tcBorders>
              <w:top w:val="nil"/>
            </w:tcBorders>
            <w:noWrap w:val="0"/>
            <w:vAlign w:val="top"/>
          </w:tcPr>
          <w:p w14:paraId="131C4570">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top"/>
          </w:tcPr>
          <w:p w14:paraId="291C99A2">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3DE63A07">
            <w:pPr>
              <w:widowControl w:val="0"/>
              <w:autoSpaceDE w:val="0"/>
              <w:autoSpaceDN w:val="0"/>
              <w:spacing w:after="0" w:line="240" w:lineRule="auto"/>
              <w:ind w:left="0"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投标有效期</w:t>
            </w:r>
          </w:p>
        </w:tc>
        <w:tc>
          <w:tcPr>
            <w:tcW w:w="5409" w:type="dxa"/>
            <w:noWrap w:val="0"/>
            <w:vAlign w:val="center"/>
          </w:tcPr>
          <w:p w14:paraId="473D36E3">
            <w:pPr>
              <w:widowControl w:val="0"/>
              <w:autoSpaceDE w:val="0"/>
              <w:autoSpaceDN w:val="0"/>
              <w:spacing w:before="148"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符合第二章“投标人须知”第3.3.1项规定</w:t>
            </w:r>
          </w:p>
        </w:tc>
      </w:tr>
      <w:tr w14:paraId="4085F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755" w:type="dxa"/>
            <w:vMerge w:val="continue"/>
            <w:tcBorders>
              <w:top w:val="nil"/>
            </w:tcBorders>
            <w:noWrap w:val="0"/>
            <w:vAlign w:val="top"/>
          </w:tcPr>
          <w:p w14:paraId="76BEDA56">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top"/>
          </w:tcPr>
          <w:p w14:paraId="41D2E0AD">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22891E61">
            <w:pPr>
              <w:widowControl w:val="0"/>
              <w:autoSpaceDE w:val="0"/>
              <w:autoSpaceDN w:val="0"/>
              <w:spacing w:after="0" w:line="240" w:lineRule="auto"/>
              <w:ind w:left="0"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投标保证金</w:t>
            </w:r>
          </w:p>
        </w:tc>
        <w:tc>
          <w:tcPr>
            <w:tcW w:w="5409" w:type="dxa"/>
            <w:noWrap w:val="0"/>
            <w:vAlign w:val="center"/>
          </w:tcPr>
          <w:p w14:paraId="2D4D8595">
            <w:pPr>
              <w:widowControl w:val="0"/>
              <w:autoSpaceDE w:val="0"/>
              <w:autoSpaceDN w:val="0"/>
              <w:spacing w:before="147" w:after="0" w:line="240" w:lineRule="auto"/>
              <w:ind w:left="269" w:right="26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符合第二章“投标人须知”第3.4.1项规定</w:t>
            </w:r>
          </w:p>
        </w:tc>
      </w:tr>
      <w:tr w14:paraId="0DCE8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755" w:type="dxa"/>
            <w:vMerge w:val="continue"/>
            <w:tcBorders>
              <w:top w:val="nil"/>
            </w:tcBorders>
            <w:noWrap w:val="0"/>
            <w:vAlign w:val="top"/>
          </w:tcPr>
          <w:p w14:paraId="40839C9E">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top"/>
          </w:tcPr>
          <w:p w14:paraId="56C6165A">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02EF0F99">
            <w:pPr>
              <w:widowControl w:val="0"/>
              <w:autoSpaceDE w:val="0"/>
              <w:autoSpaceDN w:val="0"/>
              <w:spacing w:before="146" w:after="0" w:line="240" w:lineRule="auto"/>
              <w:ind w:right="526"/>
              <w:jc w:val="center"/>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bidi="zh-CN"/>
              </w:rPr>
              <w:t xml:space="preserve">   </w:t>
            </w:r>
            <w:r>
              <w:rPr>
                <w:rFonts w:hint="eastAsia" w:ascii="宋体" w:hAnsi="宋体" w:eastAsia="宋体" w:cs="宋体"/>
                <w:color w:val="auto"/>
                <w:sz w:val="24"/>
                <w:szCs w:val="24"/>
                <w:highlight w:val="none"/>
                <w:lang w:val="zh-CN" w:eastAsia="zh-CN" w:bidi="zh-CN"/>
              </w:rPr>
              <w:t>权利义务</w:t>
            </w:r>
          </w:p>
        </w:tc>
        <w:tc>
          <w:tcPr>
            <w:tcW w:w="5409" w:type="dxa"/>
            <w:noWrap w:val="0"/>
            <w:vAlign w:val="center"/>
          </w:tcPr>
          <w:p w14:paraId="3B55E0A3">
            <w:pPr>
              <w:widowControl w:val="0"/>
              <w:autoSpaceDE w:val="0"/>
              <w:autoSpaceDN w:val="0"/>
              <w:spacing w:before="146" w:after="0" w:line="240" w:lineRule="auto"/>
              <w:ind w:left="269" w:right="260"/>
              <w:jc w:val="center"/>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符合第</w:t>
            </w:r>
            <w:r>
              <w:rPr>
                <w:rFonts w:hint="eastAsia" w:ascii="宋体" w:hAnsi="宋体" w:eastAsia="宋体" w:cs="宋体"/>
                <w:color w:val="auto"/>
                <w:sz w:val="24"/>
                <w:szCs w:val="24"/>
                <w:highlight w:val="none"/>
                <w:lang w:val="en-US" w:eastAsia="zh-CN" w:bidi="zh-CN"/>
              </w:rPr>
              <w:t>四</w:t>
            </w:r>
            <w:r>
              <w:rPr>
                <w:rFonts w:hint="eastAsia" w:ascii="宋体" w:hAnsi="宋体" w:eastAsia="宋体" w:cs="宋体"/>
                <w:color w:val="auto"/>
                <w:sz w:val="24"/>
                <w:szCs w:val="24"/>
                <w:highlight w:val="none"/>
                <w:lang w:val="zh-CN" w:eastAsia="zh-CN" w:bidi="zh-CN"/>
              </w:rPr>
              <w:t>章“合同条款及格式”规定</w:t>
            </w:r>
          </w:p>
        </w:tc>
      </w:tr>
      <w:tr w14:paraId="4DE12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755" w:type="dxa"/>
            <w:vMerge w:val="continue"/>
            <w:tcBorders>
              <w:top w:val="nil"/>
            </w:tcBorders>
            <w:noWrap w:val="0"/>
            <w:vAlign w:val="top"/>
          </w:tcPr>
          <w:p w14:paraId="75EA2A9B">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705" w:type="dxa"/>
            <w:vMerge w:val="continue"/>
            <w:tcBorders>
              <w:top w:val="nil"/>
            </w:tcBorders>
            <w:noWrap w:val="0"/>
            <w:vAlign w:val="top"/>
          </w:tcPr>
          <w:p w14:paraId="4AC89050">
            <w:pPr>
              <w:autoSpaceDE w:val="0"/>
              <w:autoSpaceDN w:val="0"/>
              <w:spacing w:before="0" w:after="0" w:line="240" w:lineRule="auto"/>
              <w:ind w:left="0" w:right="0"/>
              <w:jc w:val="left"/>
              <w:rPr>
                <w:rFonts w:hint="eastAsia" w:ascii="宋体" w:hAnsi="宋体" w:eastAsia="宋体" w:cs="宋体"/>
                <w:color w:val="auto"/>
                <w:kern w:val="0"/>
                <w:sz w:val="24"/>
                <w:szCs w:val="24"/>
                <w:lang w:val="zh-CN" w:bidi="zh-CN"/>
              </w:rPr>
            </w:pPr>
          </w:p>
        </w:tc>
        <w:tc>
          <w:tcPr>
            <w:tcW w:w="2004" w:type="dxa"/>
            <w:noWrap w:val="0"/>
            <w:vAlign w:val="center"/>
          </w:tcPr>
          <w:p w14:paraId="5E2BF061">
            <w:pPr>
              <w:widowControl w:val="0"/>
              <w:autoSpaceDE w:val="0"/>
              <w:autoSpaceDN w:val="0"/>
              <w:spacing w:after="0" w:line="240" w:lineRule="auto"/>
              <w:ind w:right="0"/>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技术标准和要求</w:t>
            </w:r>
          </w:p>
        </w:tc>
        <w:tc>
          <w:tcPr>
            <w:tcW w:w="5409" w:type="dxa"/>
            <w:noWrap w:val="0"/>
            <w:vAlign w:val="center"/>
          </w:tcPr>
          <w:p w14:paraId="7734B199">
            <w:pPr>
              <w:widowControl w:val="0"/>
              <w:autoSpaceDE w:val="0"/>
              <w:autoSpaceDN w:val="0"/>
              <w:spacing w:before="153" w:after="0" w:line="240" w:lineRule="auto"/>
              <w:ind w:left="269" w:right="260"/>
              <w:jc w:val="center"/>
              <w:rPr>
                <w:rFonts w:hint="eastAsia" w:ascii="宋体" w:hAnsi="宋体" w:eastAsia="宋体" w:cs="宋体"/>
                <w:color w:val="auto"/>
                <w:sz w:val="24"/>
                <w:szCs w:val="24"/>
                <w:highlight w:val="cyan"/>
                <w:lang w:val="zh-CN" w:eastAsia="zh-CN" w:bidi="zh-CN"/>
              </w:rPr>
            </w:pPr>
            <w:r>
              <w:rPr>
                <w:rFonts w:hint="eastAsia" w:ascii="宋体" w:hAnsi="宋体" w:eastAsia="宋体" w:cs="宋体"/>
                <w:color w:val="auto"/>
                <w:sz w:val="24"/>
                <w:szCs w:val="24"/>
                <w:highlight w:val="none"/>
                <w:lang w:val="zh-CN" w:eastAsia="zh-CN" w:bidi="zh-CN"/>
              </w:rPr>
              <w:t>符合第</w:t>
            </w:r>
            <w:r>
              <w:rPr>
                <w:rFonts w:hint="eastAsia" w:ascii="宋体" w:hAnsi="宋体" w:eastAsia="宋体" w:cs="宋体"/>
                <w:color w:val="auto"/>
                <w:sz w:val="24"/>
                <w:szCs w:val="24"/>
                <w:highlight w:val="none"/>
                <w:lang w:val="en-US" w:eastAsia="zh-CN" w:bidi="zh-CN"/>
              </w:rPr>
              <w:t>五</w:t>
            </w:r>
            <w:r>
              <w:rPr>
                <w:rFonts w:hint="eastAsia" w:ascii="宋体" w:hAnsi="宋体" w:eastAsia="宋体" w:cs="宋体"/>
                <w:color w:val="auto"/>
                <w:sz w:val="24"/>
                <w:szCs w:val="24"/>
                <w:highlight w:val="none"/>
                <w:lang w:val="zh-CN" w:eastAsia="zh-CN" w:bidi="zh-CN"/>
              </w:rPr>
              <w:t>章“发包人要求”规定</w:t>
            </w:r>
          </w:p>
        </w:tc>
      </w:tr>
    </w:tbl>
    <w:p w14:paraId="4D095E42">
      <w:pPr>
        <w:pStyle w:val="25"/>
        <w:spacing w:before="39" w:line="340" w:lineRule="exact"/>
        <w:ind w:left="108"/>
        <w:rPr>
          <w:rFonts w:hint="eastAsia" w:ascii="宋体" w:hAnsi="宋体" w:eastAsia="宋体" w:cs="宋体"/>
          <w:b/>
          <w:color w:val="auto"/>
          <w:sz w:val="28"/>
        </w:rPr>
      </w:pPr>
      <w:r>
        <w:rPr>
          <w:rFonts w:hint="eastAsia" w:ascii="宋体" w:hAnsi="宋体" w:eastAsia="宋体" w:cs="宋体"/>
          <w:b/>
          <w:color w:val="auto"/>
          <w:sz w:val="28"/>
        </w:rPr>
        <w:br w:type="page"/>
      </w:r>
    </w:p>
    <w:p w14:paraId="505944BF">
      <w:pPr>
        <w:pStyle w:val="3"/>
        <w:bidi w:val="0"/>
        <w:ind w:left="0" w:leftChars="0" w:firstLine="0" w:firstLineChars="0"/>
        <w:jc w:val="center"/>
        <w:rPr>
          <w:rFonts w:hint="eastAsia"/>
          <w:spacing w:val="0"/>
          <w:w w:val="100"/>
          <w:lang w:val="en-US" w:eastAsia="zh-CN"/>
        </w:rPr>
      </w:pPr>
      <w:r>
        <w:rPr>
          <w:rFonts w:hint="eastAsia"/>
          <w:spacing w:val="0"/>
          <w:w w:val="100"/>
          <w:lang w:val="en-US" w:eastAsia="zh-CN"/>
        </w:rPr>
        <w:t>评分办法</w:t>
      </w:r>
    </w:p>
    <w:tbl>
      <w:tblPr>
        <w:tblStyle w:val="18"/>
        <w:tblW w:w="90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0"/>
        <w:gridCol w:w="838"/>
        <w:gridCol w:w="1605"/>
        <w:gridCol w:w="5654"/>
      </w:tblGrid>
      <w:tr w14:paraId="78426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Align w:val="center"/>
          </w:tcPr>
          <w:p w14:paraId="0970C6FF">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条款号</w:t>
            </w:r>
          </w:p>
        </w:tc>
        <w:tc>
          <w:tcPr>
            <w:tcW w:w="2443" w:type="dxa"/>
            <w:gridSpan w:val="2"/>
            <w:vAlign w:val="center"/>
          </w:tcPr>
          <w:p w14:paraId="6E6D263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条款内容</w:t>
            </w:r>
          </w:p>
        </w:tc>
        <w:tc>
          <w:tcPr>
            <w:tcW w:w="5654" w:type="dxa"/>
            <w:vAlign w:val="center"/>
          </w:tcPr>
          <w:p w14:paraId="75BB6EF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编列内容</w:t>
            </w:r>
          </w:p>
        </w:tc>
      </w:tr>
      <w:tr w14:paraId="44A1D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restart"/>
            <w:vAlign w:val="center"/>
          </w:tcPr>
          <w:p w14:paraId="2A7FAD9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2.2.1</w:t>
            </w:r>
          </w:p>
        </w:tc>
        <w:tc>
          <w:tcPr>
            <w:tcW w:w="2443" w:type="dxa"/>
            <w:gridSpan w:val="2"/>
            <w:vMerge w:val="restart"/>
            <w:vAlign w:val="center"/>
          </w:tcPr>
          <w:p w14:paraId="7C4E0E2D">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分值构成</w:t>
            </w:r>
          </w:p>
          <w:p w14:paraId="69FDE782">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（总分100分）</w:t>
            </w:r>
          </w:p>
        </w:tc>
        <w:tc>
          <w:tcPr>
            <w:tcW w:w="5654" w:type="dxa"/>
            <w:vAlign w:val="center"/>
          </w:tcPr>
          <w:p w14:paraId="5BF4C666">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r>
              <w:rPr>
                <w:spacing w:val="0"/>
                <w:w w:val="100"/>
              </w:rPr>
              <w:t>投标报价：</w:t>
            </w:r>
            <w:r>
              <w:rPr>
                <w:rFonts w:hint="eastAsia"/>
                <w:spacing w:val="0"/>
                <w:w w:val="100"/>
                <w:lang w:val="en-US" w:eastAsia="zh-CN"/>
              </w:rPr>
              <w:t>40</w:t>
            </w:r>
            <w:r>
              <w:rPr>
                <w:spacing w:val="0"/>
                <w:w w:val="100"/>
              </w:rPr>
              <w:t>分</w:t>
            </w:r>
          </w:p>
        </w:tc>
      </w:tr>
      <w:tr w14:paraId="15031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571BA9B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p>
        </w:tc>
        <w:tc>
          <w:tcPr>
            <w:tcW w:w="2443" w:type="dxa"/>
            <w:gridSpan w:val="2"/>
            <w:vMerge w:val="continue"/>
            <w:vAlign w:val="center"/>
          </w:tcPr>
          <w:p w14:paraId="17E80717">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p>
        </w:tc>
        <w:tc>
          <w:tcPr>
            <w:tcW w:w="5654" w:type="dxa"/>
            <w:vAlign w:val="center"/>
          </w:tcPr>
          <w:p w14:paraId="4A7AD985">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r>
              <w:rPr>
                <w:rFonts w:hint="eastAsia"/>
                <w:spacing w:val="0"/>
                <w:w w:val="100"/>
                <w:lang w:val="en-US" w:eastAsia="zh-CN"/>
              </w:rPr>
              <w:t>商务部分</w:t>
            </w:r>
            <w:r>
              <w:rPr>
                <w:spacing w:val="0"/>
                <w:w w:val="100"/>
              </w:rPr>
              <w:t>：</w:t>
            </w:r>
            <w:r>
              <w:rPr>
                <w:rFonts w:hint="eastAsia"/>
                <w:spacing w:val="0"/>
                <w:w w:val="100"/>
                <w:lang w:val="en-US" w:eastAsia="zh-CN"/>
              </w:rPr>
              <w:t>10</w:t>
            </w:r>
            <w:r>
              <w:rPr>
                <w:spacing w:val="0"/>
                <w:w w:val="100"/>
              </w:rPr>
              <w:t>分</w:t>
            </w:r>
          </w:p>
        </w:tc>
      </w:tr>
      <w:tr w14:paraId="333B0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68A768D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p>
        </w:tc>
        <w:tc>
          <w:tcPr>
            <w:tcW w:w="2443" w:type="dxa"/>
            <w:gridSpan w:val="2"/>
            <w:vMerge w:val="continue"/>
            <w:vAlign w:val="center"/>
          </w:tcPr>
          <w:p w14:paraId="0671BE8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p>
        </w:tc>
        <w:tc>
          <w:tcPr>
            <w:tcW w:w="5654" w:type="dxa"/>
            <w:vAlign w:val="center"/>
          </w:tcPr>
          <w:p w14:paraId="43F9C88D">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r>
              <w:rPr>
                <w:spacing w:val="0"/>
                <w:w w:val="100"/>
              </w:rPr>
              <w:t>设计方案：</w:t>
            </w:r>
            <w:r>
              <w:rPr>
                <w:rFonts w:hint="eastAsia"/>
                <w:spacing w:val="0"/>
                <w:w w:val="100"/>
                <w:lang w:val="en-US" w:eastAsia="zh-CN"/>
              </w:rPr>
              <w:t>25</w:t>
            </w:r>
            <w:r>
              <w:rPr>
                <w:spacing w:val="0"/>
                <w:w w:val="100"/>
              </w:rPr>
              <w:t>分</w:t>
            </w:r>
          </w:p>
        </w:tc>
      </w:tr>
      <w:tr w14:paraId="279A0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3DDEBE5F">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p>
        </w:tc>
        <w:tc>
          <w:tcPr>
            <w:tcW w:w="2443" w:type="dxa"/>
            <w:gridSpan w:val="2"/>
            <w:vMerge w:val="continue"/>
            <w:vAlign w:val="center"/>
          </w:tcPr>
          <w:p w14:paraId="4EE8B286">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p>
        </w:tc>
        <w:tc>
          <w:tcPr>
            <w:tcW w:w="5654" w:type="dxa"/>
            <w:vAlign w:val="center"/>
          </w:tcPr>
          <w:p w14:paraId="5C684C0F">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r>
              <w:rPr>
                <w:rFonts w:hint="eastAsia"/>
                <w:spacing w:val="0"/>
                <w:w w:val="100"/>
                <w:lang w:val="en-US" w:eastAsia="zh-CN"/>
              </w:rPr>
              <w:t>施工组织设计</w:t>
            </w:r>
            <w:r>
              <w:rPr>
                <w:spacing w:val="0"/>
                <w:w w:val="100"/>
              </w:rPr>
              <w:t>：</w:t>
            </w:r>
            <w:r>
              <w:rPr>
                <w:rFonts w:hint="eastAsia"/>
                <w:spacing w:val="0"/>
                <w:w w:val="100"/>
                <w:lang w:val="en-US" w:eastAsia="zh-CN"/>
              </w:rPr>
              <w:t>25</w:t>
            </w:r>
            <w:r>
              <w:rPr>
                <w:spacing w:val="0"/>
                <w:w w:val="100"/>
              </w:rPr>
              <w:t>分</w:t>
            </w:r>
          </w:p>
        </w:tc>
      </w:tr>
      <w:tr w14:paraId="53A7A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Align w:val="center"/>
          </w:tcPr>
          <w:p w14:paraId="3176C43A">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2.2.2</w:t>
            </w:r>
          </w:p>
        </w:tc>
        <w:tc>
          <w:tcPr>
            <w:tcW w:w="2443" w:type="dxa"/>
            <w:gridSpan w:val="2"/>
            <w:vAlign w:val="center"/>
          </w:tcPr>
          <w:p w14:paraId="087DEDF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评标基准价计算方法</w:t>
            </w:r>
          </w:p>
        </w:tc>
        <w:tc>
          <w:tcPr>
            <w:tcW w:w="5654" w:type="dxa"/>
            <w:vAlign w:val="center"/>
          </w:tcPr>
          <w:p w14:paraId="2CF5C36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eastAsia="宋体"/>
                <w:spacing w:val="0"/>
                <w:w w:val="100"/>
                <w:lang w:eastAsia="zh-CN"/>
              </w:rPr>
            </w:pPr>
            <w:r>
              <w:rPr>
                <w:rFonts w:hint="eastAsia" w:ascii="宋体" w:hAnsi="宋体" w:eastAsia="宋体" w:cs="宋体"/>
                <w:spacing w:val="0"/>
                <w:w w:val="100"/>
                <w:lang w:val="en-US" w:eastAsia="zh-CN"/>
              </w:rPr>
              <w:t>评标基准价=最高限价*70%+所有有效投标报价算数平均值*30%计算所有有效投标报价算数平均值时：有效投标人数量大于五家时，计算时去掉一个最高值和一个最低值，有效投标人数量大于十家时，计算评标基准价时去掉两个最高值和两个最低值，以此类推每增加五家，再去掉一个最高值和一个最低值。当有效投标人少于等于五家时，计算评标基准价时不去掉最高值和最低值。</w:t>
            </w:r>
          </w:p>
        </w:tc>
      </w:tr>
      <w:tr w14:paraId="4A8F9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Align w:val="center"/>
          </w:tcPr>
          <w:p w14:paraId="3260D73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b/>
                <w:bCs/>
                <w:spacing w:val="0"/>
                <w:w w:val="100"/>
              </w:rPr>
            </w:pPr>
            <w:r>
              <w:rPr>
                <w:b/>
                <w:bCs/>
                <w:spacing w:val="0"/>
                <w:w w:val="100"/>
              </w:rPr>
              <w:t>条款号</w:t>
            </w:r>
          </w:p>
        </w:tc>
        <w:tc>
          <w:tcPr>
            <w:tcW w:w="2443" w:type="dxa"/>
            <w:gridSpan w:val="2"/>
            <w:vAlign w:val="center"/>
          </w:tcPr>
          <w:p w14:paraId="310AB18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b/>
                <w:bCs/>
                <w:spacing w:val="0"/>
                <w:w w:val="100"/>
              </w:rPr>
            </w:pPr>
            <w:r>
              <w:rPr>
                <w:b/>
                <w:bCs/>
                <w:spacing w:val="0"/>
                <w:w w:val="100"/>
              </w:rPr>
              <w:t>评分因素（偏差率）</w:t>
            </w:r>
          </w:p>
        </w:tc>
        <w:tc>
          <w:tcPr>
            <w:tcW w:w="5654" w:type="dxa"/>
            <w:vAlign w:val="center"/>
          </w:tcPr>
          <w:p w14:paraId="301EF4A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b/>
                <w:bCs/>
                <w:spacing w:val="0"/>
                <w:w w:val="100"/>
              </w:rPr>
            </w:pPr>
            <w:r>
              <w:rPr>
                <w:b/>
                <w:bCs/>
                <w:spacing w:val="0"/>
                <w:w w:val="100"/>
              </w:rPr>
              <w:t>评分标准</w:t>
            </w:r>
          </w:p>
        </w:tc>
      </w:tr>
      <w:tr w14:paraId="6ED7F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Align w:val="center"/>
          </w:tcPr>
          <w:p w14:paraId="06C1DD1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2.2.4（1）</w:t>
            </w:r>
          </w:p>
        </w:tc>
        <w:tc>
          <w:tcPr>
            <w:tcW w:w="2443" w:type="dxa"/>
            <w:gridSpan w:val="2"/>
            <w:vAlign w:val="center"/>
          </w:tcPr>
          <w:p w14:paraId="29BA51D7">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投标报价</w:t>
            </w:r>
            <w:r>
              <w:rPr>
                <w:rFonts w:hint="eastAsia" w:cs="宋体"/>
                <w:spacing w:val="0"/>
                <w:w w:val="100"/>
                <w:lang w:val="en-US" w:eastAsia="zh-CN"/>
              </w:rPr>
              <w:t>4</w:t>
            </w:r>
            <w:r>
              <w:rPr>
                <w:rFonts w:hint="eastAsia" w:ascii="宋体" w:hAnsi="宋体" w:eastAsia="宋体" w:cs="宋体"/>
                <w:spacing w:val="0"/>
                <w:w w:val="100"/>
                <w:lang w:val="en-US" w:eastAsia="zh-CN"/>
              </w:rPr>
              <w:t>0分</w:t>
            </w:r>
          </w:p>
        </w:tc>
        <w:tc>
          <w:tcPr>
            <w:tcW w:w="5654" w:type="dxa"/>
            <w:vAlign w:val="center"/>
          </w:tcPr>
          <w:p w14:paraId="38962CC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cs="宋体"/>
                <w:spacing w:val="0"/>
                <w:w w:val="100"/>
                <w:lang w:val="en-US" w:eastAsia="zh-CN"/>
              </w:rPr>
              <w:t xml:space="preserve">  </w:t>
            </w:r>
            <w:r>
              <w:rPr>
                <w:rFonts w:hint="eastAsia" w:ascii="宋体" w:hAnsi="宋体" w:eastAsia="宋体" w:cs="宋体"/>
                <w:spacing w:val="0"/>
                <w:w w:val="100"/>
                <w:lang w:val="en-US" w:eastAsia="zh-CN"/>
              </w:rPr>
              <w:t>投标报价满分</w:t>
            </w:r>
            <w:r>
              <w:rPr>
                <w:rFonts w:hint="eastAsia" w:cs="宋体"/>
                <w:spacing w:val="0"/>
                <w:w w:val="100"/>
                <w:lang w:val="en-US" w:eastAsia="zh-CN"/>
              </w:rPr>
              <w:t>4</w:t>
            </w:r>
            <w:r>
              <w:rPr>
                <w:rFonts w:hint="eastAsia" w:ascii="宋体" w:hAnsi="宋体" w:eastAsia="宋体" w:cs="宋体"/>
                <w:spacing w:val="0"/>
                <w:w w:val="100"/>
                <w:lang w:val="en-US" w:eastAsia="zh-CN"/>
              </w:rPr>
              <w:t>0分。打分方法以评标基准价为基数，投标报价与评标基准价一致得</w:t>
            </w:r>
            <w:r>
              <w:rPr>
                <w:rFonts w:hint="eastAsia" w:cs="宋体"/>
                <w:spacing w:val="0"/>
                <w:w w:val="100"/>
                <w:lang w:val="en-US" w:eastAsia="zh-CN"/>
              </w:rPr>
              <w:t>4</w:t>
            </w:r>
            <w:r>
              <w:rPr>
                <w:rFonts w:hint="eastAsia" w:ascii="宋体" w:hAnsi="宋体" w:eastAsia="宋体" w:cs="宋体"/>
                <w:spacing w:val="0"/>
                <w:w w:val="100"/>
                <w:lang w:val="en-US" w:eastAsia="zh-CN"/>
              </w:rPr>
              <w:t>0分，比评标基准价低1%减0.2分，比评标基准价高1%减0.2分，扣完为止。</w:t>
            </w:r>
          </w:p>
        </w:tc>
      </w:tr>
      <w:tr w14:paraId="7C703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restart"/>
            <w:vAlign w:val="center"/>
          </w:tcPr>
          <w:p w14:paraId="5A3C2EE7">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2.2.4</w:t>
            </w:r>
          </w:p>
          <w:p w14:paraId="0C59CD3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（2）</w:t>
            </w:r>
          </w:p>
        </w:tc>
        <w:tc>
          <w:tcPr>
            <w:tcW w:w="838" w:type="dxa"/>
            <w:vMerge w:val="restart"/>
            <w:vAlign w:val="center"/>
          </w:tcPr>
          <w:p w14:paraId="5189211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hint="eastAsia" w:cs="宋体"/>
                <w:spacing w:val="0"/>
                <w:w w:val="100"/>
                <w:lang w:val="en-US" w:eastAsia="zh-CN"/>
              </w:rPr>
              <w:t>商务部分10</w:t>
            </w:r>
            <w:r>
              <w:rPr>
                <w:rFonts w:ascii="宋体" w:hAnsi="宋体" w:eastAsia="宋体" w:cs="宋体"/>
                <w:spacing w:val="0"/>
                <w:w w:val="100"/>
              </w:rPr>
              <w:t>分</w:t>
            </w:r>
          </w:p>
        </w:tc>
        <w:tc>
          <w:tcPr>
            <w:tcW w:w="1605" w:type="dxa"/>
            <w:vAlign w:val="center"/>
          </w:tcPr>
          <w:p w14:paraId="3A39D09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施工企业业绩</w:t>
            </w:r>
          </w:p>
          <w:p w14:paraId="1915D6A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eastAsia="zh-CN"/>
              </w:rPr>
            </w:pPr>
            <w:r>
              <w:rPr>
                <w:rFonts w:ascii="宋体" w:hAnsi="宋体" w:eastAsia="宋体" w:cs="宋体"/>
                <w:spacing w:val="0"/>
                <w:w w:val="100"/>
              </w:rPr>
              <w:t>（</w:t>
            </w:r>
            <w:r>
              <w:rPr>
                <w:rFonts w:hint="eastAsia" w:cs="宋体"/>
                <w:spacing w:val="0"/>
                <w:w w:val="100"/>
                <w:lang w:val="en-US" w:eastAsia="zh-CN"/>
              </w:rPr>
              <w:t>3</w:t>
            </w:r>
            <w:r>
              <w:rPr>
                <w:rFonts w:ascii="宋体" w:hAnsi="宋体" w:eastAsia="宋体" w:cs="宋体"/>
                <w:spacing w:val="0"/>
                <w:w w:val="100"/>
              </w:rPr>
              <w:t>分</w:t>
            </w:r>
            <w:r>
              <w:rPr>
                <w:rFonts w:hint="eastAsia" w:ascii="宋体" w:hAnsi="宋体" w:eastAsia="宋体" w:cs="宋体"/>
                <w:spacing w:val="0"/>
                <w:w w:val="100"/>
                <w:lang w:eastAsia="zh-CN"/>
              </w:rPr>
              <w:t>）</w:t>
            </w:r>
          </w:p>
        </w:tc>
        <w:tc>
          <w:tcPr>
            <w:tcW w:w="5654" w:type="dxa"/>
            <w:vAlign w:val="center"/>
          </w:tcPr>
          <w:p w14:paraId="0175B7F6">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left"/>
              <w:textAlignment w:val="auto"/>
              <w:rPr>
                <w:rFonts w:ascii="宋体" w:hAnsi="宋体" w:eastAsia="宋体" w:cs="宋体"/>
                <w:spacing w:val="0"/>
                <w:w w:val="100"/>
              </w:rPr>
            </w:pPr>
            <w:r>
              <w:rPr>
                <w:rFonts w:hint="eastAsia" w:ascii="宋体" w:hAnsi="宋体" w:eastAsia="宋体" w:cs="宋体"/>
                <w:spacing w:val="0"/>
                <w:w w:val="100"/>
                <w:lang w:val="en-US" w:eastAsia="zh-CN"/>
              </w:rPr>
              <w:t>投标单位近3年类似工程业绩，有一项得</w:t>
            </w:r>
            <w:r>
              <w:rPr>
                <w:rFonts w:hint="eastAsia" w:cs="宋体"/>
                <w:spacing w:val="0"/>
                <w:w w:val="100"/>
                <w:lang w:val="en-US" w:eastAsia="zh-CN"/>
              </w:rPr>
              <w:t>1</w:t>
            </w:r>
            <w:r>
              <w:rPr>
                <w:rFonts w:hint="eastAsia" w:ascii="宋体" w:hAnsi="宋体" w:eastAsia="宋体" w:cs="宋体"/>
                <w:spacing w:val="0"/>
                <w:w w:val="100"/>
                <w:lang w:val="en-US" w:eastAsia="zh-CN"/>
              </w:rPr>
              <w:t>分</w:t>
            </w:r>
            <w:r>
              <w:rPr>
                <w:rFonts w:hint="eastAsia" w:cs="宋体"/>
                <w:spacing w:val="0"/>
                <w:w w:val="100"/>
                <w:lang w:val="en-US" w:eastAsia="zh-CN"/>
              </w:rPr>
              <w:t>，最多得3分</w:t>
            </w:r>
            <w:r>
              <w:rPr>
                <w:rFonts w:hint="eastAsia" w:ascii="宋体" w:hAnsi="宋体" w:eastAsia="宋体" w:cs="宋体"/>
                <w:spacing w:val="0"/>
                <w:w w:val="100"/>
                <w:lang w:val="en-US" w:eastAsia="zh-CN"/>
              </w:rPr>
              <w:t>。（需提供中标通知书、合同、竣工验收报告扫描件）</w:t>
            </w:r>
          </w:p>
        </w:tc>
      </w:tr>
      <w:tr w14:paraId="6827F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685CE409">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838" w:type="dxa"/>
            <w:vMerge w:val="continue"/>
            <w:vAlign w:val="center"/>
          </w:tcPr>
          <w:p w14:paraId="7B6C8463">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0F765D4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设计企业业绩</w:t>
            </w:r>
          </w:p>
          <w:p w14:paraId="2041849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w:t>
            </w:r>
            <w:r>
              <w:rPr>
                <w:rFonts w:hint="eastAsia" w:cs="宋体"/>
                <w:spacing w:val="0"/>
                <w:w w:val="100"/>
                <w:lang w:val="en-US" w:eastAsia="zh-CN"/>
              </w:rPr>
              <w:t>3</w:t>
            </w:r>
            <w:r>
              <w:rPr>
                <w:rFonts w:ascii="宋体" w:hAnsi="宋体" w:eastAsia="宋体" w:cs="宋体"/>
                <w:spacing w:val="0"/>
                <w:w w:val="100"/>
              </w:rPr>
              <w:t>分）</w:t>
            </w:r>
          </w:p>
        </w:tc>
        <w:tc>
          <w:tcPr>
            <w:tcW w:w="5654" w:type="dxa"/>
            <w:vAlign w:val="center"/>
          </w:tcPr>
          <w:p w14:paraId="445360C1">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left"/>
              <w:textAlignment w:val="auto"/>
              <w:rPr>
                <w:rFonts w:ascii="宋体" w:hAnsi="宋体" w:eastAsia="宋体" w:cs="宋体"/>
                <w:spacing w:val="0"/>
                <w:w w:val="100"/>
              </w:rPr>
            </w:pPr>
            <w:r>
              <w:rPr>
                <w:rFonts w:hint="eastAsia" w:ascii="宋体" w:hAnsi="宋体" w:eastAsia="宋体" w:cs="宋体"/>
                <w:spacing w:val="0"/>
                <w:w w:val="100"/>
                <w:lang w:val="en-US" w:eastAsia="zh-CN"/>
              </w:rPr>
              <w:t>投标单位近3年类似工程业绩，有一项得</w:t>
            </w:r>
            <w:r>
              <w:rPr>
                <w:rFonts w:hint="eastAsia" w:cs="宋体"/>
                <w:spacing w:val="0"/>
                <w:w w:val="100"/>
                <w:lang w:val="en-US" w:eastAsia="zh-CN"/>
              </w:rPr>
              <w:t>1</w:t>
            </w:r>
            <w:r>
              <w:rPr>
                <w:rFonts w:hint="eastAsia" w:ascii="宋体" w:hAnsi="宋体" w:eastAsia="宋体" w:cs="宋体"/>
                <w:spacing w:val="0"/>
                <w:w w:val="100"/>
                <w:lang w:val="en-US" w:eastAsia="zh-CN"/>
              </w:rPr>
              <w:t>分</w:t>
            </w:r>
            <w:r>
              <w:rPr>
                <w:rFonts w:hint="eastAsia" w:cs="宋体"/>
                <w:spacing w:val="0"/>
                <w:w w:val="100"/>
                <w:lang w:val="en-US" w:eastAsia="zh-CN"/>
              </w:rPr>
              <w:t>，最多得3分</w:t>
            </w:r>
            <w:r>
              <w:rPr>
                <w:rFonts w:hint="eastAsia" w:ascii="宋体" w:hAnsi="宋体" w:eastAsia="宋体" w:cs="宋体"/>
                <w:spacing w:val="0"/>
                <w:w w:val="100"/>
                <w:lang w:val="en-US" w:eastAsia="zh-CN"/>
              </w:rPr>
              <w:t>。（需提供中标通知书、合同扫描件）</w:t>
            </w:r>
          </w:p>
        </w:tc>
      </w:tr>
      <w:tr w14:paraId="21D60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1D1EB61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838" w:type="dxa"/>
            <w:vMerge w:val="continue"/>
            <w:vAlign w:val="center"/>
          </w:tcPr>
          <w:p w14:paraId="318055CF">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5B97124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default" w:ascii="宋体" w:hAnsi="宋体" w:eastAsia="宋体" w:cs="宋体"/>
                <w:spacing w:val="0"/>
                <w:w w:val="100"/>
                <w:lang w:val="en-US" w:eastAsia="zh-CN"/>
              </w:rPr>
            </w:pPr>
            <w:r>
              <w:rPr>
                <w:rFonts w:hint="eastAsia" w:cs="宋体"/>
                <w:spacing w:val="0"/>
                <w:w w:val="100"/>
                <w:lang w:val="en-US" w:eastAsia="zh-CN"/>
              </w:rPr>
              <w:t>运营业绩（4分）</w:t>
            </w:r>
          </w:p>
        </w:tc>
        <w:tc>
          <w:tcPr>
            <w:tcW w:w="5654" w:type="dxa"/>
            <w:vAlign w:val="center"/>
          </w:tcPr>
          <w:p w14:paraId="548C9260">
            <w:pPr>
              <w:keepNext w:val="0"/>
              <w:keepLines w:val="0"/>
              <w:widowControl/>
              <w:numPr>
                <w:ilvl w:val="0"/>
                <w:numId w:val="0"/>
              </w:numPr>
              <w:suppressLineNumbers w:val="0"/>
              <w:spacing w:line="240" w:lineRule="auto"/>
              <w:ind w:right="0" w:rightChars="0" w:firstLine="0" w:firstLineChars="0"/>
              <w:jc w:val="left"/>
              <w:rPr>
                <w:rFonts w:hint="default" w:ascii="宋体" w:hAnsi="宋体" w:eastAsia="宋体" w:cs="宋体"/>
                <w:color w:val="000000"/>
                <w:kern w:val="0"/>
                <w:sz w:val="24"/>
                <w:szCs w:val="24"/>
                <w:lang w:val="en-US" w:eastAsia="zh-CN" w:bidi="ar"/>
              </w:rPr>
            </w:pPr>
            <w:r>
              <w:rPr>
                <w:rFonts w:hint="eastAsia" w:cs="宋体"/>
                <w:spacing w:val="0"/>
                <w:w w:val="100"/>
                <w:lang w:val="en-US" w:eastAsia="zh-CN"/>
              </w:rPr>
              <w:t>运营单位每提供一份类似项目的运营合同得2分，本项满分4分。</w:t>
            </w:r>
            <w:r>
              <w:rPr>
                <w:rFonts w:hint="eastAsia" w:ascii="宋体" w:hAnsi="宋体" w:eastAsia="宋体" w:cs="宋体"/>
                <w:spacing w:val="0"/>
                <w:w w:val="100"/>
                <w:lang w:val="en-US" w:eastAsia="zh-CN"/>
              </w:rPr>
              <w:t>（需提供合同扫描件）</w:t>
            </w:r>
          </w:p>
        </w:tc>
      </w:tr>
      <w:tr w14:paraId="57D28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restart"/>
            <w:vAlign w:val="center"/>
          </w:tcPr>
          <w:p w14:paraId="46A3B58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2.2.4</w:t>
            </w:r>
          </w:p>
          <w:p w14:paraId="03D57B2C">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r>
              <w:rPr>
                <w:spacing w:val="0"/>
                <w:w w:val="100"/>
              </w:rPr>
              <w:t>（</w:t>
            </w:r>
            <w:r>
              <w:rPr>
                <w:rFonts w:hint="eastAsia"/>
                <w:spacing w:val="0"/>
                <w:w w:val="100"/>
                <w:lang w:val="en-US" w:eastAsia="zh-CN"/>
              </w:rPr>
              <w:t>3</w:t>
            </w:r>
            <w:r>
              <w:rPr>
                <w:spacing w:val="0"/>
                <w:w w:val="100"/>
              </w:rPr>
              <w:t>）</w:t>
            </w:r>
          </w:p>
        </w:tc>
        <w:tc>
          <w:tcPr>
            <w:tcW w:w="838" w:type="dxa"/>
            <w:vMerge w:val="restart"/>
            <w:vAlign w:val="center"/>
          </w:tcPr>
          <w:p w14:paraId="794DD5B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设计方案评分标准</w:t>
            </w:r>
          </w:p>
          <w:p w14:paraId="10ECED12">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2</w:t>
            </w:r>
            <w:r>
              <w:rPr>
                <w:rFonts w:hint="eastAsia" w:cs="宋体"/>
                <w:spacing w:val="0"/>
                <w:w w:val="100"/>
                <w:lang w:val="en-US" w:eastAsia="zh-CN"/>
              </w:rPr>
              <w:t>5</w:t>
            </w:r>
            <w:r>
              <w:rPr>
                <w:rFonts w:ascii="宋体" w:hAnsi="宋体" w:eastAsia="宋体" w:cs="宋体"/>
                <w:spacing w:val="0"/>
                <w:w w:val="100"/>
              </w:rPr>
              <w:t>分</w:t>
            </w:r>
          </w:p>
        </w:tc>
        <w:tc>
          <w:tcPr>
            <w:tcW w:w="1605" w:type="dxa"/>
            <w:vAlign w:val="center"/>
          </w:tcPr>
          <w:p w14:paraId="5C61B71A">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设计重点、难点、关键技术、工艺分析及解决方案</w:t>
            </w:r>
          </w:p>
          <w:p w14:paraId="0A904323">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spacing w:val="0"/>
                <w:w w:val="100"/>
                <w:lang w:val="en-US" w:eastAsia="zh-CN"/>
              </w:rPr>
            </w:pPr>
            <w:r>
              <w:rPr>
                <w:rFonts w:ascii="宋体" w:hAnsi="宋体" w:eastAsia="宋体" w:cs="宋体"/>
                <w:spacing w:val="0"/>
                <w:w w:val="100"/>
              </w:rPr>
              <w:t>（</w:t>
            </w:r>
            <w:r>
              <w:rPr>
                <w:rFonts w:hint="eastAsia" w:cs="宋体"/>
                <w:spacing w:val="0"/>
                <w:w w:val="100"/>
                <w:lang w:val="en-US" w:eastAsia="zh-CN"/>
              </w:rPr>
              <w:t>10</w:t>
            </w:r>
            <w:r>
              <w:rPr>
                <w:rFonts w:ascii="宋体" w:hAnsi="宋体" w:eastAsia="宋体" w:cs="宋体"/>
                <w:spacing w:val="0"/>
                <w:w w:val="100"/>
              </w:rPr>
              <w:t>分）</w:t>
            </w:r>
          </w:p>
        </w:tc>
        <w:tc>
          <w:tcPr>
            <w:tcW w:w="5654" w:type="dxa"/>
            <w:vAlign w:val="center"/>
          </w:tcPr>
          <w:p w14:paraId="53D7A8ED">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left"/>
              <w:textAlignment w:val="auto"/>
              <w:rPr>
                <w:rFonts w:hint="eastAsia" w:ascii="宋体" w:hAnsi="宋体" w:eastAsia="宋体" w:cs="宋体"/>
                <w:spacing w:val="0"/>
                <w:w w:val="100"/>
                <w:lang w:val="en-US" w:eastAsia="zh-CN"/>
              </w:rPr>
            </w:pPr>
            <w:r>
              <w:rPr>
                <w:rFonts w:hint="default" w:ascii="宋体" w:hAnsi="宋体" w:eastAsia="宋体" w:cs="宋体"/>
                <w:spacing w:val="0"/>
                <w:w w:val="100"/>
                <w:lang w:val="en-US" w:eastAsia="zh-CN"/>
              </w:rPr>
              <w:t>结合项目实际情况及使用功能，对项目设计的重点难点作出分析，针对性强，对工程重点难点认识深刻，表述全面准确，解决方案科学系统、安全、经济可操作性强，保障措施得力对关键技术、工艺把握准确，应用到位，阐释清晰，酌情打分0-</w:t>
            </w:r>
            <w:r>
              <w:rPr>
                <w:rFonts w:hint="eastAsia" w:cs="宋体"/>
                <w:spacing w:val="0"/>
                <w:w w:val="100"/>
                <w:lang w:val="en-US" w:eastAsia="zh-CN"/>
              </w:rPr>
              <w:t>10</w:t>
            </w:r>
            <w:r>
              <w:rPr>
                <w:rFonts w:hint="default" w:ascii="宋体" w:hAnsi="宋体" w:eastAsia="宋体" w:cs="宋体"/>
                <w:spacing w:val="0"/>
                <w:w w:val="100"/>
                <w:lang w:val="en-US" w:eastAsia="zh-CN"/>
              </w:rPr>
              <w:t>分。</w:t>
            </w:r>
          </w:p>
        </w:tc>
      </w:tr>
      <w:tr w14:paraId="6E5B3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66118DB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5A92D259">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p>
        </w:tc>
        <w:tc>
          <w:tcPr>
            <w:tcW w:w="1605" w:type="dxa"/>
            <w:vAlign w:val="center"/>
          </w:tcPr>
          <w:p w14:paraId="46614825">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spacing w:val="0"/>
                <w:w w:val="100"/>
                <w:lang w:val="en-US" w:eastAsia="zh-CN"/>
              </w:rPr>
            </w:pPr>
            <w:r>
              <w:rPr>
                <w:rFonts w:ascii="宋体" w:hAnsi="宋体" w:eastAsia="宋体" w:cs="宋体"/>
                <w:spacing w:val="0"/>
                <w:w w:val="100"/>
              </w:rPr>
              <w:t>设计的质量、进度、安全评分标准（</w:t>
            </w:r>
            <w:r>
              <w:rPr>
                <w:rFonts w:hint="eastAsia" w:cs="宋体"/>
                <w:spacing w:val="0"/>
                <w:w w:val="100"/>
                <w:lang w:val="en-US" w:eastAsia="zh-CN"/>
              </w:rPr>
              <w:t>5</w:t>
            </w:r>
            <w:r>
              <w:rPr>
                <w:rFonts w:ascii="宋体" w:hAnsi="宋体" w:eastAsia="宋体" w:cs="宋体"/>
                <w:spacing w:val="0"/>
                <w:w w:val="100"/>
              </w:rPr>
              <w:t>分）</w:t>
            </w:r>
          </w:p>
        </w:tc>
        <w:tc>
          <w:tcPr>
            <w:tcW w:w="5654" w:type="dxa"/>
            <w:vAlign w:val="center"/>
          </w:tcPr>
          <w:p w14:paraId="0DCFC00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left"/>
              <w:textAlignment w:val="auto"/>
              <w:rPr>
                <w:rFonts w:ascii="宋体" w:hAnsi="宋体" w:eastAsia="宋体" w:cs="宋体"/>
                <w:spacing w:val="0"/>
                <w:w w:val="100"/>
              </w:rPr>
            </w:pPr>
            <w:r>
              <w:rPr>
                <w:rFonts w:ascii="宋体" w:hAnsi="宋体" w:eastAsia="宋体" w:cs="宋体"/>
                <w:spacing w:val="0"/>
                <w:w w:val="100"/>
              </w:rPr>
              <w:t>1.设计质量保证体系及措施：质量保证体系规范、健全，措施科学合理具备可操作性。（0-</w:t>
            </w:r>
            <w:r>
              <w:rPr>
                <w:rFonts w:hint="eastAsia" w:cs="宋体"/>
                <w:spacing w:val="0"/>
                <w:w w:val="100"/>
                <w:lang w:val="en-US" w:eastAsia="zh-CN"/>
              </w:rPr>
              <w:t>2</w:t>
            </w:r>
            <w:r>
              <w:rPr>
                <w:rFonts w:ascii="宋体" w:hAnsi="宋体" w:eastAsia="宋体" w:cs="宋体"/>
                <w:spacing w:val="0"/>
                <w:w w:val="100"/>
              </w:rPr>
              <w:t>分）</w:t>
            </w:r>
          </w:p>
          <w:p w14:paraId="20EE36F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left"/>
              <w:textAlignment w:val="auto"/>
              <w:rPr>
                <w:rFonts w:ascii="宋体" w:hAnsi="宋体" w:eastAsia="宋体" w:cs="宋体"/>
                <w:spacing w:val="0"/>
                <w:w w:val="100"/>
              </w:rPr>
            </w:pPr>
            <w:r>
              <w:rPr>
                <w:rFonts w:ascii="宋体" w:hAnsi="宋体" w:eastAsia="宋体" w:cs="宋体"/>
                <w:spacing w:val="0"/>
                <w:w w:val="100"/>
              </w:rPr>
              <w:t>2.设计进度保证措施：设计周期进度安排合理有序主次工作安排有序，满足工程建设需要含合理详尽的设计工作组织安排。（0-</w:t>
            </w:r>
            <w:r>
              <w:rPr>
                <w:rFonts w:hint="eastAsia" w:cs="宋体"/>
                <w:spacing w:val="0"/>
                <w:w w:val="100"/>
                <w:lang w:val="en-US" w:eastAsia="zh-CN"/>
              </w:rPr>
              <w:t>1</w:t>
            </w:r>
            <w:r>
              <w:rPr>
                <w:rFonts w:ascii="宋体" w:hAnsi="宋体" w:eastAsia="宋体" w:cs="宋体"/>
                <w:spacing w:val="0"/>
                <w:w w:val="100"/>
              </w:rPr>
              <w:t>分）</w:t>
            </w:r>
          </w:p>
          <w:p w14:paraId="383A57E4">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left"/>
              <w:textAlignment w:val="auto"/>
              <w:rPr>
                <w:rFonts w:hint="eastAsia" w:ascii="宋体" w:hAnsi="宋体" w:eastAsia="宋体" w:cs="宋体"/>
                <w:spacing w:val="0"/>
                <w:w w:val="100"/>
                <w:lang w:val="en-US" w:eastAsia="zh-CN"/>
              </w:rPr>
            </w:pPr>
            <w:r>
              <w:rPr>
                <w:rFonts w:ascii="宋体" w:hAnsi="宋体" w:eastAsia="宋体" w:cs="宋体"/>
                <w:spacing w:val="0"/>
                <w:w w:val="100"/>
              </w:rPr>
              <w:t>3.设计安全保证措施：结构设计安全性和合理性承诺。施工图中的安全性和合理性满足招标文件和规范要求的程度。（0-</w:t>
            </w:r>
            <w:r>
              <w:rPr>
                <w:rFonts w:hint="eastAsia" w:cs="宋体"/>
                <w:spacing w:val="0"/>
                <w:w w:val="100"/>
                <w:lang w:val="en-US" w:eastAsia="zh-CN"/>
              </w:rPr>
              <w:t>2</w:t>
            </w:r>
            <w:r>
              <w:rPr>
                <w:rFonts w:ascii="宋体" w:hAnsi="宋体" w:eastAsia="宋体" w:cs="宋体"/>
                <w:spacing w:val="0"/>
                <w:w w:val="100"/>
              </w:rPr>
              <w:t>分）</w:t>
            </w:r>
          </w:p>
        </w:tc>
      </w:tr>
      <w:tr w14:paraId="5B66D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12D3D430">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6F27A451">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p>
        </w:tc>
        <w:tc>
          <w:tcPr>
            <w:tcW w:w="1605" w:type="dxa"/>
            <w:vAlign w:val="center"/>
          </w:tcPr>
          <w:p w14:paraId="74CD447D">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设计方案</w:t>
            </w:r>
          </w:p>
          <w:p w14:paraId="00557E2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spacing w:val="0"/>
                <w:w w:val="100"/>
                <w:lang w:val="en-US" w:eastAsia="zh-CN"/>
              </w:rPr>
            </w:pPr>
            <w:r>
              <w:rPr>
                <w:rFonts w:ascii="宋体" w:hAnsi="宋体" w:eastAsia="宋体" w:cs="宋体"/>
                <w:spacing w:val="0"/>
                <w:w w:val="100"/>
              </w:rPr>
              <w:t>（</w:t>
            </w:r>
            <w:r>
              <w:rPr>
                <w:rFonts w:hint="eastAsia" w:cs="宋体"/>
                <w:spacing w:val="0"/>
                <w:w w:val="100"/>
                <w:lang w:val="en-US" w:eastAsia="zh-CN"/>
              </w:rPr>
              <w:t>10</w:t>
            </w:r>
            <w:r>
              <w:rPr>
                <w:rFonts w:ascii="宋体" w:hAnsi="宋体" w:eastAsia="宋体" w:cs="宋体"/>
                <w:spacing w:val="0"/>
                <w:w w:val="100"/>
              </w:rPr>
              <w:t>分）</w:t>
            </w:r>
          </w:p>
        </w:tc>
        <w:tc>
          <w:tcPr>
            <w:tcW w:w="5654" w:type="dxa"/>
            <w:vAlign w:val="center"/>
          </w:tcPr>
          <w:p w14:paraId="63D9AD87">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left"/>
              <w:textAlignment w:val="auto"/>
              <w:rPr>
                <w:rFonts w:hint="eastAsia" w:ascii="宋体" w:hAnsi="宋体" w:eastAsia="宋体" w:cs="宋体"/>
                <w:spacing w:val="0"/>
                <w:w w:val="100"/>
                <w:lang w:val="en-US" w:eastAsia="zh-CN"/>
              </w:rPr>
            </w:pPr>
            <w:r>
              <w:rPr>
                <w:rFonts w:ascii="宋体" w:hAnsi="宋体" w:eastAsia="宋体" w:cs="宋体"/>
                <w:spacing w:val="0"/>
                <w:w w:val="100"/>
              </w:rPr>
              <w:t>设计方案的科学性、合理性、安全性可靠性、可操作性、进度满足设计周期节点要求的，得0-</w:t>
            </w:r>
            <w:r>
              <w:rPr>
                <w:rFonts w:hint="eastAsia" w:cs="宋体"/>
                <w:spacing w:val="0"/>
                <w:w w:val="100"/>
                <w:lang w:val="en-US" w:eastAsia="zh-CN"/>
              </w:rPr>
              <w:t>10</w:t>
            </w:r>
            <w:r>
              <w:rPr>
                <w:rFonts w:ascii="宋体" w:hAnsi="宋体" w:eastAsia="宋体" w:cs="宋体"/>
                <w:spacing w:val="0"/>
                <w:w w:val="100"/>
              </w:rPr>
              <w:t>分。</w:t>
            </w:r>
          </w:p>
        </w:tc>
      </w:tr>
      <w:tr w14:paraId="67999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restart"/>
            <w:vAlign w:val="center"/>
          </w:tcPr>
          <w:p w14:paraId="3B165FD1">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spacing w:val="0"/>
                <w:w w:val="100"/>
              </w:rPr>
            </w:pPr>
            <w:r>
              <w:rPr>
                <w:spacing w:val="0"/>
                <w:w w:val="100"/>
              </w:rPr>
              <w:t>2.2.4</w:t>
            </w:r>
          </w:p>
          <w:p w14:paraId="270954C6">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r>
              <w:rPr>
                <w:spacing w:val="0"/>
                <w:w w:val="100"/>
              </w:rPr>
              <w:t>（</w:t>
            </w:r>
            <w:r>
              <w:rPr>
                <w:rFonts w:hint="eastAsia"/>
                <w:spacing w:val="0"/>
                <w:w w:val="100"/>
                <w:lang w:val="en-US" w:eastAsia="zh-CN"/>
              </w:rPr>
              <w:t>4</w:t>
            </w:r>
            <w:r>
              <w:rPr>
                <w:spacing w:val="0"/>
                <w:w w:val="100"/>
              </w:rPr>
              <w:t>）</w:t>
            </w:r>
          </w:p>
        </w:tc>
        <w:tc>
          <w:tcPr>
            <w:tcW w:w="838" w:type="dxa"/>
            <w:vMerge w:val="restart"/>
            <w:vAlign w:val="center"/>
          </w:tcPr>
          <w:p w14:paraId="799651C3">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ascii="宋体" w:hAnsi="宋体" w:eastAsia="宋体" w:cs="宋体"/>
                <w:spacing w:val="0"/>
                <w:w w:val="100"/>
              </w:rPr>
              <w:t>施工组织设计评分标准</w:t>
            </w:r>
          </w:p>
          <w:p w14:paraId="3332A84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hint="eastAsia" w:ascii="宋体" w:hAnsi="宋体" w:eastAsia="宋体" w:cs="宋体"/>
                <w:spacing w:val="0"/>
                <w:w w:val="100"/>
                <w:lang w:val="en-US" w:eastAsia="zh-CN"/>
              </w:rPr>
              <w:t>2</w:t>
            </w:r>
            <w:r>
              <w:rPr>
                <w:rFonts w:hint="eastAsia" w:cs="宋体"/>
                <w:spacing w:val="0"/>
                <w:w w:val="100"/>
                <w:lang w:val="en-US" w:eastAsia="zh-CN"/>
              </w:rPr>
              <w:t>5</w:t>
            </w:r>
            <w:r>
              <w:rPr>
                <w:rFonts w:ascii="宋体" w:hAnsi="宋体" w:eastAsia="宋体" w:cs="宋体"/>
                <w:spacing w:val="0"/>
                <w:w w:val="100"/>
              </w:rPr>
              <w:t>分</w:t>
            </w:r>
          </w:p>
        </w:tc>
        <w:tc>
          <w:tcPr>
            <w:tcW w:w="1605" w:type="dxa"/>
            <w:vAlign w:val="center"/>
          </w:tcPr>
          <w:p w14:paraId="2D12B710">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ascii="宋体" w:hAnsi="宋体" w:eastAsia="宋体" w:cs="宋体"/>
                <w:spacing w:val="0"/>
                <w:w w:val="100"/>
              </w:rPr>
            </w:pPr>
            <w:r>
              <w:rPr>
                <w:rFonts w:hint="eastAsia" w:ascii="宋体" w:hAnsi="宋体" w:eastAsia="宋体" w:cs="宋体"/>
                <w:spacing w:val="0"/>
                <w:w w:val="100"/>
                <w:lang w:val="en-US" w:eastAsia="zh-CN"/>
              </w:rPr>
              <w:t>施工方案与技术措施</w:t>
            </w:r>
            <w:r>
              <w:rPr>
                <w:rFonts w:ascii="宋体" w:hAnsi="宋体" w:eastAsia="宋体" w:cs="宋体"/>
                <w:spacing w:val="0"/>
                <w:w w:val="100"/>
              </w:rPr>
              <w:t>（</w:t>
            </w:r>
            <w:r>
              <w:rPr>
                <w:rFonts w:hint="eastAsia" w:cs="宋体"/>
                <w:spacing w:val="0"/>
                <w:w w:val="100"/>
                <w:lang w:val="en-US" w:eastAsia="zh-CN"/>
              </w:rPr>
              <w:t>5</w:t>
            </w:r>
            <w:r>
              <w:rPr>
                <w:rFonts w:ascii="宋体" w:hAnsi="宋体" w:eastAsia="宋体" w:cs="宋体"/>
                <w:spacing w:val="0"/>
                <w:w w:val="100"/>
              </w:rPr>
              <w:t>分）</w:t>
            </w:r>
          </w:p>
        </w:tc>
        <w:tc>
          <w:tcPr>
            <w:tcW w:w="5654" w:type="dxa"/>
            <w:vAlign w:val="center"/>
          </w:tcPr>
          <w:p w14:paraId="55D8FA8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rFonts w:hint="eastAsia" w:ascii="宋体" w:hAnsi="宋体" w:eastAsia="宋体" w:cs="宋体"/>
                <w:spacing w:val="0"/>
                <w:w w:val="100"/>
                <w:lang w:eastAsia="zh-CN"/>
              </w:rPr>
            </w:pPr>
            <w:r>
              <w:rPr>
                <w:rFonts w:hint="eastAsia" w:ascii="宋体" w:hAnsi="宋体" w:eastAsia="宋体" w:cs="宋体"/>
                <w:spacing w:val="0"/>
                <w:w w:val="100"/>
                <w:lang w:val="en-US" w:eastAsia="zh-CN"/>
              </w:rPr>
              <w:t>无此项不得分；基本可行1</w:t>
            </w:r>
            <w:r>
              <w:rPr>
                <w:rFonts w:hint="eastAsia" w:cs="宋体"/>
                <w:spacing w:val="0"/>
                <w:w w:val="100"/>
                <w:lang w:val="en-US" w:eastAsia="zh-CN"/>
              </w:rPr>
              <w:t>—</w:t>
            </w:r>
            <w:r>
              <w:rPr>
                <w:rFonts w:hint="eastAsia" w:ascii="宋体" w:hAnsi="宋体" w:eastAsia="宋体" w:cs="宋体"/>
                <w:spacing w:val="0"/>
                <w:w w:val="100"/>
                <w:lang w:val="en-US" w:eastAsia="zh-CN"/>
              </w:rPr>
              <w:t>2分；可行性较强2</w:t>
            </w:r>
            <w:r>
              <w:rPr>
                <w:rFonts w:hint="eastAsia" w:cs="宋体"/>
                <w:spacing w:val="0"/>
                <w:w w:val="100"/>
                <w:lang w:val="en-US" w:eastAsia="zh-CN"/>
              </w:rPr>
              <w:t>.1—3</w:t>
            </w:r>
            <w:r>
              <w:rPr>
                <w:rFonts w:hint="eastAsia" w:ascii="宋体" w:hAnsi="宋体" w:eastAsia="宋体" w:cs="宋体"/>
                <w:spacing w:val="0"/>
                <w:w w:val="100"/>
                <w:lang w:val="en-US" w:eastAsia="zh-CN"/>
              </w:rPr>
              <w:t>分；科学可行</w:t>
            </w:r>
            <w:r>
              <w:rPr>
                <w:rFonts w:hint="eastAsia" w:cs="宋体"/>
                <w:spacing w:val="0"/>
                <w:w w:val="100"/>
                <w:lang w:val="en-US" w:eastAsia="zh-CN"/>
              </w:rPr>
              <w:t>3</w:t>
            </w:r>
            <w:r>
              <w:rPr>
                <w:rFonts w:hint="eastAsia" w:ascii="宋体" w:hAnsi="宋体" w:eastAsia="宋体" w:cs="宋体"/>
                <w:spacing w:val="0"/>
                <w:w w:val="100"/>
                <w:lang w:val="en-US" w:eastAsia="zh-CN"/>
              </w:rPr>
              <w:t>.1-</w:t>
            </w:r>
            <w:r>
              <w:rPr>
                <w:rFonts w:hint="eastAsia" w:cs="宋体"/>
                <w:spacing w:val="0"/>
                <w:w w:val="100"/>
                <w:lang w:val="en-US" w:eastAsia="zh-CN"/>
              </w:rPr>
              <w:t>5</w:t>
            </w:r>
            <w:r>
              <w:rPr>
                <w:rFonts w:hint="eastAsia" w:ascii="宋体" w:hAnsi="宋体" w:eastAsia="宋体" w:cs="宋体"/>
                <w:spacing w:val="0"/>
                <w:w w:val="100"/>
                <w:lang w:val="en-US" w:eastAsia="zh-CN"/>
              </w:rPr>
              <w:t>分。</w:t>
            </w:r>
          </w:p>
        </w:tc>
      </w:tr>
      <w:tr w14:paraId="5FE54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75C32596">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111BFBC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3FF58A39">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default" w:ascii="宋体" w:hAnsi="宋体" w:eastAsia="宋体" w:cs="宋体"/>
                <w:spacing w:val="0"/>
                <w:w w:val="100"/>
                <w:lang w:val="en-US"/>
              </w:rPr>
            </w:pPr>
            <w:r>
              <w:rPr>
                <w:rFonts w:hint="eastAsia" w:ascii="宋体" w:hAnsi="宋体" w:eastAsia="宋体" w:cs="宋体"/>
                <w:spacing w:val="0"/>
                <w:w w:val="100"/>
                <w:lang w:val="en-US" w:eastAsia="zh-CN"/>
              </w:rPr>
              <w:t>质量管理体系与措施</w:t>
            </w:r>
            <w:r>
              <w:rPr>
                <w:rFonts w:ascii="宋体" w:hAnsi="宋体" w:eastAsia="宋体" w:cs="宋体"/>
                <w:spacing w:val="0"/>
                <w:w w:val="100"/>
              </w:rPr>
              <w:t>（</w:t>
            </w:r>
            <w:r>
              <w:rPr>
                <w:rFonts w:hint="eastAsia" w:ascii="宋体" w:hAnsi="宋体" w:eastAsia="宋体" w:cs="宋体"/>
                <w:spacing w:val="0"/>
                <w:w w:val="100"/>
                <w:lang w:val="en-US" w:eastAsia="zh-CN"/>
              </w:rPr>
              <w:t>4</w:t>
            </w:r>
            <w:r>
              <w:rPr>
                <w:rFonts w:ascii="宋体" w:hAnsi="宋体" w:eastAsia="宋体" w:cs="宋体"/>
                <w:spacing w:val="0"/>
                <w:w w:val="100"/>
              </w:rPr>
              <w:t>分）</w:t>
            </w:r>
          </w:p>
        </w:tc>
        <w:tc>
          <w:tcPr>
            <w:tcW w:w="5654" w:type="dxa"/>
            <w:vAlign w:val="center"/>
          </w:tcPr>
          <w:p w14:paraId="266BBD0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无此项不得分、基本完善1</w:t>
            </w:r>
            <w:r>
              <w:rPr>
                <w:rFonts w:hint="eastAsia" w:cs="宋体"/>
                <w:spacing w:val="0"/>
                <w:w w:val="100"/>
                <w:lang w:val="en-US" w:eastAsia="zh-CN"/>
              </w:rPr>
              <w:t>—</w:t>
            </w:r>
            <w:r>
              <w:rPr>
                <w:rFonts w:hint="eastAsia" w:ascii="宋体" w:hAnsi="宋体" w:eastAsia="宋体" w:cs="宋体"/>
                <w:spacing w:val="0"/>
                <w:w w:val="100"/>
                <w:lang w:val="en-US" w:eastAsia="zh-CN"/>
              </w:rPr>
              <w:t>2分、完善2.1</w:t>
            </w:r>
            <w:r>
              <w:rPr>
                <w:rFonts w:hint="eastAsia" w:cs="宋体"/>
                <w:spacing w:val="0"/>
                <w:w w:val="100"/>
                <w:lang w:val="en-US" w:eastAsia="zh-CN"/>
              </w:rPr>
              <w:t>—</w:t>
            </w:r>
            <w:r>
              <w:rPr>
                <w:rFonts w:hint="eastAsia" w:ascii="宋体" w:hAnsi="宋体" w:eastAsia="宋体" w:cs="宋体"/>
                <w:spacing w:val="0"/>
                <w:w w:val="100"/>
                <w:lang w:val="en-US" w:eastAsia="zh-CN"/>
              </w:rPr>
              <w:t>4分。</w:t>
            </w:r>
          </w:p>
        </w:tc>
      </w:tr>
      <w:tr w14:paraId="6E3C7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25B704D0">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4F8F879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4F776696">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hint="eastAsia" w:ascii="宋体" w:hAnsi="宋体" w:eastAsia="宋体" w:cs="宋体"/>
                <w:spacing w:val="0"/>
                <w:w w:val="100"/>
                <w:lang w:val="en-US" w:eastAsia="zh-CN"/>
              </w:rPr>
              <w:t>进度管理体系与措施</w:t>
            </w:r>
            <w:r>
              <w:rPr>
                <w:rFonts w:ascii="宋体" w:hAnsi="宋体" w:eastAsia="宋体" w:cs="宋体"/>
                <w:spacing w:val="0"/>
                <w:w w:val="100"/>
              </w:rPr>
              <w:t>（</w:t>
            </w:r>
            <w:r>
              <w:rPr>
                <w:rFonts w:hint="eastAsia" w:ascii="宋体" w:hAnsi="宋体" w:eastAsia="宋体" w:cs="宋体"/>
                <w:spacing w:val="0"/>
                <w:w w:val="100"/>
                <w:lang w:val="en-US" w:eastAsia="zh-CN"/>
              </w:rPr>
              <w:t>4</w:t>
            </w:r>
            <w:r>
              <w:rPr>
                <w:rFonts w:ascii="宋体" w:hAnsi="宋体" w:eastAsia="宋体" w:cs="宋体"/>
                <w:spacing w:val="0"/>
                <w:w w:val="100"/>
              </w:rPr>
              <w:t>分）</w:t>
            </w:r>
          </w:p>
        </w:tc>
        <w:tc>
          <w:tcPr>
            <w:tcW w:w="5654" w:type="dxa"/>
            <w:vAlign w:val="center"/>
          </w:tcPr>
          <w:p w14:paraId="6409708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无此项不得分、基本完善1</w:t>
            </w:r>
            <w:r>
              <w:rPr>
                <w:rFonts w:hint="eastAsia" w:cs="宋体"/>
                <w:spacing w:val="0"/>
                <w:w w:val="100"/>
                <w:lang w:val="en-US" w:eastAsia="zh-CN"/>
              </w:rPr>
              <w:t>—</w:t>
            </w:r>
            <w:r>
              <w:rPr>
                <w:rFonts w:hint="eastAsia" w:ascii="宋体" w:hAnsi="宋体" w:eastAsia="宋体" w:cs="宋体"/>
                <w:spacing w:val="0"/>
                <w:w w:val="100"/>
                <w:lang w:val="en-US" w:eastAsia="zh-CN"/>
              </w:rPr>
              <w:t>2分、完善2.1</w:t>
            </w:r>
            <w:r>
              <w:rPr>
                <w:rFonts w:hint="eastAsia" w:cs="宋体"/>
                <w:spacing w:val="0"/>
                <w:w w:val="100"/>
                <w:lang w:val="en-US" w:eastAsia="zh-CN"/>
              </w:rPr>
              <w:t>—</w:t>
            </w:r>
            <w:r>
              <w:rPr>
                <w:rFonts w:hint="eastAsia" w:ascii="宋体" w:hAnsi="宋体" w:eastAsia="宋体" w:cs="宋体"/>
                <w:spacing w:val="0"/>
                <w:w w:val="100"/>
                <w:lang w:val="en-US" w:eastAsia="zh-CN"/>
              </w:rPr>
              <w:t>4分。</w:t>
            </w:r>
          </w:p>
        </w:tc>
      </w:tr>
      <w:tr w14:paraId="627E1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54FA02F6">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3D005E9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70902BDD">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r>
              <w:rPr>
                <w:rFonts w:hint="eastAsia" w:ascii="宋体" w:hAnsi="宋体" w:eastAsia="宋体" w:cs="宋体"/>
                <w:spacing w:val="0"/>
                <w:w w:val="100"/>
                <w:lang w:val="en-US" w:eastAsia="zh-CN"/>
              </w:rPr>
              <w:t>安全管理体系与措施</w:t>
            </w:r>
            <w:r>
              <w:rPr>
                <w:rFonts w:ascii="宋体" w:hAnsi="宋体" w:eastAsia="宋体" w:cs="宋体"/>
                <w:spacing w:val="0"/>
                <w:w w:val="100"/>
              </w:rPr>
              <w:t>（</w:t>
            </w:r>
            <w:r>
              <w:rPr>
                <w:rFonts w:hint="eastAsia" w:ascii="宋体" w:hAnsi="宋体" w:eastAsia="宋体" w:cs="宋体"/>
                <w:spacing w:val="0"/>
                <w:w w:val="100"/>
                <w:lang w:val="en-US" w:eastAsia="zh-CN"/>
              </w:rPr>
              <w:t>4</w:t>
            </w:r>
            <w:r>
              <w:rPr>
                <w:rFonts w:ascii="宋体" w:hAnsi="宋体" w:eastAsia="宋体" w:cs="宋体"/>
                <w:spacing w:val="0"/>
                <w:w w:val="100"/>
              </w:rPr>
              <w:t>分）</w:t>
            </w:r>
          </w:p>
        </w:tc>
        <w:tc>
          <w:tcPr>
            <w:tcW w:w="5654" w:type="dxa"/>
            <w:vAlign w:val="center"/>
          </w:tcPr>
          <w:p w14:paraId="539F8B9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无此项不得分、基本完善1</w:t>
            </w:r>
            <w:r>
              <w:rPr>
                <w:rFonts w:hint="eastAsia" w:cs="宋体"/>
                <w:spacing w:val="0"/>
                <w:w w:val="100"/>
                <w:lang w:val="en-US" w:eastAsia="zh-CN"/>
              </w:rPr>
              <w:t>—</w:t>
            </w:r>
            <w:r>
              <w:rPr>
                <w:rFonts w:hint="eastAsia" w:ascii="宋体" w:hAnsi="宋体" w:eastAsia="宋体" w:cs="宋体"/>
                <w:spacing w:val="0"/>
                <w:w w:val="100"/>
                <w:lang w:val="en-US" w:eastAsia="zh-CN"/>
              </w:rPr>
              <w:t>2分、完善2.1</w:t>
            </w:r>
            <w:r>
              <w:rPr>
                <w:rFonts w:hint="eastAsia" w:cs="宋体"/>
                <w:spacing w:val="0"/>
                <w:w w:val="100"/>
                <w:lang w:val="en-US" w:eastAsia="zh-CN"/>
              </w:rPr>
              <w:t>—</w:t>
            </w:r>
            <w:r>
              <w:rPr>
                <w:rFonts w:hint="eastAsia" w:ascii="宋体" w:hAnsi="宋体" w:eastAsia="宋体" w:cs="宋体"/>
                <w:spacing w:val="0"/>
                <w:w w:val="100"/>
                <w:lang w:val="en-US" w:eastAsia="zh-CN"/>
              </w:rPr>
              <w:t>4分。</w:t>
            </w:r>
          </w:p>
        </w:tc>
      </w:tr>
      <w:tr w14:paraId="6C157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394D6AF1">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62E9BA92">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0AF0D30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环境保护管理体系与措施</w:t>
            </w:r>
            <w:r>
              <w:rPr>
                <w:rFonts w:ascii="宋体" w:hAnsi="宋体" w:eastAsia="宋体" w:cs="宋体"/>
                <w:spacing w:val="0"/>
                <w:w w:val="100"/>
              </w:rPr>
              <w:t>（</w:t>
            </w:r>
            <w:r>
              <w:rPr>
                <w:rFonts w:hint="eastAsia" w:ascii="宋体" w:hAnsi="宋体" w:eastAsia="宋体" w:cs="宋体"/>
                <w:spacing w:val="0"/>
                <w:w w:val="100"/>
                <w:lang w:val="en-US" w:eastAsia="zh-CN"/>
              </w:rPr>
              <w:t>4</w:t>
            </w:r>
            <w:r>
              <w:rPr>
                <w:rFonts w:ascii="宋体" w:hAnsi="宋体" w:eastAsia="宋体" w:cs="宋体"/>
                <w:spacing w:val="0"/>
                <w:w w:val="100"/>
              </w:rPr>
              <w:t>分）</w:t>
            </w:r>
          </w:p>
        </w:tc>
        <w:tc>
          <w:tcPr>
            <w:tcW w:w="5654" w:type="dxa"/>
            <w:vAlign w:val="center"/>
          </w:tcPr>
          <w:p w14:paraId="60286F2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无此项不得分、基本完善1</w:t>
            </w:r>
            <w:r>
              <w:rPr>
                <w:rFonts w:hint="eastAsia" w:cs="宋体"/>
                <w:spacing w:val="0"/>
                <w:w w:val="100"/>
                <w:lang w:val="en-US" w:eastAsia="zh-CN"/>
              </w:rPr>
              <w:t>—</w:t>
            </w:r>
            <w:r>
              <w:rPr>
                <w:rFonts w:hint="eastAsia" w:ascii="宋体" w:hAnsi="宋体" w:eastAsia="宋体" w:cs="宋体"/>
                <w:spacing w:val="0"/>
                <w:w w:val="100"/>
                <w:lang w:val="en-US" w:eastAsia="zh-CN"/>
              </w:rPr>
              <w:t>2分、完善2.1</w:t>
            </w:r>
            <w:r>
              <w:rPr>
                <w:rFonts w:hint="eastAsia" w:cs="宋体"/>
                <w:spacing w:val="0"/>
                <w:w w:val="100"/>
                <w:lang w:val="en-US" w:eastAsia="zh-CN"/>
              </w:rPr>
              <w:t>—</w:t>
            </w:r>
            <w:r>
              <w:rPr>
                <w:rFonts w:hint="eastAsia" w:ascii="宋体" w:hAnsi="宋体" w:eastAsia="宋体" w:cs="宋体"/>
                <w:spacing w:val="0"/>
                <w:w w:val="100"/>
                <w:lang w:val="en-US" w:eastAsia="zh-CN"/>
              </w:rPr>
              <w:t>4分。</w:t>
            </w:r>
          </w:p>
        </w:tc>
      </w:tr>
      <w:tr w14:paraId="7D67C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10" w:type="dxa"/>
            <w:vMerge w:val="continue"/>
            <w:vAlign w:val="center"/>
          </w:tcPr>
          <w:p w14:paraId="052A80C3">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center"/>
              <w:textAlignment w:val="auto"/>
              <w:rPr>
                <w:spacing w:val="0"/>
                <w:w w:val="100"/>
              </w:rPr>
            </w:pPr>
          </w:p>
        </w:tc>
        <w:tc>
          <w:tcPr>
            <w:tcW w:w="838" w:type="dxa"/>
            <w:vMerge w:val="continue"/>
            <w:vAlign w:val="center"/>
          </w:tcPr>
          <w:p w14:paraId="705301B6">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ascii="宋体" w:hAnsi="宋体" w:eastAsia="宋体" w:cs="宋体"/>
                <w:spacing w:val="0"/>
                <w:w w:val="100"/>
              </w:rPr>
            </w:pPr>
          </w:p>
        </w:tc>
        <w:tc>
          <w:tcPr>
            <w:tcW w:w="1605" w:type="dxa"/>
            <w:vAlign w:val="center"/>
          </w:tcPr>
          <w:p w14:paraId="677FA79A">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资源配备计划</w:t>
            </w:r>
            <w:r>
              <w:rPr>
                <w:rFonts w:ascii="宋体" w:hAnsi="宋体" w:eastAsia="宋体" w:cs="宋体"/>
                <w:spacing w:val="0"/>
                <w:w w:val="100"/>
              </w:rPr>
              <w:t>（</w:t>
            </w:r>
            <w:r>
              <w:rPr>
                <w:rFonts w:hint="eastAsia" w:ascii="宋体" w:hAnsi="宋体" w:eastAsia="宋体" w:cs="宋体"/>
                <w:spacing w:val="0"/>
                <w:w w:val="100"/>
                <w:lang w:val="en-US" w:eastAsia="zh-CN"/>
              </w:rPr>
              <w:t>4</w:t>
            </w:r>
            <w:r>
              <w:rPr>
                <w:rFonts w:ascii="宋体" w:hAnsi="宋体" w:eastAsia="宋体" w:cs="宋体"/>
                <w:spacing w:val="0"/>
                <w:w w:val="100"/>
              </w:rPr>
              <w:t>分）</w:t>
            </w:r>
          </w:p>
        </w:tc>
        <w:tc>
          <w:tcPr>
            <w:tcW w:w="5654" w:type="dxa"/>
            <w:vAlign w:val="center"/>
          </w:tcPr>
          <w:p w14:paraId="22EC68C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spacing w:val="0"/>
                <w:w w:val="100"/>
                <w:lang w:val="en-US" w:eastAsia="zh-CN"/>
              </w:rPr>
            </w:pPr>
            <w:r>
              <w:rPr>
                <w:rFonts w:hint="eastAsia" w:ascii="宋体" w:hAnsi="宋体" w:eastAsia="宋体" w:cs="宋体"/>
                <w:spacing w:val="0"/>
                <w:w w:val="100"/>
                <w:lang w:val="en-US" w:eastAsia="zh-CN"/>
              </w:rPr>
              <w:t>拟投入的设备、仪器、劳动力、资金等：一般0-2分；合理</w:t>
            </w:r>
            <w:r>
              <w:rPr>
                <w:rFonts w:hint="eastAsia" w:cs="宋体"/>
                <w:spacing w:val="0"/>
                <w:w w:val="100"/>
                <w:lang w:val="en-US" w:eastAsia="zh-CN"/>
              </w:rPr>
              <w:t>2.1—</w:t>
            </w:r>
            <w:r>
              <w:rPr>
                <w:rFonts w:hint="eastAsia" w:ascii="宋体" w:hAnsi="宋体" w:eastAsia="宋体" w:cs="宋体"/>
                <w:spacing w:val="0"/>
                <w:w w:val="100"/>
                <w:lang w:val="en-US" w:eastAsia="zh-CN"/>
              </w:rPr>
              <w:t>4分。</w:t>
            </w:r>
          </w:p>
        </w:tc>
      </w:tr>
    </w:tbl>
    <w:p w14:paraId="26C22ED2">
      <w:pPr>
        <w:pStyle w:val="15"/>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right="0"/>
        <w:textAlignment w:val="auto"/>
        <w:rPr>
          <w:rFonts w:hint="eastAsia" w:ascii="宋体" w:hAnsi="宋体" w:eastAsia="宋体" w:cs="宋体"/>
          <w:color w:val="auto"/>
          <w:sz w:val="28"/>
          <w:szCs w:val="28"/>
          <w:highlight w:val="none"/>
        </w:rPr>
      </w:pPr>
    </w:p>
    <w:p w14:paraId="5D621B8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color w:val="auto"/>
          <w:sz w:val="28"/>
          <w:szCs w:val="28"/>
          <w:highlight w:val="red"/>
        </w:rPr>
      </w:pPr>
      <w:r>
        <w:rPr>
          <w:rFonts w:hint="eastAsia" w:ascii="宋体" w:hAnsi="宋体" w:eastAsia="宋体" w:cs="宋体"/>
          <w:b/>
          <w:color w:val="auto"/>
          <w:sz w:val="28"/>
          <w:szCs w:val="28"/>
          <w:highlight w:val="red"/>
        </w:rPr>
        <w:br w:type="page"/>
      </w:r>
    </w:p>
    <w:p w14:paraId="3C88844B">
      <w:pPr>
        <w:numPr>
          <w:ilvl w:val="0"/>
          <w:numId w:val="0"/>
        </w:numPr>
        <w:spacing w:before="158" w:line="360" w:lineRule="auto"/>
        <w:ind w:right="0" w:rightChars="0"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eastAsia="宋体" w:cs="宋体"/>
          <w:color w:val="auto"/>
          <w:sz w:val="28"/>
          <w:szCs w:val="28"/>
          <w:highlight w:val="none"/>
        </w:rPr>
        <w:t>评标方法</w:t>
      </w:r>
    </w:p>
    <w:p w14:paraId="4F7252F4">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评标采用综合评估法。评标委员会对满足招标文件实质要求的投标文件，根据本章第2.2款规定的评分标准进行打分，并按得分由高到低的顺序推荐中标候选人，但投标报价低于其成本的除外。综合评分相等时，以投标报价低的优先；投标报价也相等的，由招标人自行确定。</w:t>
      </w:r>
    </w:p>
    <w:p w14:paraId="6189ED99">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eastAsia="宋体" w:cs="宋体"/>
          <w:color w:val="auto"/>
          <w:sz w:val="28"/>
          <w:szCs w:val="28"/>
          <w:highlight w:val="none"/>
        </w:rPr>
        <w:t>评审标准</w:t>
      </w:r>
    </w:p>
    <w:p w14:paraId="4870F77D">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2.1</w:t>
      </w:r>
      <w:r>
        <w:rPr>
          <w:rFonts w:hint="eastAsia" w:ascii="宋体" w:hAnsi="宋体" w:eastAsia="宋体" w:cs="宋体"/>
          <w:color w:val="auto"/>
          <w:sz w:val="28"/>
          <w:szCs w:val="28"/>
          <w:highlight w:val="none"/>
        </w:rPr>
        <w:t>初步评审标准</w:t>
      </w:r>
    </w:p>
    <w:p w14:paraId="0C7DD195">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2.1.1形式评审标准：见评标办法前附表。</w:t>
      </w:r>
    </w:p>
    <w:p w14:paraId="09CBA474">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2.1.2资格评审标准：见评标办法前附表。</w:t>
      </w:r>
    </w:p>
    <w:p w14:paraId="1813F671">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2.1.3响应性评审标准：见评标办法前附表。</w:t>
      </w:r>
    </w:p>
    <w:p w14:paraId="717EC286">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2.2</w:t>
      </w:r>
      <w:r>
        <w:rPr>
          <w:rFonts w:hint="eastAsia" w:ascii="宋体" w:hAnsi="宋体" w:eastAsia="宋体" w:cs="宋体"/>
          <w:color w:val="auto"/>
          <w:sz w:val="28"/>
          <w:szCs w:val="28"/>
          <w:highlight w:val="none"/>
        </w:rPr>
        <w:t>分值构成与评分标准</w:t>
      </w:r>
    </w:p>
    <w:p w14:paraId="385661D4">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2.2.1分植构成</w:t>
      </w:r>
    </w:p>
    <w:p w14:paraId="5CB01E2D">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eastAsia="zh-CN"/>
        </w:rPr>
        <w:t>投标报价</w:t>
      </w:r>
      <w:r>
        <w:rPr>
          <w:rFonts w:hint="eastAsia" w:ascii="宋体" w:hAnsi="宋体" w:eastAsia="宋体" w:cs="宋体"/>
          <w:color w:val="auto"/>
          <w:sz w:val="28"/>
          <w:szCs w:val="28"/>
          <w:highlight w:val="none"/>
        </w:rPr>
        <w:t>：见评标办法前附表。</w:t>
      </w:r>
    </w:p>
    <w:p w14:paraId="767866A6">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eastAsia="zh-CN"/>
        </w:rPr>
        <w:t>商务部分</w:t>
      </w:r>
      <w:r>
        <w:rPr>
          <w:rFonts w:hint="eastAsia" w:ascii="宋体" w:hAnsi="宋体" w:eastAsia="宋体" w:cs="宋体"/>
          <w:color w:val="auto"/>
          <w:sz w:val="28"/>
          <w:szCs w:val="28"/>
          <w:highlight w:val="none"/>
        </w:rPr>
        <w:t>：见评标办法前附表。</w:t>
      </w:r>
    </w:p>
    <w:p w14:paraId="34010241">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设计方案</w:t>
      </w:r>
      <w:r>
        <w:rPr>
          <w:rFonts w:hint="eastAsia" w:ascii="宋体" w:hAnsi="宋体" w:eastAsia="宋体" w:cs="宋体"/>
          <w:color w:val="auto"/>
          <w:sz w:val="28"/>
          <w:szCs w:val="28"/>
          <w:highlight w:val="none"/>
        </w:rPr>
        <w:t>：见评标办法前附表。</w:t>
      </w:r>
    </w:p>
    <w:p w14:paraId="3EC19327">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（4）施工组织设计：见评标办法前附表。</w:t>
      </w:r>
    </w:p>
    <w:p w14:paraId="081FFEFD">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2.2.2评标基准价计算</w:t>
      </w:r>
    </w:p>
    <w:p w14:paraId="682C1ACE">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评标基准价计算方法：见评标办法前附表。</w:t>
      </w:r>
    </w:p>
    <w:p w14:paraId="04FDC245">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2.2.3投标报价的偏差率计算</w:t>
      </w:r>
    </w:p>
    <w:p w14:paraId="014AC908">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投标报价的偏差率计算公式：见评标办法前附表。</w:t>
      </w:r>
    </w:p>
    <w:p w14:paraId="6D911B31">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2.2.4评分标准</w:t>
      </w:r>
    </w:p>
    <w:p w14:paraId="345D945A">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eastAsia="zh-CN"/>
        </w:rPr>
        <w:t>投标报价</w:t>
      </w:r>
      <w:r>
        <w:rPr>
          <w:rFonts w:hint="eastAsia" w:ascii="宋体" w:hAnsi="宋体" w:eastAsia="宋体" w:cs="宋体"/>
          <w:color w:val="auto"/>
          <w:sz w:val="28"/>
          <w:szCs w:val="28"/>
          <w:highlight w:val="none"/>
        </w:rPr>
        <w:t>：见评标办法前附表。</w:t>
      </w:r>
    </w:p>
    <w:p w14:paraId="5D1BE19B">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eastAsia="zh-CN"/>
        </w:rPr>
        <w:t>商务部分</w:t>
      </w:r>
      <w:r>
        <w:rPr>
          <w:rFonts w:hint="eastAsia" w:ascii="宋体" w:hAnsi="宋体" w:eastAsia="宋体" w:cs="宋体"/>
          <w:color w:val="auto"/>
          <w:sz w:val="28"/>
          <w:szCs w:val="28"/>
          <w:highlight w:val="none"/>
        </w:rPr>
        <w:t>：见评标办法前附表。</w:t>
      </w:r>
    </w:p>
    <w:p w14:paraId="0E3C8B6A">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设计方案</w:t>
      </w:r>
      <w:r>
        <w:rPr>
          <w:rFonts w:hint="eastAsia" w:ascii="宋体" w:hAnsi="宋体" w:eastAsia="宋体" w:cs="宋体"/>
          <w:color w:val="auto"/>
          <w:sz w:val="28"/>
          <w:szCs w:val="28"/>
          <w:highlight w:val="none"/>
        </w:rPr>
        <w:t>：见评标办法前附表。</w:t>
      </w:r>
    </w:p>
    <w:p w14:paraId="5C338D8F">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（4）施工组织设计：见评标办法前附表。</w:t>
      </w:r>
    </w:p>
    <w:p w14:paraId="7D29CE1B">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eastAsia="宋体" w:cs="宋体"/>
          <w:color w:val="auto"/>
          <w:sz w:val="28"/>
          <w:szCs w:val="28"/>
          <w:highlight w:val="none"/>
        </w:rPr>
        <w:t>评标程序</w:t>
      </w:r>
    </w:p>
    <w:p w14:paraId="2A7A4646">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3.1</w:t>
      </w:r>
      <w:r>
        <w:rPr>
          <w:rFonts w:hint="eastAsia" w:ascii="宋体" w:hAnsi="宋体" w:eastAsia="宋体" w:cs="宋体"/>
          <w:color w:val="auto"/>
          <w:sz w:val="28"/>
          <w:szCs w:val="28"/>
          <w:highlight w:val="none"/>
        </w:rPr>
        <w:t>初步评审</w:t>
      </w:r>
    </w:p>
    <w:p w14:paraId="18EBC8CC">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3.1.1评标委员会可以要求投标人提交第二章“投标人须知”第3.5.1项至第3.5.5项规定的有关证明和证件。评标委员会依据本章第2.1款规定的标准对投标文件进行初步评审。有一项不符合评审标准的，作废标处理。</w:t>
      </w:r>
    </w:p>
    <w:p w14:paraId="343DB385">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3.1.2投标人有以下情形之一的，评标委员会应当否决其投标：</w:t>
      </w:r>
    </w:p>
    <w:p w14:paraId="2C6A6179">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（1）第二章“投标人须知”第1.4.3项、第1.4.4项规定的任何一种情形的；</w:t>
      </w:r>
    </w:p>
    <w:p w14:paraId="5182D6C4">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（2）串通投标或弄虚作假或有其他违法行为的；</w:t>
      </w:r>
    </w:p>
    <w:p w14:paraId="69498555">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（3）不按评标委员会要求澄清、说明或补正的。</w:t>
      </w:r>
    </w:p>
    <w:p w14:paraId="085A5447">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3.1.3投标报价有算术错误的，评标委员会按以下原则对投标报价进行修正，修正的价格经投标人书面确认后具有约束力。投标人不接受修正价格的，其投标作废标处理。</w:t>
      </w:r>
    </w:p>
    <w:p w14:paraId="5818B63D">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(1)投标文件中的大写金额与小写金额不一致的，以大写金额为准；</w:t>
      </w:r>
    </w:p>
    <w:p w14:paraId="4ECCB8AD">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(2)总价金额与依据单价计算出的结果不一致的，以单价金额为准修正总价，但单价金额小数点有明显错误的除外。</w:t>
      </w:r>
    </w:p>
    <w:p w14:paraId="6FB53A51">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3.2</w:t>
      </w:r>
      <w:r>
        <w:rPr>
          <w:rFonts w:hint="eastAsia" w:ascii="宋体" w:hAnsi="宋体" w:eastAsia="宋体" w:cs="宋体"/>
          <w:color w:val="auto"/>
          <w:sz w:val="28"/>
          <w:szCs w:val="28"/>
          <w:highlight w:val="none"/>
        </w:rPr>
        <w:t>详细评审</w:t>
      </w:r>
    </w:p>
    <w:p w14:paraId="7C51D1FE">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3.2.1评标委员会按本章第2.2款规定的量化因素和分值进行打分，并计算出综合评估得分。</w:t>
      </w:r>
    </w:p>
    <w:p w14:paraId="57B22763">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按本章第2.2款规定的评分标准进行打分，并计算出综合得分。</w:t>
      </w:r>
    </w:p>
    <w:p w14:paraId="15D3E38D">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3.2.1评标委员会按本章第2.2款规定的量化因素和分值进行打分，并计算出综合评估得分。</w:t>
      </w:r>
    </w:p>
    <w:p w14:paraId="12C4606A">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（1）按本章第2.2.4（1）目规定的评审因素和分值对</w:t>
      </w:r>
      <w:bookmarkStart w:id="293" w:name="OLE_LINK1"/>
      <w:r>
        <w:rPr>
          <w:rFonts w:hint="eastAsia" w:ascii="宋体" w:hAnsi="宋体" w:eastAsia="宋体" w:cs="宋体"/>
          <w:color w:val="auto"/>
          <w:sz w:val="28"/>
          <w:szCs w:val="28"/>
          <w:highlight w:val="none"/>
        </w:rPr>
        <w:t>投标报价计</w:t>
      </w:r>
      <w:bookmarkEnd w:id="293"/>
      <w:r>
        <w:rPr>
          <w:rFonts w:hint="eastAsia" w:ascii="宋体" w:hAnsi="宋体" w:eastAsia="宋体" w:cs="宋体"/>
          <w:color w:val="auto"/>
          <w:sz w:val="28"/>
          <w:szCs w:val="28"/>
          <w:highlight w:val="none"/>
        </w:rPr>
        <w:t>算出得分A；</w:t>
      </w:r>
    </w:p>
    <w:p w14:paraId="2B5BE752">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（2）按本章第2.2.4（2）目规定的评审因素和分值对商务部分计算出得分B；</w:t>
      </w:r>
    </w:p>
    <w:p w14:paraId="7BD242F1">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（3）按本章第2.2.4（3）目规定的评审因素和分值对设计方案计算出得分C。</w:t>
      </w:r>
    </w:p>
    <w:p w14:paraId="198B6A25">
      <w:pPr>
        <w:spacing w:line="360" w:lineRule="auto"/>
        <w:ind w:right="28"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（4）按本章第2.2.4（3）目规定的评审因素和分值对施工组织设计计算出得分D。</w:t>
      </w:r>
    </w:p>
    <w:p w14:paraId="4630DDD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3.2.2评分分值计算保留小数点后</w:t>
      </w:r>
      <w:r>
        <w:rPr>
          <w:rFonts w:hint="eastAsia" w:ascii="宋体" w:hAnsi="宋体" w:cs="宋体"/>
          <w:color w:val="auto"/>
          <w:sz w:val="28"/>
          <w:szCs w:val="28"/>
          <w:highlight w:val="none"/>
          <w:lang w:eastAsia="zh-CN"/>
        </w:rPr>
        <w:t>两</w:t>
      </w:r>
      <w:r>
        <w:rPr>
          <w:rFonts w:hint="eastAsia" w:ascii="宋体" w:hAnsi="宋体" w:eastAsia="宋体" w:cs="宋体"/>
          <w:color w:val="auto"/>
          <w:sz w:val="28"/>
          <w:szCs w:val="28"/>
          <w:highlight w:val="none"/>
        </w:rPr>
        <w:t>位，小数点后第</w:t>
      </w:r>
      <w:r>
        <w:rPr>
          <w:rFonts w:hint="eastAsia" w:ascii="宋体" w:hAnsi="宋体" w:cs="宋体"/>
          <w:color w:val="auto"/>
          <w:sz w:val="28"/>
          <w:szCs w:val="28"/>
          <w:highlight w:val="none"/>
          <w:lang w:eastAsia="zh-CN"/>
        </w:rPr>
        <w:t>三</w:t>
      </w:r>
      <w:r>
        <w:rPr>
          <w:rFonts w:hint="eastAsia" w:ascii="宋体" w:hAnsi="宋体" w:eastAsia="宋体" w:cs="宋体"/>
          <w:color w:val="auto"/>
          <w:sz w:val="28"/>
          <w:szCs w:val="28"/>
          <w:highlight w:val="none"/>
        </w:rPr>
        <w:t>位“四舍五入”。</w:t>
      </w:r>
    </w:p>
    <w:p w14:paraId="07EA6677">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3.2.3投标人得分=A+B+C+D。</w:t>
      </w:r>
    </w:p>
    <w:p w14:paraId="5CFFBCAE">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3.2.4评标委员会发现投标人的报价明显低于其他投标报价，或者在设有标底时明显低于标底，使得其投标报价可能低于其个别成本的，应当要求该投标人作出书面说明并提供相应的证明材料。投标人不能合理说明或者不能相应证明材料的，由评标委员会认定该投标人以低于成本报价竞标，其投标作废标处理。</w:t>
      </w:r>
    </w:p>
    <w:p w14:paraId="4941090B">
      <w:pPr>
        <w:spacing w:line="360" w:lineRule="auto"/>
        <w:ind w:right="28" w:firstLine="562"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3.3</w:t>
      </w:r>
      <w:r>
        <w:rPr>
          <w:rFonts w:hint="eastAsia" w:ascii="宋体" w:hAnsi="宋体" w:eastAsia="宋体" w:cs="宋体"/>
          <w:color w:val="auto"/>
          <w:sz w:val="28"/>
          <w:szCs w:val="28"/>
          <w:highlight w:val="none"/>
        </w:rPr>
        <w:t>投标文件的澄清和补正</w:t>
      </w:r>
    </w:p>
    <w:p w14:paraId="25BC72B7">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3.3.1在评标过程中，评标委员会可以书面形式要求投标人对所提交的投标文件中不明确的内容进行书面澄清或说明，或者对细微偏差进行补正。评标委员会不接受投标人主动提出的澄清、说明或补正。</w:t>
      </w:r>
    </w:p>
    <w:p w14:paraId="155B621B">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3.3.2澄清、说明和补正不得改变投标文件的实质性内容(算术性错误修正的除外)。投标人的书面澄清、说明和补正属于投标文件的组成部分。</w:t>
      </w:r>
    </w:p>
    <w:p w14:paraId="4FB78B86">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3.3.3评标委员会对投标人提交的澄清、说明或补正有疑问的，可以要求投标人进一步澄清、说明或补正，直至满足评标委员会的要求。</w:t>
      </w:r>
    </w:p>
    <w:p w14:paraId="332591DE">
      <w:pPr>
        <w:spacing w:line="360" w:lineRule="auto"/>
        <w:ind w:firstLine="562" w:firstLineChars="200"/>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3.4</w:t>
      </w:r>
      <w:r>
        <w:rPr>
          <w:rFonts w:hint="eastAsia" w:ascii="宋体" w:hAnsi="宋体" w:eastAsia="宋体" w:cs="宋体"/>
          <w:color w:val="auto"/>
          <w:sz w:val="28"/>
          <w:szCs w:val="28"/>
          <w:highlight w:val="none"/>
        </w:rPr>
        <w:t>评标结果</w:t>
      </w:r>
    </w:p>
    <w:p w14:paraId="15EB375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3.4.1除第二章“投标人须知”前附表授权直接确定中标人外，评标委员会按照得分由高到低的顺序推荐中标候选人。</w:t>
      </w:r>
    </w:p>
    <w:p w14:paraId="749CFC0D">
      <w:pP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3.4.2评标委员会完成评标后，应当向招标人提交书面评标报告。</w:t>
      </w:r>
    </w:p>
    <w:p w14:paraId="75123081">
      <w:pPr>
        <w:pStyle w:val="3"/>
        <w:keepNext w:val="0"/>
        <w:keepLines w:val="0"/>
        <w:adjustRightInd w:val="0"/>
        <w:snapToGrid w:val="0"/>
        <w:spacing w:before="0" w:after="0" w:line="360" w:lineRule="auto"/>
        <w:ind w:firstLine="562" w:firstLineChars="200"/>
        <w:rPr>
          <w:rFonts w:hint="eastAsia" w:ascii="宋体" w:hAnsi="宋体" w:eastAsia="宋体" w:cs="宋体"/>
          <w:b w:val="0"/>
          <w:bCs w:val="0"/>
          <w:color w:val="auto"/>
          <w:sz w:val="28"/>
          <w:szCs w:val="28"/>
          <w:highlight w:val="none"/>
        </w:rPr>
      </w:pPr>
      <w:bookmarkStart w:id="294" w:name="_Toc25240"/>
      <w:bookmarkStart w:id="295" w:name="_Toc4888"/>
      <w:bookmarkStart w:id="296" w:name="_Toc22009"/>
      <w:bookmarkStart w:id="297" w:name="_Toc18354"/>
      <w:bookmarkStart w:id="298" w:name="_Toc20435"/>
      <w:bookmarkStart w:id="299" w:name="_Toc8159"/>
      <w:bookmarkStart w:id="300" w:name="_Toc13162"/>
      <w:r>
        <w:rPr>
          <w:rFonts w:hint="eastAsia" w:ascii="宋体" w:hAnsi="宋体" w:eastAsia="宋体" w:cs="宋体"/>
          <w:bCs w:val="0"/>
          <w:color w:val="auto"/>
          <w:sz w:val="28"/>
          <w:szCs w:val="28"/>
          <w:highlight w:val="none"/>
        </w:rPr>
        <w:t>4.</w:t>
      </w:r>
      <w:r>
        <w:rPr>
          <w:rFonts w:hint="eastAsia" w:ascii="宋体" w:hAnsi="宋体" w:eastAsia="宋体" w:cs="宋体"/>
          <w:b w:val="0"/>
          <w:bCs w:val="0"/>
          <w:color w:val="auto"/>
          <w:sz w:val="28"/>
          <w:szCs w:val="28"/>
          <w:highlight w:val="none"/>
        </w:rPr>
        <w:t>评标办法使用要求</w:t>
      </w:r>
      <w:bookmarkEnd w:id="294"/>
      <w:bookmarkEnd w:id="295"/>
      <w:bookmarkEnd w:id="296"/>
      <w:bookmarkEnd w:id="297"/>
      <w:bookmarkEnd w:id="298"/>
      <w:bookmarkEnd w:id="299"/>
      <w:bookmarkEnd w:id="300"/>
    </w:p>
    <w:p w14:paraId="3E6A4758">
      <w:pPr>
        <w:widowControl/>
        <w:spacing w:line="360" w:lineRule="auto"/>
        <w:ind w:firstLine="560" w:firstLineChars="200"/>
        <w:outlineLvl w:val="1"/>
        <w:rPr>
          <w:rFonts w:hint="eastAsia" w:ascii="宋体" w:hAnsi="宋体" w:eastAsia="宋体" w:cs="宋体"/>
          <w:color w:val="auto"/>
          <w:sz w:val="28"/>
          <w:szCs w:val="28"/>
          <w:highlight w:val="none"/>
        </w:rPr>
      </w:pPr>
      <w:bookmarkStart w:id="301" w:name="_Toc19023"/>
      <w:bookmarkStart w:id="302" w:name="_Toc17982"/>
      <w:bookmarkStart w:id="303" w:name="_Toc24256"/>
      <w:bookmarkStart w:id="304" w:name="_Toc16809"/>
      <w:bookmarkStart w:id="305" w:name="_Toc1962"/>
      <w:bookmarkStart w:id="306" w:name="_Toc5525"/>
      <w:bookmarkStart w:id="307" w:name="_Toc14159"/>
      <w:r>
        <w:rPr>
          <w:rFonts w:hint="eastAsia" w:ascii="宋体" w:hAnsi="宋体" w:eastAsia="宋体" w:cs="宋体"/>
          <w:color w:val="auto"/>
          <w:sz w:val="28"/>
          <w:szCs w:val="28"/>
          <w:highlight w:val="none"/>
        </w:rPr>
        <w:t>4.1.招标人在一个项目中，对所有投标人评标标准和方法必须相同。评标标准和方法应当在招标文件中载明，在评标时不得对招标文件中载明的评标标准和方法进行修改和补充。</w:t>
      </w:r>
      <w:bookmarkEnd w:id="301"/>
      <w:bookmarkEnd w:id="302"/>
      <w:bookmarkEnd w:id="303"/>
      <w:bookmarkEnd w:id="304"/>
      <w:bookmarkEnd w:id="305"/>
      <w:bookmarkEnd w:id="306"/>
      <w:bookmarkEnd w:id="307"/>
    </w:p>
    <w:p w14:paraId="7D900389">
      <w:pPr>
        <w:spacing w:line="360" w:lineRule="auto"/>
        <w:ind w:firstLine="560" w:firstLineChars="2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满足招标文件实质性要求的投标文件，按照本规定的评分标准进行打分，并按得分由高到低顺序推荐中标候选人，或根据招标人授权直接确定中标人。综合评分相等时，以投标报价低的优先；投标报价也相等的，由招标人或其授权的评标委员会自行确定。</w:t>
      </w:r>
    </w:p>
    <w:p w14:paraId="58DB48C3">
      <w:pPr>
        <w:bidi w:val="0"/>
        <w:rPr>
          <w:rFonts w:hint="eastAsia" w:ascii="宋体" w:hAnsi="宋体" w:eastAsia="宋体" w:cs="宋体"/>
          <w:color w:val="auto"/>
          <w:highlight w:val="none"/>
        </w:rPr>
      </w:pPr>
    </w:p>
    <w:p w14:paraId="5B0C98DF">
      <w:pPr>
        <w:bidi w:val="0"/>
        <w:rPr>
          <w:rFonts w:hint="eastAsia" w:ascii="宋体" w:hAnsi="宋体" w:eastAsia="宋体" w:cs="宋体"/>
          <w:color w:val="auto"/>
          <w:highlight w:val="none"/>
        </w:rPr>
      </w:pPr>
    </w:p>
    <w:p w14:paraId="699DA5FB">
      <w:pPr>
        <w:bidi w:val="0"/>
        <w:rPr>
          <w:rFonts w:hint="eastAsia" w:ascii="宋体" w:hAnsi="宋体" w:eastAsia="宋体" w:cs="宋体"/>
          <w:color w:val="auto"/>
          <w:highlight w:val="none"/>
        </w:rPr>
      </w:pPr>
    </w:p>
    <w:p w14:paraId="5ED26498">
      <w:pPr>
        <w:bidi w:val="0"/>
        <w:rPr>
          <w:rFonts w:hint="eastAsia" w:ascii="宋体" w:hAnsi="宋体" w:eastAsia="宋体" w:cs="宋体"/>
          <w:color w:val="auto"/>
          <w:highlight w:val="none"/>
        </w:rPr>
      </w:pPr>
    </w:p>
    <w:p w14:paraId="651DB2D4">
      <w:pPr>
        <w:bidi w:val="0"/>
        <w:rPr>
          <w:rFonts w:hint="eastAsia" w:ascii="宋体" w:hAnsi="宋体" w:eastAsia="宋体" w:cs="宋体"/>
          <w:color w:val="auto"/>
          <w:highlight w:val="none"/>
        </w:rPr>
      </w:pPr>
    </w:p>
    <w:p w14:paraId="40D47473">
      <w:pPr>
        <w:bidi w:val="0"/>
        <w:rPr>
          <w:rFonts w:hint="eastAsia" w:ascii="宋体" w:hAnsi="宋体" w:eastAsia="宋体" w:cs="宋体"/>
          <w:color w:val="auto"/>
          <w:highlight w:val="none"/>
        </w:rPr>
      </w:pPr>
    </w:p>
    <w:p w14:paraId="457DADDF">
      <w:pPr>
        <w:bidi w:val="0"/>
        <w:rPr>
          <w:rFonts w:hint="eastAsia" w:ascii="宋体" w:hAnsi="宋体" w:eastAsia="宋体" w:cs="宋体"/>
          <w:color w:val="auto"/>
          <w:highlight w:val="none"/>
        </w:rPr>
      </w:pPr>
    </w:p>
    <w:p w14:paraId="4126C6A8">
      <w:pPr>
        <w:bidi w:val="0"/>
        <w:rPr>
          <w:rFonts w:hint="eastAsia" w:ascii="宋体" w:hAnsi="宋体" w:eastAsia="宋体" w:cs="宋体"/>
          <w:color w:val="auto"/>
          <w:highlight w:val="none"/>
        </w:rPr>
      </w:pPr>
    </w:p>
    <w:p w14:paraId="62278916">
      <w:pPr>
        <w:bidi w:val="0"/>
        <w:rPr>
          <w:rFonts w:hint="eastAsia" w:ascii="宋体" w:hAnsi="宋体" w:eastAsia="宋体" w:cs="宋体"/>
          <w:color w:val="auto"/>
          <w:highlight w:val="none"/>
        </w:rPr>
      </w:pPr>
    </w:p>
    <w:p w14:paraId="535918AA">
      <w:pPr>
        <w:bidi w:val="0"/>
        <w:rPr>
          <w:rFonts w:hint="eastAsia" w:ascii="宋体" w:hAnsi="宋体" w:eastAsia="宋体" w:cs="宋体"/>
          <w:color w:val="auto"/>
          <w:highlight w:val="none"/>
        </w:rPr>
      </w:pPr>
    </w:p>
    <w:p w14:paraId="5555E32D">
      <w:pPr>
        <w:bidi w:val="0"/>
        <w:rPr>
          <w:rFonts w:hint="eastAsia" w:ascii="宋体" w:hAnsi="宋体" w:eastAsia="宋体" w:cs="宋体"/>
          <w:color w:val="auto"/>
          <w:highlight w:val="none"/>
        </w:rPr>
      </w:pPr>
    </w:p>
    <w:p w14:paraId="1A770B5C">
      <w:pPr>
        <w:bidi w:val="0"/>
        <w:rPr>
          <w:rFonts w:hint="eastAsia" w:ascii="宋体" w:hAnsi="宋体" w:eastAsia="宋体" w:cs="宋体"/>
          <w:color w:val="auto"/>
          <w:highlight w:val="none"/>
        </w:rPr>
      </w:pPr>
    </w:p>
    <w:p w14:paraId="1FB10B28">
      <w:pPr>
        <w:bidi w:val="0"/>
        <w:rPr>
          <w:rFonts w:hint="eastAsia" w:ascii="宋体" w:hAnsi="宋体" w:eastAsia="宋体" w:cs="宋体"/>
          <w:color w:val="auto"/>
          <w:highlight w:val="none"/>
        </w:rPr>
      </w:pPr>
    </w:p>
    <w:p w14:paraId="1118508A">
      <w:pPr>
        <w:bidi w:val="0"/>
        <w:rPr>
          <w:rFonts w:hint="eastAsia" w:ascii="宋体" w:hAnsi="宋体" w:eastAsia="宋体" w:cs="宋体"/>
          <w:color w:val="auto"/>
          <w:highlight w:val="none"/>
        </w:rPr>
      </w:pPr>
    </w:p>
    <w:p w14:paraId="2CB8A495">
      <w:pPr>
        <w:bidi w:val="0"/>
        <w:rPr>
          <w:rFonts w:hint="eastAsia" w:ascii="宋体" w:hAnsi="宋体" w:eastAsia="宋体" w:cs="宋体"/>
          <w:color w:val="auto"/>
          <w:highlight w:val="none"/>
        </w:rPr>
      </w:pPr>
    </w:p>
    <w:p w14:paraId="423CB795">
      <w:pPr>
        <w:bidi w:val="0"/>
        <w:rPr>
          <w:rFonts w:hint="eastAsia" w:ascii="宋体" w:hAnsi="宋体" w:eastAsia="宋体" w:cs="宋体"/>
          <w:color w:val="auto"/>
          <w:highlight w:val="none"/>
        </w:rPr>
      </w:pPr>
    </w:p>
    <w:p w14:paraId="75068D4E">
      <w:pPr>
        <w:bidi w:val="0"/>
        <w:rPr>
          <w:rFonts w:hint="eastAsia" w:ascii="宋体" w:hAnsi="宋体" w:eastAsia="宋体" w:cs="宋体"/>
          <w:color w:val="auto"/>
          <w:highlight w:val="none"/>
        </w:rPr>
      </w:pPr>
    </w:p>
    <w:p w14:paraId="4BEFE655">
      <w:pPr>
        <w:bidi w:val="0"/>
        <w:rPr>
          <w:rFonts w:hint="eastAsia" w:ascii="宋体" w:hAnsi="宋体" w:eastAsia="宋体" w:cs="宋体"/>
          <w:color w:val="auto"/>
          <w:highlight w:val="none"/>
        </w:rPr>
      </w:pPr>
    </w:p>
    <w:p w14:paraId="1C57F299">
      <w:pPr>
        <w:bidi w:val="0"/>
        <w:rPr>
          <w:rFonts w:hint="eastAsia" w:ascii="宋体" w:hAnsi="宋体" w:eastAsia="宋体" w:cs="宋体"/>
          <w:color w:val="auto"/>
          <w:highlight w:val="none"/>
        </w:rPr>
      </w:pPr>
    </w:p>
    <w:p w14:paraId="791959CE">
      <w:pPr>
        <w:bidi w:val="0"/>
        <w:rPr>
          <w:rFonts w:hint="eastAsia" w:ascii="宋体" w:hAnsi="宋体" w:eastAsia="宋体" w:cs="宋体"/>
          <w:color w:val="auto"/>
          <w:highlight w:val="none"/>
        </w:rPr>
      </w:pPr>
    </w:p>
    <w:p w14:paraId="45898FA5">
      <w:pPr>
        <w:bidi w:val="0"/>
        <w:rPr>
          <w:rFonts w:hint="eastAsia" w:ascii="宋体" w:hAnsi="宋体" w:eastAsia="宋体" w:cs="宋体"/>
          <w:color w:val="auto"/>
          <w:highlight w:val="none"/>
        </w:rPr>
      </w:pPr>
    </w:p>
    <w:p w14:paraId="55DA9716">
      <w:pPr>
        <w:bidi w:val="0"/>
        <w:rPr>
          <w:rFonts w:hint="eastAsia" w:ascii="宋体" w:hAnsi="宋体" w:eastAsia="宋体" w:cs="宋体"/>
          <w:color w:val="auto"/>
          <w:highlight w:val="none"/>
        </w:rPr>
      </w:pPr>
    </w:p>
    <w:p w14:paraId="6EA22D04">
      <w:pPr>
        <w:bidi w:val="0"/>
        <w:rPr>
          <w:rFonts w:hint="eastAsia" w:ascii="宋体" w:hAnsi="宋体" w:eastAsia="宋体" w:cs="宋体"/>
          <w:color w:val="auto"/>
          <w:highlight w:val="none"/>
        </w:rPr>
      </w:pPr>
    </w:p>
    <w:p w14:paraId="2714E387">
      <w:pPr>
        <w:bidi w:val="0"/>
        <w:rPr>
          <w:rFonts w:hint="eastAsia" w:ascii="宋体" w:hAnsi="宋体" w:eastAsia="宋体" w:cs="宋体"/>
          <w:color w:val="auto"/>
          <w:highlight w:val="none"/>
        </w:rPr>
      </w:pPr>
    </w:p>
    <w:p w14:paraId="756223CA">
      <w:pPr>
        <w:bidi w:val="0"/>
        <w:rPr>
          <w:rFonts w:hint="eastAsia" w:ascii="宋体" w:hAnsi="宋体" w:eastAsia="宋体" w:cs="宋体"/>
          <w:color w:val="auto"/>
          <w:highlight w:val="none"/>
        </w:rPr>
      </w:pPr>
    </w:p>
    <w:p w14:paraId="5D87A003">
      <w:pPr>
        <w:bidi w:val="0"/>
        <w:rPr>
          <w:rFonts w:hint="eastAsia" w:ascii="宋体" w:hAnsi="宋体" w:eastAsia="宋体" w:cs="宋体"/>
          <w:color w:val="auto"/>
          <w:highlight w:val="none"/>
        </w:rPr>
      </w:pPr>
    </w:p>
    <w:p w14:paraId="22B0A2E5">
      <w:pPr>
        <w:bidi w:val="0"/>
        <w:rPr>
          <w:rFonts w:hint="eastAsia" w:ascii="宋体" w:hAnsi="宋体" w:eastAsia="宋体" w:cs="宋体"/>
          <w:color w:val="auto"/>
          <w:highlight w:val="none"/>
        </w:rPr>
      </w:pPr>
    </w:p>
    <w:p w14:paraId="7FF36C7F">
      <w:pPr>
        <w:pStyle w:val="2"/>
        <w:bidi w:val="0"/>
        <w:spacing w:before="0" w:after="0" w:line="240" w:lineRule="auto"/>
        <w:jc w:val="center"/>
        <w:rPr>
          <w:rFonts w:hint="eastAsia" w:ascii="宋体" w:hAnsi="宋体" w:eastAsia="宋体" w:cs="宋体"/>
          <w:color w:val="auto"/>
          <w:highlight w:val="none"/>
          <w:lang w:val="en-US" w:eastAsia="zh-CN"/>
        </w:rPr>
      </w:pPr>
      <w:bookmarkStart w:id="308" w:name="_Toc282823855"/>
      <w:bookmarkStart w:id="309" w:name="_Toc282843666"/>
      <w:bookmarkStart w:id="310" w:name="_Toc283128985"/>
      <w:bookmarkStart w:id="311" w:name="_Toc28900"/>
      <w:bookmarkStart w:id="312" w:name="_Toc9717"/>
      <w:bookmarkStart w:id="313" w:name="_Toc15162"/>
      <w:bookmarkStart w:id="314" w:name="_Toc16285"/>
      <w:bookmarkStart w:id="315" w:name="_Toc2183"/>
      <w:bookmarkStart w:id="316" w:name="_Toc283289428"/>
      <w:bookmarkStart w:id="317" w:name="_Toc27288"/>
      <w:bookmarkStart w:id="318" w:name="_Toc7936"/>
      <w:r>
        <w:rPr>
          <w:rFonts w:hint="eastAsia" w:ascii="宋体" w:hAnsi="宋体" w:eastAsia="宋体" w:cs="宋体"/>
          <w:color w:val="auto"/>
          <w:highlight w:val="none"/>
          <w:lang w:val="en-US" w:eastAsia="zh-CN"/>
        </w:rPr>
        <w:t>第四章合同条款</w:t>
      </w:r>
      <w:bookmarkEnd w:id="308"/>
      <w:bookmarkEnd w:id="309"/>
      <w:bookmarkEnd w:id="310"/>
      <w:r>
        <w:rPr>
          <w:rFonts w:hint="eastAsia" w:ascii="宋体" w:hAnsi="宋体" w:eastAsia="宋体" w:cs="宋体"/>
          <w:color w:val="auto"/>
          <w:highlight w:val="none"/>
          <w:lang w:val="en-US" w:eastAsia="zh-CN"/>
        </w:rPr>
        <w:t>及格式</w:t>
      </w:r>
      <w:bookmarkEnd w:id="311"/>
      <w:bookmarkEnd w:id="312"/>
      <w:bookmarkEnd w:id="313"/>
      <w:bookmarkEnd w:id="314"/>
      <w:bookmarkEnd w:id="315"/>
      <w:bookmarkEnd w:id="316"/>
      <w:bookmarkEnd w:id="317"/>
      <w:bookmarkEnd w:id="318"/>
    </w:p>
    <w:p w14:paraId="6F655A03">
      <w:pPr>
        <w:spacing w:before="104" w:line="219"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参照《建设项目工程总承包合同示范文本》GF-2020-0216编制</w:t>
      </w:r>
    </w:p>
    <w:p w14:paraId="58D477A8">
      <w:pPr>
        <w:spacing w:line="302" w:lineRule="auto"/>
        <w:rPr>
          <w:rFonts w:hint="eastAsia" w:ascii="宋体" w:hAnsi="宋体" w:eastAsia="宋体" w:cs="宋体"/>
          <w:color w:val="auto"/>
          <w:spacing w:val="0"/>
          <w:sz w:val="21"/>
          <w:highlight w:val="none"/>
        </w:rPr>
      </w:pPr>
    </w:p>
    <w:p w14:paraId="1BF235E1">
      <w:pPr>
        <w:jc w:val="center"/>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注：此合同仅为范本，最终以签订的合同文件为准。</w:t>
      </w:r>
    </w:p>
    <w:p w14:paraId="0C964594">
      <w:pPr>
        <w:rPr>
          <w:rFonts w:hint="eastAsia" w:ascii="宋体" w:hAnsi="宋体" w:eastAsia="宋体" w:cs="宋体"/>
          <w:color w:val="auto"/>
          <w:highlight w:val="none"/>
          <w:lang w:val="en-US" w:eastAsia="zh-CN"/>
        </w:rPr>
      </w:pPr>
    </w:p>
    <w:p w14:paraId="5C8A5B54">
      <w:pPr>
        <w:wordWrap/>
        <w:topLinePunct w:val="0"/>
        <w:ind w:firstLine="640"/>
        <w:rPr>
          <w:rFonts w:hint="eastAsia" w:ascii="宋体" w:hAnsi="宋体" w:eastAsia="宋体" w:cs="宋体"/>
          <w:color w:val="auto"/>
          <w:sz w:val="32"/>
          <w:szCs w:val="32"/>
          <w:highlight w:val="none"/>
        </w:rPr>
      </w:pPr>
    </w:p>
    <w:p w14:paraId="107D94E0">
      <w:pPr>
        <w:pStyle w:val="1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pict>
          <v:shape id="PowerPlusWaterMarkObject23945" o:spid="_x0000_s1026" o:spt="136" type="#_x0000_t136" style="position:absolute;left:0pt;margin-left:183pt;margin-top:330.85pt;height:36.2pt;width:49.3pt;mso-position-horizontal-relative:margin;mso-position-vertical-relative:margin;z-index:-251655168;mso-width-relative:page;mso-height-relative:page;" fillcolor="#DBEEF4" filled="t" stroked="f" coordsize="21600,21600" adj="10800">
            <v:path/>
            <v:fill on="t" opacity="2621f" focussize="0,0"/>
            <v:stroke on="f"/>
            <v:imagedata o:title=""/>
            <o:lock v:ext="edit" aspectratio="t"/>
            <v:textpath on="t" fitshape="t" fitpath="t" trim="t" xscale="f" string="ling" style="font-family:微软雅黑;font-size:36pt;v-same-letter-heights:f;v-text-align:center;"/>
          </v:shape>
        </w:pict>
      </w:r>
      <w:r>
        <w:rPr>
          <w:rFonts w:hint="eastAsia" w:ascii="宋体" w:hAnsi="宋体" w:eastAsia="宋体" w:cs="宋体"/>
          <w:color w:val="auto"/>
          <w:sz w:val="32"/>
          <w:szCs w:val="32"/>
          <w:highlight w:val="none"/>
        </w:rPr>
        <w:t>《建设项目工程总承包合同(示范文本)》(GF-2020-0216)</w:t>
      </w:r>
    </w:p>
    <w:p w14:paraId="7BA90514">
      <w:pPr>
        <w:wordWrap/>
        <w:topLinePunct w:val="0"/>
        <w:rPr>
          <w:rFonts w:hint="eastAsia" w:ascii="宋体" w:hAnsi="宋体" w:eastAsia="宋体" w:cs="宋体"/>
          <w:color w:val="auto"/>
          <w:highlight w:val="none"/>
        </w:rPr>
      </w:pPr>
    </w:p>
    <w:p w14:paraId="77325FF1">
      <w:pPr>
        <w:pStyle w:val="28"/>
        <w:rPr>
          <w:rFonts w:hint="eastAsia" w:ascii="宋体" w:hAnsi="宋体" w:eastAsia="宋体" w:cs="宋体"/>
          <w:b w:val="0"/>
          <w:bCs/>
          <w:color w:val="auto"/>
          <w:sz w:val="72"/>
          <w:szCs w:val="72"/>
          <w:highlight w:val="none"/>
        </w:rPr>
      </w:pPr>
    </w:p>
    <w:p w14:paraId="1411141E">
      <w:pPr>
        <w:pStyle w:val="28"/>
        <w:rPr>
          <w:rFonts w:hint="eastAsia" w:ascii="宋体" w:hAnsi="宋体" w:eastAsia="宋体" w:cs="宋体"/>
          <w:b w:val="0"/>
          <w:bCs/>
          <w:color w:val="auto"/>
          <w:sz w:val="52"/>
          <w:szCs w:val="52"/>
          <w:highlight w:val="none"/>
        </w:rPr>
      </w:pPr>
      <w:r>
        <w:rPr>
          <w:rFonts w:hint="eastAsia" w:ascii="宋体" w:hAnsi="宋体" w:eastAsia="宋体" w:cs="宋体"/>
          <w:b w:val="0"/>
          <w:bCs/>
          <w:color w:val="auto"/>
          <w:sz w:val="72"/>
          <w:szCs w:val="72"/>
          <w:highlight w:val="none"/>
        </w:rPr>
        <w:t>建设项目工程总承包合同</w:t>
      </w:r>
    </w:p>
    <w:p w14:paraId="50512BEA">
      <w:pPr>
        <w:pStyle w:val="28"/>
        <w:rPr>
          <w:rFonts w:hint="eastAsia" w:ascii="宋体" w:hAnsi="宋体" w:eastAsia="宋体" w:cs="宋体"/>
          <w:b w:val="0"/>
          <w:bCs/>
          <w:color w:val="auto"/>
          <w:sz w:val="52"/>
          <w:szCs w:val="52"/>
          <w:highlight w:val="none"/>
        </w:rPr>
      </w:pPr>
      <w:r>
        <w:rPr>
          <w:rFonts w:hint="eastAsia" w:ascii="宋体" w:hAnsi="宋体" w:eastAsia="宋体" w:cs="宋体"/>
          <w:b w:val="0"/>
          <w:bCs/>
          <w:color w:val="auto"/>
          <w:sz w:val="52"/>
          <w:szCs w:val="52"/>
          <w:highlight w:val="none"/>
        </w:rPr>
        <w:t>（示范文本）</w:t>
      </w:r>
    </w:p>
    <w:p w14:paraId="39E20D7C">
      <w:pPr>
        <w:rPr>
          <w:rFonts w:hint="eastAsia" w:ascii="宋体" w:hAnsi="宋体" w:eastAsia="宋体" w:cs="宋体"/>
          <w:color w:val="auto"/>
          <w:highlight w:val="none"/>
        </w:rPr>
      </w:pPr>
    </w:p>
    <w:p w14:paraId="1B617E96">
      <w:pPr>
        <w:pStyle w:val="28"/>
        <w:rPr>
          <w:rFonts w:hint="eastAsia" w:ascii="宋体" w:hAnsi="宋体" w:eastAsia="宋体" w:cs="宋体"/>
          <w:color w:val="auto"/>
          <w:sz w:val="32"/>
          <w:szCs w:val="32"/>
          <w:highlight w:val="none"/>
        </w:rPr>
      </w:pPr>
    </w:p>
    <w:p w14:paraId="37DFB0F8">
      <w:pPr>
        <w:rPr>
          <w:rFonts w:hint="eastAsia" w:ascii="宋体" w:hAnsi="宋体" w:eastAsia="宋体" w:cs="宋体"/>
          <w:color w:val="auto"/>
          <w:sz w:val="32"/>
          <w:szCs w:val="32"/>
          <w:highlight w:val="none"/>
        </w:rPr>
      </w:pPr>
    </w:p>
    <w:p w14:paraId="1FAA59DD">
      <w:pPr>
        <w:rPr>
          <w:rFonts w:hint="eastAsia" w:ascii="宋体" w:hAnsi="宋体" w:eastAsia="宋体" w:cs="宋体"/>
          <w:color w:val="auto"/>
          <w:sz w:val="32"/>
          <w:szCs w:val="32"/>
          <w:highlight w:val="none"/>
        </w:rPr>
      </w:pPr>
    </w:p>
    <w:p w14:paraId="061FD323">
      <w:pPr>
        <w:pStyle w:val="16"/>
        <w:rPr>
          <w:rFonts w:hint="eastAsia" w:ascii="宋体" w:hAnsi="宋体" w:eastAsia="宋体" w:cs="宋体"/>
          <w:color w:val="auto"/>
          <w:sz w:val="32"/>
          <w:szCs w:val="32"/>
          <w:highlight w:val="none"/>
        </w:rPr>
      </w:pPr>
    </w:p>
    <w:p w14:paraId="31137CD2">
      <w:pPr>
        <w:rPr>
          <w:rFonts w:hint="eastAsia" w:ascii="宋体" w:hAnsi="宋体" w:eastAsia="宋体" w:cs="宋体"/>
          <w:color w:val="auto"/>
          <w:highlight w:val="none"/>
        </w:rPr>
      </w:pPr>
    </w:p>
    <w:p w14:paraId="3314F6E4">
      <w:pPr>
        <w:pStyle w:val="16"/>
        <w:rPr>
          <w:rFonts w:hint="eastAsia" w:ascii="宋体" w:hAnsi="宋体" w:eastAsia="宋体" w:cs="宋体"/>
          <w:color w:val="auto"/>
          <w:highlight w:val="none"/>
        </w:rPr>
      </w:pPr>
    </w:p>
    <w:p w14:paraId="0FBA1833">
      <w:pPr>
        <w:rPr>
          <w:rFonts w:hint="eastAsia" w:ascii="宋体" w:hAnsi="宋体" w:eastAsia="宋体" w:cs="宋体"/>
          <w:color w:val="auto"/>
          <w:highlight w:val="none"/>
        </w:rPr>
      </w:pPr>
    </w:p>
    <w:p w14:paraId="34BB4603">
      <w:pPr>
        <w:rPr>
          <w:rFonts w:hint="eastAsia" w:ascii="宋体" w:hAnsi="宋体" w:eastAsia="宋体" w:cs="宋体"/>
          <w:color w:val="auto"/>
          <w:sz w:val="32"/>
          <w:szCs w:val="32"/>
          <w:highlight w:val="none"/>
        </w:rPr>
      </w:pPr>
    </w:p>
    <w:p w14:paraId="1D05219F">
      <w:pPr>
        <w:rPr>
          <w:rFonts w:hint="eastAsia" w:ascii="宋体" w:hAnsi="宋体" w:eastAsia="宋体" w:cs="宋体"/>
          <w:color w:val="auto"/>
          <w:sz w:val="32"/>
          <w:szCs w:val="32"/>
          <w:highlight w:val="none"/>
        </w:rPr>
      </w:pPr>
    </w:p>
    <w:p w14:paraId="59182F2B">
      <w:pPr>
        <w:rPr>
          <w:rFonts w:hint="eastAsia" w:ascii="宋体" w:hAnsi="宋体" w:eastAsia="宋体" w:cs="宋体"/>
          <w:color w:val="auto"/>
          <w:sz w:val="32"/>
          <w:szCs w:val="32"/>
          <w:highlight w:val="none"/>
        </w:rPr>
      </w:pPr>
    </w:p>
    <w:p w14:paraId="255F65CB">
      <w:pPr>
        <w:wordWrap/>
        <w:topLinePunct w:val="0"/>
        <w:spacing w:line="600" w:lineRule="auto"/>
        <w:ind w:right="2182" w:rightChars="1039"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4826000</wp:posOffset>
                </wp:positionH>
                <wp:positionV relativeFrom="paragraph">
                  <wp:posOffset>280035</wp:posOffset>
                </wp:positionV>
                <wp:extent cx="754380" cy="1772285"/>
                <wp:effectExtent l="0" t="0" r="7620" b="18415"/>
                <wp:wrapNone/>
                <wp:docPr id="27" name="文本框 27"/>
                <wp:cNvGraphicFramePr/>
                <a:graphic xmlns:a="http://schemas.openxmlformats.org/drawingml/2006/main">
                  <a:graphicData uri="http://schemas.microsoft.com/office/word/2010/wordprocessingShape">
                    <wps:wsp>
                      <wps:cNvSpPr txBox="1"/>
                      <wps:spPr>
                        <a:xfrm>
                          <a:off x="0" y="0"/>
                          <a:ext cx="754380" cy="1772285"/>
                        </a:xfrm>
                        <a:prstGeom prst="rect">
                          <a:avLst/>
                        </a:prstGeom>
                        <a:solidFill>
                          <a:srgbClr val="FFFFFF"/>
                        </a:solidFill>
                        <a:ln>
                          <a:noFill/>
                        </a:ln>
                      </wps:spPr>
                      <wps:txbx>
                        <w:txbxContent>
                          <w:p w14:paraId="1826774C">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380pt;margin-top:22.05pt;height:139.55pt;width:59.4pt;z-index:251659264;mso-width-relative:page;mso-height-relative:margin;mso-height-percent:200;" fillcolor="#FFFFFF" filled="t" stroked="f" coordsize="21600,21600" o:gfxdata="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3Ps3NkAAAAKAQAADwAAAAAAAAABACAAAAAiAAAA&#10;ZHJzL2Rvd25yZXYueG1sUEsBAhQAFAAAAAgAh07iQDkAxWfNAQAAkwMAAA4AAAAAAAAAAQAgAAAA&#10;KAEAAGRycy9lMm9Eb2MueG1sUEsFBgAAAAAGAAYAWQEAAGcFAAAAAA==&#10;">
                <v:fill on="t" focussize="0,0"/>
                <v:stroke on="f"/>
                <v:imagedata o:title=""/>
                <o:lock v:ext="edit" aspectratio="f"/>
                <v:textbox style="mso-fit-shape-to-text:t;">
                  <w:txbxContent>
                    <w:p w14:paraId="1826774C">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v:textbox>
              </v:shape>
            </w:pict>
          </mc:Fallback>
        </mc:AlternateContent>
      </w:r>
      <w:r>
        <w:rPr>
          <w:rFonts w:hint="eastAsia" w:ascii="宋体" w:hAnsi="宋体" w:eastAsia="宋体" w:cs="宋体"/>
          <w:b/>
          <w:bCs/>
          <w:color w:val="auto"/>
          <w:sz w:val="32"/>
          <w:szCs w:val="32"/>
          <w:highlight w:val="none"/>
        </w:rPr>
        <w:t>中华人民共和国住房和城乡建设部</w:t>
      </w:r>
    </w:p>
    <w:p w14:paraId="642FFABF">
      <w:pPr>
        <w:wordWrap/>
        <w:topLinePunct w:val="0"/>
        <w:spacing w:line="600" w:lineRule="auto"/>
        <w:ind w:right="2182" w:rightChars="1039" w:firstLine="0" w:firstLineChars="0"/>
        <w:jc w:val="center"/>
        <w:rPr>
          <w:rFonts w:hint="eastAsia" w:ascii="宋体" w:hAnsi="宋体" w:eastAsia="宋体" w:cs="宋体"/>
          <w:b/>
          <w:bCs/>
          <w:color w:val="auto"/>
          <w:sz w:val="32"/>
          <w:szCs w:val="32"/>
          <w:highlight w:val="none"/>
          <w:lang w:val="en-US" w:eastAsia="zh-CN"/>
        </w:rPr>
        <w:sectPr>
          <w:headerReference r:id="rId5" w:type="first"/>
          <w:footerReference r:id="rId8" w:type="first"/>
          <w:headerReference r:id="rId4" w:type="default"/>
          <w:footerReference r:id="rId6" w:type="default"/>
          <w:footerReference r:id="rId7" w:type="even"/>
          <w:pgSz w:w="11906" w:h="16838"/>
          <w:pgMar w:top="1440" w:right="1800" w:bottom="1440" w:left="1800" w:header="720" w:footer="998" w:gutter="0"/>
          <w:pgNumType w:fmt="numberInDash" w:start="1"/>
          <w:cols w:space="720" w:num="1"/>
          <w:titlePg/>
          <w:docGrid w:linePitch="326" w:charSpace="0"/>
        </w:sectPr>
      </w:pPr>
      <w:r>
        <w:rPr>
          <w:rFonts w:hint="eastAsia" w:ascii="宋体" w:hAnsi="宋体" w:eastAsia="宋体" w:cs="宋体"/>
          <w:b/>
          <w:color w:val="auto"/>
          <w:sz w:val="32"/>
          <w:szCs w:val="28"/>
          <w:highlight w:val="none"/>
        </w:rPr>
        <w:t>国家</w:t>
      </w:r>
      <w:r>
        <w:rPr>
          <w:rFonts w:hint="eastAsia" w:ascii="宋体" w:hAnsi="宋体" w:eastAsia="宋体" w:cs="宋体"/>
          <w:b/>
          <w:bCs/>
          <w:color w:val="auto"/>
          <w:sz w:val="32"/>
          <w:szCs w:val="32"/>
          <w:highlight w:val="none"/>
        </w:rPr>
        <w:t>市场监</w:t>
      </w:r>
      <w:r>
        <w:rPr>
          <w:rFonts w:hint="eastAsia" w:ascii="宋体" w:hAnsi="宋体" w:eastAsia="宋体" w:cs="宋体"/>
          <w:b/>
          <w:color w:val="auto"/>
          <w:sz w:val="32"/>
          <w:szCs w:val="28"/>
          <w:highlight w:val="none"/>
        </w:rPr>
        <w:t>督</w:t>
      </w:r>
      <w:r>
        <w:rPr>
          <w:rFonts w:hint="eastAsia" w:ascii="宋体" w:hAnsi="宋体" w:eastAsia="宋体" w:cs="宋体"/>
          <w:b/>
          <w:bCs/>
          <w:color w:val="auto"/>
          <w:sz w:val="32"/>
          <w:szCs w:val="32"/>
          <w:highlight w:val="none"/>
        </w:rPr>
        <w:t>管理总</w:t>
      </w:r>
      <w:r>
        <w:rPr>
          <w:rFonts w:hint="eastAsia" w:ascii="宋体" w:hAnsi="宋体" w:eastAsia="宋体" w:cs="宋体"/>
          <w:b/>
          <w:bCs/>
          <w:color w:val="auto"/>
          <w:sz w:val="32"/>
          <w:szCs w:val="32"/>
          <w:highlight w:val="none"/>
          <w:lang w:val="en-US" w:eastAsia="zh-CN"/>
        </w:rPr>
        <w:t>部</w:t>
      </w:r>
    </w:p>
    <w:p w14:paraId="3DAB66F1">
      <w:pPr>
        <w:pStyle w:val="28"/>
        <w:spacing w:after="0" w:afterLines="0" w:line="360" w:lineRule="auto"/>
        <w:ind w:firstLine="562" w:firstLineChars="200"/>
        <w:rPr>
          <w:rFonts w:hint="eastAsia" w:ascii="宋体" w:hAnsi="宋体" w:eastAsia="宋体" w:cs="宋体"/>
          <w:color w:val="auto"/>
          <w:sz w:val="28"/>
          <w:szCs w:val="28"/>
          <w:highlight w:val="none"/>
        </w:rPr>
      </w:pPr>
      <w:bookmarkStart w:id="319" w:name="_Toc523410369"/>
      <w:r>
        <w:rPr>
          <w:rFonts w:hint="eastAsia" w:ascii="宋体" w:hAnsi="宋体" w:eastAsia="宋体" w:cs="宋体"/>
          <w:color w:val="auto"/>
          <w:sz w:val="28"/>
          <w:szCs w:val="28"/>
          <w:highlight w:val="none"/>
        </w:rPr>
        <w:t>说  明</w:t>
      </w:r>
    </w:p>
    <w:p w14:paraId="34853E84">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指导建设项目工程总承包合同当事人的签约行为，维护合同当事人的合法权益，依据《中华人民共和国民法典》、《中华人民共和国建筑法》、《中华人民共和国招标投标法》以及相关法律、法规，住房和城乡建设部、市场监管总局对《建设项目工程总承包合同示范文本（试行）》（GF-2011-0216）进行了修订，制定了《建设项目工程总承包合同（示范文本）》（GF-2020-0216）（以下简称《示范文本》）。现就有关问题说明如下：</w:t>
      </w:r>
    </w:p>
    <w:p w14:paraId="7127DD75">
      <w:pPr>
        <w:pStyle w:val="29"/>
        <w:numPr>
          <w:ilvl w:val="0"/>
          <w:numId w:val="0"/>
        </w:numPr>
        <w:spacing w:line="360" w:lineRule="auto"/>
        <w:ind w:firstLine="560" w:firstLineChars="20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一、《示范文本》的组成</w:t>
      </w:r>
    </w:p>
    <w:p w14:paraId="5AE6C2AA">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《示范文本》由合同协议书、通用合同条件和专用合同条件三部分组成。</w:t>
      </w:r>
    </w:p>
    <w:p w14:paraId="31780A22">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（一）合同协议书</w:t>
      </w:r>
    </w:p>
    <w:p w14:paraId="048FA5FF">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p>
    <w:p w14:paraId="0A9360E8">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（二）通用合同条件</w:t>
      </w:r>
    </w:p>
    <w:p w14:paraId="6C121B54">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用合同条件是合同当事人根据《中华人民共和国民法典》、《中华人民共和国建筑法》等法律法规的规定，就工程总承包项目的实施及相关事项，对合同当事人的权利义务作出的原则性约定。通用合同条件共计20条，具体条款分别为：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争议解决。前述条款安排既考虑了现行法律法规对工程总承包活动的有关要求，也考虑了工程总承包项目管理的实际需要。</w:t>
      </w:r>
    </w:p>
    <w:p w14:paraId="3D24F664">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（三）专用合同条件</w:t>
      </w:r>
    </w:p>
    <w:p w14:paraId="69B6A80F">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专用合同条件是合同当事人根据不同建设项目的特点及具体情况，通过双方的谈判、协商对通用合同条件原则性约定细化、完善、补充、修改或另行约定的合同条件。在编写专用合同条件时，应注意以下事项：</w:t>
      </w:r>
    </w:p>
    <w:p w14:paraId="7FD5BEC0">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1.专用合同条件的编号应与相应的通用合同条件的编号一致；</w:t>
      </w:r>
    </w:p>
    <w:p w14:paraId="4D598738">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2.在专用合同条件中有横道线的地方，合同当事人可针对相应的通用合同条件进行细化、完善、补充、修改或另行约定；如无细化、完善、补充、修改或另行约定，则填写“无”或划“/”；</w:t>
      </w:r>
    </w:p>
    <w:p w14:paraId="364A8FCB">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3.对于在专用合同条件中未列出的通用合同条件中的条款，合同当事人根据建设项目的具体情况认为需要进行细化、完善、补充、修改或另行约定的，可在专用合同条件中，以同一条款号增加相关条款的内容。</w:t>
      </w:r>
    </w:p>
    <w:p w14:paraId="79BC3E52">
      <w:pPr>
        <w:pStyle w:val="29"/>
        <w:numPr>
          <w:ilvl w:val="0"/>
          <w:numId w:val="0"/>
        </w:numPr>
        <w:spacing w:line="360" w:lineRule="auto"/>
        <w:ind w:firstLine="560" w:firstLineChars="20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二、《示范文本》的适用范围</w:t>
      </w:r>
    </w:p>
    <w:p w14:paraId="5D3799A5">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《示范文本》适用于房屋建筑和市政基础设施项目工程总承包承发包活动。</w:t>
      </w:r>
    </w:p>
    <w:p w14:paraId="72106846">
      <w:pPr>
        <w:pStyle w:val="29"/>
        <w:numPr>
          <w:ilvl w:val="0"/>
          <w:numId w:val="0"/>
        </w:numPr>
        <w:spacing w:line="360" w:lineRule="auto"/>
        <w:ind w:firstLine="560" w:firstLineChars="20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三、《示范文本》的性质</w:t>
      </w:r>
    </w:p>
    <w:p w14:paraId="3E701FA9">
      <w:pPr>
        <w:wordWrap/>
        <w:topLinePunct w:val="0"/>
        <w:spacing w:line="360" w:lineRule="auto"/>
        <w:ind w:firstLine="560" w:firstLineChars="200"/>
        <w:jc w:val="left"/>
        <w:rPr>
          <w:rFonts w:hint="eastAsia" w:ascii="宋体" w:hAnsi="宋体" w:eastAsia="宋体" w:cs="宋体"/>
          <w:color w:val="auto"/>
          <w:sz w:val="28"/>
          <w:szCs w:val="28"/>
          <w:highlight w:val="none"/>
        </w:rPr>
        <w:sectPr>
          <w:footerReference r:id="rId10" w:type="first"/>
          <w:footerReference r:id="rId9" w:type="default"/>
          <w:pgSz w:w="11906" w:h="16838"/>
          <w:pgMar w:top="1157" w:right="1179" w:bottom="1157" w:left="1179" w:header="720" w:footer="998" w:gutter="0"/>
          <w:pgNumType w:fmt="numberInDash"/>
          <w:cols w:space="720" w:num="1"/>
          <w:titlePg/>
          <w:docGrid w:linePitch="326" w:charSpace="0"/>
        </w:sectPr>
      </w:pPr>
      <w:r>
        <w:rPr>
          <w:rFonts w:hint="eastAsia" w:ascii="宋体" w:hAnsi="宋体" w:eastAsia="宋体" w:cs="宋体"/>
          <w:color w:val="auto"/>
          <w:sz w:val="28"/>
          <w:szCs w:val="28"/>
          <w:highlight w:val="none"/>
        </w:rPr>
        <w:t>《示范文本》为推荐使用的非强制性使用文本。合同当事人可结合</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具体情况，参照《示范文本》订立合同，并按照法律法规和合同约定承担相应的法律责任及合同权利义务。</w:t>
      </w:r>
    </w:p>
    <w:p w14:paraId="0EF20D37">
      <w:pPr>
        <w:wordWrap/>
        <w:topLinePunct w:val="0"/>
        <w:spacing w:line="360" w:lineRule="auto"/>
        <w:ind w:firstLine="0" w:firstLineChars="0"/>
        <w:rPr>
          <w:rFonts w:hint="eastAsia" w:ascii="宋体" w:hAnsi="宋体" w:eastAsia="宋体" w:cs="宋体"/>
          <w:color w:val="auto"/>
          <w:sz w:val="28"/>
          <w:szCs w:val="28"/>
          <w:highlight w:val="none"/>
        </w:rPr>
      </w:pPr>
    </w:p>
    <w:p w14:paraId="4D1998D9">
      <w:pPr>
        <w:wordWrap/>
        <w:topLinePunct w:val="0"/>
        <w:spacing w:line="360" w:lineRule="auto"/>
        <w:ind w:firstLine="0" w:firstLineChars="0"/>
        <w:rPr>
          <w:rFonts w:hint="eastAsia" w:ascii="宋体" w:hAnsi="宋体" w:eastAsia="宋体" w:cs="宋体"/>
          <w:color w:val="auto"/>
          <w:sz w:val="28"/>
          <w:szCs w:val="28"/>
          <w:highlight w:val="none"/>
        </w:rPr>
        <w:sectPr>
          <w:type w:val="continuous"/>
          <w:pgSz w:w="11906" w:h="16838"/>
          <w:pgMar w:top="1440" w:right="1800" w:bottom="1440" w:left="1800" w:header="720" w:footer="998" w:gutter="0"/>
          <w:pgNumType w:fmt="numberInDash"/>
          <w:cols w:space="720" w:num="1"/>
          <w:titlePg/>
          <w:docGrid w:linePitch="326" w:charSpace="0"/>
        </w:sectPr>
      </w:pPr>
    </w:p>
    <w:p w14:paraId="7A352C29">
      <w:pPr>
        <w:wordWrap/>
        <w:topLinePunct w:val="0"/>
        <w:spacing w:after="0" w:afterLines="0" w:line="360" w:lineRule="auto"/>
        <w:ind w:firstLine="560" w:firstLineChars="200"/>
        <w:rPr>
          <w:rFonts w:hint="eastAsia" w:ascii="宋体" w:hAnsi="宋体" w:eastAsia="宋体" w:cs="宋体"/>
          <w:color w:val="auto"/>
          <w:sz w:val="28"/>
          <w:szCs w:val="28"/>
          <w:highlight w:val="none"/>
        </w:rPr>
        <w:sectPr>
          <w:footerReference r:id="rId11" w:type="default"/>
          <w:type w:val="continuous"/>
          <w:pgSz w:w="11906" w:h="16838"/>
          <w:pgMar w:top="1440" w:right="1800" w:bottom="1440" w:left="1800" w:header="720" w:footer="998" w:gutter="0"/>
          <w:pgNumType w:fmt="numberInDash"/>
          <w:cols w:space="720" w:num="1"/>
          <w:titlePg/>
          <w:docGrid w:linePitch="326" w:charSpace="0"/>
        </w:sectPr>
      </w:pPr>
    </w:p>
    <w:p w14:paraId="7EBF681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2A680AFF">
      <w:pPr>
        <w:pStyle w:val="30"/>
        <w:keepNext w:val="0"/>
        <w:keepLines w:val="0"/>
        <w:widowControl/>
        <w:adjustRightInd w:val="0"/>
        <w:snapToGrid w:val="0"/>
        <w:spacing w:before="0" w:after="50"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第一部分 合同协议书</w:t>
      </w:r>
    </w:p>
    <w:p w14:paraId="7AC08D3E">
      <w:pPr>
        <w:wordWrap/>
        <w:topLinePunct w:val="0"/>
        <w:spacing w:line="360" w:lineRule="auto"/>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发包人（全称）：</w:t>
      </w:r>
      <w:r>
        <w:rPr>
          <w:rFonts w:hint="eastAsia" w:ascii="宋体" w:hAnsi="宋体" w:eastAsia="宋体" w:cs="宋体"/>
          <w:color w:val="auto"/>
          <w:sz w:val="28"/>
          <w:szCs w:val="28"/>
          <w:highlight w:val="none"/>
          <w:u w:val="single"/>
        </w:rPr>
        <w:t xml:space="preserve">                                    </w:t>
      </w:r>
    </w:p>
    <w:p w14:paraId="7787A4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承包人（全称）：</w:t>
      </w:r>
      <w:r>
        <w:rPr>
          <w:rFonts w:hint="eastAsia" w:ascii="宋体" w:hAnsi="宋体" w:eastAsia="宋体" w:cs="宋体"/>
          <w:color w:val="auto"/>
          <w:sz w:val="28"/>
          <w:szCs w:val="28"/>
          <w:highlight w:val="none"/>
          <w:u w:val="single"/>
        </w:rPr>
        <w:t xml:space="preserve">                                    </w:t>
      </w:r>
    </w:p>
    <w:p w14:paraId="775FE60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项目的工程总承包及有关事项协商一致，共同达成如下协议：</w:t>
      </w:r>
    </w:p>
    <w:p w14:paraId="1C716F69">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一、工程概况</w:t>
      </w:r>
    </w:p>
    <w:p w14:paraId="53BCD9F3">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工程名称：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878E23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工程地点：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6A3DE7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工程审批、核准或备案文号：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4BB164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资金来源：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2BB8B2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工程内容及规模：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A6E2DA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工程承包范围：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55CFED7">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二、合同工期</w:t>
      </w:r>
    </w:p>
    <w:p w14:paraId="1695ED2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计划开始工作日期：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7CB01A2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计划开始现场施工日期：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B0D51E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计划竣工日期：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7ACD5CC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工期总日历天数：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天，工期总日历天数与根据前述计划日期计算的工期天数不一致的，以工期总日历天数为准。</w:t>
      </w:r>
    </w:p>
    <w:p w14:paraId="2167E647">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三、质量标准</w:t>
      </w:r>
    </w:p>
    <w:p w14:paraId="5CA718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工程质量标准：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509641A">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四、签约合同价与合同价格形式</w:t>
      </w:r>
    </w:p>
    <w:p w14:paraId="09FFBD6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签约合同价（含税）为：</w:t>
      </w:r>
    </w:p>
    <w:p w14:paraId="454E182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人民币（大写)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w:t>
      </w:r>
    </w:p>
    <w:p w14:paraId="21FC3FE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具体构成详见价格清单。其中： </w:t>
      </w:r>
    </w:p>
    <w:p w14:paraId="23E8654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设计费（含税）：</w:t>
      </w:r>
    </w:p>
    <w:p w14:paraId="7CC75E5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人民币（大写)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元）；适用税率：</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%，税金为人民币（大写)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 </w:t>
      </w:r>
    </w:p>
    <w:p w14:paraId="650038D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设备购置费（含税）：</w:t>
      </w:r>
    </w:p>
    <w:p w14:paraId="538AA7C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人民币（大写)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元）；适用税率：</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%，税金为人民币（大写)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 </w:t>
      </w:r>
    </w:p>
    <w:p w14:paraId="009FAC3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建筑安装工程费（含税）：</w:t>
      </w:r>
    </w:p>
    <w:p w14:paraId="00EA47C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元）；适用税率：</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%，税金为人民币（大写)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 </w:t>
      </w:r>
    </w:p>
    <w:p w14:paraId="21D07D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暂估价（含税）：</w:t>
      </w:r>
    </w:p>
    <w:p w14:paraId="46A465A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w:t>
      </w:r>
    </w:p>
    <w:p w14:paraId="77646AB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暂列金额（含税）：</w:t>
      </w:r>
    </w:p>
    <w:p w14:paraId="12716F4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w:t>
      </w:r>
    </w:p>
    <w:p w14:paraId="0DED07C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双方约定的其他费用（含税）：</w:t>
      </w:r>
    </w:p>
    <w:p w14:paraId="2F586041">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元）；适用税率：</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%，税金为人民币（大写)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元）。</w:t>
      </w:r>
    </w:p>
    <w:p w14:paraId="71FF697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合同价格形式：</w:t>
      </w:r>
    </w:p>
    <w:p w14:paraId="17BFA32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合同价格形式为总价合同，除根据合同约定的在工程实施过程中需进行增减的款项外，合同价格不予调整，但合同当事人另有约定的除外。</w:t>
      </w:r>
    </w:p>
    <w:p w14:paraId="27FA3DE4">
      <w:pPr>
        <w:kinsoku w:val="0"/>
        <w:wordWrap/>
        <w:topLinePunct w:val="0"/>
        <w:spacing w:line="360" w:lineRule="auto"/>
        <w:ind w:left="263" w:leftChars="125"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合同当事人对合同价格形式的其他约定：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968EDC4">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五、工程总承包项目经理</w:t>
      </w:r>
    </w:p>
    <w:p w14:paraId="070A31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工程总承包项目经理：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1D42D4F">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六、合同文件构成</w:t>
      </w:r>
    </w:p>
    <w:p w14:paraId="2556908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本协议书与下列文件一起构成合同文件： </w:t>
      </w:r>
    </w:p>
    <w:p w14:paraId="6FB1EA1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中标通知书（如果有）；</w:t>
      </w:r>
    </w:p>
    <w:p w14:paraId="4A958B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投标函及投标函附录（如果有）；</w:t>
      </w:r>
    </w:p>
    <w:p w14:paraId="5157D6E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专用合同条件及《发包人要求》等附件；</w:t>
      </w:r>
    </w:p>
    <w:p w14:paraId="246D9A7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通用合同条件；</w:t>
      </w:r>
    </w:p>
    <w:p w14:paraId="3841889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 承包人建议书； </w:t>
      </w:r>
    </w:p>
    <w:p w14:paraId="585DD0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价格清单；</w:t>
      </w:r>
    </w:p>
    <w:p w14:paraId="0E729BB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双方约定的其他合同文件。</w:t>
      </w:r>
    </w:p>
    <w:p w14:paraId="048668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上述各项合同文件包括双方就该项合同文件所作出的补充和修改，属于同一类内容的合同文件应以最新签署的为准。专用合同条件及其附件须经合同当事人签字或盖章。</w:t>
      </w:r>
    </w:p>
    <w:p w14:paraId="3921349C">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七、承诺</w:t>
      </w:r>
    </w:p>
    <w:p w14:paraId="42064CA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发包人承诺按照法律规定履行项目审批手续、筹集工程建设资金并按照合同约定的期限和方式支付合同价款。</w:t>
      </w:r>
    </w:p>
    <w:p w14:paraId="7BE0DE24">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承包人承诺按照法律规定及合同约定组织完成工程的设计、采购和施工等工作，确保工程质量和安全，不进行转包及违法分包，并在缺陷责任期及保修期内承担相应的工程维修责任。</w:t>
      </w:r>
    </w:p>
    <w:p w14:paraId="6E360EC3">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八、订立时间</w:t>
      </w:r>
    </w:p>
    <w:p w14:paraId="7CF3D0F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日订立。</w:t>
      </w:r>
    </w:p>
    <w:p w14:paraId="1F7F263B">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九、订立地点</w:t>
      </w:r>
    </w:p>
    <w:p w14:paraId="543D900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订立。</w:t>
      </w:r>
    </w:p>
    <w:p w14:paraId="21B0830E">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十、合同生效</w:t>
      </w:r>
    </w:p>
    <w:p w14:paraId="30AFF68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本合同经双方签字或盖章后成立，并自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生效。</w:t>
      </w:r>
    </w:p>
    <w:p w14:paraId="015CBB7B">
      <w:pPr>
        <w:pStyle w:val="31"/>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十一、合同份数</w:t>
      </w:r>
    </w:p>
    <w:p w14:paraId="7B6459C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本合同一式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份，均具有同等法律效力，发包人执</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份，承包人执</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份。</w:t>
      </w:r>
    </w:p>
    <w:tbl>
      <w:tblPr>
        <w:tblStyle w:val="18"/>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0965C2DF">
        <w:tblPrEx>
          <w:tblCellMar>
            <w:top w:w="0" w:type="dxa"/>
            <w:left w:w="108" w:type="dxa"/>
            <w:bottom w:w="0" w:type="dxa"/>
            <w:right w:w="108" w:type="dxa"/>
          </w:tblCellMar>
        </w:tblPrEx>
        <w:tc>
          <w:tcPr>
            <w:tcW w:w="4507" w:type="dxa"/>
            <w:noWrap w:val="0"/>
            <w:vAlign w:val="top"/>
          </w:tcPr>
          <w:p w14:paraId="7ED0E89C">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发包人：（公章）</w:t>
            </w:r>
          </w:p>
        </w:tc>
        <w:tc>
          <w:tcPr>
            <w:tcW w:w="4565" w:type="dxa"/>
            <w:noWrap w:val="0"/>
            <w:vAlign w:val="top"/>
          </w:tcPr>
          <w:p w14:paraId="099D840A">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承包人：（公章）</w:t>
            </w:r>
          </w:p>
        </w:tc>
      </w:tr>
      <w:tr w14:paraId="257D2C1F">
        <w:tblPrEx>
          <w:tblCellMar>
            <w:top w:w="0" w:type="dxa"/>
            <w:left w:w="108" w:type="dxa"/>
            <w:bottom w:w="0" w:type="dxa"/>
            <w:right w:w="108" w:type="dxa"/>
          </w:tblCellMar>
        </w:tblPrEx>
        <w:tc>
          <w:tcPr>
            <w:tcW w:w="4507" w:type="dxa"/>
            <w:noWrap w:val="0"/>
            <w:vAlign w:val="top"/>
          </w:tcPr>
          <w:p w14:paraId="2A2FEC76">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p>
          <w:p w14:paraId="18A2861E">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w:t>
            </w:r>
          </w:p>
        </w:tc>
        <w:tc>
          <w:tcPr>
            <w:tcW w:w="4565" w:type="dxa"/>
            <w:noWrap w:val="0"/>
            <w:vAlign w:val="top"/>
          </w:tcPr>
          <w:p w14:paraId="3761A0EB">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p>
          <w:p w14:paraId="57EC9FE1">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w:t>
            </w:r>
          </w:p>
        </w:tc>
      </w:tr>
      <w:tr w14:paraId="69994B4D">
        <w:tblPrEx>
          <w:tblCellMar>
            <w:top w:w="0" w:type="dxa"/>
            <w:left w:w="108" w:type="dxa"/>
            <w:bottom w:w="0" w:type="dxa"/>
            <w:right w:w="108" w:type="dxa"/>
          </w:tblCellMar>
        </w:tblPrEx>
        <w:tc>
          <w:tcPr>
            <w:tcW w:w="4507" w:type="dxa"/>
            <w:noWrap w:val="0"/>
            <w:vAlign w:val="top"/>
          </w:tcPr>
          <w:p w14:paraId="1446ECDF">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r>
              <w:rPr>
                <w:rFonts w:hint="eastAsia" w:ascii="宋体" w:hAnsi="宋体" w:eastAsia="宋体" w:cs="宋体"/>
                <w:color w:val="auto"/>
                <w:kern w:val="0"/>
                <w:sz w:val="28"/>
                <w:szCs w:val="28"/>
                <w:highlight w:val="none"/>
                <w:u w:val="single"/>
              </w:rPr>
              <w:t xml:space="preserve">            </w:t>
            </w:r>
          </w:p>
          <w:p w14:paraId="6C17F194">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r>
              <w:rPr>
                <w:rFonts w:hint="eastAsia" w:ascii="宋体" w:hAnsi="宋体" w:eastAsia="宋体" w:cs="宋体"/>
                <w:color w:val="auto"/>
                <w:kern w:val="0"/>
                <w:sz w:val="28"/>
                <w:szCs w:val="28"/>
                <w:highlight w:val="none"/>
                <w:u w:val="single"/>
              </w:rPr>
              <w:t xml:space="preserve">                       </w:t>
            </w:r>
          </w:p>
          <w:p w14:paraId="18BE0E1F">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r>
              <w:rPr>
                <w:rFonts w:hint="eastAsia" w:ascii="宋体" w:hAnsi="宋体" w:eastAsia="宋体" w:cs="宋体"/>
                <w:color w:val="auto"/>
                <w:kern w:val="0"/>
                <w:sz w:val="28"/>
                <w:szCs w:val="28"/>
                <w:highlight w:val="none"/>
                <w:u w:val="single"/>
              </w:rPr>
              <w:t xml:space="preserve">                      </w:t>
            </w:r>
          </w:p>
          <w:p w14:paraId="4B90DFCB">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kern w:val="0"/>
                <w:sz w:val="28"/>
                <w:szCs w:val="28"/>
                <w:highlight w:val="none"/>
                <w:u w:val="single"/>
              </w:rPr>
              <w:t xml:space="preserve">                 </w:t>
            </w:r>
          </w:p>
          <w:p w14:paraId="2FE1917C">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kern w:val="0"/>
                <w:sz w:val="28"/>
                <w:szCs w:val="28"/>
                <w:highlight w:val="none"/>
                <w:u w:val="single"/>
              </w:rPr>
              <w:t xml:space="preserve">                 </w:t>
            </w:r>
          </w:p>
          <w:p w14:paraId="04B6C176">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r>
              <w:rPr>
                <w:rFonts w:hint="eastAsia" w:ascii="宋体" w:hAnsi="宋体" w:eastAsia="宋体" w:cs="宋体"/>
                <w:color w:val="auto"/>
                <w:kern w:val="0"/>
                <w:sz w:val="28"/>
                <w:szCs w:val="28"/>
                <w:highlight w:val="none"/>
                <w:u w:val="single"/>
              </w:rPr>
              <w:t xml:space="preserve">                       </w:t>
            </w:r>
          </w:p>
          <w:p w14:paraId="54AC658B">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 </w:t>
            </w:r>
            <w:r>
              <w:rPr>
                <w:rFonts w:hint="eastAsia" w:ascii="宋体" w:hAnsi="宋体" w:eastAsia="宋体" w:cs="宋体"/>
                <w:color w:val="auto"/>
                <w:kern w:val="0"/>
                <w:sz w:val="28"/>
                <w:szCs w:val="28"/>
                <w:highlight w:val="none"/>
                <w:u w:val="single"/>
              </w:rPr>
              <w:t xml:space="preserve">                      </w:t>
            </w:r>
          </w:p>
          <w:p w14:paraId="2241CF78">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电子信箱：</w:t>
            </w:r>
            <w:r>
              <w:rPr>
                <w:rFonts w:hint="eastAsia" w:ascii="宋体" w:hAnsi="宋体" w:eastAsia="宋体" w:cs="宋体"/>
                <w:color w:val="auto"/>
                <w:kern w:val="0"/>
                <w:sz w:val="28"/>
                <w:szCs w:val="28"/>
                <w:highlight w:val="none"/>
                <w:u w:val="single"/>
              </w:rPr>
              <w:t xml:space="preserve">                    </w:t>
            </w:r>
          </w:p>
          <w:p w14:paraId="12F9582E">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r>
              <w:rPr>
                <w:rFonts w:hint="eastAsia" w:ascii="宋体" w:hAnsi="宋体" w:eastAsia="宋体" w:cs="宋体"/>
                <w:color w:val="auto"/>
                <w:kern w:val="0"/>
                <w:sz w:val="28"/>
                <w:szCs w:val="28"/>
                <w:highlight w:val="none"/>
                <w:u w:val="single"/>
              </w:rPr>
              <w:t xml:space="preserve">                   </w:t>
            </w:r>
          </w:p>
          <w:p w14:paraId="0CA8E1A5">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账号：</w:t>
            </w:r>
            <w:r>
              <w:rPr>
                <w:rFonts w:hint="eastAsia" w:ascii="宋体" w:hAnsi="宋体" w:eastAsia="宋体" w:cs="宋体"/>
                <w:color w:val="auto"/>
                <w:kern w:val="0"/>
                <w:sz w:val="28"/>
                <w:szCs w:val="28"/>
                <w:highlight w:val="none"/>
                <w:u w:val="single"/>
              </w:rPr>
              <w:t xml:space="preserve">                       </w:t>
            </w:r>
          </w:p>
        </w:tc>
        <w:tc>
          <w:tcPr>
            <w:tcW w:w="4565" w:type="dxa"/>
            <w:noWrap w:val="0"/>
            <w:vAlign w:val="top"/>
          </w:tcPr>
          <w:p w14:paraId="5C5E01A6">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r>
              <w:rPr>
                <w:rFonts w:hint="eastAsia" w:ascii="宋体" w:hAnsi="宋体" w:eastAsia="宋体" w:cs="宋体"/>
                <w:color w:val="auto"/>
                <w:kern w:val="0"/>
                <w:sz w:val="28"/>
                <w:szCs w:val="28"/>
                <w:highlight w:val="none"/>
                <w:u w:val="single"/>
              </w:rPr>
              <w:t xml:space="preserve">            </w:t>
            </w:r>
          </w:p>
          <w:p w14:paraId="6A8C029C">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r>
              <w:rPr>
                <w:rFonts w:hint="eastAsia" w:ascii="宋体" w:hAnsi="宋体" w:eastAsia="宋体" w:cs="宋体"/>
                <w:color w:val="auto"/>
                <w:kern w:val="0"/>
                <w:sz w:val="28"/>
                <w:szCs w:val="28"/>
                <w:highlight w:val="none"/>
                <w:u w:val="single"/>
              </w:rPr>
              <w:t xml:space="preserve">                        </w:t>
            </w:r>
          </w:p>
          <w:p w14:paraId="527FC119">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r>
              <w:rPr>
                <w:rFonts w:hint="eastAsia" w:ascii="宋体" w:hAnsi="宋体" w:eastAsia="宋体" w:cs="宋体"/>
                <w:color w:val="auto"/>
                <w:kern w:val="0"/>
                <w:sz w:val="28"/>
                <w:szCs w:val="28"/>
                <w:highlight w:val="none"/>
                <w:u w:val="single"/>
              </w:rPr>
              <w:t xml:space="preserve">                      </w:t>
            </w:r>
          </w:p>
          <w:p w14:paraId="01B407AF">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kern w:val="0"/>
                <w:sz w:val="28"/>
                <w:szCs w:val="28"/>
                <w:highlight w:val="none"/>
                <w:u w:val="single"/>
              </w:rPr>
              <w:t xml:space="preserve">                  </w:t>
            </w:r>
          </w:p>
          <w:p w14:paraId="6027776A">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kern w:val="0"/>
                <w:sz w:val="28"/>
                <w:szCs w:val="28"/>
                <w:highlight w:val="none"/>
                <w:u w:val="single"/>
              </w:rPr>
              <w:t xml:space="preserve">                 </w:t>
            </w:r>
          </w:p>
          <w:p w14:paraId="07A4E002">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r>
              <w:rPr>
                <w:rFonts w:hint="eastAsia" w:ascii="宋体" w:hAnsi="宋体" w:eastAsia="宋体" w:cs="宋体"/>
                <w:color w:val="auto"/>
                <w:kern w:val="0"/>
                <w:sz w:val="28"/>
                <w:szCs w:val="28"/>
                <w:highlight w:val="none"/>
                <w:u w:val="single"/>
              </w:rPr>
              <w:t xml:space="preserve">                       </w:t>
            </w:r>
          </w:p>
          <w:p w14:paraId="7BC5589C">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传真：</w:t>
            </w:r>
            <w:r>
              <w:rPr>
                <w:rFonts w:hint="eastAsia" w:ascii="宋体" w:hAnsi="宋体" w:eastAsia="宋体" w:cs="宋体"/>
                <w:color w:val="auto"/>
                <w:kern w:val="0"/>
                <w:sz w:val="28"/>
                <w:szCs w:val="28"/>
                <w:highlight w:val="none"/>
                <w:u w:val="single"/>
              </w:rPr>
              <w:t xml:space="preserve">                       </w:t>
            </w:r>
          </w:p>
          <w:p w14:paraId="12622E4C">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电子信箱：</w:t>
            </w:r>
            <w:r>
              <w:rPr>
                <w:rFonts w:hint="eastAsia" w:ascii="宋体" w:hAnsi="宋体" w:eastAsia="宋体" w:cs="宋体"/>
                <w:color w:val="auto"/>
                <w:kern w:val="0"/>
                <w:sz w:val="28"/>
                <w:szCs w:val="28"/>
                <w:highlight w:val="none"/>
                <w:u w:val="single"/>
              </w:rPr>
              <w:t xml:space="preserve">                   </w:t>
            </w:r>
          </w:p>
          <w:p w14:paraId="28069DF5">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r>
              <w:rPr>
                <w:rFonts w:hint="eastAsia" w:ascii="宋体" w:hAnsi="宋体" w:eastAsia="宋体" w:cs="宋体"/>
                <w:color w:val="auto"/>
                <w:kern w:val="0"/>
                <w:sz w:val="28"/>
                <w:szCs w:val="28"/>
                <w:highlight w:val="none"/>
                <w:u w:val="single"/>
              </w:rPr>
              <w:t xml:space="preserve">                   </w:t>
            </w:r>
          </w:p>
          <w:p w14:paraId="5F85A572">
            <w:pPr>
              <w:pStyle w:val="32"/>
              <w:framePr w:hSpace="0" w:wrap="auto" w:vAnchor="margin" w:hAnchor="text" w:yAlign="inline"/>
              <w:spacing w:after="50"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账号：</w:t>
            </w:r>
            <w:r>
              <w:rPr>
                <w:rFonts w:hint="eastAsia" w:ascii="宋体" w:hAnsi="宋体" w:eastAsia="宋体" w:cs="宋体"/>
                <w:color w:val="auto"/>
                <w:sz w:val="28"/>
                <w:szCs w:val="28"/>
                <w:highlight w:val="none"/>
                <w:u w:val="single"/>
              </w:rPr>
              <w:t xml:space="preserve">                       </w:t>
            </w:r>
          </w:p>
        </w:tc>
      </w:tr>
    </w:tbl>
    <w:p w14:paraId="59E136A4">
      <w:pPr>
        <w:wordWrap/>
        <w:topLinePunct w:val="0"/>
        <w:spacing w:line="360" w:lineRule="auto"/>
        <w:rPr>
          <w:rFonts w:hint="eastAsia" w:ascii="宋体" w:hAnsi="宋体" w:eastAsia="宋体" w:cs="宋体"/>
          <w:color w:val="auto"/>
          <w:sz w:val="28"/>
          <w:szCs w:val="28"/>
          <w:highlight w:val="none"/>
        </w:rPr>
        <w:sectPr>
          <w:footerReference r:id="rId12" w:type="default"/>
          <w:type w:val="continuous"/>
          <w:pgSz w:w="11906" w:h="16838"/>
          <w:pgMar w:top="1157" w:right="1236" w:bottom="1157" w:left="1236" w:header="720" w:footer="850" w:gutter="0"/>
          <w:pgNumType w:fmt="numberInDash"/>
          <w:cols w:space="720" w:num="1"/>
          <w:docGrid w:linePitch="326" w:charSpace="0"/>
        </w:sectPr>
      </w:pPr>
    </w:p>
    <w:p w14:paraId="1DF40AE3">
      <w:pPr>
        <w:pStyle w:val="30"/>
        <w:keepNext w:val="0"/>
        <w:keepLines w:val="0"/>
        <w:widowControl/>
        <w:adjustRightInd w:val="0"/>
        <w:snapToGrid w:val="0"/>
        <w:spacing w:before="0" w:after="50"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第二部分 通用合同条件</w:t>
      </w:r>
    </w:p>
    <w:p w14:paraId="332D13EA">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第1条 一般约定</w:t>
      </w:r>
    </w:p>
    <w:p w14:paraId="69FA0E0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 词语定义和解释</w:t>
      </w:r>
    </w:p>
    <w:p w14:paraId="2B432DC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合同协议书、通用合同条件、专用合同条件中的下列词语应具有本款所赋予的含义：</w:t>
      </w:r>
    </w:p>
    <w:p w14:paraId="22A24F8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 合同</w:t>
      </w:r>
    </w:p>
    <w:p w14:paraId="1BCAE4E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5665338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1.1.1.2 合同协议书：是指构成合同的由发包人和承包人共同签署的称为“合同协议书”的书面文件。</w:t>
      </w:r>
    </w:p>
    <w:p w14:paraId="441ABE8B">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1.1.1.3 中标通知书：是指构成合同的由发包人通知承包人中标的书面文件。中标通知书随附的澄清、说明、补正事项纪要等，是中标通知书的组成部分。</w:t>
      </w:r>
    </w:p>
    <w:p w14:paraId="359C7264">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1.1.1.4 投标函：是指构成合同的由承包人填写并签署的用于投标的称为“投标函”的文件。</w:t>
      </w:r>
    </w:p>
    <w:p w14:paraId="65BAAFEF">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1.1.1.5 投标函附录：是指构成合同的附在投标函后的称为“投标函附录”的文件。</w:t>
      </w:r>
    </w:p>
    <w:p w14:paraId="4952A30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1.1.1.6 《发包人要求》：指构成合同文件组成部分的名为《发包人要求》的文件，其中列明工程的目的、范围、设计与其他技术标准和要求，以及合同双方当事人约定对其所作的修改或补充。</w:t>
      </w:r>
    </w:p>
    <w:p w14:paraId="1324727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1.1.1.7 项目清单：是指发包人提供的载明工程总承包项目勘察费（如果有）、设计费、建筑安装工程费、设备购置费、暂估价、暂列金额和双方约定的其他费用的名称和相应数量等内容的项目明细。</w:t>
      </w:r>
    </w:p>
    <w:p w14:paraId="07B29A2A">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1.1.1.8 价格清单：指构成合同文件组成部分的由承包人按发包人提供的项目清单规定的格式和要求填写并标明价格的清单。</w:t>
      </w:r>
    </w:p>
    <w:p w14:paraId="456C3905">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1.1.1.9 承包人建议书：指构成合同文件组成部分的名为承包人建议书的文件。承包人建议书由承包人随投标函一起提交。</w:t>
      </w:r>
    </w:p>
    <w:p w14:paraId="45EB2474">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1.1.1.10 其他合同文件：是指经合同当事人约定的与工程实施有关的具有合同约束力的文件或书面协议。合同当事人可以在专用合同条件中进行约定。</w:t>
      </w:r>
    </w:p>
    <w:p w14:paraId="3F0C596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 合同当事人及其他相关方</w:t>
      </w:r>
    </w:p>
    <w:p w14:paraId="2E7F014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1.1.2.1 合同当事人：是指发包人和（或）承包人。</w:t>
      </w:r>
    </w:p>
    <w:p w14:paraId="4E8ED36A">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1.1.2.2 发包人：是指与承包人订立合同协议书的当事人及取得该当事人资格的合法继受人。本合同中“因发包人原因”里的“发包人”包括发包人及所有发包人人员。</w:t>
      </w:r>
    </w:p>
    <w:p w14:paraId="512F2232">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1.1.2.3 承包人：是指与发包人订立合同协议书的当事人及取得该当事人资格的合法继受人。</w:t>
      </w:r>
    </w:p>
    <w:p w14:paraId="3DEAF929">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1.1.2.4 联合体：是指经发包人同意由两个或两个以上法人或者其他组织组成的，作为承包人的临时机构。</w:t>
      </w:r>
    </w:p>
    <w:p w14:paraId="72E68A18">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1.1.2.5 发包人代表：是指由发包人任命并派驻工作现场，在发包人授权范围内行使发包人权利和履行发包人义务的人。</w:t>
      </w:r>
    </w:p>
    <w:p w14:paraId="45A643CC">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1580D78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1.1.2.7 工程总承包项目经理：是指由承包人任命的，在承包人授权范围内负责合同履行的管理，且按照法律规定具有相应资格的项目负责人。</w:t>
      </w:r>
    </w:p>
    <w:p w14:paraId="7DD52401">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1.1.2.8 设计负责人：是指承包人指定负责组织、指导、协调设计工作并具有相应资格的人员。</w:t>
      </w:r>
    </w:p>
    <w:p w14:paraId="6A3C002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1.1.2.9 采购负责人：是指承包人指定负责组织、指导、协调采购工作的人员。</w:t>
      </w:r>
    </w:p>
    <w:p w14:paraId="30A05D50">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1.1.2.10 施工负责人：是指承包人指定负责组织、指导、协调施工工作并具有相应资格的人员。</w:t>
      </w:r>
    </w:p>
    <w:p w14:paraId="5BB96BA2">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1.1.2.11 分包人：是指按照法律规定和合同约定，分包部分工程或工作，并与承包人订立分包合同的具有相应资质或资格的法人或其他组织。</w:t>
      </w:r>
    </w:p>
    <w:p w14:paraId="7A76D84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 工程和设备</w:t>
      </w:r>
    </w:p>
    <w:p w14:paraId="04CEB62A">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1.1.3.1 工程：是指与合同协议书中工程承包范围对应的永久工程和（或）临时工程。</w:t>
      </w:r>
    </w:p>
    <w:p w14:paraId="66F1BC71">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1.1.3.2 工程实施：是指进行工程的设计、采购、施工和竣工以及对工程任何缺陷的修复。</w:t>
      </w:r>
    </w:p>
    <w:p w14:paraId="3DB77B0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1.1.3.3 永久工程：是指按合同约定建造并移交给发包人的工程，包括工程设备。</w:t>
      </w:r>
    </w:p>
    <w:p w14:paraId="719F5CF4">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1.1.3.4 临时工程：是指为完成合同约定的永久工程所修建的各类临时性工程，不包括施工设备。</w:t>
      </w:r>
    </w:p>
    <w:p w14:paraId="6F7933B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1.1.3.5 单位/区段工程：是指在专用合同条件中指明特定范围的，能单独接收并使用的永久工程。</w:t>
      </w:r>
    </w:p>
    <w:p w14:paraId="4941D65D">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1.1.3.6 工程设备：指构成永久工程的机电设备、仪器装置、运载工具及其他类似的设备和装置，包括其配件及备品、备件、易损易耗件等。</w:t>
      </w:r>
    </w:p>
    <w:p w14:paraId="7924FD10">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1.1.3.7 施工设备：指为完成合同约定的各项工作所需的设备、器具和其他物品，不包括工程设备、临时工程和材料。</w:t>
      </w:r>
    </w:p>
    <w:p w14:paraId="30B48B0D">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1.1.3.8 临时设施：指为完成合同约定的各项工作所服务的临时性生产和生活设施。</w:t>
      </w:r>
    </w:p>
    <w:p w14:paraId="575BF77C">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1.1.3.9 施工现场：是指用于工程施工的场所，以及在专用合同条件中指明作为施工场所组成部分的其他场所，包括永久占地和临时占地。</w:t>
      </w:r>
    </w:p>
    <w:p w14:paraId="7D89E1D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1.1.3.10 永久占地：是指专用合同条件中指明为实施工程需永久占用的土地。</w:t>
      </w:r>
    </w:p>
    <w:p w14:paraId="0EC67FBA">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1.1.3.11 临时占地：是指专用合同条件中指明为实施工程需临时占用的土地。</w:t>
      </w:r>
    </w:p>
    <w:p w14:paraId="0AD230C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 日期和期限</w:t>
      </w:r>
    </w:p>
    <w:p w14:paraId="1E73144E">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1.1.4.1 开始工作通知：指工程师按第8.1.2项[开始工作通知]的约定通知承包人开始工作的函件。</w:t>
      </w:r>
    </w:p>
    <w:p w14:paraId="2C245FB2">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5F9416EC">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08B6C11F">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1.1.4.4 竣工日期：包括计划竣工日期和实际竣工日期。计划竣工日期是指合同协议书约定的竣工日期；实际竣工日期按照第8.2款[竣工日期]的约定确定。</w:t>
      </w:r>
    </w:p>
    <w:p w14:paraId="0DFC125F">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1.1.4.5 工期：是指在合同协议书约定的承包人完成合同工作所需的期限，包括按照合同约定所作的期限变更及按合同约定承包人有权取得的工期延长。</w:t>
      </w:r>
    </w:p>
    <w:p w14:paraId="31034714">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1.1.4.6 缺陷责任期：是指发包人预留工程质量保证金以保证承包人履行第11.3款[缺陷调查]下质量缺陷责任的期限。</w:t>
      </w:r>
    </w:p>
    <w:p w14:paraId="45C405F1">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1.1.4.7 保修期：是指承包人按照合同约定和法律规定对工程质量承担保修责任的期限，该期限自缺陷责任期起算之日起计算。</w:t>
      </w:r>
    </w:p>
    <w:p w14:paraId="3FF288A9">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1.1.4.8 基准日期：招标发包的工程以投标截止日前28天的日期为基准日期，直接发包的工程以合同订立日前28天的日期为基准日期。</w:t>
      </w:r>
    </w:p>
    <w:p w14:paraId="6B0A9E8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1.1.4.9 天：除特别指明外，均指日历天。合同中按天计算时间的，开始当天不计入，从次日开始计算。期限最后一天的截止时间为当天24:00。</w:t>
      </w:r>
    </w:p>
    <w:p w14:paraId="522BCC55">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1.1.4.10 竣工试验：是指在工程竣工验收前，根据第9条[竣工试验]要求进行的试验。</w:t>
      </w:r>
    </w:p>
    <w:p w14:paraId="0FC6A98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1.1.4.11 竣工验收：是指承包人完成了合同约定的各项内容后，发包人按合同要求进行的验收。</w:t>
      </w:r>
    </w:p>
    <w:p w14:paraId="2400468F">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1.1.4.12 竣工后试验：是指在工程竣工验收后，根据第12条[竣工后试验]约定进行的试验。</w:t>
      </w:r>
    </w:p>
    <w:p w14:paraId="0970EF1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 合同价格和费用</w:t>
      </w:r>
    </w:p>
    <w:p w14:paraId="11D2C6D3">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1.1.5.1 签约合同价：是指发包人和承包人在合同协议书中确定的总金额，包括暂估价及暂列金额等。</w:t>
      </w:r>
    </w:p>
    <w:p w14:paraId="3667F558">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1.1.5.2 合同价格：是指发包人用于支付承包人按照合同约定完成承包范围内全部工作的金额，包括合同履行过程中按合同约定发生的价格变化。</w:t>
      </w:r>
    </w:p>
    <w:p w14:paraId="0DA01FA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1.1.5.3 费用：是指为履行合同所发生的或将要发生的所有合理开支，包括管理费和应分摊的其他费用，但不包括利润。</w:t>
      </w:r>
    </w:p>
    <w:p w14:paraId="4CFAED9B">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1.1.5.4 人工费：是指支付给直接从事建筑安装工程施工作业的建筑工人的各项费用。</w:t>
      </w:r>
    </w:p>
    <w:p w14:paraId="7B7A4C01">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1.1.5.5 暂估价：是指发包人在项目清单中给定的，用于支付必然发生但暂时不能确定价格的专业服务、材料、设备、专业工程的金额。</w:t>
      </w:r>
    </w:p>
    <w:p w14:paraId="0C946AF9">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1.1.5.6 暂列金额：是指发包人在项目清单中给定的，用于在订立协议书时尚未确定或不可预见变更的设计、施工及其所需材料、工程设备、服务等的金额，包括以计日工方式支付的金额。</w:t>
      </w:r>
    </w:p>
    <w:p w14:paraId="435E2C41">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1.1.5.7 计日工：是指合同履行过程中，承包人完成发包人提出的零星工作或需要采用计日工计价的变更工作时，按合同中约定的单价计价的一种方式。</w:t>
      </w:r>
    </w:p>
    <w:p w14:paraId="3AEE2CBF">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1.1.5.8 质量保证金：是指按第14.6款[质量保证金]约定承包人用于保证其在缺陷责任期内履行缺陷修复义务的担保。</w:t>
      </w:r>
    </w:p>
    <w:p w14:paraId="77C1020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1.1.6 其他</w:t>
      </w:r>
    </w:p>
    <w:p w14:paraId="6D381035">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1.1.6.1 书面形式：指合同文件、信函、电报、传真、数据电文、电子邮件、会议纪要等可以有形地表现所载内容的形式。</w:t>
      </w:r>
    </w:p>
    <w:p w14:paraId="41FEE2B9">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1.1.6.2 承包人文件：指由承包人根据合同约定应提交的所有图纸、手册、模型、计算书、软件、函件、洽商性文件和其他技术性文件。</w:t>
      </w:r>
    </w:p>
    <w:p w14:paraId="391E9887">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1.1.6.3 变更：指根据第13条[变更与调整]的约定，经指示或批准对《发包人要求》或工程所做的改变。</w:t>
      </w:r>
    </w:p>
    <w:p w14:paraId="6366E13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1.2 语言文字</w:t>
      </w:r>
    </w:p>
    <w:p w14:paraId="64B14E5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合同文件以中国的汉语简体语言文字编写、解释和说明。专用术语使用外文的，应附有中文注释。合同当事人在专用合同条件约定使用两种及以上语言时，汉语为优先解释和说明合同的语言。</w:t>
      </w:r>
    </w:p>
    <w:p w14:paraId="0A7657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与合同有关的联络应使用专用合同条件约定的语言。如没有约定，则应使用中国的汉语简体语言文字。</w:t>
      </w:r>
    </w:p>
    <w:p w14:paraId="00F0B73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 法律</w:t>
      </w:r>
    </w:p>
    <w:p w14:paraId="32630E6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合同所称法律是指中华人民共和国法律、行政法规、部门规章，以及工程所在地的地方法规、自治条例、单行条例和地方政府规章等。</w:t>
      </w:r>
    </w:p>
    <w:p w14:paraId="54D85FC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合同当事人可以在专用合同条件中约定合同适用的其他规范性文件。</w:t>
      </w:r>
    </w:p>
    <w:p w14:paraId="4F8AA8D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1.4 标准和规范</w:t>
      </w:r>
    </w:p>
    <w:p w14:paraId="467AEE7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 适用于工程的国家标准、行业标准、工程所在地的地方性标准，以及相应的规范、规程等，合同当事人有特别要求的，应在专用合同条件中约定。</w:t>
      </w:r>
    </w:p>
    <w:p w14:paraId="2B592BA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 发包人要求使用国外标准、规范的，发包人负责提供原文版本和中文译本，并在专用合同条件中约定提供标准规范的名称、份数和时间。</w:t>
      </w:r>
    </w:p>
    <w:p w14:paraId="18465CD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5A1FD63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10E0725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1.5 合同文件的优先顺序</w:t>
      </w:r>
    </w:p>
    <w:p w14:paraId="383A62A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组成合同的各项文件应互相解释，互为说明。除专用合同条件另有约定外，解释合同文件的优先顺序如下：</w:t>
      </w:r>
    </w:p>
    <w:p w14:paraId="650AB2A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合同协议书；</w:t>
      </w:r>
    </w:p>
    <w:p w14:paraId="0D0D9B6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中标通知书（如果有）；</w:t>
      </w:r>
    </w:p>
    <w:p w14:paraId="4B80F29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投标函及投标函附录（如果有）；</w:t>
      </w:r>
    </w:p>
    <w:p w14:paraId="3896AF0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专用合同条件及《发包人要求》等附件；</w:t>
      </w:r>
    </w:p>
    <w:p w14:paraId="3C52C8F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通用合同条件；</w:t>
      </w:r>
    </w:p>
    <w:p w14:paraId="3034ED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 承包人建议书； </w:t>
      </w:r>
    </w:p>
    <w:p w14:paraId="299C00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价格清单；</w:t>
      </w:r>
    </w:p>
    <w:p w14:paraId="36DD07B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双方约定的其他合同文件。</w:t>
      </w:r>
    </w:p>
    <w:p w14:paraId="1269BB6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上述各项合同文件包括合同当事人就该项合同文件所作出的补充和修改，属于同一类内容的文件，应以最新签署的为准。</w:t>
      </w:r>
    </w:p>
    <w:p w14:paraId="5CA3AC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在合同订立及履行过程中形成的与合同有关的文件均构成合同文件组成部分，并根据其性质确定优先解释顺序。</w:t>
      </w:r>
    </w:p>
    <w:p w14:paraId="1F954090">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1.6 文件的提供和照管</w:t>
      </w:r>
    </w:p>
    <w:p w14:paraId="4156ABB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 发包人文件的提供</w:t>
      </w:r>
    </w:p>
    <w:p w14:paraId="5F90DAB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4CFF3B4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 承包人文件的提供</w:t>
      </w:r>
    </w:p>
    <w:p w14:paraId="29B12BA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除专用合同条件另有约定外，承包人文件应包含下列内容，并用第1.2款[语言文字]约定的语言制作：</w:t>
      </w:r>
    </w:p>
    <w:p w14:paraId="6B61CFA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《发包人要求》中规定的相关文件；</w:t>
      </w:r>
    </w:p>
    <w:p w14:paraId="2A2BEA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满足工程相关行政审批手续所必须的应由承包人负责的相关文件；</w:t>
      </w:r>
    </w:p>
    <w:p w14:paraId="2EFDD54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第5.4款[竣工文件]与第5.5款[操作和维修手册]中要求的相关文件。</w:t>
      </w:r>
    </w:p>
    <w:p w14:paraId="54504F8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4909920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1.6.3 文件错误的通知</w:t>
      </w:r>
    </w:p>
    <w:p w14:paraId="0B5F93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任何一方发现文件中存在明显的错误或疏忽，应及时通知另一方。</w:t>
      </w:r>
    </w:p>
    <w:p w14:paraId="1E394C9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1.6.4 文件的照管</w:t>
      </w:r>
    </w:p>
    <w:p w14:paraId="1A5D776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37034A0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1.7 联络</w:t>
      </w:r>
    </w:p>
    <w:p w14:paraId="378823C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B25F5C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1.7.2 发包人和承包人应在专用合同条件中约定各自的送达方式和收件地址。任何一方合同当事人指定的送达方式或收件地址发生变动的，应提前3天以书面形式通知对方。</w:t>
      </w:r>
    </w:p>
    <w:p w14:paraId="08D2376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1.7.3 发包人和承包人应当及时签收另一方通过约定的送达方式送达至收件地址的来往文件。拒不签收的，由此增加的费用和（或）延误的工期由拒绝接收一方承担。</w:t>
      </w:r>
    </w:p>
    <w:p w14:paraId="569864A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2EB86F3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1.8 严禁贿赂</w:t>
      </w:r>
    </w:p>
    <w:p w14:paraId="5CF9EE0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合同当事人不得以贿赂或变相贿赂的方式，谋取非法利益或损害对方权益。因一方合同当事人的贿赂造成对方损失的，应赔偿损失，并承担相应的法律责任。</w:t>
      </w:r>
    </w:p>
    <w:p w14:paraId="3EE101A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承包人不得与工程师或发包人聘请的第三方串通损害发包人利益。未经发包人书面同意，承包人不得为工程师提供合同约定以外的通讯设备、交通工具及其他任何形式的利益，不得向工程师支付报酬。</w:t>
      </w:r>
    </w:p>
    <w:p w14:paraId="70679B2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1.9 化石、文物</w:t>
      </w:r>
    </w:p>
    <w:p w14:paraId="4B69EE1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4CD79F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发包人、工程师和承包人应按有关政府行政管理部门要求采取妥善的保护措施，由此增加的费用和（或）延误的工期由发包人承担。</w:t>
      </w:r>
    </w:p>
    <w:p w14:paraId="31D2C13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承包人发现文物后不及时报告或隐瞒不报，致使文物丢失或损坏的，应赔偿损失，并承担相应的法律责任。</w:t>
      </w:r>
    </w:p>
    <w:p w14:paraId="7EBF69D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1.10 知识产权 </w:t>
      </w:r>
    </w:p>
    <w:p w14:paraId="1B14663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3BBCCA3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4B559FF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0B34B5D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1.10.4 除专用合同条件另有约定外，承包人在投标文件中采用的专利、专有技术、商业软件、技术秘密的使用费已包含在签约合同价中。</w:t>
      </w:r>
    </w:p>
    <w:p w14:paraId="19901A3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66D1B98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1.11 保密</w:t>
      </w:r>
    </w:p>
    <w:p w14:paraId="65D8874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合同当事人一方对在订立和履行合同过程中知悉的另一方的商业秘密、技术秘密，以及任何一方明确要求保密的其它信息，负有保密责任。</w:t>
      </w:r>
    </w:p>
    <w:p w14:paraId="18463CD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除法律规定或合同另有约定外，未经对方同意，任何一方当事人不得将对方提供的文件、技术秘密以及声明需要保密的资料信息等商业秘密泄露给第三方或者用于本合同以外的目的。</w:t>
      </w:r>
    </w:p>
    <w:p w14:paraId="192B785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4F4D081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1.12 《发包人要求》和基础资料中的错误</w:t>
      </w:r>
    </w:p>
    <w:p w14:paraId="50FF439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承包人应尽早认真阅读、复核《发包人要求》以及其提供的基础资料，发现错误的，应及时书面通知发包人补正。发包人作相应修改的，按照第13条[变更与调整]的约定处理。</w:t>
      </w:r>
    </w:p>
    <w:p w14:paraId="0EFCB70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《发包人要求》或其提供的基础资料中的错误导致承包人增加费用和（或）工期延误的，发包人应承担由此增加的费用和（或）工期延误，并向承包人支付合理利润。</w:t>
      </w:r>
    </w:p>
    <w:p w14:paraId="0193BE8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1.13 责任限制</w:t>
      </w:r>
    </w:p>
    <w:p w14:paraId="197BD53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084824E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1.14 建筑信息模型技术的应用</w:t>
      </w:r>
    </w:p>
    <w:p w14:paraId="6677B22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3184A3B6">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第2条 发包人</w:t>
      </w:r>
    </w:p>
    <w:p w14:paraId="2AF9D08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2.1 遵守法律</w:t>
      </w:r>
    </w:p>
    <w:p w14:paraId="150415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发包人在履行合同过程中应遵守法律，并承担因发包人违反法律给承包人造成的任何费用和损失。发包人不得以任何理由，要求承包人在工程实施过程中违反法律、行政法规以及</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质量、安全、环保标准，任意压缩合理工期或者降低工程质量。</w:t>
      </w:r>
    </w:p>
    <w:p w14:paraId="21F8637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2.2 提供施工现场和工作条件</w:t>
      </w:r>
    </w:p>
    <w:p w14:paraId="7E64AB7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 提供施工现场</w:t>
      </w:r>
    </w:p>
    <w:p w14:paraId="1D2974D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5374C58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 提供工作条件</w:t>
      </w:r>
    </w:p>
    <w:p w14:paraId="624902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发包人应按专用合同条件约定向承包人提供工作条件。专用合同条件对此没有约定的，发包人应负责提供开展本合同相关工作所需要的条件，包括：</w:t>
      </w:r>
    </w:p>
    <w:p w14:paraId="535B93D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将施工用水、电力、通讯线路等施工所必需的条件接至施工现场内；</w:t>
      </w:r>
    </w:p>
    <w:p w14:paraId="72510B2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保证向承包人提供正常施工所需要的进入施工现场的交通条件；</w:t>
      </w:r>
    </w:p>
    <w:p w14:paraId="626106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协调处理施工现场周围地下管线和邻近建筑物、构筑物、古树名木、文物、化石及坟墓等的保护工作，并承担相关费用；</w:t>
      </w:r>
    </w:p>
    <w:p w14:paraId="188EC0C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76FBAB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按照专用合同条件约定应提供的其他设施和条件。</w:t>
      </w:r>
    </w:p>
    <w:p w14:paraId="4314A50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2.2.3 逾期提供的责任</w:t>
      </w:r>
    </w:p>
    <w:p w14:paraId="355391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因发包人原因未能按合同约定及时向承包人提供施工现场和施工条件的，由发包人承担由此增加的费用和（或）延误的工期。</w:t>
      </w:r>
    </w:p>
    <w:p w14:paraId="6FFDB69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2.3 提供基础资料</w:t>
      </w:r>
    </w:p>
    <w:p w14:paraId="31EC815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1929D98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2.4 办理许可和批准</w:t>
      </w:r>
    </w:p>
    <w:p w14:paraId="646A9AB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2.4.1 发包人在履行合同过程中应遵守法律，并办理法律规定或合同约定由其办理的许可、批准或备案，包括但不限于建设用地规划许可证、</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规划许可证、</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施工许可证等许可和批准。对于法律规定或合同约定由承包人负责的有关设计、施工证件、批件或备案，发包人应给予必要的协助。</w:t>
      </w:r>
    </w:p>
    <w:p w14:paraId="4B9A84E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2.4.2 因发包人原因未能及时办理完毕前述许可、批准或备案，由发包人承担由此增加的费用和（或）延误的工期，并支付承包人合理的利润。</w:t>
      </w:r>
    </w:p>
    <w:p w14:paraId="424F0B9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2.5 支付合同价款</w:t>
      </w:r>
    </w:p>
    <w:p w14:paraId="15CF4BE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2.5.1 发包人应按合同约定向承包人及时支付合同价款。</w:t>
      </w:r>
    </w:p>
    <w:p w14:paraId="194150B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7151448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2.5.3 发包人应当向承包人提供支付担保。支付担保可以采用银行保函或担保公司担保等形式，具体由合同当事人在专用合同条件中约定。</w:t>
      </w:r>
    </w:p>
    <w:p w14:paraId="6E21EE8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2.6 现场管理配合</w:t>
      </w:r>
    </w:p>
    <w:p w14:paraId="69FA15C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发包人应负责保证在现场或现场附近的发包人人员和发包人的其他承包人（如有）：</w:t>
      </w:r>
    </w:p>
    <w:p w14:paraId="008E90C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根据第7.3款[现场合作]的约定，与承包人进行合作；</w:t>
      </w:r>
    </w:p>
    <w:p w14:paraId="319BF66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遵守第7.5款[现场劳动用工]、第7.6款[安全文明施工]、第7.7款[职业健康]和第7.8款[环境保护]的相关约定。</w:t>
      </w:r>
    </w:p>
    <w:p w14:paraId="747C557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发包人应与承包人、由发包人直接发包的其他承包人（如有）订立施工现场统一管理协议，明确各方的权利义务。</w:t>
      </w:r>
    </w:p>
    <w:p w14:paraId="7B6698D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2.7 其他义务</w:t>
      </w:r>
    </w:p>
    <w:p w14:paraId="5292816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发包人应履行合同约定的其他义务，双方可在专用合同条件内对发包人应履行的其他义务进行补充约定。</w:t>
      </w:r>
    </w:p>
    <w:p w14:paraId="0D00F67C">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第3条 发包人的管理</w:t>
      </w:r>
    </w:p>
    <w:p w14:paraId="1AEF54E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3.1 发包人代表</w:t>
      </w:r>
    </w:p>
    <w:p w14:paraId="35992C4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4F9ABB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除非发包人另行通知承包人，发包人代表应被授予并且被认为具有发包人在授权范围内享有的相应权利，涉及第16.1款[由发包人解除合同]的权利除外。</w:t>
      </w:r>
    </w:p>
    <w:p w14:paraId="0BB5F73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发包人代表（或者在其为法人的情况下，被任命代表其行事的自然人）应：</w:t>
      </w:r>
    </w:p>
    <w:p w14:paraId="1EA3C4F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履行指派给其的职责，行使发包人托付给的权利；</w:t>
      </w:r>
    </w:p>
    <w:p w14:paraId="735DFC5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具备履行这些职责、行使这些权利的能力；</w:t>
      </w:r>
    </w:p>
    <w:p w14:paraId="1897183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作为熟练的专业人员行事。</w:t>
      </w:r>
    </w:p>
    <w:p w14:paraId="6928D44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4D18BDD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0C9C7F5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发包人代表不能按照合同约定履行其职责及义务，并导致合同无法继续正常履行的，承包人可以要求发包人撤换发包人代表。</w:t>
      </w:r>
    </w:p>
    <w:p w14:paraId="495620B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3.2 发包人人员</w:t>
      </w:r>
    </w:p>
    <w:p w14:paraId="3BA223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617BC54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发包人应要求在施工现场的发包人人员遵守法律及有关安全、质量、环境保护、文明施工等规定，因发包人人员未遵守上述要求给承包人造成的损失和责任由发包人承担。</w:t>
      </w:r>
    </w:p>
    <w:p w14:paraId="4E0B74B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3.3 工程师 </w:t>
      </w:r>
    </w:p>
    <w:p w14:paraId="13F18F4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11B2005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29ED6A2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6C31CB5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00A8385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3.4 任命和授权</w:t>
      </w:r>
    </w:p>
    <w:p w14:paraId="5086088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625BD9A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072C991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3.5 指示</w:t>
      </w:r>
    </w:p>
    <w:p w14:paraId="7A96D3E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6B1922A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3.5.2 承包人收到工程师作出的指示后应遵照执行。如果任何此类指示构成一项变更时，应按照第13条[变更与调整]的约定办理。</w:t>
      </w:r>
    </w:p>
    <w:p w14:paraId="3F35764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3.5.3 由于工程师未能按合同约定发出指示、指示延误或指示错误而导致承包人费用增加和（或）工期延误的，发包人应承担由此增加的费用和（或）工期延误，并向承包人支付合理利润。</w:t>
      </w:r>
    </w:p>
    <w:p w14:paraId="014DDB4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3.6 商定或确定</w:t>
      </w:r>
    </w:p>
    <w:p w14:paraId="060F0DB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3.6.1 合同约定工程师应按照本款对任何事项进行商定或确定时，工程师应及时与合同当事人协商，尽量达成一致。工程师应将商定的结果以书面形式通知发包人和承包人，并由双方签署确认。</w:t>
      </w:r>
    </w:p>
    <w:p w14:paraId="568A1CD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05492BE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277D4F8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3.6.4 在该争议解决前，双方应暂按工程师的确定执行。按照第20条[争议解决]的约定对工程师的确定作出修改的，按修改后的结果执行，由此导致承包人增加的费用和延误的工期由责任方承担。</w:t>
      </w:r>
    </w:p>
    <w:p w14:paraId="6EB3CF4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3.7 会议</w:t>
      </w:r>
    </w:p>
    <w:p w14:paraId="6A045A5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616305C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3.7.2 除专用合同条件另有约定外，发包人应保存每次会议参加人签名的记录，并将会议纪要提供给出席会议的人员。任何根据此类会议以及会议纪要采取的行动应符合本合同的约定。</w:t>
      </w:r>
    </w:p>
    <w:p w14:paraId="0CD2B1CC">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第4条 承包人</w:t>
      </w:r>
    </w:p>
    <w:p w14:paraId="7A159A2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4.1 承包人的一般义务 </w:t>
      </w:r>
    </w:p>
    <w:p w14:paraId="3D7ADE5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除专用合同条件另有约定外，承包人在履行合同过程中应遵守法律和工程建设标准规范，并履行以下义务：</w:t>
      </w:r>
    </w:p>
    <w:p w14:paraId="6B9AB28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（1）办理法律规定和合同约定由承包人办理的许可和批准，将办理结果书面报送发包人留存，并承担因承包人违反法律或合同约定给发包人造成的任何费用和损失；</w:t>
      </w:r>
    </w:p>
    <w:p w14:paraId="5324BBF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（2）按合同约定完成全部工作并在缺陷责任期和保修期内承担缺陷保证责任和保修义务，对工作中的任何缺陷进行整改、完善和修补，使其满足合同约定的目的；</w:t>
      </w:r>
    </w:p>
    <w:p w14:paraId="75C003D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（3）提供合同约定的工程设备和承包人文件，以及为完成合同工作所需的劳务、材料、施工设备和其他物品，并按合同约定负责临时设施的设计、施工、运行、维护、管理和拆除；</w:t>
      </w:r>
    </w:p>
    <w:p w14:paraId="45A1ED0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（4）按合同约定的工作内容和进度要求，编制设计、施工的组织和实施计划，保证项目进度计划的实现，并对所有设计、施工作业和施工方法，以及全部工程的完备性和安全可靠性负责；</w:t>
      </w:r>
    </w:p>
    <w:p w14:paraId="783EF96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（5）按法律规定和合同约定采取安全文明施工、职业健康和环境保护措施，办理员工工伤保险等相关保险，确保工程及人员、材料、设备和设施的安全，防止因工程实施造成的人身伤害和财产损失；</w:t>
      </w:r>
    </w:p>
    <w:p w14:paraId="160F2E6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（6）将发包人按合同约定支付的各项价款专用于合同工程，且应及时支付其雇用人员（包括建筑工人）工资，并及时向分包人支付合同价款；</w:t>
      </w:r>
    </w:p>
    <w:p w14:paraId="49DEEBC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（7）在进行合同约定的各项工作时，不得侵害发包人与他人使用公用道路、水源、市政管网等公共设施的权利，避免对邻近的公共设施产生干扰。</w:t>
      </w:r>
    </w:p>
    <w:p w14:paraId="62FD08F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4.2 履约担保</w:t>
      </w:r>
    </w:p>
    <w:p w14:paraId="03E3B27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3A8A01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承包人应保证其履约担保在发包人竣工验收前一直有效，发包人应在竣工验收合格后7天内将履约担保款项退还给承包人或者解除履约担保。</w:t>
      </w:r>
    </w:p>
    <w:p w14:paraId="648DC05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因承包人原因导致工期延长的，继续提供履约担保所增加的费用由承包人承担；非因承包人原因导致工期延长的，继续提供履约担保所增加的费用由发包人承担。</w:t>
      </w:r>
    </w:p>
    <w:p w14:paraId="71C72F50">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4.3 工程总承包项目经理</w:t>
      </w:r>
    </w:p>
    <w:p w14:paraId="0A9C61B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14D68A0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6E8BBBE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392FB17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267631D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425511E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23DC8C27">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4.4 承包人人员</w:t>
      </w:r>
    </w:p>
    <w:p w14:paraId="61B9B91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4.4.1 人员安排</w:t>
      </w:r>
    </w:p>
    <w:p w14:paraId="5BD6260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3F9ADDC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关键人员是发包人及承包人一致认为对工程建设起重要作用的承包人主要管理人员或技术人员。关键人员的具体范围由发包人及承包人在附件5[承包人主要管理人员表]中另行约定。</w:t>
      </w:r>
    </w:p>
    <w:p w14:paraId="088176D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4.4.2 关键人员更换</w:t>
      </w:r>
    </w:p>
    <w:p w14:paraId="16F6D5C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92EA7B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62452DE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4.4.3 现场管理关键人员在岗要求</w:t>
      </w:r>
    </w:p>
    <w:p w14:paraId="673958A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3786E67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4.5 分包 </w:t>
      </w:r>
    </w:p>
    <w:p w14:paraId="479BA08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4.5.1 一般约定</w:t>
      </w:r>
    </w:p>
    <w:p w14:paraId="6069B43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1B42A2E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4.5.2 分包的确定</w:t>
      </w:r>
    </w:p>
    <w:p w14:paraId="11B72AC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承包人应按照专用合同条件约定对工作事项进行分包，确定分包人。</w:t>
      </w:r>
    </w:p>
    <w:p w14:paraId="0573029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54D62AC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4.5.3 分包人资质</w:t>
      </w:r>
    </w:p>
    <w:p w14:paraId="41B0BA4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分包人应符合国家法律规定的资质等级，否则不能作为分包人。承包人有义务对分包人的资质进行审查。</w:t>
      </w:r>
    </w:p>
    <w:p w14:paraId="755C755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4.5.4 分包管理</w:t>
      </w:r>
    </w:p>
    <w:p w14:paraId="1CAA0EE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33A0BEF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4.5.5 分包合同价款支付</w:t>
      </w:r>
    </w:p>
    <w:p w14:paraId="32A26EA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除本项第（2）目约定的情况或专用合同条件另有约定外，分包合同价款由承包人与分包人结算，未经承包人同意，发包人不得向分包人支付分包合同价款；</w:t>
      </w:r>
    </w:p>
    <w:p w14:paraId="3B040D9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生效法律文书要求发包人向分包人支付分包合同价款的，发包人有权从应付承包人工程款中扣除该部分款项，将扣款直接支付给分包人，并书面通知承包人。</w:t>
      </w:r>
    </w:p>
    <w:p w14:paraId="4F872B1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4.5.6 责任承担</w:t>
      </w:r>
    </w:p>
    <w:p w14:paraId="36F8CE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承包人对分包人的行为向发包人负责，承包人和分包人就分包工作向发包人承担连带责任。</w:t>
      </w:r>
    </w:p>
    <w:p w14:paraId="6D45C21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4.6 联合体</w:t>
      </w:r>
    </w:p>
    <w:p w14:paraId="1DD3CC8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4.6.1 经发包人同意，以联合体方式承包工程的，联合体各方应共同与发包人订立合同协议书。联合体各方应为履行合同向发包人承担连带责任。</w:t>
      </w:r>
    </w:p>
    <w:p w14:paraId="54B523E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708621B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4.6.3 联合体协议经发包人确认后作为合同附件。在履行合同过程中，未经发包人同意，不得变更联合体成员和其负责的工作范围，或者修改联合体协议中与本合同履行相关的内容。</w:t>
      </w:r>
    </w:p>
    <w:p w14:paraId="7A59B9C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4.7 承包人现场查勘</w:t>
      </w:r>
    </w:p>
    <w:p w14:paraId="368F323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5E06CA6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01C107C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4.8 不可预见的困难 </w:t>
      </w:r>
    </w:p>
    <w:p w14:paraId="2A53DCA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404C5BD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0FF5C94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4.9 工程质量管理</w:t>
      </w:r>
    </w:p>
    <w:p w14:paraId="27AB14F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61A60E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32972BB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4.9.3 承包人应对其人员进行质量教育和技术培训，定期考核人员的劳动技能，严格执行相关规范和操作规程。</w:t>
      </w:r>
    </w:p>
    <w:p w14:paraId="301D9E4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0AC839EE">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第5条 设计</w:t>
      </w:r>
    </w:p>
    <w:p w14:paraId="16016077">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5.1 承包人的设计义务 </w:t>
      </w:r>
    </w:p>
    <w:p w14:paraId="63B64ED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5.1.1 设计义务的一般要求</w:t>
      </w:r>
    </w:p>
    <w:p w14:paraId="76AED4C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11FAC29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5.1.2 对设计人员的要求</w:t>
      </w:r>
    </w:p>
    <w:p w14:paraId="40D9AEA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p w14:paraId="045A594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5.1.3 法律和标准的变化</w:t>
      </w:r>
    </w:p>
    <w:p w14:paraId="0A7577F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782DF87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在基准日期之后，因国家颁布新的强制性规范、标准导致承包人的费用变化的，发包人应合理调整合同价格；导致工期延误的，发包人应合理延长工期。</w:t>
      </w:r>
    </w:p>
    <w:p w14:paraId="0A8B8D4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5.2 承包人文件审查 </w:t>
      </w:r>
    </w:p>
    <w:p w14:paraId="5E28E6F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5.2.1 根据《发包人要求》应当通过工程师报发包人审查同意的承包人文件，承包人应当按照《发包人要求》约定的范围和内容及时报送审查。</w:t>
      </w:r>
    </w:p>
    <w:p w14:paraId="71F15E4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429D428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发包人同意承包人文件的，应及时通知承包人，发包人不同意承包人文件的，应在审查期限内通过工程师以书面形式通知承包人，并说明不同意的具体内容和理由。</w:t>
      </w:r>
    </w:p>
    <w:p w14:paraId="6423F55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承包人对发包人的意见按以下方式处理：</w:t>
      </w:r>
    </w:p>
    <w:p w14:paraId="6B07D60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发包人的意见构成变更的，承包人应在7天内通知发包人按照第13条[变更与调整]中关于发包人指示变更的约定执行，双方对是否构成变更无法达成一致的，按照第20条[争议解决]的约定执行；</w:t>
      </w:r>
    </w:p>
    <w:p w14:paraId="411F99A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因承包人原因导致无法通过审查的，承包人应根据发包人的书面说明，对承包人文件进行修改后重新报送发包人审查，审查期重新起算。因此引起的工期延长和必要的工程费用增加，由承包人负责。</w:t>
      </w:r>
    </w:p>
    <w:p w14:paraId="13765E4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合同约定的审查期满，发包人没有做出审查结论也没有提出异议的，视为承包人文件已获发包人同意。</w:t>
      </w:r>
    </w:p>
    <w:p w14:paraId="344A4F4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发包人对承包人文件的审查和同意不得被理解为对合同的修改或改变，也并不减轻或免除承包人任何的责任和义务。</w:t>
      </w:r>
    </w:p>
    <w:p w14:paraId="45A4CDC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5.2.2 承包人文件不需要政府有关部门或专用合同条件约定的第三方审查单位审查或批准的，承包人应当严格按照经发包人审查同意的承包人文件设计和实施工程。</w:t>
      </w:r>
    </w:p>
    <w:p w14:paraId="5875DEA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1E837E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发包人有义务向承包人提供审查会议的批准文件和纪要。承包人有义务按照相关审查会议批准的文件和纪要，并依据合同约定及相关技术标准，对承包人文件进行修改、补充和完善。</w:t>
      </w:r>
    </w:p>
    <w:p w14:paraId="217445A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5.2.3 承包人文件需政府有关部门或专用合同条件约定的第三方审查单位审查或批准的，发包人应在发包人审查同意承包人文件后7天内，向政府有关部门或第三方报送承包人文件，承包人应予以协助。</w:t>
      </w:r>
    </w:p>
    <w:p w14:paraId="67C5668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7B480FC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58C87F7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5.3 培训</w:t>
      </w:r>
    </w:p>
    <w:p w14:paraId="29DF7E1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258E369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培训的时长应由双方在专用合同条件中约定，承包人应为培训提供有经验的人员、设施和其它必要条件。</w:t>
      </w:r>
    </w:p>
    <w:p w14:paraId="5E3BB66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5.4 竣工文件</w:t>
      </w:r>
    </w:p>
    <w:p w14:paraId="5F9F470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p>
    <w:p w14:paraId="0284E32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1E08429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5.4.3 除专用合同条件另有约定外，在工程师收到本款下的文件前，不应认为工程已根据第10.1款[竣工验收]和第10.2款[单位/区段工程的验收]的约定完成验收。</w:t>
      </w:r>
    </w:p>
    <w:p w14:paraId="71B5675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5.5 操作和维修手册</w:t>
      </w:r>
    </w:p>
    <w:p w14:paraId="0825945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11969F6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5.5.2 工程师收到承包人提交的文件后，应依据第5.2款[承包人文件审查]的约定对操作和维修手册进行审查，竣工试验工程中，承包人应为任何因操作和维修手册错误或遗漏引起的风险或损失承担责任。</w:t>
      </w:r>
    </w:p>
    <w:p w14:paraId="5F82CF7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3D8E066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5.6 承包人文件错误 </w:t>
      </w:r>
    </w:p>
    <w:p w14:paraId="2FBB7E0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3E816FB7">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第6条 材料、工程设备</w:t>
      </w:r>
    </w:p>
    <w:p w14:paraId="01EED0B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6.1 实施方法 </w:t>
      </w:r>
    </w:p>
    <w:p w14:paraId="0F690C8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承包人应按以下方法进行材料的加工、工程设备的采购、制造和安装、以及工程的所有其他实施作业：</w:t>
      </w:r>
    </w:p>
    <w:p w14:paraId="0443E3E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按照法律规定和合同约定的方法；</w:t>
      </w:r>
    </w:p>
    <w:p w14:paraId="3BF75E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按照公认的良好行业习惯，使用恰当、审慎、先进的方法；</w:t>
      </w:r>
    </w:p>
    <w:p w14:paraId="57B07F8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除专用合同条件另有规定外，应使用适当配备的实施方法、设备、设施和无危险的材料。</w:t>
      </w:r>
    </w:p>
    <w:p w14:paraId="696F9E8B">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6.2 材料和工程设备</w:t>
      </w:r>
    </w:p>
    <w:p w14:paraId="5B2D1A9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6.2.1 发包人提供的材料和工程设备</w:t>
      </w:r>
    </w:p>
    <w:p w14:paraId="557151E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发包人自行供应材料、工程设备的，应在订立合同时在专用合同条件的附件《发包人供应材料设备一览表》中明确材料、工程设备的品种、规格、型号、主要参数、数量、单价、质量等级和交接地点等。</w:t>
      </w:r>
    </w:p>
    <w:p w14:paraId="2FB41C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2BA8920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6CADCB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42FDF90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4579141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6.2.2 承包人提供的材料和工程设备</w:t>
      </w:r>
    </w:p>
    <w:p w14:paraId="79A610C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5F0A48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6183163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147E845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0DCD2C3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6.2.3 材料和工程设备的保管 </w:t>
      </w:r>
    </w:p>
    <w:p w14:paraId="32C2F30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发包人供应材料与工程设备的保管与使用</w:t>
      </w:r>
    </w:p>
    <w:p w14:paraId="75F69C4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发包人供应的材料和工程设备，承包人清点并接收后由承包人妥善保管，保管费用由承包人承担，但专用合同条件另有约定除外。因承包人原因发生丢失毁损的，由承包人负责赔偿。</w:t>
      </w:r>
    </w:p>
    <w:p w14:paraId="65E6DFF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发包人供应的材料和工程设备使用前，由承包人负责必要的检验，检验费用由发包人承担，不合格的不得使用。</w:t>
      </w:r>
    </w:p>
    <w:p w14:paraId="68FC5A7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承包人采购材料与工程设备的保管与使用</w:t>
      </w:r>
    </w:p>
    <w:p w14:paraId="07BF96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799190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工程师发现承包人使用不符合设计或有关标准要求的材料和工程设备时，有权要求承包人进行修复、拆除或重新采购，由此增加的费用和（或）延误的工期，由承包人承担。</w:t>
      </w:r>
    </w:p>
    <w:p w14:paraId="1CB0C9D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6.2.4 材料和工程设备的所有权</w:t>
      </w:r>
    </w:p>
    <w:p w14:paraId="5B8CA3E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05DA8FE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承包人按第6.2.2项提供的材料和工程设备，承包人应确保发包人取得无权利负担的材料及工程设备所有权，因承包人与第三人的物权争议导致的增加的费用和（或）延误的工期，由承包人承担。</w:t>
      </w:r>
    </w:p>
    <w:p w14:paraId="3472807C">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6.3 样品</w:t>
      </w:r>
    </w:p>
    <w:p w14:paraId="51DA277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6.3.1 样品的报送与封存</w:t>
      </w:r>
    </w:p>
    <w:p w14:paraId="002B21B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需要承包人报送样品的材料或工程设备，样品的种类、名称、规格、数量等要求均应在专用合同条件中约定。样品的报送程序如下：</w:t>
      </w:r>
    </w:p>
    <w:p w14:paraId="5788E16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24823A4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0F741F5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经工程师审批确认的样品应按约定的方法封样，封存的样品作为检验工程相关部分的标准之一。承包人在施工过程中不得使用与样品不符的材料或工程设备。</w:t>
      </w:r>
    </w:p>
    <w:p w14:paraId="565441C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E4BABC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6.3.2 样品的保管</w:t>
      </w:r>
    </w:p>
    <w:p w14:paraId="3427705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经批准的样品应由工程师负责封存于现场，承包人应在现场为保存样品提供适当和固定的场所并保持适当和良好的存储环境条件。</w:t>
      </w:r>
    </w:p>
    <w:p w14:paraId="58D13F2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6.4 质量检查</w:t>
      </w:r>
    </w:p>
    <w:p w14:paraId="5BC3686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6.4.1 工程质量要求</w:t>
      </w:r>
    </w:p>
    <w:p w14:paraId="7D8C734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工程质量标准必须符合现行国家有关工程施工质量验收规范和标准的要求。有关工程质量的特殊标准或要求由合同当事人在专用合同条件中约定。</w:t>
      </w:r>
    </w:p>
    <w:p w14:paraId="7BCE61A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1418B42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6.4.2 质量检查</w:t>
      </w:r>
    </w:p>
    <w:p w14:paraId="5FA6906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7334C86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6.4.3 隐蔽工程检查</w:t>
      </w:r>
    </w:p>
    <w:p w14:paraId="0930361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32CF661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160479A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180CF88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52FA1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承包人未通知工程师到场检查，私自将工程隐蔽部位覆盖的，工程师有权指示承包人钻孔探测或揭开检查，无论工程隐蔽部位质量是否合格，由此增加的费用和（或）延误的工期均由承包人承担。</w:t>
      </w:r>
    </w:p>
    <w:p w14:paraId="475765A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6.5 由承包人试验和检验</w:t>
      </w:r>
    </w:p>
    <w:p w14:paraId="3EE9E11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6.5.1 试验设备与试验人员</w:t>
      </w:r>
    </w:p>
    <w:p w14:paraId="508BC66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0479C7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承包人应按专用合同条件约定的试验内容、时间和地点提供试验设备、取样装置、试验场所和试验条件，并向工程师提交相应进场计划表。</w:t>
      </w:r>
    </w:p>
    <w:p w14:paraId="4FE948D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承包人配置的试验设备要符合相应试验规程的要求并经过具有资质的检测单位检测，且在正式使用该试验设备前，需要经过工程师与承包人共同校定。</w:t>
      </w:r>
    </w:p>
    <w:p w14:paraId="744BF8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承包人应向工程师提交试验人员的名单及其岗位、资格等证明资料，试验人员必须能够熟练进行相应的检测试验，承包人对试验人员的试验程序和试验结果的正确性负责。</w:t>
      </w:r>
    </w:p>
    <w:p w14:paraId="18566B6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6.5.2 取样</w:t>
      </w:r>
    </w:p>
    <w:p w14:paraId="3FA8F76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试验属于自检性质的，承包人可以单独取样。试验属于工程师抽检性质的，可由工程师取样，也可由承包人的试验人员在工程师的监督下取样。</w:t>
      </w:r>
    </w:p>
    <w:p w14:paraId="0EE2437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6.5.3 材料、工程设备和工程的试验和检验</w:t>
      </w:r>
    </w:p>
    <w:p w14:paraId="38BEF80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077B3A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37B9435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9E5AE2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6.5.4 现场工艺试验</w:t>
      </w:r>
    </w:p>
    <w:p w14:paraId="5E2DCD1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承包人应按合同约定进行现场工艺试验。对大型的现场工艺试验，发包人认为必要时，承包人应根据发包人提出的工艺试验要求，编制工艺试验措施计划，报送发包人审查。</w:t>
      </w:r>
    </w:p>
    <w:p w14:paraId="36FBE28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6.6 缺陷和修补</w:t>
      </w:r>
    </w:p>
    <w:p w14:paraId="38EE100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6.6.1 发包人可在颁发接收证书前随时指示承包人：</w:t>
      </w:r>
    </w:p>
    <w:p w14:paraId="0D3B11F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对不符合合同要求的任何工程设备或材料进行修补，或者将其移出现场并进行更换；</w:t>
      </w:r>
    </w:p>
    <w:p w14:paraId="5C3CEE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对不符合合同的其他工作进行修补，或者将其去除并重新实施； </w:t>
      </w:r>
    </w:p>
    <w:p w14:paraId="22D00A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实施因意外、不可预见的事件或其他原因引起的、为工程的安全迫切需要的任何修补工作。</w:t>
      </w:r>
    </w:p>
    <w:p w14:paraId="4AB8375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6.6.2 承包人应遵守第6.6.1项下指示，并在合理可行的情况下，根据上述指示中规定的时间完成修补工作。除因下列原因引起的第6.6.1项第（3）目下的情形外，承包人应承担所有修补工作的费用：</w:t>
      </w:r>
    </w:p>
    <w:p w14:paraId="3BF5053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因发包人或其人员的任何行为导致的情形，且在此情况下发包人应承担因此引起的工期延误和承包人费用损失，并向承包人支付合理的利润。</w:t>
      </w:r>
    </w:p>
    <w:p w14:paraId="2535365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第17.4款[不可抗力后果的承担]中适用的不可抗力事件的情形。</w:t>
      </w:r>
    </w:p>
    <w:p w14:paraId="77F7A9F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1483DE37">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第7条 施工</w:t>
      </w:r>
    </w:p>
    <w:p w14:paraId="3A1D1AB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7.1 交通运输 </w:t>
      </w:r>
    </w:p>
    <w:p w14:paraId="4FF4963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7.1.1 出入现场的权利</w:t>
      </w:r>
    </w:p>
    <w:p w14:paraId="39CF3A6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1BA7BB3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7.1.2 场外交通</w:t>
      </w:r>
    </w:p>
    <w:p w14:paraId="6503811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7082602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7.1.3 场内交通</w:t>
      </w:r>
    </w:p>
    <w:p w14:paraId="75EE18E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5D5377D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7.1.4 超大件和超重件的运输</w:t>
      </w:r>
    </w:p>
    <w:p w14:paraId="4C2DF0D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729CB4C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7.1.5 道路和桥梁的损坏责任</w:t>
      </w:r>
    </w:p>
    <w:p w14:paraId="0A9B78D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因承包人运输造成施工现场内外公共道路和桥梁损坏的，由承包人承担修复损坏的全部费用和可能引起的赔偿。</w:t>
      </w:r>
    </w:p>
    <w:p w14:paraId="3EB7F42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7.1.6 水路和航空运输</w:t>
      </w:r>
    </w:p>
    <w:p w14:paraId="4577C9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本条上述各款的内容适用于水路运输和航空运输，其中“道路”一词的涵义包括河道、航线、船闸、机场、码头、堤防以及水路或航空运输中其他相似结构物；“车辆”一词的涵义包括船舶和飞机等。</w:t>
      </w:r>
    </w:p>
    <w:p w14:paraId="7AA7C4E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7.2 施工设备和临时设施 </w:t>
      </w:r>
    </w:p>
    <w:p w14:paraId="4B96709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7.2.1 承包人提供的施工设备和临时设施</w:t>
      </w:r>
    </w:p>
    <w:p w14:paraId="43D198B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1DD98A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0593B72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7.2.2 发包人提供的施工设备和临时设施</w:t>
      </w:r>
    </w:p>
    <w:p w14:paraId="5084511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发包人提供的施工设备或临时设施在专用合同条件中约定。</w:t>
      </w:r>
    </w:p>
    <w:p w14:paraId="325572D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7.2.3 要求承包人增加或更换施工设备</w:t>
      </w:r>
    </w:p>
    <w:p w14:paraId="6E6B937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承包人使用的施工设备不能满足项目进度计划和（或）质量要求时，工程师有权要求承包人增加或更换施工设备，承包人应及时增加或更换，由此增加的费用和（或）延误的工期由承包人承担。</w:t>
      </w:r>
    </w:p>
    <w:p w14:paraId="504A4BF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7.2.4 施工设备和临时设施专用于合同工程</w:t>
      </w:r>
    </w:p>
    <w:p w14:paraId="54C298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729F8EE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7.3 现场合作</w:t>
      </w:r>
    </w:p>
    <w:p w14:paraId="1B2BFE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承包人应按合同约定或发包人的指示，与发包人人员、发包人的其他承包人等人员就在现场或附近实施与工程有关的各项工作进行合作并提供适当条件，包括使用承包人设备、临时工程或进入现场等。</w:t>
      </w:r>
    </w:p>
    <w:p w14:paraId="470A469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承包人应对其在现场的施工活动负责，并应尽合理努力按合同约定或发包人的指示，协调自身与发包人人员、发包人的其他承包人等人员的活动。</w:t>
      </w:r>
    </w:p>
    <w:p w14:paraId="4D375A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2C3DE3A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7.4 测量放线</w:t>
      </w:r>
    </w:p>
    <w:p w14:paraId="4418EFE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4E1DEC9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5B245EB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5347F2E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7.5 现场劳动用工</w:t>
      </w:r>
    </w:p>
    <w:p w14:paraId="02F76A4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67A3397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7773868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7.5.3 承包人应当按照相关法律法规的要求，进行劳动用工管理和建筑工人工资支付。</w:t>
      </w:r>
    </w:p>
    <w:p w14:paraId="518692A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7.6 安全文明施工</w:t>
      </w:r>
    </w:p>
    <w:p w14:paraId="706C653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7.6.1 安全生产要求</w:t>
      </w:r>
    </w:p>
    <w:p w14:paraId="35F6AC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2F24776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E8F883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因安全生产需要暂停施工的，按照第8.9款[暂停工作]的约定执行。</w:t>
      </w:r>
    </w:p>
    <w:p w14:paraId="761FD65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7.6.2 安全生产保证措施</w:t>
      </w:r>
    </w:p>
    <w:p w14:paraId="797F34C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47C53B4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72FD593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66E60B0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7.6.3 文明施工</w:t>
      </w:r>
    </w:p>
    <w:p w14:paraId="5155DD7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6416D37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5E351C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7.6.4 事故处理</w:t>
      </w:r>
    </w:p>
    <w:p w14:paraId="0A1C9C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B3FC43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081245B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7.6.5 安全生产责任</w:t>
      </w:r>
    </w:p>
    <w:p w14:paraId="706618C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发包人应负责赔偿以下各种情况造成的损失：</w:t>
      </w:r>
    </w:p>
    <w:p w14:paraId="3C761D5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工程或工程的任何部分对土地的占用所造成的第三者财产损失；</w:t>
      </w:r>
    </w:p>
    <w:p w14:paraId="0140D69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由于发包人原因在施工现场及其毗邻地带、履行合同工作中造成的第三者人身伤亡和财产损失；</w:t>
      </w:r>
    </w:p>
    <w:p w14:paraId="7C4728F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由于发包人原因对发包人自身、承包人、工程师造成的人身伤害和财产损失。</w:t>
      </w:r>
    </w:p>
    <w:p w14:paraId="0BD4B40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承包人应负责赔偿由于承包人原因在施工现场及其毗邻地带、履行合同工作中造成的第三者人身伤亡和财产损失。</w:t>
      </w:r>
    </w:p>
    <w:p w14:paraId="573DD80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如果上述损失是由于发包人和承包人共同原因导致的，则双方应根据过错情况按比例承担。</w:t>
      </w:r>
    </w:p>
    <w:p w14:paraId="797B535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7.7 职业健康</w:t>
      </w:r>
    </w:p>
    <w:p w14:paraId="3E0115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承包人应遵守适用的职业健康的法律和合同约定（包括对雇用、职业健康、安全、福利等方面的规定），负责现场实施过程中其人员的职业健康和保护，包括：</w:t>
      </w:r>
    </w:p>
    <w:p w14:paraId="75299C2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223DFEB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0EA38B0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33C6B5C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1D4808F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46A8351B">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7.8 环境保护</w:t>
      </w:r>
    </w:p>
    <w:p w14:paraId="7AEA0BB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6A3D997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7.8.2 承包人应采取措施，并负责控制和（或）处理现场的粉尘、废气、废水、固体废物和噪声对环境的污染和危害。因此发生的伤害、赔偿、罚款等费用增加，和（或）竣工日期延误，由承包人负责。</w:t>
      </w:r>
    </w:p>
    <w:p w14:paraId="26042C9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18E99C8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7.9 临时性公用设施 </w:t>
      </w:r>
    </w:p>
    <w:p w14:paraId="7B4949F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7.9.1 提供临时用水、用电等和节点铺设</w:t>
      </w:r>
    </w:p>
    <w:p w14:paraId="26B1EE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56AD529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607130C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7.9.2 临时用水、用电等</w:t>
      </w:r>
    </w:p>
    <w:p w14:paraId="0C46A1E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077F9CE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因承包人未能按合同约定提交上述资料，造成发包人费用增加和竣工日期延误时，由承包人负责。</w:t>
      </w:r>
    </w:p>
    <w:p w14:paraId="71387D9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7.10 现场安保</w:t>
      </w:r>
    </w:p>
    <w:p w14:paraId="2414091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114B8C2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承包人应将其作业限制在现场区域、合同约定的区域或为履行合同所需的区域内。承包人应采取一切必要的预防措施，以保持承包人的设备和人员处于现场区域内，避免其进入邻近地区。</w:t>
      </w:r>
    </w:p>
    <w:p w14:paraId="141D47F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承包人为履行合同义务而占用的其他场所（如预制加工场所、办公及生活营区） 的安保适用本款前述关于现场安保的规定。</w:t>
      </w:r>
    </w:p>
    <w:p w14:paraId="0CDB92F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7.11 工程照管</w:t>
      </w:r>
    </w:p>
    <w:p w14:paraId="104B77F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自开始现场施工日期起至发包人应当接收工程之日止，承包人应承担工程现场、材料、设备及承包人文件的照管和维护工作。</w:t>
      </w:r>
    </w:p>
    <w:p w14:paraId="449B6D2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如部分工程于竣工验收前提前交付发包人的，则自交付之日起，该部分工程照管及维护职责由发包人承担。</w:t>
      </w:r>
    </w:p>
    <w:p w14:paraId="1F984AB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如发包人及承包人进行竣工验收时尚有部分未竣工工程的，承包人应负责该未竣工工程的照管和维护工作，直至竣工后移交给发包人。</w:t>
      </w:r>
    </w:p>
    <w:p w14:paraId="2BB3BD0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如合同解除或终止的，承包人自合同解除或终止之日起不再对工程承担照管和维护义务。</w:t>
      </w:r>
    </w:p>
    <w:p w14:paraId="1C9DAD50">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第8条 工期和进度</w:t>
      </w:r>
    </w:p>
    <w:p w14:paraId="4F53D1A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8.1 开始工作</w:t>
      </w:r>
    </w:p>
    <w:p w14:paraId="789EDB3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 开始工作准备</w:t>
      </w:r>
    </w:p>
    <w:p w14:paraId="080D183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合同当事人应按专用合同条件约定完成开始工作准备工作。</w:t>
      </w:r>
    </w:p>
    <w:p w14:paraId="3EFEA01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8.1.2 开始工作通知</w:t>
      </w:r>
    </w:p>
    <w:p w14:paraId="516489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经发包人同意后，工程师应提前7天向承包人发出经发包人签认的开始工作通知，工期自开始工作通知中载明的开始工作日期起算。</w:t>
      </w:r>
    </w:p>
    <w:p w14:paraId="063752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14047C5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8.2 竣工日期 </w:t>
      </w:r>
    </w:p>
    <w:p w14:paraId="2A1063E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承包人应在合同协议书约定的工期内完成合同工作。除专用合同条件另有约定外，工程的竣工日期以第10.1条[竣工验收]的约定为准，并在工程接收证书中写明。</w:t>
      </w:r>
    </w:p>
    <w:p w14:paraId="7890342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因发包人原因，在工程师收到承包人竣工验收申请报告42天后未进行验收的，视为验收合格，实际竣工日期以提交竣工验收申请报告的日期为准，但发包人由于不可抗力不能进行验收的除外。</w:t>
      </w:r>
    </w:p>
    <w:p w14:paraId="1C3756A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8.3 项目实施计划</w:t>
      </w:r>
    </w:p>
    <w:p w14:paraId="1EF284C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8.3.1 项目实施计划的内容</w:t>
      </w:r>
    </w:p>
    <w:p w14:paraId="47840E1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1734C7B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8.3.2 项目实施计划的提交和修改</w:t>
      </w:r>
    </w:p>
    <w:p w14:paraId="4056F27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465995C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项目进度计划的编制和修改按照第8.4款[项目进度计划]执行。</w:t>
      </w:r>
    </w:p>
    <w:p w14:paraId="10FCA07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8.4 项目进度计划</w:t>
      </w:r>
    </w:p>
    <w:p w14:paraId="529E869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8.4.1 项目进度计划的提交和修改</w:t>
      </w:r>
    </w:p>
    <w:p w14:paraId="36A380C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3415BDC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2D27F77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8.4.2 项目进度计划的内容</w:t>
      </w:r>
    </w:p>
    <w:p w14:paraId="5D546FB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02FBC2A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8.4.3 项目进度计划的修订</w:t>
      </w:r>
    </w:p>
    <w:p w14:paraId="4AA6425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1F22D6B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646FC76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除合同当事人另有约定外，项目进度计划的修订并不能减轻或者免除双方按第8.7款[工期延误]、第8.8款[工期提前]、第8.9款[暂停工作]应承担的合同责任。</w:t>
      </w:r>
    </w:p>
    <w:p w14:paraId="6898C97B">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8.5 进度报告</w:t>
      </w:r>
    </w:p>
    <w:p w14:paraId="1CF4C65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项目实施过程中，承包人应进行实际进度记录，并根据工程师的要求编制月进度报告，并提交给工程师。进度报告应包含以下主要内容：</w:t>
      </w:r>
    </w:p>
    <w:p w14:paraId="47223E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工程设计、采购、施工等各个工作内容的进展报告；</w:t>
      </w:r>
    </w:p>
    <w:p w14:paraId="4E2B899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工程施工方法的一般说明；</w:t>
      </w:r>
    </w:p>
    <w:p w14:paraId="7A57AB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当月工程实施介入的项目人员、设备和材料的预估明细报告；</w:t>
      </w:r>
    </w:p>
    <w:p w14:paraId="7D96ACA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当月实际进度与进度计划对比分析，以及提出未来可能引起工期延误的情形，同时提出应对措施；需要修订项目进度计划的，应对项目进度计划的修订部分进行说明； </w:t>
      </w:r>
    </w:p>
    <w:p w14:paraId="532A0E6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承包人对于解决工期延误所提出的建议；</w:t>
      </w:r>
    </w:p>
    <w:p w14:paraId="37DF2A5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其他与工程有关的重大事项。</w:t>
      </w:r>
    </w:p>
    <w:p w14:paraId="5466CE2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进度报告的具体要求等，在专用合同条件约定。</w:t>
      </w:r>
    </w:p>
    <w:p w14:paraId="4B8D3A6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8.6 提前预警</w:t>
      </w:r>
    </w:p>
    <w:p w14:paraId="4B5B5D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任何一方应当在下列情形发生时尽快书面通知另一方：</w:t>
      </w:r>
    </w:p>
    <w:p w14:paraId="7E8CC8A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该情形可能对合同的履行或实现合同目的产生不利影响；</w:t>
      </w:r>
    </w:p>
    <w:p w14:paraId="1712971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该情形可能对工程完成后的使用产生不利影响；</w:t>
      </w:r>
    </w:p>
    <w:p w14:paraId="562EF23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该情形可能导致合同价款增加；</w:t>
      </w:r>
    </w:p>
    <w:p w14:paraId="1CBEF9E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该情形可能导致整个工程或单位/区段工程的工期延长。</w:t>
      </w:r>
    </w:p>
    <w:p w14:paraId="5597C00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发包人有权要求承包人根据第13.2款[承包人的合理化建议]的约定提交变更建议，采取措施尽量避免或最小化上述情形的发生或影响。</w:t>
      </w:r>
    </w:p>
    <w:p w14:paraId="58FE947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8.7 工期延误</w:t>
      </w:r>
    </w:p>
    <w:p w14:paraId="60CC3B3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8.7.1 因发包人原因导致工期延误</w:t>
      </w:r>
    </w:p>
    <w:p w14:paraId="0B1F052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在合同履行过程中，因下列情况导致工期延误和（或）费用增加的，由发包人承担由此延误的工期和（或）增加的费用，且发包人应支付承包人合理的利润：</w:t>
      </w:r>
    </w:p>
    <w:p w14:paraId="2E73DF6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根据第13条[变更与调整]的约定构成一项变更的；</w:t>
      </w:r>
    </w:p>
    <w:p w14:paraId="4D03028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发包人违反本合同约定，导致工期延误和（或）费用增加的；</w:t>
      </w:r>
    </w:p>
    <w:p w14:paraId="4948773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发包人、发包人代表、工程师或发包人聘请的任意第三方造成或引起的任何延误、妨碍和阻碍；</w:t>
      </w:r>
    </w:p>
    <w:p w14:paraId="25278E4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发包人未能依据第6.2.1项[发包人提供的材料和工程设备]的约定提供材料和工程设备导致工期延误和（或）费用增加的；</w:t>
      </w:r>
    </w:p>
    <w:p w14:paraId="0470BAF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因发包人原因导致的暂停施工；</w:t>
      </w:r>
    </w:p>
    <w:p w14:paraId="5FA31C9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发包人未及时履行相关合同义务，造成工期延误的其他原因。</w:t>
      </w:r>
    </w:p>
    <w:p w14:paraId="7A49A8A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8.7.2 因承包人原因导致工期延误</w:t>
      </w:r>
    </w:p>
    <w:p w14:paraId="55BC1C8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由于承包人的原因，未能按项目进度计划完成工作，承包人应采取措施加快进度，并承担加快进度所增加的费用。</w:t>
      </w:r>
    </w:p>
    <w:p w14:paraId="560BD26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4FDD311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8.7.3 行政审批迟延 </w:t>
      </w:r>
    </w:p>
    <w:p w14:paraId="4BAD230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01CB30E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8.7.4 异常恶劣的气候条件</w:t>
      </w:r>
    </w:p>
    <w:p w14:paraId="484728D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6175006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6B63B4BC">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8.8 工期提前</w:t>
      </w:r>
    </w:p>
    <w:p w14:paraId="2FF7CE8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1325243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14:paraId="625CEEEC">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8.9 暂停工作 </w:t>
      </w:r>
    </w:p>
    <w:p w14:paraId="2CCD467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8.9.1 由发包人暂停工作</w:t>
      </w:r>
    </w:p>
    <w:p w14:paraId="4D1FC35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发包人认为必要时，可通过工程师向承包人发出经发包人签认的暂停工作通知，应列明暂停原因、暂停的日期及预计暂停的期限。承包人应按该通知暂停工作。</w:t>
      </w:r>
    </w:p>
    <w:p w14:paraId="72903FE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承包人因执行暂停工作通知而造成费用的增加和（或）工期延误由发包人承担，并有权要求发包人支付合理利润，但由于承包人原因造成发包人暂停工作的除外。</w:t>
      </w:r>
    </w:p>
    <w:p w14:paraId="6CD6090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8.9.2 由承包人暂停工作 </w:t>
      </w:r>
    </w:p>
    <w:p w14:paraId="361D015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24D5B3A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6D244C1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发包人拖延、拒绝批准付款申请和支付证书，或未能按合同约定支付价款，导致付款延误的；</w:t>
      </w:r>
    </w:p>
    <w:p w14:paraId="45F4F26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发包人未按约定履行合同其他义务导致承包人无法继续履行合同的，或者发包人明确表示暂停或实质上已暂停履行合同的。</w:t>
      </w:r>
    </w:p>
    <w:p w14:paraId="1A99394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8.9.3 除上述原因以外的暂停工作，双方应遵守第17条[不可抗力]的相关约定。</w:t>
      </w:r>
    </w:p>
    <w:p w14:paraId="252F78B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8.9.4 暂停工作期间的工程照管 </w:t>
      </w:r>
    </w:p>
    <w:p w14:paraId="727C46A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2AA3F92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因承包人未能尽到照管、保护的责任造成损失的，使发包人的费用增加，（或）竣工日期延误的，由承包人按本合同约定承担责任。</w:t>
      </w:r>
    </w:p>
    <w:p w14:paraId="0669D89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8.9.5 拖长的暂停</w:t>
      </w:r>
    </w:p>
    <w:p w14:paraId="32659EA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22CCA49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8.10 复工 </w:t>
      </w:r>
    </w:p>
    <w:p w14:paraId="58C7E40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8.10.1 收到发包人的复工通知后，承包人应按通知时间复工；发包人通知的复工时间应当给予承包人必要的准备复工时间。</w:t>
      </w:r>
    </w:p>
    <w:p w14:paraId="1444B3F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8.10.2 不论由于何种原因引起暂停工作，双方均可要求对方一同对受暂停影响的工程、工程设备和工程物资进行检查，承包人应将检查结果及需要恢复、修复的内容和估算通知发包人。</w:t>
      </w:r>
    </w:p>
    <w:p w14:paraId="0A3417B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8.10.3 除第17条[不可抗力]另有约定外，发生的恢复、修复价款及工期延误的后果由责任方承担。</w:t>
      </w:r>
    </w:p>
    <w:p w14:paraId="0AAA5360">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第9条 竣工试验 </w:t>
      </w:r>
    </w:p>
    <w:p w14:paraId="341B779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9.1 竣工试验的义务</w:t>
      </w:r>
    </w:p>
    <w:p w14:paraId="08960BE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9.1.1 承包人完成工程或区段工程进行竣工试验所需的作业，并根据第5.4款[竣工文件]和第5.5款[操作和维修手册]提交文件后，进行竣工试验。</w:t>
      </w:r>
    </w:p>
    <w:p w14:paraId="12472E8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45BAF86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381DEFF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承包人进行启动前试验，包括适当的检查和功能性试验，以证明工程或区段工程的每一部分均能够安全地承受下一阶段试验；</w:t>
      </w:r>
    </w:p>
    <w:p w14:paraId="55F1107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承包人进行启动试验，以证明工程或区段工程能够在所有可利用的操作条件下安全运行，并按照专用合同条件和《发包人要求》中的规定操作；</w:t>
      </w:r>
    </w:p>
    <w:p w14:paraId="12D1385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承包人进行试运行试验。当工程或区段工程能稳定安全运行时，承包人应通知工程师，可以进行其他竣工试验，包括各种性能测试，以证明工程或区段工程符合《发包人要求》中列明的性能保证指标。</w:t>
      </w:r>
    </w:p>
    <w:p w14:paraId="48188B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进行上述试验不应构成第10条[验收和工程接收]规定的接收，但试验所产生的任何产品或其他收益均应归属于发包人。</w:t>
      </w:r>
    </w:p>
    <w:p w14:paraId="504A3BA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5EAFD85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9.2 延误的试验</w:t>
      </w:r>
    </w:p>
    <w:p w14:paraId="68BBDF1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0EFF227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9.2.2 承包人无正当理由延误进行竣工试验的，工程师可向其发出通知，要求其在收到通知后的21天内进行该项竣工试验。承包人应在该21天的期限内确定进行试验的日期，并至少提前7天通知工程师。</w:t>
      </w:r>
    </w:p>
    <w:p w14:paraId="7E97A75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9.2.3 如果承包人未在该期限内进行竣工试验，则发包人有权自行组织该项竣工试验，由此产生的合理费用由承包人承担。发包人应在试验完成后28天内向承包人发送试验结果。</w:t>
      </w:r>
    </w:p>
    <w:p w14:paraId="42154CA0">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9.3 重新试验 </w:t>
      </w:r>
    </w:p>
    <w:p w14:paraId="4BD1673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3F757D9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9.4 未能通过竣工试验</w:t>
      </w:r>
    </w:p>
    <w:p w14:paraId="0A0E7D6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9.4.1 因发包人原因导致竣工试验未能通过的，承包人进行竣工试验的费用由发包人承担，竣工日期相应顺延。</w:t>
      </w:r>
    </w:p>
    <w:p w14:paraId="2BBC02E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9.4.2 如果工程或区段工程未能通过根据第9.3款[重新试验]重新进行的竣工试验的，则：</w:t>
      </w:r>
    </w:p>
    <w:p w14:paraId="0692B3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发包人有权要求承包人根据第6.6款[缺陷和修补]继续进行修补和改正，并根据第9.3款[重新试验]再次进行竣工试验；</w:t>
      </w:r>
    </w:p>
    <w:p w14:paraId="7177181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298029D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未能通过竣工试验，使工程或区段工程的任何主要部分丧失了生产、使用功能时，发包人有权指令承包人更换相关部分，承包人应承担因此增加的费用和误期损害赔偿责任，并赔偿发包人的相应损失；</w:t>
      </w:r>
    </w:p>
    <w:p w14:paraId="0AD2998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5612D0D8">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第10条 验收和工程接收</w:t>
      </w:r>
    </w:p>
    <w:p w14:paraId="74B79FA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10.1 竣工验收</w:t>
      </w:r>
    </w:p>
    <w:p w14:paraId="6F773CF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10.1.1 竣工验收条件</w:t>
      </w:r>
    </w:p>
    <w:p w14:paraId="3BBDB61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工程具备以下条件的，承包人可以申请竣工验收：</w:t>
      </w:r>
    </w:p>
    <w:p w14:paraId="29CC43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0A8DA86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已按合同约定编制了扫尾工作和缺陷修补工作清单以及相应实施计划；</w:t>
      </w:r>
    </w:p>
    <w:p w14:paraId="6A62B84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已按合同约定的内容和份数备齐竣工资料；</w:t>
      </w:r>
    </w:p>
    <w:p w14:paraId="55D684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合同约定要求在竣工验收前应完成的其他工作。</w:t>
      </w:r>
    </w:p>
    <w:p w14:paraId="6F2A6AB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10.1.2 竣工验收程序</w:t>
      </w:r>
    </w:p>
    <w:p w14:paraId="7C9F232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除专用合同条件另有约定外，承包人申请竣工验收的，应当按照以下程序进行：</w:t>
      </w:r>
    </w:p>
    <w:p w14:paraId="64E480D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525EAC2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4BAE78F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686FAC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因发包人原因，未在工程师收到承包人竣工验收申请报告之日起42天内完成竣工验收的，以承包人提交竣工验收申请报告之日作为工程实际竣工日期。</w:t>
      </w:r>
    </w:p>
    <w:p w14:paraId="177035F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工程未经竣工验收，发包人擅自使用的，以转移占有工程之日为实际竣工日期。</w:t>
      </w:r>
    </w:p>
    <w:p w14:paraId="21ADB3D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除专用合同条件另有约定外，发包人不按照本项和第10.4款[接收证书]约定组织竣工验收、颁发工程接收证书的，每逾期一天，应以签约合同价为基数，按照贷款市场报价利率（LPR）支付违约金。</w:t>
      </w:r>
    </w:p>
    <w:p w14:paraId="337C052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10.2 单位/区段工程的验收</w:t>
      </w:r>
    </w:p>
    <w:p w14:paraId="457B7AA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3DA7B99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10.2.2 发包人在全部工程竣工前，使用已接收的单位/区段工程导致承包人费用增加的，发包人应承担由此增加的费用和（或）工期延误，并支付承包人合理利润。</w:t>
      </w:r>
    </w:p>
    <w:p w14:paraId="3B9A65B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10.3 工程的接收</w:t>
      </w:r>
    </w:p>
    <w:p w14:paraId="6AD107B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10.3.1 根据工程项目的具体情况和特点，可按工程或单位/区段工程进行接收，并在专用合同条件约定接收的先后顺序、时间安排和其他要求。</w:t>
      </w:r>
    </w:p>
    <w:p w14:paraId="3946E33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10.3.2 除按本条约定已经提交的资料外，接收工程时承包人需提交竣工验收资料的类别、内容、份数和提交时间，在专用合同条件中约定。</w:t>
      </w:r>
    </w:p>
    <w:p w14:paraId="3F59F6F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338C4EA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10.3.4 承包人无正当理由不移交工程的，承包人应承担工程照管、成品保护、保管等与工程有关的各项费用，合同当事人可以在专用合同条件中另行约定承包人无正当理由不移交工程的违约责任。</w:t>
      </w:r>
    </w:p>
    <w:p w14:paraId="5CC00BA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10.4 接收证书</w:t>
      </w:r>
    </w:p>
    <w:p w14:paraId="0E21181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5DF8F7DE">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0FB7D5A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10.4.3 竣工验收合格而发包人无正当理由逾期不颁发工程接收证书的，自验收合格后第15天起视为已颁发工程接收证书。</w:t>
      </w:r>
    </w:p>
    <w:p w14:paraId="23E82A4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1046B42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10.4.5 存在扫尾工作的，工程接收证书中应当将第14.5.3项[扫尾工作清单]中约定的扫尾工作清单作为工程接收证书附件。</w:t>
      </w:r>
    </w:p>
    <w:p w14:paraId="3B826DD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10.5 竣工退场</w:t>
      </w:r>
    </w:p>
    <w:p w14:paraId="281EF00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10.5.1 竣工退场</w:t>
      </w:r>
    </w:p>
    <w:p w14:paraId="7E3ACE7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颁发工程接收证书后，承包人应对施工现场进行清理，并撤离相关人员，使得施工现场处于以下状态，直至工程师检验合格为止：</w:t>
      </w:r>
    </w:p>
    <w:p w14:paraId="61F37E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施工现场内残留的垃圾已全部清除出场；</w:t>
      </w:r>
    </w:p>
    <w:p w14:paraId="765DF3A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临时工程已拆除，场地已按合同约定进行清理、平整或复原；</w:t>
      </w:r>
    </w:p>
    <w:p w14:paraId="0F96F5B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按合同约定应撤离的人员、承包人提供的施工设备和剩余的材料，包括废弃的施工设备和材料，已按计划撤离施工现场；</w:t>
      </w:r>
    </w:p>
    <w:p w14:paraId="060C1DD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施工现场周边及其附近道路、河道的施工堆积物，已全部清理；</w:t>
      </w:r>
    </w:p>
    <w:p w14:paraId="4D3B4F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施工现场其他竣工退场工作已全部完成。</w:t>
      </w:r>
    </w:p>
    <w:p w14:paraId="22405C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75B58C2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10.5.2 地表还原</w:t>
      </w:r>
    </w:p>
    <w:p w14:paraId="3D20CF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承包人应按合同约定和工程师的要求恢复临时占地及清理场地，否则发包人有权委托其他人恢复或清理，所发生的费用由承包人承担。</w:t>
      </w:r>
    </w:p>
    <w:p w14:paraId="6711AC9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10.5.3 人员撤离</w:t>
      </w:r>
    </w:p>
    <w:p w14:paraId="3F46159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60A2B555">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第11条 缺陷责任与保修 </w:t>
      </w:r>
    </w:p>
    <w:p w14:paraId="089110E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11.1 工程保修的原则</w:t>
      </w:r>
    </w:p>
    <w:p w14:paraId="05AD268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在工程移交发包人后，因承包人原因产生的质量缺陷，承包人应承担质量缺陷责任和保修义务。缺陷责任期届满，承包人仍应按合同约定的工程各部位保修年限承担保修义务。</w:t>
      </w:r>
    </w:p>
    <w:p w14:paraId="4D61E73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11.2 缺陷责任期 </w:t>
      </w:r>
    </w:p>
    <w:p w14:paraId="3699795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缺陷责任期原则上从工程竣工验收合格之日起计算，合同当事人应在专用合同条件约定缺陷责任期的具体期限，但该期限最长不超过24个月。</w:t>
      </w:r>
    </w:p>
    <w:p w14:paraId="798BCE7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7E04077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7293237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11.3 缺陷调查</w:t>
      </w:r>
    </w:p>
    <w:p w14:paraId="0C40BADF">
      <w:pPr>
        <w:pStyle w:val="35"/>
        <w:numPr>
          <w:ilvl w:val="0"/>
          <w:numId w:val="0"/>
        </w:numPr>
        <w:spacing w:line="360" w:lineRule="auto"/>
        <w:ind w:firstLine="560" w:firstLineChars="2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11.3.1 承包人缺陷调查</w:t>
      </w:r>
    </w:p>
    <w:p w14:paraId="184F2B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1391FF4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64FA793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11.3.2 缺陷责任</w:t>
      </w:r>
    </w:p>
    <w:p w14:paraId="1002EEA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463BD19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11.3.3 修复费用</w:t>
      </w:r>
    </w:p>
    <w:p w14:paraId="6C9B2AB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发包人和承包人应共同查清缺陷或损坏的原因。经查明属承包人原因造成的，应由承包人承担修复的费用。经查验非承包人原因造成的，发包人应承担修复的费用，并支付承包人合理利润。</w:t>
      </w:r>
    </w:p>
    <w:p w14:paraId="5708AD1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11.3.4 修复通知</w:t>
      </w:r>
    </w:p>
    <w:p w14:paraId="31641F9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49E99DE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11.3.5 在现场外修复</w:t>
      </w:r>
    </w:p>
    <w:p w14:paraId="0BB783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3F380FB">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11.3.6 未能修复</w:t>
      </w:r>
    </w:p>
    <w:p w14:paraId="4C4E598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D4D147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如果工程或工程设备的缺陷或损害使发包人实质上失去了工程的整体功能，发包人有权向承包人追回已支付的工程款项，并要求其赔偿发包人相应损失。</w:t>
      </w:r>
    </w:p>
    <w:p w14:paraId="32299687">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11.4 缺陷修复后的进一步试验</w:t>
      </w:r>
    </w:p>
    <w:p w14:paraId="2720467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51AE1EF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所有的重复试验应按照适用于先前试验的条款进行，但应由责任方承担修补工作的成本和重新试验的风险和费用。</w:t>
      </w:r>
    </w:p>
    <w:p w14:paraId="74547E7B">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11.5 承包人出入权</w:t>
      </w:r>
    </w:p>
    <w:p w14:paraId="39D8EC4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2AD7D7A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11.6 缺陷责任期终止证书</w:t>
      </w:r>
    </w:p>
    <w:p w14:paraId="48311C3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49835E4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如根据第10.5.3项[人员撤离]承包人在施工现场还留有人员、施工设备和临时工程的，承包人应当在收到缺陷责任期终止证书后28天内，将上述人员、施工设备和临时工程撤离施工现场。</w:t>
      </w:r>
    </w:p>
    <w:p w14:paraId="77D2E40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11.7 保修责任</w:t>
      </w:r>
    </w:p>
    <w:p w14:paraId="43B0C25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因承包人原因导致的质量缺陷责任，由合同当事人根据有关法律规定，在专用合同条件和工程质量保修书中约定工程质量保修范围、期限和责任。</w:t>
      </w:r>
    </w:p>
    <w:p w14:paraId="060EB6E5">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第12条 竣工后试验</w:t>
      </w:r>
    </w:p>
    <w:p w14:paraId="120A89B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本合同工程包含竣工后试验的，遵守本条约定。</w:t>
      </w:r>
    </w:p>
    <w:p w14:paraId="2F9F25D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12.1 竣工后试验的程序</w:t>
      </w:r>
    </w:p>
    <w:p w14:paraId="2B7A3C4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12.1.1 工程或区段工程被发包人接收后，在合理可行的情况下应根据合同约定尽早进行竣工后试验。</w:t>
      </w:r>
    </w:p>
    <w:p w14:paraId="45D7BB8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38C949F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2D6FF802">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37C79B4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12.1.5 竣工后试验的结果应由双方进行整理和评价，并应适当考虑发包人对工程或其任何部分的使用，对工程或区段工程的性能、特性和试验结果产生的影响。</w:t>
      </w:r>
    </w:p>
    <w:p w14:paraId="52A2EE8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12.2 延误的试验 </w:t>
      </w:r>
    </w:p>
    <w:p w14:paraId="680E53E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12.2.1 如果竣工后试验因发包人原因被延误的，发包人应承担承包人由此增加的费用并支付承包人合理利润。</w:t>
      </w:r>
    </w:p>
    <w:p w14:paraId="2B774F3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12.2.2 如果因承包人以外的原因，导致竣工后试验未能在缺陷责任期或双方另行同意的其他期限内完成，则相关工程或区段工程应视为已通过该竣工后试验。</w:t>
      </w:r>
    </w:p>
    <w:p w14:paraId="3D6F6FC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12.3 重新试验</w:t>
      </w:r>
    </w:p>
    <w:p w14:paraId="7C3AA02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598AA086">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12.4 未能通过竣工后试验</w:t>
      </w:r>
    </w:p>
    <w:p w14:paraId="2900B15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441A6A5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1EC32DF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12.4.3 发包人无故拖延给予承包人进行调查、调整或修补所需的进入工程或区段工程的许可，并造成承包人费用增加的，应承担由此增加的费用并支付承包人合理利润。</w:t>
      </w:r>
    </w:p>
    <w:p w14:paraId="23E21D07">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第13条 变更与调整</w:t>
      </w:r>
    </w:p>
    <w:p w14:paraId="0582E58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13.1 发包人变更权 </w:t>
      </w:r>
    </w:p>
    <w:p w14:paraId="1C15AB8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2FD592F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442EE2D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13.2 承包人的合理化建议</w:t>
      </w:r>
    </w:p>
    <w:p w14:paraId="4DDD768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13.2.1 承包人提出合理化建议的，应向工程师提交合理化建议说明，说明建议的内容、理由以及实施该建议对合同价格和工期的影响。</w:t>
      </w:r>
    </w:p>
    <w:p w14:paraId="414A080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6BFB47D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13.2.3 合理化建议降低了合同价格、缩短了工期或者提高了工程经济效益的，双方可以按照专用合同条件的约定进行利益分享。</w:t>
      </w:r>
    </w:p>
    <w:p w14:paraId="5815E8EC">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13.3 变更程序</w:t>
      </w:r>
    </w:p>
    <w:p w14:paraId="0D9E606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13.3.1 发包人提出变更</w:t>
      </w:r>
    </w:p>
    <w:p w14:paraId="790AC4A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发包人提出变更的，应通过工程师向承包人发出书面形式的变更指示，变更指示应说明计划变更的工程范围和变更的内容。</w:t>
      </w:r>
    </w:p>
    <w:p w14:paraId="6AD9A91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13.3.2 变更执行</w:t>
      </w:r>
    </w:p>
    <w:p w14:paraId="1A5B7FA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388E43F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13.3.3 变更估价</w:t>
      </w:r>
    </w:p>
    <w:p w14:paraId="4735501D">
      <w:pPr>
        <w:pStyle w:val="36"/>
        <w:widowControl/>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13.3.3.1 变更估价原则</w:t>
      </w:r>
    </w:p>
    <w:p w14:paraId="1F4BB5D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除专用合同条件另有约定外，变更估价按照本款约定处理：</w:t>
      </w:r>
    </w:p>
    <w:p w14:paraId="308A516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合同中未包含价格清单，合同价格应按照所执行的变更工程的成本加利润调整；</w:t>
      </w:r>
    </w:p>
    <w:p w14:paraId="6A17830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合同中包含价格清单，合同价格按照如下规则调整：</w:t>
      </w:r>
    </w:p>
    <w:p w14:paraId="7A0AD30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价格清单中有适用于变更工程项目的，应采用该项目的费率和价格；</w:t>
      </w:r>
    </w:p>
    <w:p w14:paraId="4BB4B3E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价格清单中没有适用但有类似于变更工程项目的，可在合理范围内参照类似项目的费率或价格；</w:t>
      </w:r>
    </w:p>
    <w:p w14:paraId="131D3B8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价格清单中没有适用也没有类似于变更工程项目的，该工程项目应按成本加利润原则调整适用新的费率或价格。</w:t>
      </w:r>
    </w:p>
    <w:p w14:paraId="42051CE3">
      <w:pPr>
        <w:pStyle w:val="36"/>
        <w:widowControl/>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13.3.3.2 变更估价程序</w:t>
      </w:r>
    </w:p>
    <w:p w14:paraId="09E44C9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49ABF18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因变更引起的价格调整应计入最近一期的进度款中支付。</w:t>
      </w:r>
    </w:p>
    <w:p w14:paraId="4E448EC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13.3.4 变更引起的工期调整</w:t>
      </w:r>
    </w:p>
    <w:p w14:paraId="3BADB4F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因变更引起工期变化的，合同当事人均可要求调整合同工期，由合同当事人按照第3.6款[商定或确定]并参考工程所在地的工期定额标准确定增减工期天数。</w:t>
      </w:r>
    </w:p>
    <w:p w14:paraId="07F2B7DC">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13.4 暂估价</w:t>
      </w:r>
    </w:p>
    <w:p w14:paraId="3251F62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13.4.1 依法必须招标的暂估价项目</w:t>
      </w:r>
    </w:p>
    <w:p w14:paraId="16F00B8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514272DE">
      <w:pPr>
        <w:pStyle w:val="37"/>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专用合同条件约定由发包人和承包人共同作为招标人的，与组织招标工作有关的费用在专用合同条件中约定。</w:t>
      </w:r>
    </w:p>
    <w:p w14:paraId="1EB4B3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具体的招标程序以及发包人和承包人权利义务关系可在专用合同条件中约定。暂估价项目的中标金额与价格清单中所列暂估价的金额差以及相应的税金等其他费用应列入合同价格。</w:t>
      </w:r>
    </w:p>
    <w:p w14:paraId="0716A00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13.4.2 不属于依法必须招标的暂估价项目</w:t>
      </w:r>
    </w:p>
    <w:p w14:paraId="0B6D24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7DC7903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262012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13.5 暂列金额 </w:t>
      </w:r>
    </w:p>
    <w:p w14:paraId="4DDB03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093C65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对于每笔暂列金额，发包人可以指示用于下列支付：</w:t>
      </w:r>
    </w:p>
    <w:p w14:paraId="676274B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发包人根据第13.1款[发包人变更权]指示变更，决定对合同价格和付款计划表（如有）进行调整的、由承包人实施的工作（包括要提供的工程设备、材料和服务）；</w:t>
      </w:r>
    </w:p>
    <w:p w14:paraId="394C1F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承包人购买的工程设备、材料、工作或服务，应支付包括承包人已付（或应付）的实际金额以及相应的管理费等费用和利润（管理费和利润应以实际金额为基数根据合同约定的费率（如有）或百分比计算）。</w:t>
      </w:r>
    </w:p>
    <w:p w14:paraId="2E4E80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79F2F53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每份包含暂列金额的文件还应包括用以证明暂列金额的所有有效的发票、凭证和账户或收据。</w:t>
      </w:r>
    </w:p>
    <w:p w14:paraId="5303732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13.6 计日工</w:t>
      </w:r>
    </w:p>
    <w:p w14:paraId="3D06ECB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400FC9C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13.6.2 采用计日工计价的任何一项工作，承包人应在该项工作实施过程中，每天提交以下报表和有关凭证报送工程师审查：</w:t>
      </w:r>
    </w:p>
    <w:p w14:paraId="40E2619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工作名称、内容和数量；</w:t>
      </w:r>
    </w:p>
    <w:p w14:paraId="2AB3515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投入该工作的所有人员的姓名、专业、工种、级别和耗用工时；</w:t>
      </w:r>
    </w:p>
    <w:p w14:paraId="2F11F81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投入该工作的材料类别和数量；</w:t>
      </w:r>
    </w:p>
    <w:p w14:paraId="676E954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投入该工作的施工设备型号、台数和耗用台时；</w:t>
      </w:r>
    </w:p>
    <w:p w14:paraId="5FE78F1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其他有关资料和凭证。</w:t>
      </w:r>
    </w:p>
    <w:p w14:paraId="48AF14B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计日工由承包人汇总后，列入最近一期进度付款申请单，由工程师审查并经发包人批准后列入进度付款。</w:t>
      </w:r>
    </w:p>
    <w:p w14:paraId="5572BDE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13.7 法律变化引起的调整</w:t>
      </w:r>
    </w:p>
    <w:p w14:paraId="3C51E8A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113FCC1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13.7.2 因法律变化引起的合同价格和工期调整，合同当事人无法达成一致的，由工程师按第3.6款[商定或确定]的约定处理。</w:t>
      </w:r>
    </w:p>
    <w:p w14:paraId="72909B9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13.7.3 因承包人原因造成工期延误，在工期延误期间出现法律变化的，由此增加的费用和（或）延误的工期由承包人承担。</w:t>
      </w:r>
    </w:p>
    <w:p w14:paraId="1467D95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13.7.4 因法律变化而需要对工程的实施进行任何调整的，承包人应迅速通知发包人，或者发包人应迅速通知承包人，并附上详细的辅助资料。发包人接到通知后，应根据第13.3款[变更程序]发出变更指示。</w:t>
      </w:r>
    </w:p>
    <w:p w14:paraId="2EFE614B">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13.8 市场价格波动引起的调整</w:t>
      </w:r>
    </w:p>
    <w:p w14:paraId="2890215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13.8.1 主要工程材料、设备、人工价格与招标时基期价相比，波动幅度超过合同约定幅度的，双方按照合同约定的价格调整方式调整。</w:t>
      </w:r>
    </w:p>
    <w:p w14:paraId="00A86E3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13.8.2 发包人与承包人在专用合同条件中约定采用《价格指数权重表》的，适用本项约定。</w:t>
      </w:r>
    </w:p>
    <w:p w14:paraId="38D8B9EA">
      <w:pPr>
        <w:pStyle w:val="36"/>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13.8.2.1 双方当事人可以将部分主要工程材料、工程设备、人工价格及其他双方认为应当根据市场价格调整的费用列入附件6[价格指数权重表]，并根据以下公式计算差额并调整合同价格：</w:t>
      </w:r>
    </w:p>
    <w:p w14:paraId="2B11412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价格调整公式</w:t>
      </w:r>
    </w:p>
    <w:p w14:paraId="69A90D1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drawing>
          <wp:inline distT="0" distB="0" distL="114300" distR="114300">
            <wp:extent cx="4777740" cy="678815"/>
            <wp:effectExtent l="0" t="0" r="3810" b="6985"/>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23"/>
                    <a:stretch>
                      <a:fillRect/>
                    </a:stretch>
                  </pic:blipFill>
                  <pic:spPr>
                    <a:xfrm>
                      <a:off x="0" y="0"/>
                      <a:ext cx="4777740" cy="678815"/>
                    </a:xfrm>
                    <a:prstGeom prst="rect">
                      <a:avLst/>
                    </a:prstGeom>
                    <a:noFill/>
                    <a:ln>
                      <a:noFill/>
                    </a:ln>
                  </pic:spPr>
                </pic:pic>
              </a:graphicData>
            </a:graphic>
          </wp:inline>
        </w:drawing>
      </w:r>
    </w:p>
    <w:p w14:paraId="56C244B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公式中：△P---需调整的价格差额；</w:t>
      </w:r>
    </w:p>
    <w:p w14:paraId="2AF1382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P</w:t>
      </w:r>
      <w:r>
        <w:rPr>
          <w:rFonts w:hint="eastAsia" w:ascii="宋体" w:hAnsi="宋体" w:eastAsia="宋体" w:cs="宋体"/>
          <w:color w:val="auto"/>
          <w:sz w:val="28"/>
          <w:szCs w:val="28"/>
          <w:highlight w:val="none"/>
          <w:vertAlign w:val="subscript"/>
        </w:rPr>
        <w:t>O</w:t>
      </w:r>
      <w:r>
        <w:rPr>
          <w:rFonts w:hint="eastAsia" w:ascii="宋体" w:hAnsi="宋体" w:eastAsia="宋体" w:cs="宋体"/>
          <w:color w:val="auto"/>
          <w:sz w:val="28"/>
          <w:szCs w:val="28"/>
          <w:highlight w:val="none"/>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6F50DCE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 ---定值权重（即不调部分的权重）； </w:t>
      </w:r>
    </w:p>
    <w:p w14:paraId="5840A3F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1</w:t>
      </w: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2</w:t>
      </w: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3</w:t>
      </w: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n</w:t>
      </w:r>
      <w:r>
        <w:rPr>
          <w:rFonts w:hint="eastAsia" w:ascii="宋体" w:hAnsi="宋体" w:eastAsia="宋体" w:cs="宋体"/>
          <w:color w:val="auto"/>
          <w:sz w:val="28"/>
          <w:szCs w:val="28"/>
          <w:highlight w:val="none"/>
        </w:rPr>
        <w:t>---各可调因子的变值权重（即可调部分的权重）为各可调因子在投标函投标总报价中所占的比例，且A+B</w:t>
      </w:r>
      <w:r>
        <w:rPr>
          <w:rFonts w:hint="eastAsia" w:ascii="宋体" w:hAnsi="宋体" w:eastAsia="宋体" w:cs="宋体"/>
          <w:color w:val="auto"/>
          <w:sz w:val="28"/>
          <w:szCs w:val="28"/>
          <w:highlight w:val="none"/>
          <w:vertAlign w:val="subscript"/>
        </w:rPr>
        <w:t>1</w:t>
      </w: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2</w:t>
      </w: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3</w:t>
      </w:r>
      <w:r>
        <w:rPr>
          <w:rFonts w:hint="eastAsia" w:ascii="宋体" w:hAnsi="宋体" w:eastAsia="宋体" w:cs="宋体"/>
          <w:color w:val="auto"/>
          <w:sz w:val="28"/>
          <w:szCs w:val="28"/>
          <w:highlight w:val="none"/>
        </w:rPr>
        <w:t>+……+B</w:t>
      </w:r>
      <w:r>
        <w:rPr>
          <w:rFonts w:hint="eastAsia" w:ascii="宋体" w:hAnsi="宋体" w:eastAsia="宋体" w:cs="宋体"/>
          <w:color w:val="auto"/>
          <w:sz w:val="28"/>
          <w:szCs w:val="28"/>
          <w:highlight w:val="none"/>
          <w:vertAlign w:val="subscript"/>
        </w:rPr>
        <w:t>n</w:t>
      </w:r>
      <w:r>
        <w:rPr>
          <w:rFonts w:hint="eastAsia" w:ascii="宋体" w:hAnsi="宋体" w:eastAsia="宋体" w:cs="宋体"/>
          <w:color w:val="auto"/>
          <w:sz w:val="28"/>
          <w:szCs w:val="28"/>
          <w:highlight w:val="none"/>
        </w:rPr>
        <w:t>=1；</w:t>
      </w:r>
    </w:p>
    <w:p w14:paraId="00A3FB3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t1</w:t>
      </w: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t2</w:t>
      </w: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t3</w:t>
      </w: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tn</w:t>
      </w:r>
      <w:r>
        <w:rPr>
          <w:rFonts w:hint="eastAsia" w:ascii="宋体" w:hAnsi="宋体" w:eastAsia="宋体" w:cs="宋体"/>
          <w:color w:val="auto"/>
          <w:sz w:val="28"/>
          <w:szCs w:val="28"/>
          <w:highlight w:val="none"/>
        </w:rPr>
        <w:t>---各可调因子的当期价格指数，指付款证书相关周期最后一天的前42天的各可调因子的价格指数；</w:t>
      </w:r>
    </w:p>
    <w:p w14:paraId="58B8592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01</w:t>
      </w: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02</w:t>
      </w: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03</w:t>
      </w:r>
      <w:r>
        <w:rPr>
          <w:rFonts w:hint="eastAsia" w:ascii="宋体" w:hAnsi="宋体" w:eastAsia="宋体" w:cs="宋体"/>
          <w:color w:val="auto"/>
          <w:sz w:val="28"/>
          <w:szCs w:val="28"/>
          <w:highlight w:val="none"/>
        </w:rPr>
        <w:t>；……F</w:t>
      </w:r>
      <w:r>
        <w:rPr>
          <w:rFonts w:hint="eastAsia" w:ascii="宋体" w:hAnsi="宋体" w:eastAsia="宋体" w:cs="宋体"/>
          <w:color w:val="auto"/>
          <w:sz w:val="28"/>
          <w:szCs w:val="28"/>
          <w:highlight w:val="none"/>
          <w:vertAlign w:val="subscript"/>
        </w:rPr>
        <w:t>0n</w:t>
      </w:r>
      <w:r>
        <w:rPr>
          <w:rFonts w:hint="eastAsia" w:ascii="宋体" w:hAnsi="宋体" w:eastAsia="宋体" w:cs="宋体"/>
          <w:color w:val="auto"/>
          <w:sz w:val="28"/>
          <w:szCs w:val="28"/>
          <w:highlight w:val="none"/>
        </w:rPr>
        <w:t>---各可调因子的基本价格指数，指基准日期的各可调因子的价格指数。</w:t>
      </w:r>
    </w:p>
    <w:p w14:paraId="01394A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2E859A6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暂时确定调整差额</w:t>
      </w:r>
    </w:p>
    <w:p w14:paraId="3CE5BF34">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在计算调整差额时得不到当期价格指数的，可暂用上一次价格指数计算，并在以后的付款中再按实际价格指数进行调整。</w:t>
      </w:r>
    </w:p>
    <w:p w14:paraId="2A139637">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权重的调整</w:t>
      </w:r>
    </w:p>
    <w:p w14:paraId="0EFD240E">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按第13.1款[发包人变更权]约定的变更导致原定合同中的权重不合理的，由工程师与承包人和发包人协商后进行调整。</w:t>
      </w:r>
    </w:p>
    <w:p w14:paraId="778459B4">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承包人原因工期延误后的价格调整</w:t>
      </w:r>
    </w:p>
    <w:p w14:paraId="4C01A537">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686BF7D5">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发包人引起的工期延误后的价格调整</w:t>
      </w:r>
    </w:p>
    <w:p w14:paraId="7F7C6D0C">
      <w:pPr>
        <w:keepNext w:val="0"/>
        <w:keepLines w:val="0"/>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1F1BD2E7">
      <w:pPr>
        <w:pStyle w:val="36"/>
        <w:keepNext w:val="0"/>
        <w:keepLines w:val="0"/>
        <w:pageBreakBefore w:val="0"/>
        <w:numPr>
          <w:ilvl w:val="0"/>
          <w:numId w:val="0"/>
        </w:numPr>
        <w:kinsoku/>
        <w:wordWrap/>
        <w:overflowPunct/>
        <w:topLinePunct w:val="0"/>
        <w:bidi w:val="0"/>
        <w:spacing w:after="0" w:afterLines="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13.8.2.2 未列入《价格指数权重表》的费用不因市场变化而调整。</w:t>
      </w:r>
    </w:p>
    <w:p w14:paraId="2389A5F6">
      <w:pPr>
        <w:pStyle w:val="35"/>
        <w:keepNext w:val="0"/>
        <w:keepLines w:val="0"/>
        <w:pageBreakBefore w:val="0"/>
        <w:numPr>
          <w:ilvl w:val="0"/>
          <w:numId w:val="0"/>
        </w:numPr>
        <w:kinsoku/>
        <w:wordWrap/>
        <w:overflowPunct/>
        <w:topLinePunct w:val="0"/>
        <w:bidi w:val="0"/>
        <w:spacing w:after="0" w:afterLines="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13.8.3 双方约定采用其他方式调整合同价款的，以专用合同条件约定为准。</w:t>
      </w:r>
    </w:p>
    <w:p w14:paraId="27A02097">
      <w:pPr>
        <w:pStyle w:val="33"/>
        <w:keepNext w:val="0"/>
        <w:keepLines w:val="0"/>
        <w:pageBreakBefore w:val="0"/>
        <w:numPr>
          <w:ilvl w:val="0"/>
          <w:numId w:val="0"/>
        </w:numPr>
        <w:kinsoku/>
        <w:wordWrap/>
        <w:overflowPunct/>
        <w:topLinePunct w:val="0"/>
        <w:bidi w:val="0"/>
        <w:spacing w:before="0" w:after="0" w:line="360" w:lineRule="auto"/>
        <w:ind w:firstLine="560" w:firstLineChars="200"/>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第14条 合同价格与支付</w:t>
      </w:r>
    </w:p>
    <w:p w14:paraId="0593FD87">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14.1 合同价格形式</w:t>
      </w:r>
    </w:p>
    <w:p w14:paraId="09D6FA8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14.1.1 除专用合同条件中另有约定外，本合同为总价合同，除根据第13条[变更与调整]，以及合同中其它相关增减金额的约定进行调整外，合同价格不做调整。</w:t>
      </w:r>
    </w:p>
    <w:p w14:paraId="3305B9B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14.1.2 除专用合同条件另有约定外：</w:t>
      </w:r>
    </w:p>
    <w:p w14:paraId="77ABEDB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工程款的支付应以合同协议书约定的签约合同价格为基础，按照合同约定进行调整；</w:t>
      </w:r>
    </w:p>
    <w:p w14:paraId="1620788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承包人应支付根据法律规定或合同约定应由其支付的各项税费，除第13.7款[法律变化引起的调整]约定外，合同价格不应因任何这些税费进行调整；</w:t>
      </w:r>
    </w:p>
    <w:p w14:paraId="4493EC1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07378E5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14.1.3 合同约定工程的某部分按照实际完成的工程量进行支付的，应按照专用合同条件的约定进行计量和估价，并据此调整合同价格。</w:t>
      </w:r>
    </w:p>
    <w:p w14:paraId="4C2812B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14.2 预付款</w:t>
      </w:r>
    </w:p>
    <w:p w14:paraId="434F287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14.2.1 预付款支付</w:t>
      </w:r>
    </w:p>
    <w:p w14:paraId="3D419E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预付款的额度和支付按照专用合同条件约定执行。预付款应当专用于承包人为合同工程的设计和工程实施购置材料、工程设备、施工设备、修建临时设施以及组织施工队伍进场等合同工作。</w:t>
      </w:r>
    </w:p>
    <w:p w14:paraId="609CC28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除专用合同条件另有约定外，预付款在进度付款中同比例扣回。在颁发工程接收证书前，提前解除合同的，尚未扣完的预付款应与合同价款一并结算。</w:t>
      </w:r>
    </w:p>
    <w:p w14:paraId="4E6CB8A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发包人逾期支付预付款超过7天的，承包人有权向发包人发出要求预付的催告通知，发包人收到通知后7天内仍未支付的，承包人有权暂停施工，并按第15.1.1项[发包人违约的情形]执行。</w:t>
      </w:r>
    </w:p>
    <w:p w14:paraId="3DF8831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14.2.2 预付款担保</w:t>
      </w:r>
    </w:p>
    <w:p w14:paraId="72E54D0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22520FF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发包人在工程款中逐期扣回预付款后，预付款担保额度应相应减少，但剩余的预付款担保金额不得低于未被扣回的预付款金额。</w:t>
      </w:r>
    </w:p>
    <w:p w14:paraId="7CF38CE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14.3 工程进度款</w:t>
      </w:r>
    </w:p>
    <w:p w14:paraId="4938AFA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14.3.1 工程进度付款申请</w:t>
      </w:r>
    </w:p>
    <w:p w14:paraId="736CDF0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（1）人工费的申请</w:t>
      </w:r>
    </w:p>
    <w:p w14:paraId="15B4551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493F8E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（2）除专用合同条件另有约定外，承包人应在每月月末向工程师提交进度付款申请单，该进度付款申请单应包括下列内容：</w:t>
      </w:r>
    </w:p>
    <w:p w14:paraId="62A1295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截至本次付款周期内已完成工作对应的金额；</w:t>
      </w:r>
    </w:p>
    <w:p w14:paraId="631C484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扣除依据本款第（1）目约定中已扣除的人工费金额；</w:t>
      </w:r>
    </w:p>
    <w:p w14:paraId="1FDC4C3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根据第13条[变更与调整]应增加和扣减的变更金额；</w:t>
      </w:r>
    </w:p>
    <w:p w14:paraId="7F9B74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根据第14.2款[预付款]约定应支付的预付款和扣减的返还预付款；</w:t>
      </w:r>
    </w:p>
    <w:p w14:paraId="368C3E1C">
      <w:pPr>
        <w:keepNext w:val="0"/>
        <w:keepLines w:val="0"/>
        <w:pageBreakBefore w:val="0"/>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根据第14.6.2项[质量保证金的预留]约定应预留的质量保证金金额；</w:t>
      </w:r>
    </w:p>
    <w:p w14:paraId="559BF869">
      <w:pPr>
        <w:keepNext w:val="0"/>
        <w:keepLines w:val="0"/>
        <w:pageBreakBefore w:val="0"/>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根据第19条[索赔]应增加和扣减的索赔金额；</w:t>
      </w:r>
    </w:p>
    <w:p w14:paraId="218E91C8">
      <w:pPr>
        <w:keepNext w:val="0"/>
        <w:keepLines w:val="0"/>
        <w:pageBreakBefore w:val="0"/>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对已签发的进度款支付证书中出现错误的修正，应在本次进度付款中支付或扣除的金额；</w:t>
      </w:r>
    </w:p>
    <w:p w14:paraId="1C76E9BB">
      <w:pPr>
        <w:keepNext w:val="0"/>
        <w:keepLines w:val="0"/>
        <w:pageBreakBefore w:val="0"/>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根据合同约定应增加和扣减的其他金额。</w:t>
      </w:r>
    </w:p>
    <w:p w14:paraId="5CC56354">
      <w:pPr>
        <w:pStyle w:val="35"/>
        <w:keepNext w:val="0"/>
        <w:keepLines w:val="0"/>
        <w:pageBreakBefore w:val="0"/>
        <w:numPr>
          <w:ilvl w:val="0"/>
          <w:numId w:val="0"/>
        </w:numPr>
        <w:kinsoku/>
        <w:wordWrap/>
        <w:overflowPunct/>
        <w:topLinePunct w:val="0"/>
        <w:autoSpaceDE/>
        <w:autoSpaceDN/>
        <w:bidi w:val="0"/>
        <w:snapToGrid/>
        <w:spacing w:after="0" w:afterLines="0"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14.3.2 进度付款审核和支付</w:t>
      </w:r>
    </w:p>
    <w:p w14:paraId="18584ADF">
      <w:pPr>
        <w:pStyle w:val="37"/>
        <w:keepNext w:val="0"/>
        <w:keepLines w:val="0"/>
        <w:pageBreakBefore w:val="0"/>
        <w:numPr>
          <w:ilvl w:val="0"/>
          <w:numId w:val="0"/>
        </w:numPr>
        <w:kinsoku/>
        <w:wordWrap/>
        <w:overflowPunct/>
        <w:topLinePunct w:val="0"/>
        <w:autoSpaceDE/>
        <w:autoSpaceDN/>
        <w:bidi w:val="0"/>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495C441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2402A411">
      <w:pPr>
        <w:pStyle w:val="37"/>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2D4E9D84">
      <w:pPr>
        <w:pStyle w:val="37"/>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发包人签发进度款支付证书，不表明发包人已同意、批准或接受了承包人完成的相应部分的工作。</w:t>
      </w:r>
    </w:p>
    <w:p w14:paraId="0A4EC06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14.3.3 进度付款的修正</w:t>
      </w:r>
    </w:p>
    <w:p w14:paraId="4D21F78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在对已签发的进度款支付证书进行阶段汇总和复核中发现错误、遗漏或重复的，发包人和承包人均有权提出修正申请。经发包人和承包人同意的修正，应在下期进度付款中支付或扣除。</w:t>
      </w:r>
    </w:p>
    <w:p w14:paraId="3958E43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14.4 付款计划表</w:t>
      </w:r>
    </w:p>
    <w:p w14:paraId="2F603330">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14.4.1 付款计划表的编制要求</w:t>
      </w:r>
    </w:p>
    <w:p w14:paraId="23C306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除专用合同条件另有约定外，付款计划表按如下要求编制：</w:t>
      </w:r>
    </w:p>
    <w:p w14:paraId="4309520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付款计划表中所列的每期付款金额，应为第14.3.1项[工程进度付款申请]每期进度款的估算金额；</w:t>
      </w:r>
    </w:p>
    <w:p w14:paraId="26774A3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实际进度与项目进度计划不一致的，合同当事人可按照第3.6款[商定或确定]修改付款计划表；</w:t>
      </w:r>
    </w:p>
    <w:p w14:paraId="6D30BA9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不采用付款计划表的，承包人应向工程师提交按季度编制的支付估算付款计划表，用于支付参考。</w:t>
      </w:r>
    </w:p>
    <w:p w14:paraId="34FFB1D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14.4.2 付款计划表的编制与审批</w:t>
      </w:r>
    </w:p>
    <w:p w14:paraId="1A65955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08FBAA1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工程师应在收到付款计划表后7天内完成审核并报送发包人。发包人应在收到经工程师审核的付款计划表后7天内完成审批，经发包人批准的付款计划表为有约束力的付款计划表。</w:t>
      </w:r>
    </w:p>
    <w:p w14:paraId="45DBCC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发包人逾期未完成付款计划表审批的，也未及时要求承包人进行修正和提供补充资料的，则承包人提交的付款计划表视为已经获得发包人批准。</w:t>
      </w:r>
    </w:p>
    <w:p w14:paraId="086B0C31">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14.5 竣工结算</w:t>
      </w:r>
    </w:p>
    <w:p w14:paraId="45EC5BD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14.5.1 竣工结算申请</w:t>
      </w:r>
    </w:p>
    <w:p w14:paraId="6716286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15242E9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除专用合同条件另有约定外，竣工结算申请单应包括以下内容：</w:t>
      </w:r>
    </w:p>
    <w:p w14:paraId="22A97E3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竣工结算合同价格；</w:t>
      </w:r>
    </w:p>
    <w:p w14:paraId="0C1F71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发包人已支付承包人的款项；</w:t>
      </w:r>
    </w:p>
    <w:p w14:paraId="24A181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591408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发包人应支付承包人的合同价款。</w:t>
      </w:r>
    </w:p>
    <w:p w14:paraId="5D68FFA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14.5.2 竣工结算审核</w:t>
      </w:r>
    </w:p>
    <w:p w14:paraId="3CC37A6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72CEE62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5CF2607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232CF99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761BC1A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14.5.3 扫尾工作清单</w:t>
      </w:r>
    </w:p>
    <w:p w14:paraId="5068A2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经双方协商，部分工作在工程竣工验收后进行的，承包人应当编制扫尾工作清单，扫尾工作清单中应当列明承包人应当完成的扫尾工作的内容及完成时间。</w:t>
      </w:r>
    </w:p>
    <w:p w14:paraId="3F56B0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承包人完成扫尾工作清单中的内容应取得的费用包含在第14.5.1项[竣工结算申请]及第14.5.2项[竣工结算审核]中一并结算。</w:t>
      </w:r>
    </w:p>
    <w:p w14:paraId="6865161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扫尾工作的缺陷责任期按第11条[缺陷责任与保修]处理。承包人未能按照扫尾工作清单约定的完成时间完成扫尾工作的，视为承包人原因导致的工程质量缺陷按照第11.3款[缺陷调查]处理。</w:t>
      </w:r>
    </w:p>
    <w:p w14:paraId="072CB66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14.6 质量保证金 </w:t>
      </w:r>
    </w:p>
    <w:p w14:paraId="0FB25E9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经合同当事人协商一致提供质量保证金的，应在专用合同条件中予以明确。在工程项目竣工前，承包人已经提供履约担保的，发包人不得同时要求承包人提供质量保证金。</w:t>
      </w:r>
    </w:p>
    <w:p w14:paraId="560B7C1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14.6.1 承包人提供质量保证金的方式</w:t>
      </w:r>
    </w:p>
    <w:p w14:paraId="2A670FE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承包人提供质量保证金有以下三种方式：</w:t>
      </w:r>
    </w:p>
    <w:p w14:paraId="30782CD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提交工程质量保证担保；</w:t>
      </w:r>
    </w:p>
    <w:p w14:paraId="4B9E6E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预留相应比例的工程款；</w:t>
      </w:r>
    </w:p>
    <w:p w14:paraId="449474F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双方约定的其他方式。</w:t>
      </w:r>
    </w:p>
    <w:p w14:paraId="48C80EA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6EB2CFF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14.6.2 质量保证金的预留</w:t>
      </w:r>
    </w:p>
    <w:p w14:paraId="1F6B111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双方约定采用预留相应比例的工程款方式提供质量保证金的，质量保证金的预留有以下三种方式：</w:t>
      </w:r>
    </w:p>
    <w:p w14:paraId="75079E9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07EC5EB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工程竣工结算时一次性预留质量保证金；</w:t>
      </w:r>
    </w:p>
    <w:p w14:paraId="300CED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双方约定的其他预留方式。</w:t>
      </w:r>
    </w:p>
    <w:p w14:paraId="5BFEDE3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5BB17EE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14.6.3 质量保证金的返还</w:t>
      </w:r>
    </w:p>
    <w:p w14:paraId="69AD9EE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缺陷责任期内，承包人认真履行合同约定的责任，缺陷责任期满，发包人根据第11.6款[缺陷责任期终止证书]向承包人颁发缺陷责任期终止证书后，承包人可向发包人申请返还质量保证金。</w:t>
      </w:r>
    </w:p>
    <w:p w14:paraId="73E763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29439BA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发包人和承包人对质量保证金预留、返还以及工程维修质量、费用有争议的，按本合同第20条[争议解决]约定的争议和纠纷解决程序处理。</w:t>
      </w:r>
    </w:p>
    <w:p w14:paraId="40A80FA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14.7 最终结清 </w:t>
      </w:r>
    </w:p>
    <w:p w14:paraId="7F695D7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14.7.1 最终结清申请单</w:t>
      </w:r>
    </w:p>
    <w:p w14:paraId="6B24FAF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除专用合同条件另有约定外，承包人应在缺陷责任期终止证书颁发后7天内，按专用合同条件约定的份数向发包人提交最终结清申请单，并提供相关证明材料。</w:t>
      </w:r>
    </w:p>
    <w:p w14:paraId="65464BC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除专用合同条件另有约定外，最终结清申请单应列明质量保证金、应扣除的质量保证金、缺陷责任期内发生的增减费用。</w:t>
      </w:r>
    </w:p>
    <w:p w14:paraId="7B0A3FB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发包人对最终结清申请单内容有异议的，有权要求承包人进行修正和提供补充资料，承包人应向发包人提交修正后的最终结清申请单。</w:t>
      </w:r>
    </w:p>
    <w:p w14:paraId="2C84BB5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14.7.2 最终结清证书和支付</w:t>
      </w:r>
    </w:p>
    <w:p w14:paraId="00E559A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24DA0C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除专用合同条件另有约定外，发包人应在颁发最终结清证书后7天内完成支付。发包人逾期支付的，按照贷款市场报价利率（LPR）支付利息；逾期支付超过56天的，按照贷款市场报价利率（LPR）的两倍支付利息。</w:t>
      </w:r>
    </w:p>
    <w:p w14:paraId="6A6F15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承包人对发包人颁发的最终结清证书有异议的，按第20条[争议解决]的约定办理。</w:t>
      </w:r>
    </w:p>
    <w:p w14:paraId="17FDE730">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第15条 违约</w:t>
      </w:r>
    </w:p>
    <w:p w14:paraId="094AD920">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15.1 发包人违约</w:t>
      </w:r>
    </w:p>
    <w:p w14:paraId="7267D52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15.1.1 发包人违约的情形</w:t>
      </w:r>
    </w:p>
    <w:p w14:paraId="72A907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除专用合同条件另有约定外，在合同履行过程中发生的下列情形，属于发包人违约：</w:t>
      </w:r>
    </w:p>
    <w:p w14:paraId="27F4F0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因发包人原因导致开始工作日期延误的； </w:t>
      </w:r>
    </w:p>
    <w:p w14:paraId="6FBF918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因发包人原因未能按合同约定支付合同价款的；</w:t>
      </w:r>
    </w:p>
    <w:p w14:paraId="63203D2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发包人违反第13.1.1项约定，自行实施被取消的工作或转由他人实施的；</w:t>
      </w:r>
    </w:p>
    <w:p w14:paraId="5AF3603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因发包人违反合同约定造成工程暂停施工的；</w:t>
      </w:r>
    </w:p>
    <w:p w14:paraId="7118C6F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工程师无正当理由没有在约定期限内发出复工指示，导致承包人无法复工的；</w:t>
      </w:r>
    </w:p>
    <w:p w14:paraId="1A3E4DF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发包人明确表示或者以其行为表明不履行合同主要义务的；</w:t>
      </w:r>
    </w:p>
    <w:p w14:paraId="71D0FC9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发包人未能按照合同约定履行其他义务的。</w:t>
      </w:r>
    </w:p>
    <w:p w14:paraId="1C54010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15.1.2 通知改正</w:t>
      </w:r>
    </w:p>
    <w:p w14:paraId="51358A9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p>
    <w:p w14:paraId="4A1B35E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15.1.3 发包人违约的责任</w:t>
      </w:r>
    </w:p>
    <w:p w14:paraId="32C2F7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发包人应承担因其违约给承包人增加的费用和（或）延误的工期，并支付承包人合理的利润。此外，合同当事人可在专用合同条件中另行约定发包人违约责任的承担方式和计算方法。</w:t>
      </w:r>
    </w:p>
    <w:p w14:paraId="5E0105B5">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15.2 承包人违约</w:t>
      </w:r>
    </w:p>
    <w:p w14:paraId="26694BD7">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15.2.1 承包人违约的情形</w:t>
      </w:r>
    </w:p>
    <w:p w14:paraId="4DDEB9D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除专用合同条件另有约定外，在履行合同过程中发生的下列情况之一的，属于承包人违约：</w:t>
      </w:r>
    </w:p>
    <w:p w14:paraId="2A5BFA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承包人的原因导致的承包人文件、实施和竣工的工程不符合法律法规、工程质量验收标准以及合同约定；</w:t>
      </w:r>
    </w:p>
    <w:p w14:paraId="23F6BD6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承包人违反合同约定进行转包或违法分包的；</w:t>
      </w:r>
    </w:p>
    <w:p w14:paraId="21D61FA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承包人违反约定采购和使用不合格材料或工程设备；</w:t>
      </w:r>
    </w:p>
    <w:p w14:paraId="2A77CC3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因承包人原因导致工程质量不符合合同要求的；</w:t>
      </w:r>
    </w:p>
    <w:p w14:paraId="2D96D54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承包人未经工程师批准，擅自将已按合同约定进入施工现场的施工设备、临时设施或材料撤离施工现场；</w:t>
      </w:r>
    </w:p>
    <w:p w14:paraId="1297C9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承包人未能按项目进度计划及时完成合同约定的工作，造成工期延误；</w:t>
      </w:r>
    </w:p>
    <w:p w14:paraId="6BB282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由于承包人原因未能通过竣工试验或竣工后试验的；</w:t>
      </w:r>
    </w:p>
    <w:p w14:paraId="18137F5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承包人在缺陷责任期及保修期内，未能在合理期限对工程缺陷进行修复，或拒绝按发包人指示进行修复的；</w:t>
      </w:r>
    </w:p>
    <w:p w14:paraId="0140AA4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 承包人明确表示或者以其行为表明不履行合同主要义务的；</w:t>
      </w:r>
    </w:p>
    <w:p w14:paraId="7F4160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 承包人未能按照合同约定履行其他义务的。</w:t>
      </w:r>
    </w:p>
    <w:p w14:paraId="29085F1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15.2.2 通知改正</w:t>
      </w:r>
    </w:p>
    <w:p w14:paraId="64F531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承包人发生除第15.2.1项第(7)目、第(9)目约定以外的其他违约情况时，工程师可在专用合同条件约定的合理期限内向承包人发出整改通知，要求其在指定的期限内改正。</w:t>
      </w:r>
    </w:p>
    <w:p w14:paraId="65BE7E0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15.2.3 承包人违约的责任</w:t>
      </w:r>
    </w:p>
    <w:p w14:paraId="71FFA59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承包人应承担因其违约行为而增加的费用和（或）延误的工期。此外，合同当事人可在专用合同条件中另行约定承包人违约责任的承担方式和计算方法。</w:t>
      </w:r>
    </w:p>
    <w:p w14:paraId="6A34E0AB">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15.3 第三人造成的违约</w:t>
      </w:r>
    </w:p>
    <w:p w14:paraId="76C9DA0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在履行合同过程中，一方当事人因第三人的原因造成违约的，应当向对方当事人承担违约责任。一方当事人和第三人之间的纠纷，依照法律规定或者按照约定解决。</w:t>
      </w:r>
    </w:p>
    <w:p w14:paraId="680E970E">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第16条 合同解除</w:t>
      </w:r>
    </w:p>
    <w:p w14:paraId="1ACF0D8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16.1 由发包人解除合同</w:t>
      </w:r>
    </w:p>
    <w:p w14:paraId="522B0AB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16.1.1 因承包人违约解除合同</w:t>
      </w:r>
    </w:p>
    <w:p w14:paraId="3341A97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6A2CEA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承包人未能遵守第4.2款[履约担保]的约定；</w:t>
      </w:r>
    </w:p>
    <w:p w14:paraId="4FDA36A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承包人未能遵守第4.5款[分包]有关分包和转包的约定；</w:t>
      </w:r>
    </w:p>
    <w:p w14:paraId="0D687C2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承包人实际进度明显落后于进度计划，并且未按发包人的指令采取措施并修正进度计划；</w:t>
      </w:r>
    </w:p>
    <w:p w14:paraId="0A4833D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工程质量有严重缺陷，承包人无正当理由使修复开始日期拖延达28天以上；</w:t>
      </w:r>
    </w:p>
    <w:p w14:paraId="25DF667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014B7F2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承包人明确表示或以自己的行为表明不履行合同、或经发包人以书面形式通知其履约后仍未能依约履行合同、或以不适当的方式履行合同；</w:t>
      </w:r>
    </w:p>
    <w:p w14:paraId="74CE2D4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未能通过的竣工试验、未能通过的竣工后试验，使工程的任何部分和（或）整个工程丧失了主要使用功能、生产功能；</w:t>
      </w:r>
    </w:p>
    <w:p w14:paraId="2300D82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因承包人的原因暂停工作超过56天且暂停影响到整个工程，或因承包人的原因暂停工作超过182天；</w:t>
      </w:r>
    </w:p>
    <w:p w14:paraId="42BD878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 承包人未能遵守第8.2款[竣工日期]规定，延误超过182天；</w:t>
      </w:r>
    </w:p>
    <w:p w14:paraId="2E6B395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 工程师根据第15.2.2项[通知改正]发出整改通知后，承包人在指定的合理期限内仍不纠正违约行为并致使合同目的不能实现的。</w:t>
      </w:r>
    </w:p>
    <w:p w14:paraId="73D961D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16.1.2 因承包人违约解除合同后承包人的义务</w:t>
      </w:r>
    </w:p>
    <w:p w14:paraId="20DC638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合同解除后，承包人应按以下约定执行：</w:t>
      </w:r>
    </w:p>
    <w:p w14:paraId="5E66A33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除了为保护生命、财产或工程安全、清理和必须执行的工作外，停止执行所有被通知解除的工作，并将相关人员撤离现场；</w:t>
      </w:r>
    </w:p>
    <w:p w14:paraId="6BA9933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经发包人批准，承包人应将与被解除合同相关的和正在执行的分包合同及相关的责任和义务转让至发包人和（或）发包人指定方的名下，包括永久性工程及工程物资，以及相关工作；</w:t>
      </w:r>
    </w:p>
    <w:p w14:paraId="5BB4CF7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移交已完成的永久性工程及负责已运抵现场的工程物资。在移交前，妥善做好己完工程和已运抵现场的工程物资的保管、维护和保养；</w:t>
      </w:r>
    </w:p>
    <w:p w14:paraId="2FF941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将发包人提供的所有信息及承包人为本工程编制的设计文件、技术资料及其它文件移交给发包人。在承包人留有的资料文件中，销毁与发包人提供的所有信息相关的数据及资料的备份；</w:t>
      </w:r>
    </w:p>
    <w:p w14:paraId="173735B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移交相应实施阶段已经付款的并已完成的和尚待完成的设计文件、图纸、资料、操作维修手册、施工组织设计、质检资料、竣工资料等；</w:t>
      </w:r>
    </w:p>
    <w:p w14:paraId="6BCB60E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16.1.3 因承包人违约解除合同后的估价、付款和结算</w:t>
      </w:r>
    </w:p>
    <w:p w14:paraId="22AB34C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因承包人原因导致合同解除的，则合同当事人应在合同解除后28天内完成估价、付款和清算，并按以下约定执行：</w:t>
      </w:r>
    </w:p>
    <w:p w14:paraId="21F6C76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合同解除后，按第3.6款[商定或确定]商定或确定承包人实际完成工作对应的合同价款，以及承包人已提供的材料、工程设备、施工设备和临时工程等的价值；</w:t>
      </w:r>
    </w:p>
    <w:p w14:paraId="1B65B2C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合同解除后，承包人应支付的违约金；</w:t>
      </w:r>
    </w:p>
    <w:p w14:paraId="543439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合同解除后，因解除合同给发包人造成的损失；</w:t>
      </w:r>
    </w:p>
    <w:p w14:paraId="085101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合同解除后，承包人应按照发包人的指示完成现场的清理和撤离；</w:t>
      </w:r>
    </w:p>
    <w:p w14:paraId="451B9D4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发包人和承包人应在合同解除后进行清算，出具最终结清付款证书，结清全部款项。</w:t>
      </w:r>
    </w:p>
    <w:p w14:paraId="0487277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577EC329">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16.1.4 因承包人违约解除合同的合同权益转让</w:t>
      </w:r>
    </w:p>
    <w:p w14:paraId="2C02C6D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0592524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16.2 由承包人解除合同</w:t>
      </w:r>
    </w:p>
    <w:p w14:paraId="48428043">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16.2.1 因发包人违约解除合同</w:t>
      </w:r>
    </w:p>
    <w:p w14:paraId="2BE36C6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16D4BC5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承包人就发包人未能遵守第2.5.2项关于发包人的资金安排发出通知后42天内，仍未收到合理的证明；</w:t>
      </w:r>
    </w:p>
    <w:p w14:paraId="673031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在第14条规定的付款时间到期后42天内，承包人仍未收到应付款项； </w:t>
      </w:r>
    </w:p>
    <w:p w14:paraId="2E2A2D4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发包人实质上未能根据合同约定履行其义务，构成根本性违约；</w:t>
      </w:r>
    </w:p>
    <w:p w14:paraId="74600AE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发承包双方订立本合同协议书后的84天内，承包人未收到根据第8.1款[开始工作]的开始工作通知；</w:t>
      </w:r>
    </w:p>
    <w:p w14:paraId="2A79077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813804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发包人未能遵守第2.5.3项的约定提交支付担保；</w:t>
      </w:r>
    </w:p>
    <w:p w14:paraId="4321EAD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发包人未能执行第15.1.2项[通知改正]的约定，致使合同目的不能实现的；</w:t>
      </w:r>
    </w:p>
    <w:p w14:paraId="7FA6772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因发包人的原因暂停工作超过56天且暂停影响到整个工程，或因发包人的原因暂停工作超过182天的；</w:t>
      </w:r>
    </w:p>
    <w:p w14:paraId="335530A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 因发包人原因造成开始工作日期迟于承包人收到中标通知书（或在无中标通知书的情况下，订立本合同之日）后第84天的。</w:t>
      </w:r>
    </w:p>
    <w:p w14:paraId="46A90EC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62A4492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16.2.2 因发包人违约解除合同后承包人的义务</w:t>
      </w:r>
    </w:p>
    <w:p w14:paraId="4EBE0C33">
      <w:pPr>
        <w:pStyle w:val="37"/>
        <w:numPr>
          <w:ilvl w:val="0"/>
          <w:numId w:val="0"/>
        </w:numPr>
        <w:spacing w:line="360" w:lineRule="auto"/>
        <w:ind w:left="40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合同解除后，承包人应按以下约定执行：</w:t>
      </w:r>
    </w:p>
    <w:p w14:paraId="26B0CDF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除为保护生命、财产、工程安全的工作外，停止所有进一步的工作；承包人因执行该保护工作而产生费用的，由发包人承担；</w:t>
      </w:r>
    </w:p>
    <w:p w14:paraId="62AAC3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向发包人移交承包人已获得支付的承包人文件、生产设备、材料和其他工作；</w:t>
      </w:r>
    </w:p>
    <w:p w14:paraId="7FED60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从现场运走除为了安全需要以外的所有属于承包人的其他货物，并撤离现场。</w:t>
      </w:r>
    </w:p>
    <w:p w14:paraId="458AC754">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16.2.3 因发包人违约解除合同后的付款</w:t>
      </w:r>
    </w:p>
    <w:p w14:paraId="1F5EBC9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承包人按照本款约定解除合同的，发包人应在解除合同后28天内支付下列款项，并退还履约担保：</w:t>
      </w:r>
    </w:p>
    <w:p w14:paraId="3BECF45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合同解除前所完成工作的价款；</w:t>
      </w:r>
    </w:p>
    <w:p w14:paraId="4ADBFB7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承包人为工程施工订购并已付款的材料、工程设备和其他物品的价款；发包人付款后，该材料、工程设备和其他物品归发包人所有；</w:t>
      </w:r>
    </w:p>
    <w:p w14:paraId="0A79438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承包人为完成工程所发生的，而发包人未支付的金额；</w:t>
      </w:r>
    </w:p>
    <w:p w14:paraId="4C40108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承包人撤离施工现场以及遣散承包人人员的款项；</w:t>
      </w:r>
    </w:p>
    <w:p w14:paraId="079137D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按照合同约定在合同解除前应支付的违约金；</w:t>
      </w:r>
    </w:p>
    <w:p w14:paraId="3F6A30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按照合同约定应当支付给承包人的其他款项；</w:t>
      </w:r>
    </w:p>
    <w:p w14:paraId="2FA3B18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按照合同约定应返还的质量保证金；</w:t>
      </w:r>
    </w:p>
    <w:p w14:paraId="58A433D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 因解除合同给承包人造成的损失。</w:t>
      </w:r>
    </w:p>
    <w:p w14:paraId="23350C4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承包人应妥善做好已完工程和与工程有关的已购材料、工程设备的保护和移交工作，并将施工设备和人员撤出施工现场，发包人应为承包人撤出提供必要条件。</w:t>
      </w:r>
    </w:p>
    <w:p w14:paraId="4866E23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16.3 合同解除后的事项</w:t>
      </w:r>
    </w:p>
    <w:p w14:paraId="7C56602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16.3.1 结算约定依然有效</w:t>
      </w:r>
    </w:p>
    <w:p w14:paraId="6AE10A7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合同解除后，由发包人或由承包人解除合同的结算及结算后的付款约定仍然有效，直至解除合同的结算工作结清。</w:t>
      </w:r>
    </w:p>
    <w:p w14:paraId="104033B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16.3.2 解除合同的争议</w:t>
      </w:r>
    </w:p>
    <w:p w14:paraId="1F4557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双方对解除合同或解除合同后的结算有争议的，按照第20条[争议解决]的约定处理。</w:t>
      </w:r>
    </w:p>
    <w:p w14:paraId="6E947FD7">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第17条 不可抗力</w:t>
      </w:r>
    </w:p>
    <w:p w14:paraId="4F280B9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17.1 不可抗力的定义</w:t>
      </w:r>
    </w:p>
    <w:p w14:paraId="2B90A83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7A9BF20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17.2 不可抗力的通知 </w:t>
      </w:r>
    </w:p>
    <w:p w14:paraId="07D1F5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合同一方当事人觉察或发现不可抗力事件发生，使其履行合同义务受到阻碍时，有义务立即通知合同另一方当事人和工程师，书面说明不可抗力和受阻碍的详细情况，并提供必要的证明。</w:t>
      </w:r>
    </w:p>
    <w:p w14:paraId="6F83DEA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不可抗力持续发生的，合同一方当事人应每隔28天向合同另一方当事人和工程师提交中间报告，说明不可抗力和履行合同受阻的情况，并于不可抗力事件结束后28天内提交最终报告及有关资料。</w:t>
      </w:r>
    </w:p>
    <w:p w14:paraId="619F95B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17.3 将损失减至最小的义务</w:t>
      </w:r>
    </w:p>
    <w:p w14:paraId="340BB0A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1ADA1020">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17.4 不可抗力后果的承担 </w:t>
      </w:r>
    </w:p>
    <w:p w14:paraId="17DF99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不可抗力导致的人员伤亡、财产损失、费用增加和（或）工期延误等后果，由合同当事人按以下原则承担：</w:t>
      </w:r>
    </w:p>
    <w:p w14:paraId="0EE9AA4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永久工程，包括已运至施工现场的材料和工程设备的损害，以及因工程损害造成的第三人人员伤亡和财产损失由发包人承担；</w:t>
      </w:r>
    </w:p>
    <w:p w14:paraId="5837766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承包人提供的施工设备的损坏由承包人承担；</w:t>
      </w:r>
    </w:p>
    <w:p w14:paraId="079CDBB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发包人和承包人各自承担其人员伤亡及其他财产损失；</w:t>
      </w:r>
    </w:p>
    <w:p w14:paraId="5C726B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因不可抗力影响承包人履行合同约定的义务，已经引起或将引起工期延误的，应当顺延工期，由此导致承包人停工的费用损失由发包人和承包人合理分担，停工期间必须支付的现场必要的工人工资由发包人承担；</w:t>
      </w:r>
    </w:p>
    <w:p w14:paraId="4E025D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因不可抗力引起或将引起工期延误，发包人指示赶工的，由此增加的赶工费用由发包人承担；</w:t>
      </w:r>
    </w:p>
    <w:p w14:paraId="581A533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承包人在停工期间按照工程师或发包人要求照管、清理和修复工程的费用由发包人承担。</w:t>
      </w:r>
    </w:p>
    <w:p w14:paraId="4937075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不可抗力引起的后果及造成的损失由合同当事人按照法律规定及合同约定各自承担。不可抗力发生前已完成的工程应当按照合同约定进行支付。</w:t>
      </w:r>
    </w:p>
    <w:p w14:paraId="3607CFA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17.5 不可抗力影响分包人 </w:t>
      </w:r>
    </w:p>
    <w:p w14:paraId="1947E4E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分包人根据分包合同的约定，有权获得更多或者更广的不可抗力而免除某些义务时，承包人不得以分包合同中不可抗力约定向发包人抗辩免除其义务。</w:t>
      </w:r>
    </w:p>
    <w:p w14:paraId="0A56412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17.6 因不可抗力解除合同 </w:t>
      </w:r>
    </w:p>
    <w:p w14:paraId="4857D34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12F1103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合同解除前承包人已完成工作的价款；</w:t>
      </w:r>
    </w:p>
    <w:p w14:paraId="1B99CC9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5CF2998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发包人指示承包人退货或解除订货合同而产生的费用，或因不能退货或解除合同而产生的损失；</w:t>
      </w:r>
    </w:p>
    <w:p w14:paraId="36C136F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承包人撤离施工现场以及遣散承包人人员的费用；</w:t>
      </w:r>
    </w:p>
    <w:p w14:paraId="23A3366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按照合同约定在合同解除前应支付给承包人的其他款项；</w:t>
      </w:r>
    </w:p>
    <w:p w14:paraId="3C9D31F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扣减承包人按照合同约定应向发包人支付的款项；</w:t>
      </w:r>
    </w:p>
    <w:p w14:paraId="6AD0A6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 双方商定或确定的其他款项。</w:t>
      </w:r>
    </w:p>
    <w:p w14:paraId="318371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除专用合同条件另有约定外，合同解除后，发包人应当在商定或确定上述款项后28天内完成上述款项的支付。</w:t>
      </w:r>
    </w:p>
    <w:p w14:paraId="1A6C73A9">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第18条 保险 </w:t>
      </w:r>
    </w:p>
    <w:p w14:paraId="55842F9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18.1 设计和工程保险</w:t>
      </w:r>
    </w:p>
    <w:p w14:paraId="7AA9088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18.1.1 双方应按照专用合同条件的约定向双方同意的保险人投保</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设计责任险、建筑安装工程一切险等保险。具体的投保险种、保险范围、保险金额、保险费率、保险期限等有关内容应当在专用合同条件中明确约定。</w:t>
      </w:r>
    </w:p>
    <w:p w14:paraId="0C245F06">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18.1.2 双方应按照专用合同条件的约定投保第三者责任险，并在缺陷责任期终止证书颁发前维持其持续有效。第三者责任险最低投保额应在专用合同条件内约定。</w:t>
      </w:r>
    </w:p>
    <w:p w14:paraId="5C840FB4">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18.2 工伤和意外伤害保险</w:t>
      </w:r>
    </w:p>
    <w:p w14:paraId="4ED6B0C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18.2.1 发包人应依照法律规定为其在施工现场的雇用人员办理工伤保险，缴纳工伤保险费；并要求工程师及由发包人为履行合同聘请的第三方在施工现场的雇用人员依法办理工伤保险。</w:t>
      </w:r>
    </w:p>
    <w:p w14:paraId="7E1D553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18.2.2 承包人应依照法律规定为其履行合同雇用的全部人员办理工伤保险，缴纳工伤保险费，并要求分包人及由承包人为履行合同聘请的第三方雇用的全部人员依法办理工伤保险。</w:t>
      </w:r>
    </w:p>
    <w:p w14:paraId="3834E8AC">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18.2.3 发包人和承包人可以为其施工现场的全部人员办理意外伤害保险并支付保险费，包括其员工及为履行合同聘请的第三方的人员，具体事项由合同当事人在专用合同条件约定。</w:t>
      </w:r>
    </w:p>
    <w:p w14:paraId="6CBB282A">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18.3 货物保险</w:t>
      </w:r>
    </w:p>
    <w:p w14:paraId="3AB8917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w:t>
      </w:r>
      <w:r>
        <w:rPr>
          <w:rFonts w:hint="eastAsia" w:ascii="宋体" w:hAnsi="宋体" w:eastAsia="宋体" w:cs="宋体"/>
          <w:iCs/>
          <w:color w:val="auto"/>
          <w:sz w:val="28"/>
          <w:szCs w:val="28"/>
          <w:highlight w:val="none"/>
        </w:rPr>
        <w:t>按照</w:t>
      </w:r>
      <w:r>
        <w:rPr>
          <w:rFonts w:hint="eastAsia" w:ascii="宋体" w:hAnsi="宋体" w:eastAsia="宋体" w:cs="宋体"/>
          <w:color w:val="auto"/>
          <w:sz w:val="28"/>
          <w:szCs w:val="28"/>
          <w:highlight w:val="none"/>
        </w:rPr>
        <w:t>专用合同条件的约定为</w:t>
      </w:r>
      <w:r>
        <w:rPr>
          <w:rFonts w:hint="eastAsia" w:ascii="宋体" w:hAnsi="宋体" w:eastAsia="宋体" w:cs="宋体"/>
          <w:iCs/>
          <w:color w:val="auto"/>
          <w:sz w:val="28"/>
          <w:szCs w:val="28"/>
          <w:highlight w:val="none"/>
        </w:rPr>
        <w:t>运抵现场的</w:t>
      </w:r>
      <w:r>
        <w:rPr>
          <w:rFonts w:hint="eastAsia" w:ascii="宋体" w:hAnsi="宋体" w:eastAsia="宋体" w:cs="宋体"/>
          <w:color w:val="auto"/>
          <w:sz w:val="28"/>
          <w:szCs w:val="28"/>
          <w:highlight w:val="none"/>
        </w:rPr>
        <w:t>施工设备、材料、工程设备和临时工程等办理财产保险，保险期限自上述货物运抵现场至其不再为工程所需要为止。</w:t>
      </w:r>
    </w:p>
    <w:p w14:paraId="074496DF">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18.4 其他保险</w:t>
      </w:r>
    </w:p>
    <w:p w14:paraId="74BC02E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3E674CF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18.5 对各项保险的一般要求</w:t>
      </w:r>
    </w:p>
    <w:p w14:paraId="6CC548FF">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18.5.1 持续保险</w:t>
      </w:r>
    </w:p>
    <w:p w14:paraId="4C0BFDB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合同当事人应与保险人保持联系，使保险人能够随时了解工程实施中的变动，并确保按保险合同条款要求持续保险。</w:t>
      </w:r>
    </w:p>
    <w:p w14:paraId="2435583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18.5.2 保险凭证</w:t>
      </w:r>
    </w:p>
    <w:p w14:paraId="68A48B6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合同当事人应及时向另一方当事人提交其已投保的各项保险的凭证和保险单复印件，保险单必须与专用合同条件约定的条件保持一致。</w:t>
      </w:r>
    </w:p>
    <w:p w14:paraId="5A0951AD">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18.5.3 未按约定投保的补救</w:t>
      </w:r>
    </w:p>
    <w:p w14:paraId="24D5042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负有投保义务的一方当事人未按合同约定办理保险，或未能使保险持续有效的，则另一方当事人可代为办理，所需费用由负有投保义务的一方当事人承担。</w:t>
      </w:r>
    </w:p>
    <w:p w14:paraId="7A578B3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负有投保义务的一方当事人未按合同约定办理某项保险，导致受益人未能得到足额赔偿的，由负有投保义务的一方当事人负责按照原应从该项保险得到的保险金数额进行补足。</w:t>
      </w:r>
    </w:p>
    <w:p w14:paraId="381D6E71">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18.5.4 通知义务</w:t>
      </w:r>
    </w:p>
    <w:p w14:paraId="6045442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除专用合同条件另有约定外，任何一方当事人变更除工伤保险之外的保险合同时，应事先征得另一方当事人同意，并通知工程师。</w:t>
      </w:r>
    </w:p>
    <w:p w14:paraId="76C9CC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保险事故发生时，投保人应按照保险合同规定的条件和期限及时向保险人报告。发包人和承包人应当在知道保险事故发生后及时通知对方。</w:t>
      </w:r>
    </w:p>
    <w:p w14:paraId="758BFA6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双方按本条规定投保不减少双方在合同下的其他义务。</w:t>
      </w:r>
    </w:p>
    <w:p w14:paraId="78CAF3EE">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第19条 索赔 </w:t>
      </w:r>
    </w:p>
    <w:p w14:paraId="58E9DFA8">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19.1 索赔的提出</w:t>
      </w:r>
    </w:p>
    <w:p w14:paraId="45E90D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根据合同约定，任意一方认为有权得到追加/减少付款、延长缺陷责任期和（或）延长工期的，应按以下程序向对方提出索赔：</w:t>
      </w:r>
    </w:p>
    <w:p w14:paraId="45C2CA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741B12A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索赔方应在发出索赔意向通知书后28天内，向对方正式递交索赔报告；索赔报告应详细说明索赔理由以及要求追加的付款金额、延长缺陷责任期和（或）延长的工期，并附必要的记录和证明材料；</w:t>
      </w:r>
    </w:p>
    <w:p w14:paraId="2335A85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索赔事件具有持续影响的，索赔方应每月递交延续索赔通知，说明持续影响的实际情况和记录，列出累计的追加付款金额、延长缺陷责任期和（或）工期延长天数；</w:t>
      </w:r>
    </w:p>
    <w:p w14:paraId="6A396A3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在索赔事件影响结束后28天内，索赔方应向对方递交最终索赔报告，说明最终要求索赔的追加付款金额、延长缺陷责任期和（或）延长的工期，并附必要的记录和证明材料。</w:t>
      </w:r>
    </w:p>
    <w:p w14:paraId="2ADAC9D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16F293AD">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19.2 承包人索赔的处理程序</w:t>
      </w:r>
    </w:p>
    <w:p w14:paraId="4AD4B8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工程师收到承包人提交的索赔报告后，应及时审查索赔报告的内容、查验承包人的记录和证明材料，必要时工程师可要求承包人提交全部原始记录副本。</w:t>
      </w:r>
    </w:p>
    <w:p w14:paraId="2F42FE4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2E8458D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承包人接受索赔处理结果的，发包人应在作出索赔处理结果答复后28天内完成支付。承包人不接受索赔处理结果的，按照第20条[争议解决]约定处理。</w:t>
      </w:r>
    </w:p>
    <w:p w14:paraId="74D1C3C2">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19.3 发包人索赔的处理程序</w:t>
      </w:r>
    </w:p>
    <w:p w14:paraId="1428C4B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承包人收到发包人提交的索赔报告后，应及时审查索赔报告的内容、查验发包人证明材料；</w:t>
      </w:r>
    </w:p>
    <w:p w14:paraId="09C507C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承包人应在收到上述索赔报告或有关索赔的进一步证明材料后42天内，将索赔处理结果答复发包人。承包人在收到索赔通知书或有关索赔的进一步证明材料后的42天内不予答复的，视为认可索赔。</w:t>
      </w:r>
    </w:p>
    <w:p w14:paraId="68D6BEA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发包人接受索赔处理结果的，发包人可从应支付给承包人的合同价款中扣除赔付的金额或延长缺陷责任期；发包人不接受索赔处理结果的，按第20条[争议解决]约定处理。</w:t>
      </w:r>
    </w:p>
    <w:p w14:paraId="456F68F7">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19.4 提出索赔的期限</w:t>
      </w:r>
    </w:p>
    <w:p w14:paraId="03949B9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承包人按第14.5款[竣工结算]约定接收竣工付款证书后，应被认为已无权再提出在合同工程接收证书颁发前所发生的任何索赔。</w:t>
      </w:r>
    </w:p>
    <w:p w14:paraId="24440F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承包人按第14.7款[最终结清]提交的最终结清申请单中，只限于提出工程接收证书颁发后发生的索赔。提出索赔的期限均自接受最终结清证书时终止。</w:t>
      </w:r>
    </w:p>
    <w:p w14:paraId="373090A0">
      <w:pPr>
        <w:pStyle w:val="33"/>
        <w:numPr>
          <w:ilvl w:val="0"/>
          <w:numId w:val="0"/>
        </w:numPr>
        <w:wordWrap/>
        <w:topLinePunct w:val="0"/>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第20条 争议解决 </w:t>
      </w:r>
    </w:p>
    <w:p w14:paraId="2A5EC733">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20.1 和解</w:t>
      </w:r>
    </w:p>
    <w:p w14:paraId="6392918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合同当事人可以就争议自行和解，自行和解达成协议的经双方签字并盖章后作为合同补充文件，双方均应遵照执行。</w:t>
      </w:r>
    </w:p>
    <w:p w14:paraId="230D824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20.2 调解 </w:t>
      </w:r>
    </w:p>
    <w:p w14:paraId="2FCD5C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合同当事人可以就争议请求建设行政主管部门、行业协会或其他第三方进行调解，调解达成协议的，经双方签字盖章后作为合同补充文件，双方均应遵照执行。</w:t>
      </w:r>
    </w:p>
    <w:p w14:paraId="4946B917">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20.3 争议评审</w:t>
      </w:r>
    </w:p>
    <w:p w14:paraId="26F628D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合同当事人在专用合同条件中约定采取争议评审方式及评审规则解决争议的，按下列约定执行：</w:t>
      </w:r>
    </w:p>
    <w:p w14:paraId="0A57A6D5">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20.3.1 争议评审小组的确定</w:t>
      </w:r>
    </w:p>
    <w:p w14:paraId="7DCB9FA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6B228F8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67B6BDE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除专用合同条件另有约定外，争议评审员报酬由发包人和承包人各承担一半。</w:t>
      </w:r>
    </w:p>
    <w:p w14:paraId="4E39139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20.3.2 争议的避免</w:t>
      </w:r>
    </w:p>
    <w:p w14:paraId="41DB5E5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合同当事人协商一致，可以共同书面请求争议评审小组，就合同履行过程中可能出现争议的情况提供协助或进行非正式讨论，争议评审小组应给出公正的意见或建议。</w:t>
      </w:r>
    </w:p>
    <w:p w14:paraId="19D9F5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此类协助或非正式讨论可在任何会议、施工现场视察或其他场合进行，并且除专用合同条件另有约定外，发包人和承包人均应出席。</w:t>
      </w:r>
    </w:p>
    <w:p w14:paraId="445A43A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争议评审小组在此类非正式讨论上给出的任何意见或建议，无论是口头还是书面的，对发包人和承包人不具有约束力，争议评审小组在之后的争议评审程序或决定中也不受此类意见或建议的约束。</w:t>
      </w:r>
    </w:p>
    <w:p w14:paraId="705D7F9A">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20.3.3 争议评审小组的决定</w:t>
      </w:r>
    </w:p>
    <w:p w14:paraId="7F5BAD3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5F42E018">
      <w:pPr>
        <w:pStyle w:val="35"/>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20.3.4 争议评审小组决定的效力</w:t>
      </w:r>
    </w:p>
    <w:p w14:paraId="5DACCB91">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争议评审小组作出的书面决定经合同当事人签字确认后，对双方具有约束力，双方应遵照执行。</w:t>
      </w:r>
    </w:p>
    <w:p w14:paraId="4EE26B5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任何一方当事人不接受争议评审小组决定或不履行争议评审小组决定的，双方可选择采用其他争议解决方式。</w:t>
      </w:r>
    </w:p>
    <w:p w14:paraId="7D671637">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任何一方当事人不接受争议评审小组的决定，并不影响暂时执行争议评审小组的决定，直到在后续的采用其他争议解决方式中对争议评审小组的决定进行了改变。</w:t>
      </w:r>
    </w:p>
    <w:p w14:paraId="333392F9">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20.4 仲裁或诉讼</w:t>
      </w:r>
    </w:p>
    <w:p w14:paraId="3981753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因合同及合同有关事项产生的争议，合同当事人可以在专用合同条件中约定以下一种方式解决争议：</w:t>
      </w:r>
    </w:p>
    <w:p w14:paraId="6417579D">
      <w:pPr>
        <w:pStyle w:val="37"/>
        <w:numPr>
          <w:ilvl w:val="0"/>
          <w:numId w:val="0"/>
        </w:numPr>
        <w:spacing w:line="360" w:lineRule="auto"/>
        <w:ind w:left="841"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向约定的仲裁委员会申请仲裁；</w:t>
      </w:r>
    </w:p>
    <w:p w14:paraId="616AFB87">
      <w:pPr>
        <w:pStyle w:val="37"/>
        <w:numPr>
          <w:ilvl w:val="0"/>
          <w:numId w:val="0"/>
        </w:numPr>
        <w:spacing w:line="360" w:lineRule="auto"/>
        <w:ind w:left="841"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向有管辖权的人民法院起诉。</w:t>
      </w:r>
    </w:p>
    <w:p w14:paraId="1A97713E">
      <w:pPr>
        <w:pStyle w:val="34"/>
        <w:widowControl/>
        <w:numPr>
          <w:ilvl w:val="0"/>
          <w:numId w:val="0"/>
        </w:numPr>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20.5 争议解决条款效力</w:t>
      </w:r>
    </w:p>
    <w:p w14:paraId="0F7DC06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合同有关争议解决的条款独立存在，合同的不生效、无效、被撤销或者终止的，不影响合同中有关争议解决条款的效力。</w:t>
      </w:r>
    </w:p>
    <w:p w14:paraId="181BA31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602D30CE">
      <w:pPr>
        <w:pStyle w:val="30"/>
        <w:keepNext w:val="0"/>
        <w:keepLines w:val="0"/>
        <w:widowControl/>
        <w:adjustRightInd w:val="0"/>
        <w:snapToGrid w:val="0"/>
        <w:spacing w:before="0" w:after="50" w:line="360" w:lineRule="auto"/>
        <w:ind w:firstLine="562"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第三部分 专用合同条件</w:t>
      </w:r>
    </w:p>
    <w:p w14:paraId="7EEDBBCC">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第1条 一般约定</w:t>
      </w:r>
    </w:p>
    <w:p w14:paraId="49FB8B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词语定义和解释</w:t>
      </w:r>
    </w:p>
    <w:p w14:paraId="15250A6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 合同</w:t>
      </w:r>
    </w:p>
    <w:p w14:paraId="519C453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1.1.1.10 其他合同文件：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345178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 工程和设备</w:t>
      </w:r>
    </w:p>
    <w:p w14:paraId="0E3FF1C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1.1.3.5 单位/区段工程的范围：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9F8250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1.1.3.9 作为施工场所组成部分的其他场所包括：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26DB4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1.1.3.10 永久占地包括：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F78EB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1.1.3.11 临时占地包括：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9E96D8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 语言文字</w:t>
      </w:r>
    </w:p>
    <w:p w14:paraId="6D1F987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本合同除使用汉语外，还使用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语言。</w:t>
      </w:r>
    </w:p>
    <w:p w14:paraId="65A1E4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 法律</w:t>
      </w:r>
    </w:p>
    <w:p w14:paraId="78504D1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适用于合同的其他规范性文件：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4ECCE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 标准和规范</w:t>
      </w:r>
    </w:p>
    <w:p w14:paraId="76F1F5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 适用于本合同的标准、规范（名称）包括：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F1BEF5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 发包人提供的国外标准、规范的名称：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；发包人提供的国外标准、规范的份数：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；发包人提供的国外标准、规范的时间：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061B50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 没有成文规范、标准规定的约定：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35A23A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 发包人对于工程的技术标准、功能要求：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7400C2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 合同文件的优先顺序</w:t>
      </w:r>
    </w:p>
    <w:p w14:paraId="2511370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合同文件组成及优先顺序为：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814A9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 文件的提供和照管</w:t>
      </w:r>
    </w:p>
    <w:p w14:paraId="08FE952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 发包人文件的提供</w:t>
      </w:r>
    </w:p>
    <w:p w14:paraId="0E5DD8F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发包人文件的提供期限、名称、数量和形式：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53AC1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 承包人文件的提供</w:t>
      </w:r>
    </w:p>
    <w:p w14:paraId="4D6263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承包人文件的内容、提供期限、名称、数量和形式：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86E56A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1.6.4 文件的照管</w:t>
      </w:r>
    </w:p>
    <w:p w14:paraId="65F02FA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关于现场文件准备的约定：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CCDF45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 联络</w:t>
      </w:r>
    </w:p>
    <w:p w14:paraId="6A80FA8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1.7.2 发包人指定的送达方式（包括电子传输方式）：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641557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发包人的送达地址：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75E069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承包人指定的送达方式（包括电子传输方式）：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A2B611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承包人的送达地址：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1133E3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 知识产权</w:t>
      </w:r>
    </w:p>
    <w:p w14:paraId="2162ECA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1.10.1 由发包人（或以发包人名义）编制的《发包人要求》和其他文件的著作权归属：</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DC0620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1.10.2 由承包人（或以承包人名义）为实施工程所编制的文件、承包人完成的设计工作成果和建造完成的建筑物的知识产权归属：</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09D4BD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1.10.4 承包人在投标文件中采用的专利、专有技术、技术秘密的使用费的承担方式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380BFA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 保密</w:t>
      </w:r>
    </w:p>
    <w:p w14:paraId="2F759EE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双方订立的商业保密协议（名称）：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，作为本合同附件。</w:t>
      </w:r>
    </w:p>
    <w:p w14:paraId="00BF2E3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双方订立的技术保密协议（名称）：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，作为本合同附件。</w:t>
      </w:r>
    </w:p>
    <w:p w14:paraId="7F2406C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 责任限制</w:t>
      </w:r>
    </w:p>
    <w:p w14:paraId="10C39D0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承包人对发包人赔偿责任的最高限额为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2D90C8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1.14 建筑信息模型技术的应用</w:t>
      </w:r>
    </w:p>
    <w:p w14:paraId="121365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关于建筑信息模型技术的开发、使用、存储、传输、交付及费用约定如下：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B1CF1A8">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第2条 发包人</w:t>
      </w:r>
    </w:p>
    <w:p w14:paraId="164C8D4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提供施工现场和工作条件</w:t>
      </w:r>
    </w:p>
    <w:p w14:paraId="574C77F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 提供施工现场</w:t>
      </w:r>
    </w:p>
    <w:p w14:paraId="339B5B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关于发包人提供施工现场的范围和期限：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ECDB5D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 提供工作条件</w:t>
      </w:r>
    </w:p>
    <w:p w14:paraId="4A46C16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关于发包人应负责提供的工作条件包括：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BE01A8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 提供基础资料</w:t>
      </w:r>
    </w:p>
    <w:p w14:paraId="5564CB9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关于发包人应提供的基础资料的范围和期限：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E362B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 支付合同价款</w:t>
      </w:r>
    </w:p>
    <w:p w14:paraId="65364C8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 发包人提供资金来源证明及资金安排的期限要求：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808DC2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2.5.3 发包人提供支付担保的形式、期限、金额（或比例）：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200208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 其他义务</w:t>
      </w:r>
    </w:p>
    <w:p w14:paraId="3596E29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发包人应履行的其他义务：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638658C">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第3条 发包人的管理</w:t>
      </w:r>
    </w:p>
    <w:p w14:paraId="2357969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 发包人代表</w:t>
      </w:r>
    </w:p>
    <w:p w14:paraId="781FE3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A34A1C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4BA5FD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E930D7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CA59D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发包人代表的电子邮箱：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DF36E4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发包人代表的通信地址：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DDD6DF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发包人对发包人代表的授权范围如下：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F04B7D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发包人代表的职责：</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9B9BD2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 发包人人员</w:t>
      </w:r>
    </w:p>
    <w:p w14:paraId="1C606A8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发包人人员姓名：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7E738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发包人人员职务：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40B5D9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发包人人员职责：</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5994C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 工程师</w:t>
      </w:r>
    </w:p>
    <w:p w14:paraId="3428892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3.3.1 工程师名称：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；工程师监督管理范围、内容：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；工程师权限：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E3BC80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 商定或确定</w:t>
      </w:r>
    </w:p>
    <w:p w14:paraId="4847E30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3.6.2 关于商定时间限制的具体约定：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8A73DC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3.6.3 关于商定或确定效力的具体约定：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；关于对工程师的确定提出异议的具体约定：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895A7F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 会议</w:t>
      </w:r>
    </w:p>
    <w:p w14:paraId="5A91FEC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3.7.1 关于召开会议的具体约定：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CB5318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3.7.2 关于保存和提供会议纪要的具体约定：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F15A9FA">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第4条 承包人</w:t>
      </w:r>
    </w:p>
    <w:p w14:paraId="39F5B2F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 承包人的一般义务</w:t>
      </w:r>
    </w:p>
    <w:p w14:paraId="7DB93B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承包人应履行的其他义务：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D27F2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 履约担保</w:t>
      </w:r>
    </w:p>
    <w:p w14:paraId="33920D5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承包人是否提供履约担保：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B6457E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履约担保的方式、金额及期限: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8B088D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 工程总承包项目经理</w:t>
      </w:r>
    </w:p>
    <w:p w14:paraId="01CE71F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4.3.1 工程总承包项目经理姓名：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405268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执业资格或职称类型：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B560D5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执业资格证或职称证号码：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976A2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E1F0E6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E4C478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通信地址：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BA8352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承包人未提交劳动合同，以及没有为工程总承包项目经理缴纳社会保险证明的违约责任：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44D35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4.3.2 工程总承包项目经理每月在现场的时间要求：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CD0044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工程总承包项目经理未经批准擅自离开施工现场的违约责任：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6110D5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4.3.3 承包人对工程总承包项目经理的授权范围: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BFFC46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4.3.4 承包人擅自更换工程总承包项目经理的违约责任：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381BB3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4.3.5 承包人无正当理由拒绝更换工程总承包项目经理的违约责任: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6921F1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 承包人人员</w:t>
      </w:r>
    </w:p>
    <w:p w14:paraId="791018D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4.4.1 人员安排</w:t>
      </w:r>
    </w:p>
    <w:p w14:paraId="1EA93F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承包人提交项目管理机构及施工现场人员安排的报告的期限：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C75DCD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承包人提交关键人员信息及注册执业资格等证明其具备担任关键人员能力的相关文件的期限：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2BEB20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4.4.2 关键人员更换</w:t>
      </w:r>
    </w:p>
    <w:p w14:paraId="6078F03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承包人擅自更换关键人员的违约责任：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8CE268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承包人无正当理由拒绝撤换关键人员的违约责任：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07C633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4.4.3 现场管理关键人员在岗要求</w:t>
      </w:r>
    </w:p>
    <w:p w14:paraId="7FF46D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承包人现场管理关键人员离开施工现场的批准要求：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DBD2F1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承包人现场管理关键人员擅自离开施工现场的违约责任：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ACA07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 分包</w:t>
      </w:r>
    </w:p>
    <w:p w14:paraId="0423782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4.5.1 一般约定</w:t>
      </w:r>
    </w:p>
    <w:p w14:paraId="623D228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禁止分包的工程包括：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920054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4.5.2 分包的确定</w:t>
      </w:r>
    </w:p>
    <w:p w14:paraId="4BBAD63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允许分包的工程包括：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AA7C46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其他关于分包的约定：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FACE99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4.5.5 分包合同价款支付</w:t>
      </w:r>
    </w:p>
    <w:p w14:paraId="2AEB1C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关于分包合同价款支付的约定：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15C6D1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 联合体</w:t>
      </w:r>
    </w:p>
    <w:p w14:paraId="460DA38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4.6.2 联合体各成员的分工、费用收取、发票开具等事项：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E0E8EF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 承包人现场查勘</w:t>
      </w:r>
    </w:p>
    <w:p w14:paraId="40A2B3F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4.7.1 双方当事人对现场查勘的责任承担的约定：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748779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4.8 不可预见的困难</w:t>
      </w:r>
    </w:p>
    <w:p w14:paraId="016AAF7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不可预见的困难包括：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A6C419F">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第5条 设计</w:t>
      </w:r>
    </w:p>
    <w:p w14:paraId="1AC5946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 承包人文件审查</w:t>
      </w:r>
    </w:p>
    <w:p w14:paraId="35C44DF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5.2.1 承包人文件审查的期限：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662F53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5.2.2 审查会议的审查形式和时间安排为：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，审查会议的相关费用由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承担。</w:t>
      </w:r>
    </w:p>
    <w:p w14:paraId="0C62E67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5.2.3 关于第三方审查单位的约定：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07DBE0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 培训</w:t>
      </w:r>
    </w:p>
    <w:p w14:paraId="55BE4E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培训的时长为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，承包人应为培训提供的人员、设施和其它必要条件为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4299D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 竣工文件</w:t>
      </w:r>
    </w:p>
    <w:p w14:paraId="53D9619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5.4.1 竣工文件的形式、提供的份数、技术标准以及其它相关要求：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458BD0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5.4.3 关于竣工文件的其他约定：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62A3B2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 操作和维修手册</w:t>
      </w:r>
    </w:p>
    <w:p w14:paraId="508F36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5.5.3 对最终操作和维修手册的约定：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D3F9189">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第6条 材料、工程设备</w:t>
      </w:r>
    </w:p>
    <w:p w14:paraId="7FE3A22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 实施方法</w:t>
      </w:r>
    </w:p>
    <w:p w14:paraId="73F849D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双方当事人约定的实施方法、设备、设施和材料：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AF5D19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 材料和工程设备</w:t>
      </w:r>
    </w:p>
    <w:p w14:paraId="3C1C27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6.2.1 发包人提供的材料和工程设备</w:t>
      </w:r>
    </w:p>
    <w:p w14:paraId="2B03801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发包人提供的材料和工程设备验收后，由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负责接收、运输和保管。</w:t>
      </w:r>
    </w:p>
    <w:p w14:paraId="697D7B9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6.2.2 承包人提供的材料和工程设备</w:t>
      </w:r>
    </w:p>
    <w:p w14:paraId="50FDC8F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材料和工程设备的类别、估算数量：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54096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竣工后试验的生产性材料的类别或（和）清单：</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33ADED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6.2.3 材料和工程设备的保管</w:t>
      </w:r>
    </w:p>
    <w:p w14:paraId="3D884ED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发包人供应的材料和工程设备的保管费用由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承担。</w:t>
      </w:r>
    </w:p>
    <w:p w14:paraId="7D1ED8E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承包人提交保管、维护方案的时间：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0AE9BB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发包人提供的库房、堆场、设施和设备：</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87A5BB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 样品</w:t>
      </w:r>
    </w:p>
    <w:p w14:paraId="1873921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6.3.1 样品的报送与封存</w:t>
      </w:r>
    </w:p>
    <w:p w14:paraId="035BD18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需要承包人报送样品的材料或工程设备，样品种类、名称、规格、数量：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6375AA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 质量检查</w:t>
      </w:r>
    </w:p>
    <w:p w14:paraId="2A9C338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6.4.1 工程质量要求</w:t>
      </w:r>
    </w:p>
    <w:p w14:paraId="5753395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工程质量的特殊标准或要求：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695F2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6.4.2 质量检查</w:t>
      </w:r>
    </w:p>
    <w:p w14:paraId="0777C1B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除通用合同条件已列明的质量检查的地点外，发包人有权进行质量检查的其他地点：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FB7F9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6.4.3 隐蔽工程检查</w:t>
      </w:r>
    </w:p>
    <w:p w14:paraId="625F265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关于隐蔽工程和中间验收的特别约定：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468D8F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 由承包人试验和检验</w:t>
      </w:r>
    </w:p>
    <w:p w14:paraId="7C93C58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6.5.1 试验设备与试验人员</w:t>
      </w:r>
    </w:p>
    <w:p w14:paraId="361D876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试验的内容、时间和地点：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311FFD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试验所需要的试验设备、取样装置、试验场所和试验条件：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4BEDEB7">
      <w:pPr>
        <w:wordWrap/>
        <w:topLinePunct w:val="0"/>
        <w:spacing w:line="360" w:lineRule="auto"/>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试验和检验费用的计价原则：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965FAD7">
      <w:pPr>
        <w:pStyle w:val="38"/>
        <w:spacing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第7条 施工</w:t>
      </w:r>
    </w:p>
    <w:p w14:paraId="3C8CE2D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 交通运输</w:t>
      </w:r>
    </w:p>
    <w:p w14:paraId="0992005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7.1.1 出入现场的权利</w:t>
      </w:r>
    </w:p>
    <w:p w14:paraId="37AD507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关于出入现场的权利的约定：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487C9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7.1.2 场外交通</w:t>
      </w:r>
    </w:p>
    <w:p w14:paraId="55C2B0A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关于场外交通的特别约定：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37A137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7.1.3 场内交通</w:t>
      </w:r>
    </w:p>
    <w:p w14:paraId="356979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关于场内交通的特别约定：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08847A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关于场内交通与场外交通边界的约定：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D57876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7.1.4 超大件和超重件的运输</w:t>
      </w:r>
    </w:p>
    <w:p w14:paraId="69FCA88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运输超大件或超重件所需的道路和桥梁临时加固改造费用和其他有关费用由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承担。</w:t>
      </w:r>
    </w:p>
    <w:p w14:paraId="4CA2355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 施工设备和临时设施</w:t>
      </w:r>
    </w:p>
    <w:p w14:paraId="4511670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7.2.1 承包人提供的施工设备和临时设施</w:t>
      </w:r>
    </w:p>
    <w:p w14:paraId="5A3CA9C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临时设施的费用和临时占地手续和费用承担的特别约定：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531192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7.2.2 发包人提供的施工设备和临时设施</w:t>
      </w:r>
    </w:p>
    <w:p w14:paraId="5A1441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发包人提供的施工设备或临时设施范围：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37519B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7.3 现场合作</w:t>
      </w:r>
    </w:p>
    <w:p w14:paraId="6BD11B5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关于现场合作费用的特别约定：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D31AC8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 测量放线</w:t>
      </w:r>
    </w:p>
    <w:p w14:paraId="3DE32AB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7.4.1 关于测量放线的特别约定的技术规范：</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。施工控制网资料的告知期限：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C907E7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 现场劳动用工</w:t>
      </w:r>
    </w:p>
    <w:p w14:paraId="271906A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7.5.2 合同当事人对建筑工人工资清偿事宜和违约责任的约定：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79231A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 安全文明施工</w:t>
      </w:r>
    </w:p>
    <w:p w14:paraId="3BAC122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7.6.1 安全生产要求</w:t>
      </w:r>
    </w:p>
    <w:p w14:paraId="12386E0F">
      <w:pPr>
        <w:wordWrap/>
        <w:topLinePunct w:val="0"/>
        <w:spacing w:line="360" w:lineRule="auto"/>
        <w:ind w:left="124" w:leftChars="59"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合同当事人对安全施工的要求：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5E9CA5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7.6.3 文明施工</w:t>
      </w:r>
    </w:p>
    <w:p w14:paraId="7F71B5B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合同当事人对文明施工的要求：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024C49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7.9 临时性公用设施</w:t>
      </w:r>
    </w:p>
    <w:p w14:paraId="1AEB515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关于临时性公用设施的特别约定：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4F4F2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7.10 现场安保</w:t>
      </w:r>
    </w:p>
    <w:p w14:paraId="6C758F9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承包人现场安保义务的特别约定：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8DB1748">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第8条 工期和进度</w:t>
      </w:r>
    </w:p>
    <w:p w14:paraId="0CE323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 开始工作</w:t>
      </w:r>
    </w:p>
    <w:p w14:paraId="3850805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8.1.1 开始准备工作：</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0DFCA4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8.1.2 发包人可在计划开始工作之日起84日后发出开始工作通知的特殊情形：</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631E1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 竣工日期</w:t>
      </w:r>
    </w:p>
    <w:p w14:paraId="615172A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竣工日期的约定：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B1E65B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 项目实施计划</w:t>
      </w:r>
    </w:p>
    <w:p w14:paraId="376C0C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8.3.1 项目实施计划的内容</w:t>
      </w:r>
    </w:p>
    <w:p w14:paraId="5C63797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项目实施计划的内容：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BEA16E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8.3.2 项目实施计划的提交和修改</w:t>
      </w:r>
    </w:p>
    <w:p w14:paraId="30AD0ED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项目实施计划的提交及修改期限：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291C7F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 项目进度计划</w:t>
      </w:r>
    </w:p>
    <w:p w14:paraId="079ED6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8.4.1 工程师在收到进度计划后确认或提出修改意见的期限：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206BD5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8.4.2 进度计划的具体要求：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0BC4E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关键路径及关键路径变化的确定原则：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4F932A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承包人提交项目进度计划的份数和时间：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A8BD97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8.4.3 进度计划的修订</w:t>
      </w:r>
    </w:p>
    <w:p w14:paraId="0B97BE3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承包人提交修订项目进度计划申请报告的期限：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26B6CF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发包人批复修订项目进度计划申请报告的期限：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33EBCF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承包人答复发包人提出修订合同计划的期限：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EA157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8.5 进度报告</w:t>
      </w:r>
    </w:p>
    <w:p w14:paraId="5F04D5D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进度报告的具体要求：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F1E37C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 工期延误</w:t>
      </w:r>
    </w:p>
    <w:p w14:paraId="03C05A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8.7.2 因承包人原因导致工期延误</w:t>
      </w:r>
    </w:p>
    <w:p w14:paraId="3CAA980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因承包人原因使竣工日期延误，每延误1日的误期赔偿金额为合同协议书的合同价格的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%或人民币金额为：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、累计最高赔偿金额为合同协议书的合同价格的：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%或人民币金额为：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A91B8E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8.7.3 行政审批迟延</w:t>
      </w:r>
    </w:p>
    <w:p w14:paraId="5D63EE2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行政审批报送的职责分工：</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3B9B88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8.7.4 异常恶劣的气候条件</w:t>
      </w:r>
    </w:p>
    <w:p w14:paraId="4295188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双方约定视为异常恶劣的气候条件的情形：</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A1C650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 工期提前</w:t>
      </w:r>
    </w:p>
    <w:p w14:paraId="57F905E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8.8.2 承包人提前竣工的奖励：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CF35A67">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第9条 竣工试验</w:t>
      </w:r>
    </w:p>
    <w:p w14:paraId="5DFBEE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 竣工试验的义务</w:t>
      </w:r>
    </w:p>
    <w:p w14:paraId="72690B9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9.1.3 竣工试验的阶段、内容和顺序：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839CDA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竣工试验的操作要求：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A882F1D">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第10条 验收和工程接收</w:t>
      </w:r>
    </w:p>
    <w:p w14:paraId="68D066A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 竣工验收</w:t>
      </w:r>
    </w:p>
    <w:p w14:paraId="65307D5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10.1.2 关于竣工验收程序的约定：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07B650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发包人不按照合同约定组织竣工验收、颁发工程接受证书的违约金的计算方式：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065424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 工程的接收</w:t>
      </w:r>
    </w:p>
    <w:p w14:paraId="088E269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10.3.1工程接收的先后顺序、时间安排和其他要求：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AA0CAF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10.3.2 接受工程时承包人需提交竣工验收资料的类别、内容、份数和提交时间：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C42FE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10.3.3 发包人逾期接收工程的违约责任：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8DBB65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10.3.4 承包人无正当理由不移交工程的违约责任：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1A51C1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 接收证书</w:t>
      </w:r>
    </w:p>
    <w:p w14:paraId="66710F7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10.4.1 工程接收证书颁发时间：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B5CA07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 竣工退场</w:t>
      </w:r>
    </w:p>
    <w:p w14:paraId="2CAD5F5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10.5.1 竣工退场的相关约定：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195AF6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10.5.3人员撤离</w:t>
      </w:r>
    </w:p>
    <w:p w14:paraId="3BC3C6A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工程师同意需在缺陷责任期内继续工作和使用的人员、施工设备和临时工程的内容：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F10414D">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第11条 缺陷责任与保修</w:t>
      </w:r>
    </w:p>
    <w:p w14:paraId="63FF3ED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 缺陷责任期</w:t>
      </w:r>
    </w:p>
    <w:p w14:paraId="3F91FB7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缺陷责任期的期限：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B08187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 缺陷调查</w:t>
      </w:r>
    </w:p>
    <w:p w14:paraId="068DDC9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11.3.4 修复通知</w:t>
      </w:r>
    </w:p>
    <w:p w14:paraId="3D1A633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承包人收到保修通知并到达工程现场的合理时间：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CE66DB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11.6 缺陷责任期终止证书</w:t>
      </w:r>
    </w:p>
    <w:p w14:paraId="0446C0D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承包人应于缺陷责任期届满后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天内向发包人发出缺陷责任期届满通知，发包人应在收到缺陷责任期满通知后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天内，向承包人颁发缺陷责任期终止证书。</w:t>
      </w:r>
    </w:p>
    <w:p w14:paraId="4A2F34C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11.7 保修责任</w:t>
      </w:r>
    </w:p>
    <w:p w14:paraId="14C38AB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工程质量保修范围、期限和责任为：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0F783C9">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第12条 竣工后试验</w:t>
      </w:r>
    </w:p>
    <w:p w14:paraId="7B878A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本合同工程是否包含竣工后试验：</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19B270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 竣工后试验的程序</w:t>
      </w:r>
    </w:p>
    <w:p w14:paraId="1791360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5C023F9">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第13条 变更与调整</w:t>
      </w:r>
    </w:p>
    <w:p w14:paraId="427C0BE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 承包人的合理化建议</w:t>
      </w:r>
    </w:p>
    <w:p w14:paraId="1A4FB1C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13.2.2 工程师应在收到承包人提交的合理化建议后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日内审查完毕并报送发包人，发现其中存在技术上的缺陷，应通知承包人修改。发包人应在收到工程师报送的合理化建议后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日内审批完毕。合理化建议经发包人批准的，工程师应及时发出变更指示，由此引起的合同价格调整按照</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执行。发包人不同意变更的，工程师应书面通知承包人</w:t>
      </w:r>
    </w:p>
    <w:p w14:paraId="729FF7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13.2.3 承包人提出的合理化变更建议的利益分享约定：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3EBC8F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 变更程序</w:t>
      </w:r>
    </w:p>
    <w:p w14:paraId="0F9E015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13.3.3 变更估价</w:t>
      </w:r>
    </w:p>
    <w:p w14:paraId="5955AB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13.3.3.1 变更估价原则</w:t>
      </w:r>
    </w:p>
    <w:p w14:paraId="41F0708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关于变更估价原则的约定：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91607C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13.4 暂估价</w:t>
      </w:r>
    </w:p>
    <w:p w14:paraId="724D116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13.4.1 依法必须招标的暂估价项目</w:t>
      </w:r>
    </w:p>
    <w:p w14:paraId="0AA14B4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承包人可以参与投标的暂估价项目范围：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F842A7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承包人不得参与投标的暂估价项目范围：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93A13F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招投标程序及其他约定：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1A5882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13.4.2 不属于依法必须招标的暂估价项目</w:t>
      </w:r>
    </w:p>
    <w:p w14:paraId="6FDBFFD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不属于依法必须招标的暂估价项目的协商及估价的约定：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1DD7BB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13.5 暂列金额</w:t>
      </w:r>
    </w:p>
    <w:p w14:paraId="1A995A4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其他关于暂列金额使用的约定：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4C28E2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 市场价格波动引起的调整</w:t>
      </w:r>
    </w:p>
    <w:p w14:paraId="5A1AC64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13.8.2 关于是否采用《价格指数权重表》的约定：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3C7436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13.8.3 关于采用其他方式调整合同价款的约定：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7B555A3">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第14条 合同价格与支付</w:t>
      </w:r>
    </w:p>
    <w:p w14:paraId="1AD019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 合同价格形式</w:t>
      </w:r>
    </w:p>
    <w:p w14:paraId="290CD3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14.1.1 关于合同价格形式的约定：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2F4736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14.1.2 关于合同价格调整的约定：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7AD4E6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14.1.3 按实际完成的工程量支付工程价款的计量方法、估价方法：</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D9E1A8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 预付款</w:t>
      </w:r>
    </w:p>
    <w:p w14:paraId="142D10C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14.2.1 预付款支付</w:t>
      </w:r>
    </w:p>
    <w:p w14:paraId="3E2723A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预付款的金额或比例为：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E17D8B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预付款支付期限：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63749F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预付款扣回的方式：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135B81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14.2.2预付款担保</w:t>
      </w:r>
    </w:p>
    <w:p w14:paraId="7C157CF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提供预付款担保期限：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DC541A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预付款担保形式：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895077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 工程进度款</w:t>
      </w:r>
    </w:p>
    <w:p w14:paraId="555CB7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14.3.1 工程进度付款申请</w:t>
      </w:r>
    </w:p>
    <w:p w14:paraId="01FB78B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工程进度付款申请方式：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79B725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承包人提交进度付款申请单的格式、内容、份数和时间：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E1DA33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进度付款申请单应包括的内容：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27E376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14.3.2 进度付款审核和支付</w:t>
      </w:r>
    </w:p>
    <w:p w14:paraId="7B49358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进度付款的审核方式和支付的约定：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401EF7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发包人应在进度款支付证书或临时进度款支付证书签发后的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天内完成支付，发包人逾期支付进度款的，应按照</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支付违约金。</w:t>
      </w:r>
    </w:p>
    <w:p w14:paraId="0F565C6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 付款计划表</w:t>
      </w:r>
    </w:p>
    <w:p w14:paraId="38802A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14.4.1 付款计划表的编制要求：</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74A42D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14.4.2 付款计划表的编制与审批</w:t>
      </w:r>
    </w:p>
    <w:p w14:paraId="4B8D7D3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付款计划表的编制：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541953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 竣工结算</w:t>
      </w:r>
    </w:p>
    <w:p w14:paraId="5EE7D08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14.5.1 竣工结算申请</w:t>
      </w:r>
    </w:p>
    <w:p w14:paraId="5EDA6F4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承包人提交竣工结算申请的时间：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15DE79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竣工结算申请的资料清单和份数：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8982C9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竣工结算申请单的内容应包括：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5962DE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14.5.2 竣工结算审核</w:t>
      </w:r>
    </w:p>
    <w:p w14:paraId="19937E7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发包人审批竣工付款申请单的期限：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B74301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发包人完成竣工付款的期限：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0B0510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关于竣工付款证书异议部分复核的方式和程序：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75CD45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 质量保证金</w:t>
      </w:r>
    </w:p>
    <w:p w14:paraId="545FD77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14.6.1 承包人提供质量保证金的方式</w:t>
      </w:r>
    </w:p>
    <w:p w14:paraId="3DB3B31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质量保证金采用以下第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种方式：</w:t>
      </w:r>
    </w:p>
    <w:p w14:paraId="4B0F2A0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工程质量保证担保，保证金额为：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2AA002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%的工程款；</w:t>
      </w:r>
    </w:p>
    <w:p w14:paraId="7F3A661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其他方式：</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9B976C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14.6.2 质量保证金的预留</w:t>
      </w:r>
    </w:p>
    <w:p w14:paraId="7AE34A6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质量保证金的预留采取以下第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种方式：</w:t>
      </w:r>
    </w:p>
    <w:p w14:paraId="5416F34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在支付工程进度款时逐次预留的质量保证金的比例：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，在此情形下，质量保证金的计算基数不包括预付款的支付、扣回以及价格调整的金额；</w:t>
      </w:r>
    </w:p>
    <w:p w14:paraId="5220B84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工程竣工结算时一次性预留专用合同条件第14.6.1项第(2)目约定的工程款预留比例的质量保证金；</w:t>
      </w:r>
    </w:p>
    <w:p w14:paraId="09172B9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其他预留方式: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96C0D7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关于质量保证金的补充约定：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262438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14.7 最终结清</w:t>
      </w:r>
    </w:p>
    <w:p w14:paraId="6AC284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14.7.1 最终结清申请单</w:t>
      </w:r>
    </w:p>
    <w:p w14:paraId="1110101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当事人双方关于最终结清申请的其他约定：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3D9795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14.7.2 最终结清证书和支付</w:t>
      </w:r>
    </w:p>
    <w:p w14:paraId="3A36BD8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当事人双方关于最终结清支付的其他约定：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1705FF6">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第15条 违约</w:t>
      </w:r>
    </w:p>
    <w:p w14:paraId="0A3EA9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 发包人违约</w:t>
      </w:r>
    </w:p>
    <w:p w14:paraId="3430271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15.1.1 发包人违约的情形</w:t>
      </w:r>
    </w:p>
    <w:p w14:paraId="27894CA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发包人违约的其他情形</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953542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15.1.3 发包人违约的责任</w:t>
      </w:r>
    </w:p>
    <w:p w14:paraId="01397F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发包人违约责任的承担方式和计算方法：</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49AEAA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 承包人违约</w:t>
      </w:r>
    </w:p>
    <w:p w14:paraId="7B6183B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15.2.1 承包人违约的情形</w:t>
      </w:r>
    </w:p>
    <w:p w14:paraId="7113709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承包人违约的其他情形：</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07543D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15.2.2 通知改正</w:t>
      </w:r>
    </w:p>
    <w:p w14:paraId="3D44004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工程师通知承包人改正的合理期限是：</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CE567D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15.2.3 承包人违约的责任</w:t>
      </w:r>
    </w:p>
    <w:p w14:paraId="5E84769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承包人违约责任的承担方式和计算方法：</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E50D47D">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第16条 合同解除</w:t>
      </w:r>
    </w:p>
    <w:p w14:paraId="6E933C2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 由发包人解除合同</w:t>
      </w:r>
    </w:p>
    <w:p w14:paraId="583E20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16.1.1 因承包人违约解除合同</w:t>
      </w:r>
    </w:p>
    <w:p w14:paraId="5A3BD78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双方约定可由发包人解除合同的其他事由：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2C6E19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 由承包人解除合同</w:t>
      </w:r>
    </w:p>
    <w:p w14:paraId="4E7A371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16.2.1 因发包人违约解除合同</w:t>
      </w:r>
    </w:p>
    <w:p w14:paraId="40A6B19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双方约定可由承包人解除合同的其他事由：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9FF3691">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第17条 不可抗力</w:t>
      </w:r>
    </w:p>
    <w:p w14:paraId="7FB7ED4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17.1 不可抗力的定义</w:t>
      </w:r>
    </w:p>
    <w:p w14:paraId="4933D00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除通用合同条件约定的不可抗力事件之外，视为不可抗力的其他情形：</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341FFB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17.6 因不可抗力解除合同</w:t>
      </w:r>
    </w:p>
    <w:p w14:paraId="1A10EFB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合同解除后，发包人应当在商定或确定发包人应支付款项后的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天内完成款项的支付。</w:t>
      </w:r>
    </w:p>
    <w:p w14:paraId="187E07B3">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第18条 保险</w:t>
      </w:r>
    </w:p>
    <w:p w14:paraId="6608CB1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 设计和工程保险</w:t>
      </w:r>
    </w:p>
    <w:p w14:paraId="1C0DC46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18.1.1 双方当事人关于设计和工程保险的特别约定：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8D0F5B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18.1.2 双方当事人关于第三方责任险的特别约定：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E981F9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18.2 工伤和意外伤害保险</w:t>
      </w:r>
    </w:p>
    <w:p w14:paraId="02D09C3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18.2.3 关于工伤保险和意外伤害保险的特别约定：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34106E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18.3 货物保险</w:t>
      </w:r>
    </w:p>
    <w:p w14:paraId="337C8EA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关于承包人应为其施工设备、材料、工程设备和临时工程等办理财产保险的特别约定：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3A89F5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18.4 其他保险</w:t>
      </w:r>
    </w:p>
    <w:p w14:paraId="3330D3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关于其他保险的约定：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705B65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 对各项保险的一般要求</w:t>
      </w:r>
    </w:p>
    <w:p w14:paraId="36E757D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18.5.2 保险凭证</w:t>
      </w:r>
    </w:p>
    <w:p w14:paraId="6A74C34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保险单的条件：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3697496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18.5.4 通知义务</w:t>
      </w:r>
    </w:p>
    <w:p w14:paraId="5CBD915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关于变更保险合同时的通知义务的约定：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BC53199">
      <w:pPr>
        <w:pStyle w:val="38"/>
        <w:spacing w:line="360" w:lineRule="auto"/>
        <w:ind w:firstLine="560" w:firstLineChars="20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第20条 争议解决</w:t>
      </w:r>
    </w:p>
    <w:p w14:paraId="5E65583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 争议评审</w:t>
      </w:r>
    </w:p>
    <w:p w14:paraId="2E60B58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合同当事人是否同意将工程争议提交争议评审小组决定：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D5A649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20.3.1 争议评审小组的确定</w:t>
      </w:r>
    </w:p>
    <w:p w14:paraId="1C1CB4E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争议评审小组成员的人数：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BA41BB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争议评审小组成员的确定：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7CD2972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选定争议避免/评审组的期限：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6F2DB4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评审机构：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F69899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其他事项的约定：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85E199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争议评审员报酬的承担人：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7C3CEF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20.3.2 争议的避免</w:t>
      </w:r>
    </w:p>
    <w:p w14:paraId="2D190D1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发包人和承包人是否均出席争议避免的非正式讨论：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514696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20.3.3 争议评审小组的决定</w:t>
      </w:r>
    </w:p>
    <w:p w14:paraId="28C25A1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关于争议评审小组的决定的特别约定：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5B6D69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20.4 仲裁或诉讼</w:t>
      </w:r>
    </w:p>
    <w:p w14:paraId="2C365F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因合同及合同有关事项发生的争议，按下列第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种方式解决：</w:t>
      </w:r>
    </w:p>
    <w:p w14:paraId="0A58FB0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仲裁委员会申请仲裁；</w:t>
      </w:r>
    </w:p>
    <w:p w14:paraId="300A53D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人民法院起诉。</w:t>
      </w:r>
    </w:p>
    <w:p w14:paraId="2C1CA677">
      <w:pPr>
        <w:wordWrap/>
        <w:topLinePunct w:val="0"/>
        <w:spacing w:line="360" w:lineRule="auto"/>
        <w:ind w:firstLine="600"/>
        <w:rPr>
          <w:rFonts w:hint="eastAsia" w:ascii="宋体" w:hAnsi="宋体" w:eastAsia="宋体" w:cs="宋体"/>
          <w:color w:val="auto"/>
          <w:sz w:val="28"/>
          <w:szCs w:val="28"/>
          <w:highlight w:val="none"/>
        </w:rPr>
        <w:sectPr>
          <w:headerReference r:id="rId13" w:type="default"/>
          <w:pgSz w:w="11906" w:h="16838"/>
          <w:pgMar w:top="1213" w:right="1236" w:bottom="1213" w:left="1236" w:header="720" w:footer="998" w:gutter="0"/>
          <w:pgNumType w:fmt="numberInDash"/>
          <w:cols w:space="720" w:num="1"/>
          <w:docGrid w:linePitch="326" w:charSpace="0"/>
        </w:sectPr>
      </w:pPr>
    </w:p>
    <w:p w14:paraId="194F9D95">
      <w:pPr>
        <w:pStyle w:val="30"/>
        <w:keepNext w:val="0"/>
        <w:keepLines w:val="0"/>
        <w:widowControl/>
        <w:adjustRightInd w:val="0"/>
        <w:snapToGrid w:val="0"/>
        <w:spacing w:before="0" w:after="50"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专用合同条件附件</w:t>
      </w:r>
    </w:p>
    <w:p w14:paraId="54883D2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附件1：发包人要求</w:t>
      </w:r>
    </w:p>
    <w:p w14:paraId="2D0A0BA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附件2：发包人供应材料设备一览表</w:t>
      </w:r>
    </w:p>
    <w:p w14:paraId="4AE07C1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附件3：工程质量保修书</w:t>
      </w:r>
    </w:p>
    <w:p w14:paraId="6A396C6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附件4：主要文件目录</w:t>
      </w:r>
    </w:p>
    <w:p w14:paraId="0B243EF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附件5：承包人主要管理人员表</w:t>
      </w:r>
    </w:p>
    <w:p w14:paraId="5ECEF35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附件6：价格指数权重表</w:t>
      </w:r>
    </w:p>
    <w:p w14:paraId="3856B48D">
      <w:pPr>
        <w:wordWrap/>
        <w:topLinePunct w:val="0"/>
        <w:adjustRightInd/>
        <w:snapToGrid/>
        <w:spacing w:after="0" w:afterLines="0"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D31E6B4">
      <w:pPr>
        <w:pStyle w:val="39"/>
        <w:numPr>
          <w:ilvl w:val="0"/>
          <w:numId w:val="0"/>
        </w:numPr>
        <w:spacing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附件1 《发包人要求》</w:t>
      </w:r>
    </w:p>
    <w:p w14:paraId="09BC508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14413AF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《发包人要求》通常包括但不限于以下内容：</w:t>
      </w:r>
    </w:p>
    <w:p w14:paraId="0773B342">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一、功能要求</w:t>
      </w:r>
    </w:p>
    <w:p w14:paraId="521B568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（一）工程目的。</w:t>
      </w:r>
    </w:p>
    <w:p w14:paraId="776079C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（二）工程规模。</w:t>
      </w:r>
    </w:p>
    <w:p w14:paraId="1CE6B19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（三）性能保证指标（性能保证表）。</w:t>
      </w:r>
    </w:p>
    <w:p w14:paraId="1D3A113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（四）产能保证指标。</w:t>
      </w:r>
    </w:p>
    <w:p w14:paraId="7DB4DBC1">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二、工程范围</w:t>
      </w:r>
    </w:p>
    <w:p w14:paraId="36A27AAB">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（一）概述</w:t>
      </w:r>
    </w:p>
    <w:p w14:paraId="7A925D6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（二）包括的工作</w:t>
      </w:r>
    </w:p>
    <w:p w14:paraId="64CC8254">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永久工程的设计、采购、施工范围。</w:t>
      </w:r>
    </w:p>
    <w:p w14:paraId="0136DFE1">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临时工程的设计与施工范围。</w:t>
      </w:r>
    </w:p>
    <w:p w14:paraId="3216AB8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竣工验收工作范围。</w:t>
      </w:r>
    </w:p>
    <w:p w14:paraId="6F8C8AB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技术服务工作范围。</w:t>
      </w:r>
    </w:p>
    <w:p w14:paraId="36D8B0D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 培训工作范围。</w:t>
      </w:r>
    </w:p>
    <w:p w14:paraId="43B74B75">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 保修工作范围。</w:t>
      </w:r>
    </w:p>
    <w:p w14:paraId="06168B3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（三）工作界区</w:t>
      </w:r>
    </w:p>
    <w:p w14:paraId="398317AB">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（四）发包人提供的现场条件</w:t>
      </w:r>
    </w:p>
    <w:p w14:paraId="69A27482">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施工用电。</w:t>
      </w:r>
    </w:p>
    <w:p w14:paraId="320E7E1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施工用水。</w:t>
      </w:r>
    </w:p>
    <w:p w14:paraId="0098E22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施工排水。</w:t>
      </w:r>
    </w:p>
    <w:p w14:paraId="196A2AB5">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施工道路。</w:t>
      </w:r>
    </w:p>
    <w:p w14:paraId="09D43AC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（五）发包人提供的技术文件</w:t>
      </w:r>
    </w:p>
    <w:p w14:paraId="3B5FE6D1">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除另有批准外，承包人的工作需要遵照发包人的下列技术文件:</w:t>
      </w:r>
    </w:p>
    <w:p w14:paraId="4E2BEE8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 发包人需求任务书。</w:t>
      </w:r>
    </w:p>
    <w:p w14:paraId="4D9F6F70">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发包人已完成的设计文件。</w:t>
      </w:r>
    </w:p>
    <w:p w14:paraId="390231A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三、工艺安排或要求（如有）</w:t>
      </w:r>
    </w:p>
    <w:p w14:paraId="73B452CB">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四、时间要求</w:t>
      </w:r>
    </w:p>
    <w:p w14:paraId="13F6091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（一）开始工作时间。</w:t>
      </w:r>
    </w:p>
    <w:p w14:paraId="4DCF3A3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（二）设计完成时间。</w:t>
      </w:r>
    </w:p>
    <w:p w14:paraId="5D6EA29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（三）进度计划。</w:t>
      </w:r>
    </w:p>
    <w:p w14:paraId="342A4FE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（四）竣工时间。</w:t>
      </w:r>
    </w:p>
    <w:p w14:paraId="7E445B5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（五）缺陷责任期。</w:t>
      </w:r>
    </w:p>
    <w:p w14:paraId="4448257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（六）其他时间要求。</w:t>
      </w:r>
    </w:p>
    <w:p w14:paraId="574E7125">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五、技术要求</w:t>
      </w:r>
    </w:p>
    <w:p w14:paraId="0636A34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（一）设计阶段和设计任务。</w:t>
      </w:r>
    </w:p>
    <w:p w14:paraId="672770D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（二）设计标准和规范。</w:t>
      </w:r>
    </w:p>
    <w:p w14:paraId="64BC6204">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（三）技术标准和要求。</w:t>
      </w:r>
    </w:p>
    <w:p w14:paraId="2D64F2E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（四）质量标准。</w:t>
      </w:r>
    </w:p>
    <w:p w14:paraId="5A0A0E0F">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（五）设计、施工和设备监造、试验（如有）。</w:t>
      </w:r>
    </w:p>
    <w:p w14:paraId="45F8D972">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（六）样品。</w:t>
      </w:r>
    </w:p>
    <w:p w14:paraId="04C7072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（七）发包人提供的其他条件，如发包人或其委托的第三人提供的设计、工艺包、用于试验检验的工器具等，以及据此对承包人提出的予以配套的要求。</w:t>
      </w:r>
    </w:p>
    <w:p w14:paraId="4BFA6C9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六、竣工试验</w:t>
      </w:r>
    </w:p>
    <w:p w14:paraId="77415AF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（一）第一阶段，如对单车试验等的要求，包括试验前准备。</w:t>
      </w:r>
    </w:p>
    <w:p w14:paraId="3A9565D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（二）第二阶段，如对联动试车、投料试车等的要求，包括人员、设备、材料、燃料、电力、消耗品、工具等必要条件。</w:t>
      </w:r>
    </w:p>
    <w:p w14:paraId="30DDE051">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（三）第三阶段，如对性能测试及其他竣工试验的要求，包括产能指标、产品质量标准、运营指标、环保指标等。</w:t>
      </w:r>
    </w:p>
    <w:p w14:paraId="73E6F9C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七、竣工验收</w:t>
      </w:r>
    </w:p>
    <w:p w14:paraId="3AB07484">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八、竣工后试验（如有）</w:t>
      </w:r>
    </w:p>
    <w:p w14:paraId="7F066627">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九、文件要求</w:t>
      </w:r>
    </w:p>
    <w:p w14:paraId="01A81430">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（一）设计文件，及其相关审批、核准、备案要求。</w:t>
      </w:r>
    </w:p>
    <w:p w14:paraId="4834CE2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（二）沟通计划。</w:t>
      </w:r>
    </w:p>
    <w:p w14:paraId="14739463">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（三）风险管理计划。</w:t>
      </w:r>
    </w:p>
    <w:p w14:paraId="407D596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（四）竣工文件和工程的其他记录。</w:t>
      </w:r>
    </w:p>
    <w:p w14:paraId="60DBEF4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（五）操作和维修手册。</w:t>
      </w:r>
    </w:p>
    <w:p w14:paraId="7B8EFA0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（六）其他承包人文件。</w:t>
      </w:r>
    </w:p>
    <w:p w14:paraId="1566E922">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十、工程项目管理规定</w:t>
      </w:r>
    </w:p>
    <w:p w14:paraId="50DD93D7">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（一）质量。</w:t>
      </w:r>
    </w:p>
    <w:p w14:paraId="6890B5BD">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（二）进度，包括里程碑进度计划（如果有）。</w:t>
      </w:r>
    </w:p>
    <w:p w14:paraId="0509B9BE">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（三）支付。</w:t>
      </w:r>
    </w:p>
    <w:p w14:paraId="583A7BE0">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（四）HSE（健康、安全与环境管理体系）。</w:t>
      </w:r>
    </w:p>
    <w:p w14:paraId="4DD158A5">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（五）沟通。</w:t>
      </w:r>
    </w:p>
    <w:p w14:paraId="328C5B7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（六）变更。</w:t>
      </w:r>
    </w:p>
    <w:p w14:paraId="66961997">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十一、其他要求</w:t>
      </w:r>
    </w:p>
    <w:p w14:paraId="13BD1635">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（一）对承包人的主要人员资格要求。</w:t>
      </w:r>
    </w:p>
    <w:p w14:paraId="4A93FEB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（二）相关审批、核准和备案手续的办理。</w:t>
      </w:r>
    </w:p>
    <w:p w14:paraId="60EA435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（三）对项目业主人员的操作培训。</w:t>
      </w:r>
    </w:p>
    <w:p w14:paraId="1AAFD1BB">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（四）分包。</w:t>
      </w:r>
    </w:p>
    <w:p w14:paraId="01CD7F0A">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（五）设备供应商。</w:t>
      </w:r>
    </w:p>
    <w:p w14:paraId="21BA480C">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（六）缺陷责任期的服务要求。</w:t>
      </w:r>
    </w:p>
    <w:p w14:paraId="2E82BB5E">
      <w:pPr>
        <w:pStyle w:val="39"/>
        <w:numPr>
          <w:ilvl w:val="0"/>
          <w:numId w:val="0"/>
        </w:numPr>
        <w:spacing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附件2 发包人供应材料设备一览表</w:t>
      </w:r>
    </w:p>
    <w:tbl>
      <w:tblPr>
        <w:tblStyle w:val="18"/>
        <w:tblW w:w="9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37ED4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bottom w:val="double" w:color="auto" w:sz="6" w:space="0"/>
            </w:tcBorders>
            <w:noWrap w:val="0"/>
            <w:vAlign w:val="center"/>
          </w:tcPr>
          <w:p w14:paraId="0D1C3E59">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165" w:type="dxa"/>
            <w:tcBorders>
              <w:top w:val="single" w:color="auto" w:sz="12" w:space="0"/>
              <w:bottom w:val="double" w:color="auto" w:sz="6" w:space="0"/>
            </w:tcBorders>
            <w:noWrap w:val="0"/>
            <w:vAlign w:val="center"/>
          </w:tcPr>
          <w:p w14:paraId="7B09444F">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材料、设备品种</w:t>
            </w:r>
          </w:p>
        </w:tc>
        <w:tc>
          <w:tcPr>
            <w:tcW w:w="1126" w:type="dxa"/>
            <w:tcBorders>
              <w:top w:val="single" w:color="auto" w:sz="12" w:space="0"/>
              <w:bottom w:val="double" w:color="auto" w:sz="6" w:space="0"/>
            </w:tcBorders>
            <w:noWrap w:val="0"/>
            <w:vAlign w:val="center"/>
          </w:tcPr>
          <w:p w14:paraId="370D28A8">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规格型号</w:t>
            </w:r>
          </w:p>
        </w:tc>
        <w:tc>
          <w:tcPr>
            <w:tcW w:w="567" w:type="dxa"/>
            <w:tcBorders>
              <w:top w:val="single" w:color="auto" w:sz="12" w:space="0"/>
              <w:bottom w:val="double" w:color="auto" w:sz="6" w:space="0"/>
            </w:tcBorders>
            <w:noWrap w:val="0"/>
            <w:vAlign w:val="center"/>
          </w:tcPr>
          <w:p w14:paraId="7857C13F">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w:t>
            </w:r>
          </w:p>
        </w:tc>
        <w:tc>
          <w:tcPr>
            <w:tcW w:w="686" w:type="dxa"/>
            <w:tcBorders>
              <w:top w:val="single" w:color="auto" w:sz="12" w:space="0"/>
              <w:bottom w:val="double" w:color="auto" w:sz="6" w:space="0"/>
            </w:tcBorders>
            <w:noWrap w:val="0"/>
            <w:vAlign w:val="center"/>
          </w:tcPr>
          <w:p w14:paraId="53DB1331">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数量</w:t>
            </w:r>
          </w:p>
        </w:tc>
        <w:tc>
          <w:tcPr>
            <w:tcW w:w="992" w:type="dxa"/>
            <w:tcBorders>
              <w:top w:val="single" w:color="auto" w:sz="12" w:space="0"/>
              <w:bottom w:val="double" w:color="auto" w:sz="6" w:space="0"/>
            </w:tcBorders>
            <w:noWrap w:val="0"/>
            <w:vAlign w:val="center"/>
          </w:tcPr>
          <w:p w14:paraId="6773B92C">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单价（元）</w:t>
            </w:r>
          </w:p>
        </w:tc>
        <w:tc>
          <w:tcPr>
            <w:tcW w:w="1134" w:type="dxa"/>
            <w:tcBorders>
              <w:top w:val="single" w:color="auto" w:sz="12" w:space="0"/>
              <w:bottom w:val="double" w:color="auto" w:sz="6" w:space="0"/>
            </w:tcBorders>
            <w:noWrap w:val="0"/>
            <w:vAlign w:val="center"/>
          </w:tcPr>
          <w:p w14:paraId="14364B50">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质量等级</w:t>
            </w:r>
          </w:p>
        </w:tc>
        <w:tc>
          <w:tcPr>
            <w:tcW w:w="1134" w:type="dxa"/>
            <w:tcBorders>
              <w:top w:val="single" w:color="auto" w:sz="12" w:space="0"/>
              <w:bottom w:val="double" w:color="auto" w:sz="6" w:space="0"/>
            </w:tcBorders>
            <w:noWrap w:val="0"/>
            <w:vAlign w:val="center"/>
          </w:tcPr>
          <w:p w14:paraId="4232E322">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供应时间</w:t>
            </w:r>
          </w:p>
        </w:tc>
        <w:tc>
          <w:tcPr>
            <w:tcW w:w="1134" w:type="dxa"/>
            <w:tcBorders>
              <w:top w:val="single" w:color="auto" w:sz="12" w:space="0"/>
              <w:bottom w:val="double" w:color="auto" w:sz="6" w:space="0"/>
            </w:tcBorders>
            <w:noWrap w:val="0"/>
            <w:vAlign w:val="center"/>
          </w:tcPr>
          <w:p w14:paraId="7D90EF22">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送达地点</w:t>
            </w:r>
          </w:p>
        </w:tc>
        <w:tc>
          <w:tcPr>
            <w:tcW w:w="709" w:type="dxa"/>
            <w:tcBorders>
              <w:top w:val="single" w:color="auto" w:sz="12" w:space="0"/>
              <w:bottom w:val="double" w:color="auto" w:sz="6" w:space="0"/>
            </w:tcBorders>
            <w:noWrap w:val="0"/>
            <w:vAlign w:val="center"/>
          </w:tcPr>
          <w:p w14:paraId="7D3503C6">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7D007C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6" w:space="0"/>
              <w:bottom w:val="single" w:color="auto" w:sz="6" w:space="0"/>
            </w:tcBorders>
            <w:noWrap w:val="0"/>
            <w:vAlign w:val="center"/>
          </w:tcPr>
          <w:p w14:paraId="15213228">
            <w:pPr>
              <w:pStyle w:val="9"/>
              <w:wordWrap/>
              <w:topLinePunct w:val="0"/>
              <w:spacing w:line="360" w:lineRule="auto"/>
              <w:rPr>
                <w:rFonts w:hint="eastAsia" w:ascii="宋体" w:hAnsi="宋体" w:eastAsia="宋体" w:cs="宋体"/>
                <w:color w:val="auto"/>
                <w:sz w:val="28"/>
                <w:szCs w:val="28"/>
                <w:highlight w:val="none"/>
              </w:rPr>
            </w:pPr>
          </w:p>
        </w:tc>
        <w:tc>
          <w:tcPr>
            <w:tcW w:w="1165" w:type="dxa"/>
            <w:tcBorders>
              <w:top w:val="double" w:color="auto" w:sz="6" w:space="0"/>
              <w:bottom w:val="single" w:color="auto" w:sz="6" w:space="0"/>
            </w:tcBorders>
            <w:noWrap w:val="0"/>
            <w:vAlign w:val="center"/>
          </w:tcPr>
          <w:p w14:paraId="47CABA76">
            <w:pPr>
              <w:pStyle w:val="9"/>
              <w:wordWrap/>
              <w:topLinePunct w:val="0"/>
              <w:spacing w:line="360" w:lineRule="auto"/>
              <w:rPr>
                <w:rFonts w:hint="eastAsia" w:ascii="宋体" w:hAnsi="宋体" w:eastAsia="宋体" w:cs="宋体"/>
                <w:color w:val="auto"/>
                <w:sz w:val="28"/>
                <w:szCs w:val="28"/>
                <w:highlight w:val="none"/>
              </w:rPr>
            </w:pPr>
          </w:p>
        </w:tc>
        <w:tc>
          <w:tcPr>
            <w:tcW w:w="1126" w:type="dxa"/>
            <w:tcBorders>
              <w:top w:val="double" w:color="auto" w:sz="6" w:space="0"/>
              <w:bottom w:val="single" w:color="auto" w:sz="6" w:space="0"/>
            </w:tcBorders>
            <w:noWrap w:val="0"/>
            <w:vAlign w:val="center"/>
          </w:tcPr>
          <w:p w14:paraId="6F7ED54E">
            <w:pPr>
              <w:pStyle w:val="9"/>
              <w:wordWrap/>
              <w:topLinePunct w:val="0"/>
              <w:spacing w:line="360" w:lineRule="auto"/>
              <w:rPr>
                <w:rFonts w:hint="eastAsia" w:ascii="宋体" w:hAnsi="宋体" w:eastAsia="宋体" w:cs="宋体"/>
                <w:color w:val="auto"/>
                <w:sz w:val="28"/>
                <w:szCs w:val="28"/>
                <w:highlight w:val="none"/>
              </w:rPr>
            </w:pPr>
          </w:p>
        </w:tc>
        <w:tc>
          <w:tcPr>
            <w:tcW w:w="567" w:type="dxa"/>
            <w:tcBorders>
              <w:top w:val="double" w:color="auto" w:sz="6" w:space="0"/>
              <w:bottom w:val="single" w:color="auto" w:sz="6" w:space="0"/>
            </w:tcBorders>
            <w:noWrap w:val="0"/>
            <w:vAlign w:val="center"/>
          </w:tcPr>
          <w:p w14:paraId="5E7CF1A2">
            <w:pPr>
              <w:pStyle w:val="9"/>
              <w:wordWrap/>
              <w:topLinePunct w:val="0"/>
              <w:spacing w:line="360" w:lineRule="auto"/>
              <w:rPr>
                <w:rFonts w:hint="eastAsia" w:ascii="宋体" w:hAnsi="宋体" w:eastAsia="宋体" w:cs="宋体"/>
                <w:color w:val="auto"/>
                <w:sz w:val="28"/>
                <w:szCs w:val="28"/>
                <w:highlight w:val="none"/>
              </w:rPr>
            </w:pPr>
          </w:p>
        </w:tc>
        <w:tc>
          <w:tcPr>
            <w:tcW w:w="686" w:type="dxa"/>
            <w:tcBorders>
              <w:top w:val="double" w:color="auto" w:sz="6" w:space="0"/>
              <w:bottom w:val="single" w:color="auto" w:sz="6" w:space="0"/>
            </w:tcBorders>
            <w:noWrap w:val="0"/>
            <w:vAlign w:val="center"/>
          </w:tcPr>
          <w:p w14:paraId="0D36D62D">
            <w:pPr>
              <w:pStyle w:val="9"/>
              <w:wordWrap/>
              <w:topLinePunct w:val="0"/>
              <w:spacing w:line="360" w:lineRule="auto"/>
              <w:rPr>
                <w:rFonts w:hint="eastAsia" w:ascii="宋体" w:hAnsi="宋体" w:eastAsia="宋体" w:cs="宋体"/>
                <w:color w:val="auto"/>
                <w:sz w:val="28"/>
                <w:szCs w:val="28"/>
                <w:highlight w:val="none"/>
              </w:rPr>
            </w:pPr>
          </w:p>
        </w:tc>
        <w:tc>
          <w:tcPr>
            <w:tcW w:w="992" w:type="dxa"/>
            <w:tcBorders>
              <w:top w:val="double" w:color="auto" w:sz="6" w:space="0"/>
              <w:bottom w:val="single" w:color="auto" w:sz="6" w:space="0"/>
            </w:tcBorders>
            <w:noWrap w:val="0"/>
            <w:vAlign w:val="top"/>
          </w:tcPr>
          <w:p w14:paraId="36D2AC5A">
            <w:pPr>
              <w:pStyle w:val="9"/>
              <w:wordWrap/>
              <w:topLinePunct w:val="0"/>
              <w:spacing w:line="360" w:lineRule="auto"/>
              <w:rPr>
                <w:rFonts w:hint="eastAsia" w:ascii="宋体" w:hAnsi="宋体" w:eastAsia="宋体" w:cs="宋体"/>
                <w:color w:val="auto"/>
                <w:sz w:val="28"/>
                <w:szCs w:val="28"/>
                <w:highlight w:val="none"/>
              </w:rPr>
            </w:pPr>
          </w:p>
        </w:tc>
        <w:tc>
          <w:tcPr>
            <w:tcW w:w="1134" w:type="dxa"/>
            <w:tcBorders>
              <w:top w:val="double" w:color="auto" w:sz="6" w:space="0"/>
              <w:bottom w:val="single" w:color="auto" w:sz="6" w:space="0"/>
            </w:tcBorders>
            <w:noWrap w:val="0"/>
            <w:vAlign w:val="center"/>
          </w:tcPr>
          <w:p w14:paraId="1970A5E7">
            <w:pPr>
              <w:pStyle w:val="9"/>
              <w:wordWrap/>
              <w:topLinePunct w:val="0"/>
              <w:spacing w:line="360" w:lineRule="auto"/>
              <w:rPr>
                <w:rFonts w:hint="eastAsia" w:ascii="宋体" w:hAnsi="宋体" w:eastAsia="宋体" w:cs="宋体"/>
                <w:color w:val="auto"/>
                <w:sz w:val="28"/>
                <w:szCs w:val="28"/>
                <w:highlight w:val="none"/>
              </w:rPr>
            </w:pPr>
          </w:p>
        </w:tc>
        <w:tc>
          <w:tcPr>
            <w:tcW w:w="1134" w:type="dxa"/>
            <w:tcBorders>
              <w:top w:val="double" w:color="auto" w:sz="6" w:space="0"/>
              <w:bottom w:val="single" w:color="auto" w:sz="6" w:space="0"/>
            </w:tcBorders>
            <w:noWrap w:val="0"/>
            <w:vAlign w:val="center"/>
          </w:tcPr>
          <w:p w14:paraId="36FB0551">
            <w:pPr>
              <w:pStyle w:val="9"/>
              <w:wordWrap/>
              <w:topLinePunct w:val="0"/>
              <w:spacing w:line="360" w:lineRule="auto"/>
              <w:rPr>
                <w:rFonts w:hint="eastAsia" w:ascii="宋体" w:hAnsi="宋体" w:eastAsia="宋体" w:cs="宋体"/>
                <w:color w:val="auto"/>
                <w:sz w:val="28"/>
                <w:szCs w:val="28"/>
                <w:highlight w:val="none"/>
              </w:rPr>
            </w:pPr>
          </w:p>
        </w:tc>
        <w:tc>
          <w:tcPr>
            <w:tcW w:w="1134" w:type="dxa"/>
            <w:tcBorders>
              <w:top w:val="double" w:color="auto" w:sz="6" w:space="0"/>
              <w:bottom w:val="single" w:color="auto" w:sz="6" w:space="0"/>
            </w:tcBorders>
            <w:noWrap w:val="0"/>
            <w:vAlign w:val="center"/>
          </w:tcPr>
          <w:p w14:paraId="070D1918">
            <w:pPr>
              <w:pStyle w:val="9"/>
              <w:wordWrap/>
              <w:topLinePunct w:val="0"/>
              <w:spacing w:line="360" w:lineRule="auto"/>
              <w:rPr>
                <w:rFonts w:hint="eastAsia" w:ascii="宋体" w:hAnsi="宋体" w:eastAsia="宋体" w:cs="宋体"/>
                <w:color w:val="auto"/>
                <w:sz w:val="28"/>
                <w:szCs w:val="28"/>
                <w:highlight w:val="none"/>
              </w:rPr>
            </w:pPr>
          </w:p>
        </w:tc>
        <w:tc>
          <w:tcPr>
            <w:tcW w:w="709" w:type="dxa"/>
            <w:tcBorders>
              <w:top w:val="double" w:color="auto" w:sz="6" w:space="0"/>
              <w:bottom w:val="single" w:color="auto" w:sz="6" w:space="0"/>
            </w:tcBorders>
            <w:noWrap w:val="0"/>
            <w:vAlign w:val="center"/>
          </w:tcPr>
          <w:p w14:paraId="70FE154C">
            <w:pPr>
              <w:pStyle w:val="9"/>
              <w:wordWrap/>
              <w:topLinePunct w:val="0"/>
              <w:spacing w:line="360" w:lineRule="auto"/>
              <w:rPr>
                <w:rFonts w:hint="eastAsia" w:ascii="宋体" w:hAnsi="宋体" w:eastAsia="宋体" w:cs="宋体"/>
                <w:color w:val="auto"/>
                <w:sz w:val="28"/>
                <w:szCs w:val="28"/>
                <w:highlight w:val="none"/>
              </w:rPr>
            </w:pPr>
          </w:p>
        </w:tc>
      </w:tr>
      <w:tr w14:paraId="0DDE8A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tcBorders>
            <w:noWrap w:val="0"/>
            <w:vAlign w:val="center"/>
          </w:tcPr>
          <w:p w14:paraId="41B8C0E5">
            <w:pPr>
              <w:pStyle w:val="9"/>
              <w:wordWrap/>
              <w:topLinePunct w:val="0"/>
              <w:spacing w:line="360" w:lineRule="auto"/>
              <w:rPr>
                <w:rFonts w:hint="eastAsia" w:ascii="宋体" w:hAnsi="宋体" w:eastAsia="宋体" w:cs="宋体"/>
                <w:color w:val="auto"/>
                <w:sz w:val="28"/>
                <w:szCs w:val="28"/>
                <w:highlight w:val="none"/>
              </w:rPr>
            </w:pPr>
          </w:p>
        </w:tc>
        <w:tc>
          <w:tcPr>
            <w:tcW w:w="1165" w:type="dxa"/>
            <w:tcBorders>
              <w:top w:val="nil"/>
            </w:tcBorders>
            <w:noWrap w:val="0"/>
            <w:vAlign w:val="center"/>
          </w:tcPr>
          <w:p w14:paraId="736917E1">
            <w:pPr>
              <w:pStyle w:val="9"/>
              <w:wordWrap/>
              <w:topLinePunct w:val="0"/>
              <w:spacing w:line="360" w:lineRule="auto"/>
              <w:rPr>
                <w:rFonts w:hint="eastAsia" w:ascii="宋体" w:hAnsi="宋体" w:eastAsia="宋体" w:cs="宋体"/>
                <w:color w:val="auto"/>
                <w:sz w:val="28"/>
                <w:szCs w:val="28"/>
                <w:highlight w:val="none"/>
              </w:rPr>
            </w:pPr>
          </w:p>
        </w:tc>
        <w:tc>
          <w:tcPr>
            <w:tcW w:w="1126" w:type="dxa"/>
            <w:tcBorders>
              <w:top w:val="nil"/>
            </w:tcBorders>
            <w:noWrap w:val="0"/>
            <w:vAlign w:val="center"/>
          </w:tcPr>
          <w:p w14:paraId="6D0A726C">
            <w:pPr>
              <w:pStyle w:val="9"/>
              <w:wordWrap/>
              <w:topLinePunct w:val="0"/>
              <w:spacing w:line="360" w:lineRule="auto"/>
              <w:rPr>
                <w:rFonts w:hint="eastAsia" w:ascii="宋体" w:hAnsi="宋体" w:eastAsia="宋体" w:cs="宋体"/>
                <w:color w:val="auto"/>
                <w:sz w:val="28"/>
                <w:szCs w:val="28"/>
                <w:highlight w:val="none"/>
              </w:rPr>
            </w:pPr>
          </w:p>
        </w:tc>
        <w:tc>
          <w:tcPr>
            <w:tcW w:w="567" w:type="dxa"/>
            <w:tcBorders>
              <w:top w:val="nil"/>
            </w:tcBorders>
            <w:noWrap w:val="0"/>
            <w:vAlign w:val="center"/>
          </w:tcPr>
          <w:p w14:paraId="72A8A760">
            <w:pPr>
              <w:pStyle w:val="9"/>
              <w:wordWrap/>
              <w:topLinePunct w:val="0"/>
              <w:spacing w:line="360" w:lineRule="auto"/>
              <w:rPr>
                <w:rFonts w:hint="eastAsia" w:ascii="宋体" w:hAnsi="宋体" w:eastAsia="宋体" w:cs="宋体"/>
                <w:color w:val="auto"/>
                <w:sz w:val="28"/>
                <w:szCs w:val="28"/>
                <w:highlight w:val="none"/>
              </w:rPr>
            </w:pPr>
          </w:p>
        </w:tc>
        <w:tc>
          <w:tcPr>
            <w:tcW w:w="686" w:type="dxa"/>
            <w:tcBorders>
              <w:top w:val="nil"/>
            </w:tcBorders>
            <w:noWrap w:val="0"/>
            <w:vAlign w:val="center"/>
          </w:tcPr>
          <w:p w14:paraId="60EDAD86">
            <w:pPr>
              <w:pStyle w:val="9"/>
              <w:wordWrap/>
              <w:topLinePunct w:val="0"/>
              <w:spacing w:line="360" w:lineRule="auto"/>
              <w:rPr>
                <w:rFonts w:hint="eastAsia" w:ascii="宋体" w:hAnsi="宋体" w:eastAsia="宋体" w:cs="宋体"/>
                <w:color w:val="auto"/>
                <w:sz w:val="28"/>
                <w:szCs w:val="28"/>
                <w:highlight w:val="none"/>
              </w:rPr>
            </w:pPr>
          </w:p>
        </w:tc>
        <w:tc>
          <w:tcPr>
            <w:tcW w:w="992" w:type="dxa"/>
            <w:tcBorders>
              <w:top w:val="nil"/>
            </w:tcBorders>
            <w:noWrap w:val="0"/>
            <w:vAlign w:val="top"/>
          </w:tcPr>
          <w:p w14:paraId="11A230BD">
            <w:pPr>
              <w:pStyle w:val="9"/>
              <w:wordWrap/>
              <w:topLinePunct w:val="0"/>
              <w:spacing w:line="360" w:lineRule="auto"/>
              <w:rPr>
                <w:rFonts w:hint="eastAsia" w:ascii="宋体" w:hAnsi="宋体" w:eastAsia="宋体" w:cs="宋体"/>
                <w:color w:val="auto"/>
                <w:sz w:val="28"/>
                <w:szCs w:val="28"/>
                <w:highlight w:val="none"/>
              </w:rPr>
            </w:pPr>
          </w:p>
        </w:tc>
        <w:tc>
          <w:tcPr>
            <w:tcW w:w="1134" w:type="dxa"/>
            <w:tcBorders>
              <w:top w:val="nil"/>
            </w:tcBorders>
            <w:noWrap w:val="0"/>
            <w:vAlign w:val="center"/>
          </w:tcPr>
          <w:p w14:paraId="3CA6B668">
            <w:pPr>
              <w:pStyle w:val="9"/>
              <w:wordWrap/>
              <w:topLinePunct w:val="0"/>
              <w:spacing w:line="360" w:lineRule="auto"/>
              <w:rPr>
                <w:rFonts w:hint="eastAsia" w:ascii="宋体" w:hAnsi="宋体" w:eastAsia="宋体" w:cs="宋体"/>
                <w:color w:val="auto"/>
                <w:sz w:val="28"/>
                <w:szCs w:val="28"/>
                <w:highlight w:val="none"/>
              </w:rPr>
            </w:pPr>
          </w:p>
        </w:tc>
        <w:tc>
          <w:tcPr>
            <w:tcW w:w="1134" w:type="dxa"/>
            <w:tcBorders>
              <w:top w:val="nil"/>
            </w:tcBorders>
            <w:noWrap w:val="0"/>
            <w:vAlign w:val="center"/>
          </w:tcPr>
          <w:p w14:paraId="30884C9A">
            <w:pPr>
              <w:pStyle w:val="9"/>
              <w:wordWrap/>
              <w:topLinePunct w:val="0"/>
              <w:spacing w:line="360" w:lineRule="auto"/>
              <w:rPr>
                <w:rFonts w:hint="eastAsia" w:ascii="宋体" w:hAnsi="宋体" w:eastAsia="宋体" w:cs="宋体"/>
                <w:color w:val="auto"/>
                <w:sz w:val="28"/>
                <w:szCs w:val="28"/>
                <w:highlight w:val="none"/>
              </w:rPr>
            </w:pPr>
          </w:p>
        </w:tc>
        <w:tc>
          <w:tcPr>
            <w:tcW w:w="1134" w:type="dxa"/>
            <w:tcBorders>
              <w:top w:val="nil"/>
            </w:tcBorders>
            <w:noWrap w:val="0"/>
            <w:vAlign w:val="center"/>
          </w:tcPr>
          <w:p w14:paraId="5C4D5641">
            <w:pPr>
              <w:pStyle w:val="9"/>
              <w:wordWrap/>
              <w:topLinePunct w:val="0"/>
              <w:spacing w:line="360" w:lineRule="auto"/>
              <w:rPr>
                <w:rFonts w:hint="eastAsia" w:ascii="宋体" w:hAnsi="宋体" w:eastAsia="宋体" w:cs="宋体"/>
                <w:color w:val="auto"/>
                <w:sz w:val="28"/>
                <w:szCs w:val="28"/>
                <w:highlight w:val="none"/>
              </w:rPr>
            </w:pPr>
          </w:p>
        </w:tc>
        <w:tc>
          <w:tcPr>
            <w:tcW w:w="709" w:type="dxa"/>
            <w:tcBorders>
              <w:top w:val="nil"/>
            </w:tcBorders>
            <w:noWrap w:val="0"/>
            <w:vAlign w:val="center"/>
          </w:tcPr>
          <w:p w14:paraId="13015C8A">
            <w:pPr>
              <w:pStyle w:val="9"/>
              <w:wordWrap/>
              <w:topLinePunct w:val="0"/>
              <w:spacing w:line="360" w:lineRule="auto"/>
              <w:rPr>
                <w:rFonts w:hint="eastAsia" w:ascii="宋体" w:hAnsi="宋体" w:eastAsia="宋体" w:cs="宋体"/>
                <w:color w:val="auto"/>
                <w:sz w:val="28"/>
                <w:szCs w:val="28"/>
                <w:highlight w:val="none"/>
              </w:rPr>
            </w:pPr>
          </w:p>
        </w:tc>
      </w:tr>
      <w:tr w14:paraId="64BD7E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4971EC3E">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221A983A">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4D8059D9">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2131D931">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026580A3">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38E357A1">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444F1F40">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09F9C59C">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5DC61802">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5A1BE0F4">
            <w:pPr>
              <w:pStyle w:val="9"/>
              <w:wordWrap/>
              <w:topLinePunct w:val="0"/>
              <w:spacing w:line="360" w:lineRule="auto"/>
              <w:rPr>
                <w:rFonts w:hint="eastAsia" w:ascii="宋体" w:hAnsi="宋体" w:eastAsia="宋体" w:cs="宋体"/>
                <w:color w:val="auto"/>
                <w:sz w:val="28"/>
                <w:szCs w:val="28"/>
                <w:highlight w:val="none"/>
              </w:rPr>
            </w:pPr>
          </w:p>
        </w:tc>
      </w:tr>
      <w:tr w14:paraId="6AB7FC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804D078">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116ECD0F">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4AD1497F">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2876A15C">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3675B999">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398029B8">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4C838224">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100C3855">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36D3CEF">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5FC7B51F">
            <w:pPr>
              <w:pStyle w:val="9"/>
              <w:wordWrap/>
              <w:topLinePunct w:val="0"/>
              <w:spacing w:line="360" w:lineRule="auto"/>
              <w:rPr>
                <w:rFonts w:hint="eastAsia" w:ascii="宋体" w:hAnsi="宋体" w:eastAsia="宋体" w:cs="宋体"/>
                <w:color w:val="auto"/>
                <w:sz w:val="28"/>
                <w:szCs w:val="28"/>
                <w:highlight w:val="none"/>
              </w:rPr>
            </w:pPr>
          </w:p>
        </w:tc>
      </w:tr>
      <w:tr w14:paraId="3D6491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3F730A5C">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3917AFA3">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0F94FFDA">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1B99D2AC">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0840A078">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5BA03ED8">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070538E2">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727A36F">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1A999FE4">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4A37CFDD">
            <w:pPr>
              <w:pStyle w:val="9"/>
              <w:wordWrap/>
              <w:topLinePunct w:val="0"/>
              <w:spacing w:line="360" w:lineRule="auto"/>
              <w:rPr>
                <w:rFonts w:hint="eastAsia" w:ascii="宋体" w:hAnsi="宋体" w:eastAsia="宋体" w:cs="宋体"/>
                <w:color w:val="auto"/>
                <w:sz w:val="28"/>
                <w:szCs w:val="28"/>
                <w:highlight w:val="none"/>
              </w:rPr>
            </w:pPr>
          </w:p>
        </w:tc>
      </w:tr>
      <w:tr w14:paraId="23BCE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6E036F0D">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0E710B58">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07896409">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3094F5A3">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654502DC">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0CF608D4">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739A7C61">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7C922F12">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2EAC9DA1">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2FD2F618">
            <w:pPr>
              <w:pStyle w:val="9"/>
              <w:wordWrap/>
              <w:topLinePunct w:val="0"/>
              <w:spacing w:line="360" w:lineRule="auto"/>
              <w:rPr>
                <w:rFonts w:hint="eastAsia" w:ascii="宋体" w:hAnsi="宋体" w:eastAsia="宋体" w:cs="宋体"/>
                <w:color w:val="auto"/>
                <w:sz w:val="28"/>
                <w:szCs w:val="28"/>
                <w:highlight w:val="none"/>
              </w:rPr>
            </w:pPr>
          </w:p>
        </w:tc>
      </w:tr>
      <w:tr w14:paraId="7FFD7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F431DE9">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178862CD">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0A8AE34C">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12124567">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1EA9368B">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3C812F4C">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2D1605D8">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146C5A81">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1ADD0F7A">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489F5460">
            <w:pPr>
              <w:pStyle w:val="9"/>
              <w:wordWrap/>
              <w:topLinePunct w:val="0"/>
              <w:spacing w:line="360" w:lineRule="auto"/>
              <w:rPr>
                <w:rFonts w:hint="eastAsia" w:ascii="宋体" w:hAnsi="宋体" w:eastAsia="宋体" w:cs="宋体"/>
                <w:color w:val="auto"/>
                <w:sz w:val="28"/>
                <w:szCs w:val="28"/>
                <w:highlight w:val="none"/>
              </w:rPr>
            </w:pPr>
          </w:p>
        </w:tc>
      </w:tr>
      <w:tr w14:paraId="5130F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515C07B4">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75B67241">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269E3121">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44CCABCC">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612BFF67">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2024A94B">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5D9CBC6A">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3AEBC11">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5731437E">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0EEB9BB8">
            <w:pPr>
              <w:pStyle w:val="9"/>
              <w:wordWrap/>
              <w:topLinePunct w:val="0"/>
              <w:spacing w:line="360" w:lineRule="auto"/>
              <w:rPr>
                <w:rFonts w:hint="eastAsia" w:ascii="宋体" w:hAnsi="宋体" w:eastAsia="宋体" w:cs="宋体"/>
                <w:color w:val="auto"/>
                <w:sz w:val="28"/>
                <w:szCs w:val="28"/>
                <w:highlight w:val="none"/>
              </w:rPr>
            </w:pPr>
          </w:p>
        </w:tc>
      </w:tr>
      <w:tr w14:paraId="5EE10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FA3FC39">
            <w:pPr>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2C197839">
            <w:pPr>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06673A0B">
            <w:pPr>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05B63A34">
            <w:pPr>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5F6B3576">
            <w:pPr>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787AC05C">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16F9ABF7">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56D25E23">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233A290D">
            <w:pPr>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5B3F6B41">
            <w:pPr>
              <w:wordWrap/>
              <w:topLinePunct w:val="0"/>
              <w:spacing w:line="360" w:lineRule="auto"/>
              <w:rPr>
                <w:rFonts w:hint="eastAsia" w:ascii="宋体" w:hAnsi="宋体" w:eastAsia="宋体" w:cs="宋体"/>
                <w:color w:val="auto"/>
                <w:sz w:val="28"/>
                <w:szCs w:val="28"/>
                <w:highlight w:val="none"/>
              </w:rPr>
            </w:pPr>
          </w:p>
        </w:tc>
      </w:tr>
      <w:tr w14:paraId="5386FF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1CDFC54E">
            <w:pPr>
              <w:pStyle w:val="9"/>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6C67F4AA">
            <w:pPr>
              <w:pStyle w:val="9"/>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77EFB17F">
            <w:pPr>
              <w:pStyle w:val="9"/>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7B28184D">
            <w:pPr>
              <w:pStyle w:val="9"/>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69C11CD6">
            <w:pPr>
              <w:pStyle w:val="9"/>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2CAE12ED">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7FFE31C9">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562BE05F">
            <w:pPr>
              <w:pStyle w:val="9"/>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27DC1CEB">
            <w:pPr>
              <w:pStyle w:val="9"/>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74210964">
            <w:pPr>
              <w:pStyle w:val="9"/>
              <w:wordWrap/>
              <w:topLinePunct w:val="0"/>
              <w:spacing w:line="360" w:lineRule="auto"/>
              <w:rPr>
                <w:rFonts w:hint="eastAsia" w:ascii="宋体" w:hAnsi="宋体" w:eastAsia="宋体" w:cs="宋体"/>
                <w:color w:val="auto"/>
                <w:sz w:val="28"/>
                <w:szCs w:val="28"/>
                <w:highlight w:val="none"/>
              </w:rPr>
            </w:pPr>
          </w:p>
        </w:tc>
      </w:tr>
      <w:tr w14:paraId="001F5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093A0AF1">
            <w:pPr>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41FCDAAB">
            <w:pPr>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64357A4A">
            <w:pPr>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587209C0">
            <w:pPr>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3741A02C">
            <w:pPr>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4D7D87BA">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6733DA66">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2F826F0A">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410D0E17">
            <w:pPr>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7484BB39">
            <w:pPr>
              <w:wordWrap/>
              <w:topLinePunct w:val="0"/>
              <w:spacing w:line="360" w:lineRule="auto"/>
              <w:rPr>
                <w:rFonts w:hint="eastAsia" w:ascii="宋体" w:hAnsi="宋体" w:eastAsia="宋体" w:cs="宋体"/>
                <w:color w:val="auto"/>
                <w:sz w:val="28"/>
                <w:szCs w:val="28"/>
                <w:highlight w:val="none"/>
              </w:rPr>
            </w:pPr>
          </w:p>
        </w:tc>
      </w:tr>
      <w:tr w14:paraId="130C9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BBDDC48">
            <w:pPr>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6FDB3706">
            <w:pPr>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735D3EC9">
            <w:pPr>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1E1FB647">
            <w:pPr>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69E186CA">
            <w:pPr>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1A6B7B2F">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734F2BF">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7EC37C95">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72549C0C">
            <w:pPr>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6509AEF0">
            <w:pPr>
              <w:wordWrap/>
              <w:topLinePunct w:val="0"/>
              <w:spacing w:line="360" w:lineRule="auto"/>
              <w:rPr>
                <w:rFonts w:hint="eastAsia" w:ascii="宋体" w:hAnsi="宋体" w:eastAsia="宋体" w:cs="宋体"/>
                <w:color w:val="auto"/>
                <w:sz w:val="28"/>
                <w:szCs w:val="28"/>
                <w:highlight w:val="none"/>
              </w:rPr>
            </w:pPr>
          </w:p>
        </w:tc>
      </w:tr>
      <w:tr w14:paraId="38C3E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2D825E7B">
            <w:pPr>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14CE1A95">
            <w:pPr>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557D4612">
            <w:pPr>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0505AF83">
            <w:pPr>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2DA76C8B">
            <w:pPr>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78616F40">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50EA5DAE">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8C87B43">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4FCA5713">
            <w:pPr>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713407E4">
            <w:pPr>
              <w:wordWrap/>
              <w:topLinePunct w:val="0"/>
              <w:spacing w:line="360" w:lineRule="auto"/>
              <w:rPr>
                <w:rFonts w:hint="eastAsia" w:ascii="宋体" w:hAnsi="宋体" w:eastAsia="宋体" w:cs="宋体"/>
                <w:color w:val="auto"/>
                <w:sz w:val="28"/>
                <w:szCs w:val="28"/>
                <w:highlight w:val="none"/>
              </w:rPr>
            </w:pPr>
          </w:p>
        </w:tc>
      </w:tr>
      <w:tr w14:paraId="319946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noWrap w:val="0"/>
            <w:vAlign w:val="center"/>
          </w:tcPr>
          <w:p w14:paraId="7D2A8D1E">
            <w:pPr>
              <w:wordWrap/>
              <w:topLinePunct w:val="0"/>
              <w:spacing w:line="360" w:lineRule="auto"/>
              <w:rPr>
                <w:rFonts w:hint="eastAsia" w:ascii="宋体" w:hAnsi="宋体" w:eastAsia="宋体" w:cs="宋体"/>
                <w:color w:val="auto"/>
                <w:sz w:val="28"/>
                <w:szCs w:val="28"/>
                <w:highlight w:val="none"/>
              </w:rPr>
            </w:pPr>
          </w:p>
        </w:tc>
        <w:tc>
          <w:tcPr>
            <w:tcW w:w="1165" w:type="dxa"/>
            <w:noWrap w:val="0"/>
            <w:vAlign w:val="center"/>
          </w:tcPr>
          <w:p w14:paraId="2ECEB1EF">
            <w:pPr>
              <w:wordWrap/>
              <w:topLinePunct w:val="0"/>
              <w:spacing w:line="360" w:lineRule="auto"/>
              <w:rPr>
                <w:rFonts w:hint="eastAsia" w:ascii="宋体" w:hAnsi="宋体" w:eastAsia="宋体" w:cs="宋体"/>
                <w:color w:val="auto"/>
                <w:sz w:val="28"/>
                <w:szCs w:val="28"/>
                <w:highlight w:val="none"/>
              </w:rPr>
            </w:pPr>
          </w:p>
        </w:tc>
        <w:tc>
          <w:tcPr>
            <w:tcW w:w="1126" w:type="dxa"/>
            <w:noWrap w:val="0"/>
            <w:vAlign w:val="center"/>
          </w:tcPr>
          <w:p w14:paraId="05298402">
            <w:pPr>
              <w:wordWrap/>
              <w:topLinePunct w:val="0"/>
              <w:spacing w:line="360" w:lineRule="auto"/>
              <w:rPr>
                <w:rFonts w:hint="eastAsia" w:ascii="宋体" w:hAnsi="宋体" w:eastAsia="宋体" w:cs="宋体"/>
                <w:color w:val="auto"/>
                <w:sz w:val="28"/>
                <w:szCs w:val="28"/>
                <w:highlight w:val="none"/>
              </w:rPr>
            </w:pPr>
          </w:p>
        </w:tc>
        <w:tc>
          <w:tcPr>
            <w:tcW w:w="567" w:type="dxa"/>
            <w:noWrap w:val="0"/>
            <w:vAlign w:val="center"/>
          </w:tcPr>
          <w:p w14:paraId="20C3FD00">
            <w:pPr>
              <w:wordWrap/>
              <w:topLinePunct w:val="0"/>
              <w:spacing w:line="360" w:lineRule="auto"/>
              <w:rPr>
                <w:rFonts w:hint="eastAsia" w:ascii="宋体" w:hAnsi="宋体" w:eastAsia="宋体" w:cs="宋体"/>
                <w:color w:val="auto"/>
                <w:sz w:val="28"/>
                <w:szCs w:val="28"/>
                <w:highlight w:val="none"/>
              </w:rPr>
            </w:pPr>
          </w:p>
        </w:tc>
        <w:tc>
          <w:tcPr>
            <w:tcW w:w="686" w:type="dxa"/>
            <w:noWrap w:val="0"/>
            <w:vAlign w:val="center"/>
          </w:tcPr>
          <w:p w14:paraId="56B4A976">
            <w:pPr>
              <w:wordWrap/>
              <w:topLinePunct w:val="0"/>
              <w:spacing w:line="360" w:lineRule="auto"/>
              <w:rPr>
                <w:rFonts w:hint="eastAsia" w:ascii="宋体" w:hAnsi="宋体" w:eastAsia="宋体" w:cs="宋体"/>
                <w:color w:val="auto"/>
                <w:sz w:val="28"/>
                <w:szCs w:val="28"/>
                <w:highlight w:val="none"/>
              </w:rPr>
            </w:pPr>
          </w:p>
        </w:tc>
        <w:tc>
          <w:tcPr>
            <w:tcW w:w="992" w:type="dxa"/>
            <w:noWrap w:val="0"/>
            <w:vAlign w:val="top"/>
          </w:tcPr>
          <w:p w14:paraId="62182BEE">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EAD8CAC">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38AAA7B0">
            <w:pPr>
              <w:wordWrap/>
              <w:topLinePunct w:val="0"/>
              <w:spacing w:line="360" w:lineRule="auto"/>
              <w:rPr>
                <w:rFonts w:hint="eastAsia" w:ascii="宋体" w:hAnsi="宋体" w:eastAsia="宋体" w:cs="宋体"/>
                <w:color w:val="auto"/>
                <w:sz w:val="28"/>
                <w:szCs w:val="28"/>
                <w:highlight w:val="none"/>
              </w:rPr>
            </w:pPr>
          </w:p>
        </w:tc>
        <w:tc>
          <w:tcPr>
            <w:tcW w:w="1134" w:type="dxa"/>
            <w:noWrap w:val="0"/>
            <w:vAlign w:val="center"/>
          </w:tcPr>
          <w:p w14:paraId="0D58CC06">
            <w:pPr>
              <w:wordWrap/>
              <w:topLinePunct w:val="0"/>
              <w:spacing w:line="360" w:lineRule="auto"/>
              <w:rPr>
                <w:rFonts w:hint="eastAsia" w:ascii="宋体" w:hAnsi="宋体" w:eastAsia="宋体" w:cs="宋体"/>
                <w:color w:val="auto"/>
                <w:sz w:val="28"/>
                <w:szCs w:val="28"/>
                <w:highlight w:val="none"/>
              </w:rPr>
            </w:pPr>
          </w:p>
        </w:tc>
        <w:tc>
          <w:tcPr>
            <w:tcW w:w="709" w:type="dxa"/>
            <w:noWrap w:val="0"/>
            <w:vAlign w:val="center"/>
          </w:tcPr>
          <w:p w14:paraId="57483BD6">
            <w:pPr>
              <w:wordWrap/>
              <w:topLinePunct w:val="0"/>
              <w:spacing w:line="360" w:lineRule="auto"/>
              <w:rPr>
                <w:rFonts w:hint="eastAsia" w:ascii="宋体" w:hAnsi="宋体" w:eastAsia="宋体" w:cs="宋体"/>
                <w:color w:val="auto"/>
                <w:sz w:val="28"/>
                <w:szCs w:val="28"/>
                <w:highlight w:val="none"/>
              </w:rPr>
            </w:pPr>
          </w:p>
        </w:tc>
      </w:tr>
    </w:tbl>
    <w:p w14:paraId="648FFA2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90876D9">
      <w:pPr>
        <w:pStyle w:val="39"/>
        <w:numPr>
          <w:ilvl w:val="0"/>
          <w:numId w:val="0"/>
        </w:numPr>
        <w:spacing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附件3 工程质量保修书</w:t>
      </w:r>
    </w:p>
    <w:p w14:paraId="401D675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发包人（全称）：</w:t>
      </w:r>
      <w:r>
        <w:rPr>
          <w:rFonts w:hint="eastAsia" w:ascii="宋体" w:hAnsi="宋体" w:eastAsia="宋体" w:cs="宋体"/>
          <w:color w:val="auto"/>
          <w:sz w:val="28"/>
          <w:szCs w:val="28"/>
          <w:highlight w:val="none"/>
          <w:u w:val="single"/>
        </w:rPr>
        <w:t xml:space="preserve">                                  </w:t>
      </w:r>
    </w:p>
    <w:p w14:paraId="6B94D5A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承包人（全称）：</w:t>
      </w:r>
      <w:r>
        <w:rPr>
          <w:rFonts w:hint="eastAsia" w:ascii="宋体" w:hAnsi="宋体" w:eastAsia="宋体" w:cs="宋体"/>
          <w:color w:val="auto"/>
          <w:sz w:val="28"/>
          <w:szCs w:val="28"/>
          <w:highlight w:val="none"/>
          <w:u w:val="single"/>
        </w:rPr>
        <w:t xml:space="preserve">                                  </w:t>
      </w:r>
    </w:p>
    <w:p w14:paraId="6DAFFA0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发包人和承包人根据《中华人民共和国建筑法》和《</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质量管理条例》，经协商一致就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（工程全称）订立工程质量保修书。</w:t>
      </w:r>
    </w:p>
    <w:p w14:paraId="612474A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一、工程质量保修范围和内容</w:t>
      </w:r>
    </w:p>
    <w:p w14:paraId="031873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承包人在质量保修期内，按照有关法律规定和合同约定，承担工程质量保修责任。</w:t>
      </w:r>
    </w:p>
    <w:p w14:paraId="0A2FA057">
      <w:pPr>
        <w:wordWrap/>
        <w:topLinePunct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1DAD89E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二、质量保修期</w:t>
      </w:r>
    </w:p>
    <w:p w14:paraId="5FD3AC3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质量管理条例》及有关规定，工程的质量保修期如下：</w:t>
      </w:r>
    </w:p>
    <w:p w14:paraId="573946D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1．地基基础工程和主体结构工程为设计文件规定的工程合理使用年限；</w:t>
      </w:r>
    </w:p>
    <w:p w14:paraId="1714952B">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2．屋面防水工程、有防水要求的卫生间、房间和外墙面的防渗为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p>
    <w:p w14:paraId="283399B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3．装修工程为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p>
    <w:p w14:paraId="06CFFEE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4．电气管线、给排水管道、设备安装工程为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p>
    <w:p w14:paraId="50D7BBD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5．供热与供冷系统为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个采暖期、供冷期；</w:t>
      </w:r>
    </w:p>
    <w:p w14:paraId="26D9CFA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6．住宅小区内的给排水设施、道路等配套工程为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p>
    <w:p w14:paraId="524B83D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7．其他项目保修期限约定如下：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519DF4E9">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质量保修期自工程竣工验收合格之日起计算。</w:t>
      </w:r>
    </w:p>
    <w:p w14:paraId="4ABD8F62">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三、缺陷责任期</w:t>
      </w:r>
    </w:p>
    <w:p w14:paraId="7EF34B7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工程缺陷责任期为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个月，缺陷责任期自工程通过竣工验收之日起计算。单位/区段工程先于全部工程进行验收，单位/区段工程缺陷责任期自单位/区段工程验收合格之日起算。</w:t>
      </w:r>
    </w:p>
    <w:p w14:paraId="23A03A6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缺陷责任期终止后，发包人应返还剩余的质量保证金。</w:t>
      </w:r>
    </w:p>
    <w:p w14:paraId="4DA7DAD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四、质量保修责任</w:t>
      </w:r>
    </w:p>
    <w:p w14:paraId="4F053C7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1．属于保修范围、内容的项目，承包人应当在接到保修通知之日起7天内派人保修。承包人不在约定期限内派人保修的，发包人可以委托他人修理。</w:t>
      </w:r>
    </w:p>
    <w:p w14:paraId="5EF12BA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2．发生紧急事故需抢修的，承包人在接到事故通知后，应当立即到达事故现场抢修。</w:t>
      </w:r>
    </w:p>
    <w:p w14:paraId="2B30FF8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3．对于涉及结构安全的质量问题，应当按照《</w:t>
      </w:r>
      <w:r>
        <w:rPr>
          <w:rFonts w:hint="eastAsia" w:ascii="宋体" w:hAnsi="宋体" w:eastAsia="宋体" w:cs="宋体"/>
          <w:color w:val="auto"/>
          <w:sz w:val="28"/>
          <w:szCs w:val="28"/>
          <w:highlight w:val="none"/>
          <w:lang w:val="en-US" w:eastAsia="zh-CN"/>
        </w:rPr>
        <w:t>相关行业</w:t>
      </w:r>
      <w:r>
        <w:rPr>
          <w:rFonts w:hint="eastAsia" w:ascii="宋体" w:hAnsi="宋体" w:eastAsia="宋体" w:cs="宋体"/>
          <w:color w:val="auto"/>
          <w:sz w:val="28"/>
          <w:szCs w:val="28"/>
          <w:highlight w:val="none"/>
        </w:rPr>
        <w:t>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72CD05E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4．质量保修完成后，由发包人组织验收。</w:t>
      </w:r>
    </w:p>
    <w:p w14:paraId="2E4593CC">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五、保修费用</w:t>
      </w:r>
    </w:p>
    <w:p w14:paraId="69244F9E">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保修费用由造成质量缺陷的责任方承担。</w:t>
      </w:r>
    </w:p>
    <w:p w14:paraId="485A9854">
      <w:pPr>
        <w:wordWrap/>
        <w:topLinePunct w:val="0"/>
        <w:spacing w:line="360" w:lineRule="auto"/>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六、双方约定的其他工程质量保修事项：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0C6C8DB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工程质量保修书由发包人、承包人在工程竣工验收前共同签署，作为工程总承包合同附件，其有效期限至保修期满。</w:t>
      </w:r>
    </w:p>
    <w:p w14:paraId="5D4E5AE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发包人(公章)：               承包人(公章)：          </w:t>
      </w:r>
    </w:p>
    <w:p w14:paraId="777E7D8F">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                     地  址：       </w:t>
      </w:r>
    </w:p>
    <w:p w14:paraId="3823CCF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           法定代表人(签字)：       </w:t>
      </w:r>
    </w:p>
    <w:p w14:paraId="2BF1566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委托代理人(签字)：           委托代理人(签字)：       </w:t>
      </w:r>
    </w:p>
    <w:p w14:paraId="2384F357">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                     电  话：</w:t>
      </w:r>
    </w:p>
    <w:p w14:paraId="6A37F1BA">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  真：                     传  真：  </w:t>
      </w:r>
    </w:p>
    <w:p w14:paraId="032BBA04">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                   开户银行：</w:t>
      </w:r>
    </w:p>
    <w:p w14:paraId="0B930CE0">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账  号： </w:t>
      </w:r>
    </w:p>
    <w:p w14:paraId="12BADB28">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                   邮政编码：   </w:t>
      </w:r>
    </w:p>
    <w:p w14:paraId="348FA3CF">
      <w:pPr>
        <w:wordWrap/>
        <w:topLinePunct w:val="0"/>
        <w:adjustRightInd/>
        <w:snapToGrid/>
        <w:spacing w:after="0" w:afterLines="0" w:line="360" w:lineRule="auto"/>
        <w:ind w:firstLine="560" w:firstLineChars="200"/>
        <w:jc w:val="left"/>
        <w:rPr>
          <w:rFonts w:hint="eastAsia" w:ascii="宋体" w:hAnsi="宋体" w:eastAsia="宋体" w:cs="宋体"/>
          <w:color w:val="auto"/>
          <w:sz w:val="28"/>
          <w:szCs w:val="28"/>
          <w:highlight w:val="none"/>
        </w:rPr>
      </w:pPr>
    </w:p>
    <w:p w14:paraId="5158784F">
      <w:pPr>
        <w:pStyle w:val="39"/>
        <w:numPr>
          <w:ilvl w:val="0"/>
          <w:numId w:val="0"/>
        </w:numPr>
        <w:spacing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附件4 主要文件目录</w:t>
      </w:r>
    </w:p>
    <w:tbl>
      <w:tblPr>
        <w:tblStyle w:val="1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59432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bottom w:val="double" w:color="auto" w:sz="6" w:space="0"/>
            </w:tcBorders>
            <w:noWrap w:val="0"/>
            <w:vAlign w:val="center"/>
          </w:tcPr>
          <w:p w14:paraId="3164FF0C">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文件名称</w:t>
            </w:r>
          </w:p>
        </w:tc>
        <w:tc>
          <w:tcPr>
            <w:tcW w:w="1276" w:type="dxa"/>
            <w:tcBorders>
              <w:top w:val="single" w:color="auto" w:sz="12" w:space="0"/>
              <w:bottom w:val="double" w:color="auto" w:sz="6" w:space="0"/>
            </w:tcBorders>
            <w:noWrap w:val="0"/>
            <w:vAlign w:val="center"/>
          </w:tcPr>
          <w:p w14:paraId="4F5FFB1D">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套数</w:t>
            </w:r>
          </w:p>
        </w:tc>
        <w:tc>
          <w:tcPr>
            <w:tcW w:w="1450" w:type="dxa"/>
            <w:tcBorders>
              <w:top w:val="single" w:color="auto" w:sz="12" w:space="0"/>
              <w:bottom w:val="double" w:color="auto" w:sz="6" w:space="0"/>
            </w:tcBorders>
            <w:noWrap w:val="0"/>
            <w:vAlign w:val="center"/>
          </w:tcPr>
          <w:p w14:paraId="3BA72798">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费用（元）</w:t>
            </w:r>
          </w:p>
        </w:tc>
        <w:tc>
          <w:tcPr>
            <w:tcW w:w="1243" w:type="dxa"/>
            <w:tcBorders>
              <w:top w:val="single" w:color="auto" w:sz="12" w:space="0"/>
              <w:bottom w:val="double" w:color="auto" w:sz="6" w:space="0"/>
            </w:tcBorders>
            <w:noWrap w:val="0"/>
            <w:vAlign w:val="center"/>
          </w:tcPr>
          <w:p w14:paraId="2A087515">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w:t>
            </w:r>
          </w:p>
        </w:tc>
        <w:tc>
          <w:tcPr>
            <w:tcW w:w="1450" w:type="dxa"/>
            <w:tcBorders>
              <w:top w:val="single" w:color="auto" w:sz="12" w:space="0"/>
              <w:bottom w:val="double" w:color="auto" w:sz="6" w:space="0"/>
            </w:tcBorders>
            <w:noWrap w:val="0"/>
            <w:vAlign w:val="top"/>
          </w:tcPr>
          <w:p w14:paraId="3B423489">
            <w:pPr>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移交时间</w:t>
            </w:r>
          </w:p>
        </w:tc>
        <w:tc>
          <w:tcPr>
            <w:tcW w:w="1670" w:type="dxa"/>
            <w:tcBorders>
              <w:top w:val="single" w:color="auto" w:sz="12" w:space="0"/>
              <w:bottom w:val="double" w:color="auto" w:sz="6" w:space="0"/>
            </w:tcBorders>
            <w:noWrap w:val="0"/>
            <w:vAlign w:val="top"/>
          </w:tcPr>
          <w:p w14:paraId="69E8ECF7">
            <w:pPr>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责任人</w:t>
            </w:r>
          </w:p>
        </w:tc>
      </w:tr>
      <w:tr w14:paraId="24534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6" w:space="0"/>
              <w:bottom w:val="single" w:color="auto" w:sz="6" w:space="0"/>
            </w:tcBorders>
            <w:noWrap w:val="0"/>
            <w:vAlign w:val="center"/>
          </w:tcPr>
          <w:p w14:paraId="59B5E66C">
            <w:pPr>
              <w:pStyle w:val="9"/>
              <w:wordWrap/>
              <w:topLinePunct w:val="0"/>
              <w:spacing w:line="360" w:lineRule="auto"/>
              <w:rPr>
                <w:rFonts w:hint="eastAsia" w:ascii="宋体" w:hAnsi="宋体" w:eastAsia="宋体" w:cs="宋体"/>
                <w:color w:val="auto"/>
                <w:sz w:val="28"/>
                <w:szCs w:val="28"/>
                <w:highlight w:val="none"/>
              </w:rPr>
            </w:pPr>
          </w:p>
        </w:tc>
        <w:tc>
          <w:tcPr>
            <w:tcW w:w="1276" w:type="dxa"/>
            <w:tcBorders>
              <w:top w:val="double" w:color="auto" w:sz="6" w:space="0"/>
              <w:bottom w:val="single" w:color="auto" w:sz="6" w:space="0"/>
            </w:tcBorders>
            <w:noWrap w:val="0"/>
            <w:vAlign w:val="center"/>
          </w:tcPr>
          <w:p w14:paraId="336A71AA">
            <w:pPr>
              <w:pStyle w:val="9"/>
              <w:wordWrap/>
              <w:topLinePunct w:val="0"/>
              <w:spacing w:line="360" w:lineRule="auto"/>
              <w:rPr>
                <w:rFonts w:hint="eastAsia" w:ascii="宋体" w:hAnsi="宋体" w:eastAsia="宋体" w:cs="宋体"/>
                <w:color w:val="auto"/>
                <w:sz w:val="28"/>
                <w:szCs w:val="28"/>
                <w:highlight w:val="none"/>
              </w:rPr>
            </w:pPr>
          </w:p>
        </w:tc>
        <w:tc>
          <w:tcPr>
            <w:tcW w:w="1450" w:type="dxa"/>
            <w:tcBorders>
              <w:top w:val="double" w:color="auto" w:sz="6" w:space="0"/>
              <w:bottom w:val="single" w:color="auto" w:sz="6" w:space="0"/>
            </w:tcBorders>
            <w:noWrap w:val="0"/>
            <w:vAlign w:val="center"/>
          </w:tcPr>
          <w:p w14:paraId="433717A0">
            <w:pPr>
              <w:pStyle w:val="9"/>
              <w:wordWrap/>
              <w:topLinePunct w:val="0"/>
              <w:spacing w:line="360" w:lineRule="auto"/>
              <w:rPr>
                <w:rFonts w:hint="eastAsia" w:ascii="宋体" w:hAnsi="宋体" w:eastAsia="宋体" w:cs="宋体"/>
                <w:color w:val="auto"/>
                <w:sz w:val="28"/>
                <w:szCs w:val="28"/>
                <w:highlight w:val="none"/>
              </w:rPr>
            </w:pPr>
          </w:p>
        </w:tc>
        <w:tc>
          <w:tcPr>
            <w:tcW w:w="1243" w:type="dxa"/>
            <w:tcBorders>
              <w:top w:val="double" w:color="auto" w:sz="6" w:space="0"/>
              <w:bottom w:val="single" w:color="auto" w:sz="6" w:space="0"/>
            </w:tcBorders>
            <w:noWrap w:val="0"/>
            <w:vAlign w:val="center"/>
          </w:tcPr>
          <w:p w14:paraId="4753FCB8">
            <w:pPr>
              <w:pStyle w:val="9"/>
              <w:wordWrap/>
              <w:topLinePunct w:val="0"/>
              <w:spacing w:line="360" w:lineRule="auto"/>
              <w:rPr>
                <w:rFonts w:hint="eastAsia" w:ascii="宋体" w:hAnsi="宋体" w:eastAsia="宋体" w:cs="宋体"/>
                <w:color w:val="auto"/>
                <w:sz w:val="28"/>
                <w:szCs w:val="28"/>
                <w:highlight w:val="none"/>
              </w:rPr>
            </w:pPr>
          </w:p>
        </w:tc>
        <w:tc>
          <w:tcPr>
            <w:tcW w:w="1450" w:type="dxa"/>
            <w:tcBorders>
              <w:top w:val="double" w:color="auto" w:sz="6" w:space="0"/>
              <w:bottom w:val="single" w:color="auto" w:sz="6" w:space="0"/>
            </w:tcBorders>
            <w:noWrap w:val="0"/>
            <w:vAlign w:val="center"/>
          </w:tcPr>
          <w:p w14:paraId="55838FA2">
            <w:pPr>
              <w:pStyle w:val="9"/>
              <w:wordWrap/>
              <w:topLinePunct w:val="0"/>
              <w:spacing w:line="360" w:lineRule="auto"/>
              <w:rPr>
                <w:rFonts w:hint="eastAsia" w:ascii="宋体" w:hAnsi="宋体" w:eastAsia="宋体" w:cs="宋体"/>
                <w:color w:val="auto"/>
                <w:sz w:val="28"/>
                <w:szCs w:val="28"/>
                <w:highlight w:val="none"/>
              </w:rPr>
            </w:pPr>
          </w:p>
        </w:tc>
        <w:tc>
          <w:tcPr>
            <w:tcW w:w="1670" w:type="dxa"/>
            <w:tcBorders>
              <w:top w:val="double" w:color="auto" w:sz="6" w:space="0"/>
              <w:bottom w:val="single" w:color="auto" w:sz="6" w:space="0"/>
            </w:tcBorders>
            <w:noWrap w:val="0"/>
            <w:vAlign w:val="center"/>
          </w:tcPr>
          <w:p w14:paraId="1A39AEB4">
            <w:pPr>
              <w:pStyle w:val="9"/>
              <w:wordWrap/>
              <w:topLinePunct w:val="0"/>
              <w:spacing w:line="360" w:lineRule="auto"/>
              <w:rPr>
                <w:rFonts w:hint="eastAsia" w:ascii="宋体" w:hAnsi="宋体" w:eastAsia="宋体" w:cs="宋体"/>
                <w:color w:val="auto"/>
                <w:sz w:val="28"/>
                <w:szCs w:val="28"/>
                <w:highlight w:val="none"/>
              </w:rPr>
            </w:pPr>
          </w:p>
        </w:tc>
      </w:tr>
      <w:tr w14:paraId="43B05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tcBorders>
            <w:noWrap w:val="0"/>
            <w:vAlign w:val="center"/>
          </w:tcPr>
          <w:p w14:paraId="60F103BB">
            <w:pPr>
              <w:pStyle w:val="9"/>
              <w:wordWrap/>
              <w:topLinePunct w:val="0"/>
              <w:spacing w:line="360" w:lineRule="auto"/>
              <w:rPr>
                <w:rFonts w:hint="eastAsia" w:ascii="宋体" w:hAnsi="宋体" w:eastAsia="宋体" w:cs="宋体"/>
                <w:color w:val="auto"/>
                <w:sz w:val="28"/>
                <w:szCs w:val="28"/>
                <w:highlight w:val="none"/>
              </w:rPr>
            </w:pPr>
          </w:p>
        </w:tc>
        <w:tc>
          <w:tcPr>
            <w:tcW w:w="1276" w:type="dxa"/>
            <w:tcBorders>
              <w:top w:val="nil"/>
            </w:tcBorders>
            <w:noWrap w:val="0"/>
            <w:vAlign w:val="center"/>
          </w:tcPr>
          <w:p w14:paraId="1C055DDA">
            <w:pPr>
              <w:pStyle w:val="9"/>
              <w:wordWrap/>
              <w:topLinePunct w:val="0"/>
              <w:spacing w:line="360" w:lineRule="auto"/>
              <w:rPr>
                <w:rFonts w:hint="eastAsia" w:ascii="宋体" w:hAnsi="宋体" w:eastAsia="宋体" w:cs="宋体"/>
                <w:color w:val="auto"/>
                <w:sz w:val="28"/>
                <w:szCs w:val="28"/>
                <w:highlight w:val="none"/>
              </w:rPr>
            </w:pPr>
          </w:p>
        </w:tc>
        <w:tc>
          <w:tcPr>
            <w:tcW w:w="1450" w:type="dxa"/>
            <w:tcBorders>
              <w:top w:val="nil"/>
            </w:tcBorders>
            <w:noWrap w:val="0"/>
            <w:vAlign w:val="center"/>
          </w:tcPr>
          <w:p w14:paraId="4C491FD2">
            <w:pPr>
              <w:pStyle w:val="9"/>
              <w:wordWrap/>
              <w:topLinePunct w:val="0"/>
              <w:spacing w:line="360" w:lineRule="auto"/>
              <w:rPr>
                <w:rFonts w:hint="eastAsia" w:ascii="宋体" w:hAnsi="宋体" w:eastAsia="宋体" w:cs="宋体"/>
                <w:color w:val="auto"/>
                <w:sz w:val="28"/>
                <w:szCs w:val="28"/>
                <w:highlight w:val="none"/>
              </w:rPr>
            </w:pPr>
          </w:p>
        </w:tc>
        <w:tc>
          <w:tcPr>
            <w:tcW w:w="1243" w:type="dxa"/>
            <w:tcBorders>
              <w:top w:val="nil"/>
            </w:tcBorders>
            <w:noWrap w:val="0"/>
            <w:vAlign w:val="center"/>
          </w:tcPr>
          <w:p w14:paraId="2EDC2D96">
            <w:pPr>
              <w:pStyle w:val="9"/>
              <w:wordWrap/>
              <w:topLinePunct w:val="0"/>
              <w:spacing w:line="360" w:lineRule="auto"/>
              <w:rPr>
                <w:rFonts w:hint="eastAsia" w:ascii="宋体" w:hAnsi="宋体" w:eastAsia="宋体" w:cs="宋体"/>
                <w:color w:val="auto"/>
                <w:sz w:val="28"/>
                <w:szCs w:val="28"/>
                <w:highlight w:val="none"/>
              </w:rPr>
            </w:pPr>
          </w:p>
        </w:tc>
        <w:tc>
          <w:tcPr>
            <w:tcW w:w="1450" w:type="dxa"/>
            <w:tcBorders>
              <w:top w:val="nil"/>
            </w:tcBorders>
            <w:noWrap w:val="0"/>
            <w:vAlign w:val="center"/>
          </w:tcPr>
          <w:p w14:paraId="0FB04781">
            <w:pPr>
              <w:pStyle w:val="9"/>
              <w:wordWrap/>
              <w:topLinePunct w:val="0"/>
              <w:spacing w:line="360" w:lineRule="auto"/>
              <w:rPr>
                <w:rFonts w:hint="eastAsia" w:ascii="宋体" w:hAnsi="宋体" w:eastAsia="宋体" w:cs="宋体"/>
                <w:color w:val="auto"/>
                <w:sz w:val="28"/>
                <w:szCs w:val="28"/>
                <w:highlight w:val="none"/>
              </w:rPr>
            </w:pPr>
          </w:p>
        </w:tc>
        <w:tc>
          <w:tcPr>
            <w:tcW w:w="1670" w:type="dxa"/>
            <w:tcBorders>
              <w:top w:val="nil"/>
            </w:tcBorders>
            <w:noWrap w:val="0"/>
            <w:vAlign w:val="center"/>
          </w:tcPr>
          <w:p w14:paraId="6FB8A339">
            <w:pPr>
              <w:pStyle w:val="9"/>
              <w:wordWrap/>
              <w:topLinePunct w:val="0"/>
              <w:spacing w:line="360" w:lineRule="auto"/>
              <w:rPr>
                <w:rFonts w:hint="eastAsia" w:ascii="宋体" w:hAnsi="宋体" w:eastAsia="宋体" w:cs="宋体"/>
                <w:color w:val="auto"/>
                <w:sz w:val="28"/>
                <w:szCs w:val="28"/>
                <w:highlight w:val="none"/>
              </w:rPr>
            </w:pPr>
          </w:p>
        </w:tc>
      </w:tr>
      <w:tr w14:paraId="2706B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18075FD8">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73DD5827">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39F3B421">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5D828304">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3C6C0606">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76E61F48">
            <w:pPr>
              <w:pStyle w:val="9"/>
              <w:wordWrap/>
              <w:topLinePunct w:val="0"/>
              <w:spacing w:line="360" w:lineRule="auto"/>
              <w:rPr>
                <w:rFonts w:hint="eastAsia" w:ascii="宋体" w:hAnsi="宋体" w:eastAsia="宋体" w:cs="宋体"/>
                <w:color w:val="auto"/>
                <w:sz w:val="28"/>
                <w:szCs w:val="28"/>
                <w:highlight w:val="none"/>
              </w:rPr>
            </w:pPr>
          </w:p>
        </w:tc>
      </w:tr>
      <w:tr w14:paraId="4FE8A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55181642">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3B4C75DB">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6DA23C67">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0328308E">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32125E1C">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192218AD">
            <w:pPr>
              <w:pStyle w:val="9"/>
              <w:wordWrap/>
              <w:topLinePunct w:val="0"/>
              <w:spacing w:line="360" w:lineRule="auto"/>
              <w:rPr>
                <w:rFonts w:hint="eastAsia" w:ascii="宋体" w:hAnsi="宋体" w:eastAsia="宋体" w:cs="宋体"/>
                <w:color w:val="auto"/>
                <w:sz w:val="28"/>
                <w:szCs w:val="28"/>
                <w:highlight w:val="none"/>
              </w:rPr>
            </w:pPr>
          </w:p>
        </w:tc>
      </w:tr>
      <w:tr w14:paraId="3E9CC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6C69A1D">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5EAAF83F">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1E90EC11">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464C6618">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0743E84E">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2CEAB9D0">
            <w:pPr>
              <w:pStyle w:val="9"/>
              <w:wordWrap/>
              <w:topLinePunct w:val="0"/>
              <w:spacing w:line="360" w:lineRule="auto"/>
              <w:rPr>
                <w:rFonts w:hint="eastAsia" w:ascii="宋体" w:hAnsi="宋体" w:eastAsia="宋体" w:cs="宋体"/>
                <w:color w:val="auto"/>
                <w:sz w:val="28"/>
                <w:szCs w:val="28"/>
                <w:highlight w:val="none"/>
              </w:rPr>
            </w:pPr>
          </w:p>
        </w:tc>
      </w:tr>
      <w:tr w14:paraId="10301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50328392">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6F611BC0">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7C346B1A">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5211E19F">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633A1BAF">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0AA0ABF7">
            <w:pPr>
              <w:pStyle w:val="9"/>
              <w:wordWrap/>
              <w:topLinePunct w:val="0"/>
              <w:spacing w:line="360" w:lineRule="auto"/>
              <w:rPr>
                <w:rFonts w:hint="eastAsia" w:ascii="宋体" w:hAnsi="宋体" w:eastAsia="宋体" w:cs="宋体"/>
                <w:color w:val="auto"/>
                <w:sz w:val="28"/>
                <w:szCs w:val="28"/>
                <w:highlight w:val="none"/>
              </w:rPr>
            </w:pPr>
          </w:p>
        </w:tc>
      </w:tr>
      <w:tr w14:paraId="1E1BBF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74E40B93">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528B9EC6">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03E2E32B">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608FCBE3">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76813A28">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0D67F02C">
            <w:pPr>
              <w:pStyle w:val="9"/>
              <w:wordWrap/>
              <w:topLinePunct w:val="0"/>
              <w:spacing w:line="360" w:lineRule="auto"/>
              <w:rPr>
                <w:rFonts w:hint="eastAsia" w:ascii="宋体" w:hAnsi="宋体" w:eastAsia="宋体" w:cs="宋体"/>
                <w:color w:val="auto"/>
                <w:sz w:val="28"/>
                <w:szCs w:val="28"/>
                <w:highlight w:val="none"/>
              </w:rPr>
            </w:pPr>
          </w:p>
        </w:tc>
      </w:tr>
      <w:tr w14:paraId="66A3A9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6E4724E1">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058B057A">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0705E630">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0D5A69FB">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4BEA4CF7">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292118D2">
            <w:pPr>
              <w:pStyle w:val="9"/>
              <w:wordWrap/>
              <w:topLinePunct w:val="0"/>
              <w:spacing w:line="360" w:lineRule="auto"/>
              <w:rPr>
                <w:rFonts w:hint="eastAsia" w:ascii="宋体" w:hAnsi="宋体" w:eastAsia="宋体" w:cs="宋体"/>
                <w:color w:val="auto"/>
                <w:sz w:val="28"/>
                <w:szCs w:val="28"/>
                <w:highlight w:val="none"/>
              </w:rPr>
            </w:pPr>
          </w:p>
        </w:tc>
      </w:tr>
      <w:tr w14:paraId="5BAAA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03C81D6D">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2C470FC6">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2D3A707C">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007B6B91">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001B5F23">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58B2C812">
            <w:pPr>
              <w:wordWrap/>
              <w:topLinePunct w:val="0"/>
              <w:spacing w:line="360" w:lineRule="auto"/>
              <w:rPr>
                <w:rFonts w:hint="eastAsia" w:ascii="宋体" w:hAnsi="宋体" w:eastAsia="宋体" w:cs="宋体"/>
                <w:color w:val="auto"/>
                <w:sz w:val="28"/>
                <w:szCs w:val="28"/>
                <w:highlight w:val="none"/>
              </w:rPr>
            </w:pPr>
          </w:p>
        </w:tc>
      </w:tr>
      <w:tr w14:paraId="2205C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center"/>
          </w:tcPr>
          <w:p w14:paraId="06BC9515">
            <w:pPr>
              <w:pStyle w:val="9"/>
              <w:wordWrap/>
              <w:topLinePunct w:val="0"/>
              <w:spacing w:line="360" w:lineRule="auto"/>
              <w:rPr>
                <w:rFonts w:hint="eastAsia" w:ascii="宋体" w:hAnsi="宋体" w:eastAsia="宋体" w:cs="宋体"/>
                <w:color w:val="auto"/>
                <w:sz w:val="28"/>
                <w:szCs w:val="28"/>
                <w:highlight w:val="none"/>
              </w:rPr>
            </w:pPr>
          </w:p>
        </w:tc>
        <w:tc>
          <w:tcPr>
            <w:tcW w:w="1276" w:type="dxa"/>
            <w:noWrap w:val="0"/>
            <w:vAlign w:val="center"/>
          </w:tcPr>
          <w:p w14:paraId="41BBD197">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166AC3A0">
            <w:pPr>
              <w:pStyle w:val="9"/>
              <w:wordWrap/>
              <w:topLinePunct w:val="0"/>
              <w:spacing w:line="360" w:lineRule="auto"/>
              <w:rPr>
                <w:rFonts w:hint="eastAsia" w:ascii="宋体" w:hAnsi="宋体" w:eastAsia="宋体" w:cs="宋体"/>
                <w:color w:val="auto"/>
                <w:sz w:val="28"/>
                <w:szCs w:val="28"/>
                <w:highlight w:val="none"/>
              </w:rPr>
            </w:pPr>
          </w:p>
        </w:tc>
        <w:tc>
          <w:tcPr>
            <w:tcW w:w="1243" w:type="dxa"/>
            <w:noWrap w:val="0"/>
            <w:vAlign w:val="center"/>
          </w:tcPr>
          <w:p w14:paraId="60822415">
            <w:pPr>
              <w:pStyle w:val="9"/>
              <w:wordWrap/>
              <w:topLinePunct w:val="0"/>
              <w:spacing w:line="360" w:lineRule="auto"/>
              <w:rPr>
                <w:rFonts w:hint="eastAsia" w:ascii="宋体" w:hAnsi="宋体" w:eastAsia="宋体" w:cs="宋体"/>
                <w:color w:val="auto"/>
                <w:sz w:val="28"/>
                <w:szCs w:val="28"/>
                <w:highlight w:val="none"/>
              </w:rPr>
            </w:pPr>
          </w:p>
        </w:tc>
        <w:tc>
          <w:tcPr>
            <w:tcW w:w="1450" w:type="dxa"/>
            <w:noWrap w:val="0"/>
            <w:vAlign w:val="center"/>
          </w:tcPr>
          <w:p w14:paraId="4692609F">
            <w:pPr>
              <w:pStyle w:val="9"/>
              <w:wordWrap/>
              <w:topLinePunct w:val="0"/>
              <w:spacing w:line="360" w:lineRule="auto"/>
              <w:rPr>
                <w:rFonts w:hint="eastAsia" w:ascii="宋体" w:hAnsi="宋体" w:eastAsia="宋体" w:cs="宋体"/>
                <w:color w:val="auto"/>
                <w:sz w:val="28"/>
                <w:szCs w:val="28"/>
                <w:highlight w:val="none"/>
              </w:rPr>
            </w:pPr>
          </w:p>
        </w:tc>
        <w:tc>
          <w:tcPr>
            <w:tcW w:w="1670" w:type="dxa"/>
            <w:noWrap w:val="0"/>
            <w:vAlign w:val="center"/>
          </w:tcPr>
          <w:p w14:paraId="223C7A8A">
            <w:pPr>
              <w:pStyle w:val="9"/>
              <w:wordWrap/>
              <w:topLinePunct w:val="0"/>
              <w:spacing w:line="360" w:lineRule="auto"/>
              <w:rPr>
                <w:rFonts w:hint="eastAsia" w:ascii="宋体" w:hAnsi="宋体" w:eastAsia="宋体" w:cs="宋体"/>
                <w:color w:val="auto"/>
                <w:sz w:val="28"/>
                <w:szCs w:val="28"/>
                <w:highlight w:val="none"/>
              </w:rPr>
            </w:pPr>
          </w:p>
        </w:tc>
      </w:tr>
      <w:tr w14:paraId="43036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91FAE7D">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78F8598A">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42D134C0">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7A3A3956">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10BFE186">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78551BB0">
            <w:pPr>
              <w:wordWrap/>
              <w:topLinePunct w:val="0"/>
              <w:spacing w:line="360" w:lineRule="auto"/>
              <w:rPr>
                <w:rFonts w:hint="eastAsia" w:ascii="宋体" w:hAnsi="宋体" w:eastAsia="宋体" w:cs="宋体"/>
                <w:color w:val="auto"/>
                <w:sz w:val="28"/>
                <w:szCs w:val="28"/>
                <w:highlight w:val="none"/>
              </w:rPr>
            </w:pPr>
          </w:p>
        </w:tc>
      </w:tr>
      <w:tr w14:paraId="08E8E5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414D277B">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775AB0E6">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5BFB3D68">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7C1F41D2">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1440AB1D">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74B930C5">
            <w:pPr>
              <w:wordWrap/>
              <w:topLinePunct w:val="0"/>
              <w:spacing w:line="360" w:lineRule="auto"/>
              <w:rPr>
                <w:rFonts w:hint="eastAsia" w:ascii="宋体" w:hAnsi="宋体" w:eastAsia="宋体" w:cs="宋体"/>
                <w:color w:val="auto"/>
                <w:sz w:val="28"/>
                <w:szCs w:val="28"/>
                <w:highlight w:val="none"/>
              </w:rPr>
            </w:pPr>
          </w:p>
        </w:tc>
      </w:tr>
      <w:tr w14:paraId="05165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39D6CFF3">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6B8106E4">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0A5269AE">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2F4DE916">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2E079C70">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1E2625CC">
            <w:pPr>
              <w:wordWrap/>
              <w:topLinePunct w:val="0"/>
              <w:spacing w:line="360" w:lineRule="auto"/>
              <w:rPr>
                <w:rFonts w:hint="eastAsia" w:ascii="宋体" w:hAnsi="宋体" w:eastAsia="宋体" w:cs="宋体"/>
                <w:color w:val="auto"/>
                <w:sz w:val="28"/>
                <w:szCs w:val="28"/>
                <w:highlight w:val="none"/>
              </w:rPr>
            </w:pPr>
          </w:p>
        </w:tc>
      </w:tr>
      <w:tr w14:paraId="1B666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5527E142">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5FBB69CC">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78395AC6">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09786596">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4719A7A6">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143E697D">
            <w:pPr>
              <w:wordWrap/>
              <w:topLinePunct w:val="0"/>
              <w:spacing w:line="360" w:lineRule="auto"/>
              <w:rPr>
                <w:rFonts w:hint="eastAsia" w:ascii="宋体" w:hAnsi="宋体" w:eastAsia="宋体" w:cs="宋体"/>
                <w:color w:val="auto"/>
                <w:sz w:val="28"/>
                <w:szCs w:val="28"/>
                <w:highlight w:val="none"/>
              </w:rPr>
            </w:pPr>
          </w:p>
        </w:tc>
      </w:tr>
      <w:tr w14:paraId="18622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1A6190D6">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4B46D0DA">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3314CA9B">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21F1A527">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350CF058">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4AACCB84">
            <w:pPr>
              <w:wordWrap/>
              <w:topLinePunct w:val="0"/>
              <w:spacing w:line="360" w:lineRule="auto"/>
              <w:rPr>
                <w:rFonts w:hint="eastAsia" w:ascii="宋体" w:hAnsi="宋体" w:eastAsia="宋体" w:cs="宋体"/>
                <w:color w:val="auto"/>
                <w:sz w:val="28"/>
                <w:szCs w:val="28"/>
                <w:highlight w:val="none"/>
              </w:rPr>
            </w:pPr>
          </w:p>
        </w:tc>
      </w:tr>
      <w:tr w14:paraId="4E795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60789BE8">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03C42BBD">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4CDC924D">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77CE69C3">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5244EB82">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6A00B286">
            <w:pPr>
              <w:wordWrap/>
              <w:topLinePunct w:val="0"/>
              <w:spacing w:line="360" w:lineRule="auto"/>
              <w:rPr>
                <w:rFonts w:hint="eastAsia" w:ascii="宋体" w:hAnsi="宋体" w:eastAsia="宋体" w:cs="宋体"/>
                <w:color w:val="auto"/>
                <w:sz w:val="28"/>
                <w:szCs w:val="28"/>
                <w:highlight w:val="none"/>
              </w:rPr>
            </w:pPr>
          </w:p>
        </w:tc>
      </w:tr>
      <w:tr w14:paraId="1B5CCB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noWrap w:val="0"/>
            <w:vAlign w:val="top"/>
          </w:tcPr>
          <w:p w14:paraId="2C587EC3">
            <w:pPr>
              <w:wordWrap/>
              <w:topLinePunct w:val="0"/>
              <w:spacing w:line="360" w:lineRule="auto"/>
              <w:rPr>
                <w:rFonts w:hint="eastAsia" w:ascii="宋体" w:hAnsi="宋体" w:eastAsia="宋体" w:cs="宋体"/>
                <w:color w:val="auto"/>
                <w:sz w:val="28"/>
                <w:szCs w:val="28"/>
                <w:highlight w:val="none"/>
              </w:rPr>
            </w:pPr>
          </w:p>
        </w:tc>
        <w:tc>
          <w:tcPr>
            <w:tcW w:w="1276" w:type="dxa"/>
            <w:noWrap w:val="0"/>
            <w:vAlign w:val="top"/>
          </w:tcPr>
          <w:p w14:paraId="67E10A4A">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4DF1EEF3">
            <w:pPr>
              <w:wordWrap/>
              <w:topLinePunct w:val="0"/>
              <w:spacing w:line="360" w:lineRule="auto"/>
              <w:rPr>
                <w:rFonts w:hint="eastAsia" w:ascii="宋体" w:hAnsi="宋体" w:eastAsia="宋体" w:cs="宋体"/>
                <w:color w:val="auto"/>
                <w:sz w:val="28"/>
                <w:szCs w:val="28"/>
                <w:highlight w:val="none"/>
              </w:rPr>
            </w:pPr>
          </w:p>
        </w:tc>
        <w:tc>
          <w:tcPr>
            <w:tcW w:w="1243" w:type="dxa"/>
            <w:noWrap w:val="0"/>
            <w:vAlign w:val="top"/>
          </w:tcPr>
          <w:p w14:paraId="466AE10E">
            <w:pPr>
              <w:wordWrap/>
              <w:topLinePunct w:val="0"/>
              <w:spacing w:line="360" w:lineRule="auto"/>
              <w:rPr>
                <w:rFonts w:hint="eastAsia" w:ascii="宋体" w:hAnsi="宋体" w:eastAsia="宋体" w:cs="宋体"/>
                <w:color w:val="auto"/>
                <w:sz w:val="28"/>
                <w:szCs w:val="28"/>
                <w:highlight w:val="none"/>
              </w:rPr>
            </w:pPr>
          </w:p>
        </w:tc>
        <w:tc>
          <w:tcPr>
            <w:tcW w:w="1450" w:type="dxa"/>
            <w:noWrap w:val="0"/>
            <w:vAlign w:val="top"/>
          </w:tcPr>
          <w:p w14:paraId="3061F615">
            <w:pPr>
              <w:wordWrap/>
              <w:topLinePunct w:val="0"/>
              <w:spacing w:line="360" w:lineRule="auto"/>
              <w:rPr>
                <w:rFonts w:hint="eastAsia" w:ascii="宋体" w:hAnsi="宋体" w:eastAsia="宋体" w:cs="宋体"/>
                <w:color w:val="auto"/>
                <w:sz w:val="28"/>
                <w:szCs w:val="28"/>
                <w:highlight w:val="none"/>
              </w:rPr>
            </w:pPr>
          </w:p>
        </w:tc>
        <w:tc>
          <w:tcPr>
            <w:tcW w:w="1670" w:type="dxa"/>
            <w:noWrap w:val="0"/>
            <w:vAlign w:val="top"/>
          </w:tcPr>
          <w:p w14:paraId="39A1C676">
            <w:pPr>
              <w:wordWrap/>
              <w:topLinePunct w:val="0"/>
              <w:spacing w:line="360" w:lineRule="auto"/>
              <w:rPr>
                <w:rFonts w:hint="eastAsia" w:ascii="宋体" w:hAnsi="宋体" w:eastAsia="宋体" w:cs="宋体"/>
                <w:color w:val="auto"/>
                <w:sz w:val="28"/>
                <w:szCs w:val="28"/>
                <w:highlight w:val="none"/>
              </w:rPr>
            </w:pPr>
          </w:p>
        </w:tc>
      </w:tr>
    </w:tbl>
    <w:p w14:paraId="3313E868">
      <w:pPr>
        <w:wordWrap/>
        <w:topLinePunct w:val="0"/>
        <w:spacing w:line="360" w:lineRule="auto"/>
        <w:rPr>
          <w:rFonts w:hint="eastAsia" w:ascii="宋体" w:hAnsi="宋体" w:eastAsia="宋体" w:cs="宋体"/>
          <w:color w:val="auto"/>
          <w:sz w:val="28"/>
          <w:szCs w:val="28"/>
          <w:highlight w:val="none"/>
        </w:rPr>
        <w:sectPr>
          <w:pgSz w:w="11906" w:h="16838"/>
          <w:pgMar w:top="1213" w:right="1236" w:bottom="1213" w:left="1236" w:header="720" w:footer="998" w:gutter="0"/>
          <w:pgNumType w:fmt="numberInDash"/>
          <w:cols w:space="720" w:num="1"/>
          <w:docGrid w:linePitch="326" w:charSpace="0"/>
        </w:sectPr>
      </w:pPr>
    </w:p>
    <w:p w14:paraId="39450945">
      <w:pPr>
        <w:pStyle w:val="39"/>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附件5 承包人主要管理人员表</w:t>
      </w:r>
    </w:p>
    <w:tbl>
      <w:tblPr>
        <w:tblStyle w:val="18"/>
        <w:tblW w:w="90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763FA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bottom w:val="double" w:color="auto" w:sz="6" w:space="0"/>
            </w:tcBorders>
            <w:noWrap w:val="0"/>
            <w:vAlign w:val="center"/>
          </w:tcPr>
          <w:p w14:paraId="052228DD">
            <w:pPr>
              <w:pStyle w:val="9"/>
              <w:wordWrap/>
              <w:topLinePunct w:val="0"/>
              <w:spacing w:after="0" w:afterLines="0" w:line="240" w:lineRule="auto"/>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w:t>
            </w:r>
          </w:p>
        </w:tc>
        <w:tc>
          <w:tcPr>
            <w:tcW w:w="1418" w:type="dxa"/>
            <w:tcBorders>
              <w:top w:val="single" w:color="auto" w:sz="12" w:space="0"/>
              <w:bottom w:val="double" w:color="auto" w:sz="6" w:space="0"/>
            </w:tcBorders>
            <w:noWrap w:val="0"/>
            <w:vAlign w:val="center"/>
          </w:tcPr>
          <w:p w14:paraId="3A0DFFC0">
            <w:pPr>
              <w:pStyle w:val="9"/>
              <w:wordWrap/>
              <w:topLinePunct w:val="0"/>
              <w:spacing w:after="0" w:afterLines="0" w:line="240" w:lineRule="auto"/>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1134" w:type="dxa"/>
            <w:tcBorders>
              <w:top w:val="single" w:color="auto" w:sz="12" w:space="0"/>
              <w:bottom w:val="double" w:color="auto" w:sz="6" w:space="0"/>
            </w:tcBorders>
            <w:noWrap w:val="0"/>
            <w:vAlign w:val="center"/>
          </w:tcPr>
          <w:p w14:paraId="1A160A93">
            <w:pPr>
              <w:pStyle w:val="9"/>
              <w:wordWrap/>
              <w:topLinePunct w:val="0"/>
              <w:spacing w:after="0" w:afterLines="0" w:line="240" w:lineRule="auto"/>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1134" w:type="dxa"/>
            <w:tcBorders>
              <w:top w:val="single" w:color="auto" w:sz="12" w:space="0"/>
              <w:bottom w:val="double" w:color="auto" w:sz="6" w:space="0"/>
            </w:tcBorders>
            <w:noWrap w:val="0"/>
            <w:vAlign w:val="center"/>
          </w:tcPr>
          <w:p w14:paraId="0D8A73D4">
            <w:pPr>
              <w:pStyle w:val="9"/>
              <w:wordWrap/>
              <w:topLinePunct w:val="0"/>
              <w:spacing w:after="0" w:afterLines="0" w:line="240" w:lineRule="auto"/>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职称</w:t>
            </w:r>
          </w:p>
        </w:tc>
        <w:tc>
          <w:tcPr>
            <w:tcW w:w="3896" w:type="dxa"/>
            <w:tcBorders>
              <w:top w:val="single" w:color="auto" w:sz="12" w:space="0"/>
              <w:bottom w:val="double" w:color="auto" w:sz="6" w:space="0"/>
            </w:tcBorders>
            <w:noWrap w:val="0"/>
            <w:vAlign w:val="center"/>
          </w:tcPr>
          <w:p w14:paraId="7D9E36EE">
            <w:pPr>
              <w:pStyle w:val="9"/>
              <w:wordWrap/>
              <w:topLinePunct w:val="0"/>
              <w:spacing w:after="0" w:afterLines="0" w:line="240" w:lineRule="auto"/>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主要资历、经验及承担过的项目</w:t>
            </w:r>
          </w:p>
        </w:tc>
      </w:tr>
      <w:tr w14:paraId="34A608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6" w:space="0"/>
              <w:bottom w:val="single" w:color="auto" w:sz="6" w:space="0"/>
            </w:tcBorders>
            <w:noWrap w:val="0"/>
            <w:vAlign w:val="center"/>
          </w:tcPr>
          <w:p w14:paraId="1E0B2135">
            <w:pPr>
              <w:pStyle w:val="9"/>
              <w:wordWrap/>
              <w:topLinePunct w:val="0"/>
              <w:spacing w:after="0" w:afterLines="0" w:line="360" w:lineRule="auto"/>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一、总部人员</w:t>
            </w:r>
          </w:p>
        </w:tc>
      </w:tr>
      <w:tr w14:paraId="7D3CB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5CBF2EC9">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项目主管</w:t>
            </w:r>
          </w:p>
        </w:tc>
        <w:tc>
          <w:tcPr>
            <w:tcW w:w="1418" w:type="dxa"/>
            <w:tcBorders>
              <w:top w:val="nil"/>
            </w:tcBorders>
            <w:noWrap w:val="0"/>
            <w:vAlign w:val="center"/>
          </w:tcPr>
          <w:p w14:paraId="19F88CEF">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tcBorders>
              <w:top w:val="nil"/>
            </w:tcBorders>
            <w:noWrap w:val="0"/>
            <w:vAlign w:val="center"/>
          </w:tcPr>
          <w:p w14:paraId="3D1D2846">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tcBorders>
              <w:top w:val="nil"/>
            </w:tcBorders>
            <w:noWrap w:val="0"/>
            <w:vAlign w:val="center"/>
          </w:tcPr>
          <w:p w14:paraId="4A17E4C1">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tcBorders>
              <w:top w:val="nil"/>
            </w:tcBorders>
            <w:noWrap w:val="0"/>
            <w:vAlign w:val="center"/>
          </w:tcPr>
          <w:p w14:paraId="0B8369E4">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66D57F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bottom w:val="nil"/>
            </w:tcBorders>
            <w:noWrap w:val="0"/>
            <w:vAlign w:val="center"/>
          </w:tcPr>
          <w:p w14:paraId="2C89C201">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其他人员</w:t>
            </w:r>
          </w:p>
        </w:tc>
        <w:tc>
          <w:tcPr>
            <w:tcW w:w="1418" w:type="dxa"/>
            <w:noWrap w:val="0"/>
            <w:vAlign w:val="center"/>
          </w:tcPr>
          <w:p w14:paraId="48706122">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117987D0">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3101F6AF">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2A414893">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784E4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bottom w:val="single" w:color="auto" w:sz="6" w:space="0"/>
            </w:tcBorders>
            <w:noWrap w:val="0"/>
            <w:vAlign w:val="center"/>
          </w:tcPr>
          <w:p w14:paraId="00D81F87">
            <w:pPr>
              <w:pStyle w:val="9"/>
              <w:wordWrap/>
              <w:topLinePunct w:val="0"/>
              <w:spacing w:after="0" w:afterLines="0" w:line="360" w:lineRule="auto"/>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二、现场人员</w:t>
            </w:r>
          </w:p>
        </w:tc>
      </w:tr>
      <w:tr w14:paraId="418B4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3E586790">
            <w:pPr>
              <w:pStyle w:val="9"/>
              <w:wordWrap/>
              <w:topLinePunct w:val="0"/>
              <w:spacing w:after="0" w:afterLines="0"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工程总承包</w:t>
            </w:r>
          </w:p>
          <w:p w14:paraId="0C47C2E0">
            <w:pPr>
              <w:pStyle w:val="9"/>
              <w:wordWrap/>
              <w:topLinePunct w:val="0"/>
              <w:spacing w:after="0" w:afterLines="0"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项目经理</w:t>
            </w:r>
          </w:p>
        </w:tc>
        <w:tc>
          <w:tcPr>
            <w:tcW w:w="1418" w:type="dxa"/>
            <w:noWrap w:val="0"/>
            <w:vAlign w:val="center"/>
          </w:tcPr>
          <w:p w14:paraId="52760DD3">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133F0F16">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59795933">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11C1A175">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7FAA5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2C446B3">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项目副经理</w:t>
            </w:r>
          </w:p>
        </w:tc>
        <w:tc>
          <w:tcPr>
            <w:tcW w:w="1418" w:type="dxa"/>
            <w:noWrap w:val="0"/>
            <w:vAlign w:val="center"/>
          </w:tcPr>
          <w:p w14:paraId="24A75127">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2C690548">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4040F7E5">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640D1B12">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3DB4D4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16B38AA3">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设计负责人</w:t>
            </w:r>
          </w:p>
        </w:tc>
        <w:tc>
          <w:tcPr>
            <w:tcW w:w="1418" w:type="dxa"/>
            <w:noWrap w:val="0"/>
            <w:vAlign w:val="center"/>
          </w:tcPr>
          <w:p w14:paraId="474D5EEE">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52ED2019">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45DC8D63">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13509B3B">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680AD8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E928A7B">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采购负责人</w:t>
            </w:r>
          </w:p>
        </w:tc>
        <w:tc>
          <w:tcPr>
            <w:tcW w:w="1418" w:type="dxa"/>
            <w:noWrap w:val="0"/>
            <w:vAlign w:val="center"/>
          </w:tcPr>
          <w:p w14:paraId="51B5BBF1">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5174A295">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43BCCBA8">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47A4045B">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7DE45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C169BF5">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施工负责人</w:t>
            </w:r>
          </w:p>
        </w:tc>
        <w:tc>
          <w:tcPr>
            <w:tcW w:w="1418" w:type="dxa"/>
            <w:noWrap w:val="0"/>
            <w:vAlign w:val="center"/>
          </w:tcPr>
          <w:p w14:paraId="7661CC48">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5F449C26">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07BB0EF6">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5D3B10B6">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552133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4481FA14">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技术负责人</w:t>
            </w:r>
          </w:p>
        </w:tc>
        <w:tc>
          <w:tcPr>
            <w:tcW w:w="1418" w:type="dxa"/>
            <w:noWrap w:val="0"/>
            <w:vAlign w:val="center"/>
          </w:tcPr>
          <w:p w14:paraId="096CED80">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2F69F4D3">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63DDD97A">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3018CECE">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13B3F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126566B1">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造价管理</w:t>
            </w:r>
          </w:p>
        </w:tc>
        <w:tc>
          <w:tcPr>
            <w:tcW w:w="1418" w:type="dxa"/>
            <w:noWrap w:val="0"/>
            <w:vAlign w:val="center"/>
          </w:tcPr>
          <w:p w14:paraId="3B7A051C">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1027B8B4">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37E81381">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7E638B0B">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15A23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7C7C84AA">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质量管理</w:t>
            </w:r>
          </w:p>
        </w:tc>
        <w:tc>
          <w:tcPr>
            <w:tcW w:w="1418" w:type="dxa"/>
            <w:noWrap w:val="0"/>
            <w:vAlign w:val="center"/>
          </w:tcPr>
          <w:p w14:paraId="673D92C0">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2D5BD555">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5C535A53">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10E26E42">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2C6A2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6B24CCB9">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计划管理</w:t>
            </w:r>
          </w:p>
        </w:tc>
        <w:tc>
          <w:tcPr>
            <w:tcW w:w="1418" w:type="dxa"/>
            <w:noWrap w:val="0"/>
            <w:vAlign w:val="center"/>
          </w:tcPr>
          <w:p w14:paraId="7395CB0D">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695F5B27">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6D5A782C">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70831A5A">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6DC505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18ADC6AB">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安全管理</w:t>
            </w:r>
          </w:p>
        </w:tc>
        <w:tc>
          <w:tcPr>
            <w:tcW w:w="1418" w:type="dxa"/>
            <w:noWrap w:val="0"/>
            <w:vAlign w:val="center"/>
          </w:tcPr>
          <w:p w14:paraId="4B215EF4">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0570D44D">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77CD97FE">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22BA1A77">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0BD27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bottom w:val="single" w:color="auto" w:sz="6" w:space="0"/>
            </w:tcBorders>
            <w:noWrap w:val="0"/>
            <w:vAlign w:val="center"/>
          </w:tcPr>
          <w:p w14:paraId="540D4286">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环境管理</w:t>
            </w:r>
          </w:p>
        </w:tc>
        <w:tc>
          <w:tcPr>
            <w:tcW w:w="1418" w:type="dxa"/>
            <w:noWrap w:val="0"/>
            <w:vAlign w:val="center"/>
          </w:tcPr>
          <w:p w14:paraId="703434CB">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54411AA6">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3AC89612">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333A382B">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r w14:paraId="6AE08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tcBorders>
            <w:noWrap w:val="0"/>
            <w:vAlign w:val="center"/>
          </w:tcPr>
          <w:p w14:paraId="55835BCA">
            <w:pPr>
              <w:pStyle w:val="9"/>
              <w:wordWrap/>
              <w:topLinePunct w:val="0"/>
              <w:spacing w:after="0" w:afterLines="0" w:line="360" w:lineRule="auto"/>
              <w:ind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其他人员</w:t>
            </w:r>
          </w:p>
        </w:tc>
        <w:tc>
          <w:tcPr>
            <w:tcW w:w="1418" w:type="dxa"/>
            <w:noWrap w:val="0"/>
            <w:vAlign w:val="center"/>
          </w:tcPr>
          <w:p w14:paraId="21ED8CDD">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46C080C2">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1134" w:type="dxa"/>
            <w:noWrap w:val="0"/>
            <w:vAlign w:val="center"/>
          </w:tcPr>
          <w:p w14:paraId="770167D4">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c>
          <w:tcPr>
            <w:tcW w:w="3896" w:type="dxa"/>
            <w:noWrap w:val="0"/>
            <w:vAlign w:val="center"/>
          </w:tcPr>
          <w:p w14:paraId="208E996C">
            <w:pPr>
              <w:pStyle w:val="9"/>
              <w:wordWrap/>
              <w:topLinePunct w:val="0"/>
              <w:spacing w:after="0" w:afterLines="0" w:line="360" w:lineRule="auto"/>
              <w:ind w:firstLine="420"/>
              <w:rPr>
                <w:rFonts w:hint="eastAsia" w:ascii="宋体" w:hAnsi="宋体" w:eastAsia="宋体" w:cs="宋体"/>
                <w:color w:val="auto"/>
                <w:sz w:val="28"/>
                <w:szCs w:val="28"/>
                <w:highlight w:val="none"/>
              </w:rPr>
            </w:pPr>
          </w:p>
        </w:tc>
      </w:tr>
    </w:tbl>
    <w:p w14:paraId="1C651F0D">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720FB114">
      <w:pPr>
        <w:pStyle w:val="39"/>
        <w:numPr>
          <w:ilvl w:val="0"/>
          <w:numId w:val="0"/>
        </w:num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附件6 价格指数权重表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379CE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noWrap w:val="0"/>
            <w:vAlign w:val="top"/>
          </w:tcPr>
          <w:p w14:paraId="0BC4207C">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460" w:type="dxa"/>
            <w:gridSpan w:val="2"/>
            <w:vMerge w:val="restart"/>
            <w:noWrap w:val="0"/>
            <w:vAlign w:val="top"/>
          </w:tcPr>
          <w:p w14:paraId="6CE86C82">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名称</w:t>
            </w:r>
          </w:p>
        </w:tc>
        <w:tc>
          <w:tcPr>
            <w:tcW w:w="2295" w:type="dxa"/>
            <w:gridSpan w:val="2"/>
            <w:noWrap w:val="0"/>
            <w:vAlign w:val="top"/>
          </w:tcPr>
          <w:p w14:paraId="61AE1DD1">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变更权重B</w:t>
            </w:r>
          </w:p>
        </w:tc>
        <w:tc>
          <w:tcPr>
            <w:tcW w:w="2445" w:type="dxa"/>
            <w:gridSpan w:val="2"/>
            <w:noWrap w:val="0"/>
            <w:vAlign w:val="top"/>
          </w:tcPr>
          <w:p w14:paraId="5D756478">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基本价格指数F0</w:t>
            </w:r>
          </w:p>
        </w:tc>
        <w:tc>
          <w:tcPr>
            <w:tcW w:w="1380" w:type="dxa"/>
            <w:noWrap w:val="0"/>
            <w:vAlign w:val="top"/>
          </w:tcPr>
          <w:p w14:paraId="18B390D4">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6DE4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829" w:type="dxa"/>
            <w:vMerge w:val="continue"/>
            <w:noWrap w:val="0"/>
            <w:vAlign w:val="top"/>
          </w:tcPr>
          <w:p w14:paraId="525FEDB2">
            <w:pPr>
              <w:wordWrap/>
              <w:topLinePunct w:val="0"/>
              <w:spacing w:line="360" w:lineRule="auto"/>
              <w:ind w:firstLine="0" w:firstLineChars="0"/>
              <w:rPr>
                <w:rFonts w:hint="eastAsia" w:ascii="宋体" w:hAnsi="宋体" w:eastAsia="宋体" w:cs="宋体"/>
                <w:color w:val="auto"/>
                <w:sz w:val="28"/>
                <w:szCs w:val="28"/>
                <w:highlight w:val="none"/>
              </w:rPr>
            </w:pPr>
          </w:p>
        </w:tc>
        <w:tc>
          <w:tcPr>
            <w:tcW w:w="1460" w:type="dxa"/>
            <w:gridSpan w:val="2"/>
            <w:vMerge w:val="continue"/>
            <w:noWrap w:val="0"/>
            <w:vAlign w:val="top"/>
          </w:tcPr>
          <w:p w14:paraId="49D6F623">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3ED73DB9">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代号</w:t>
            </w:r>
          </w:p>
        </w:tc>
        <w:tc>
          <w:tcPr>
            <w:tcW w:w="1080" w:type="dxa"/>
            <w:noWrap w:val="0"/>
            <w:vAlign w:val="top"/>
          </w:tcPr>
          <w:p w14:paraId="06D716D3">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权重</w:t>
            </w:r>
          </w:p>
        </w:tc>
        <w:tc>
          <w:tcPr>
            <w:tcW w:w="1215" w:type="dxa"/>
            <w:noWrap w:val="0"/>
            <w:vAlign w:val="top"/>
          </w:tcPr>
          <w:p w14:paraId="756E5BC1">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代号</w:t>
            </w:r>
          </w:p>
        </w:tc>
        <w:tc>
          <w:tcPr>
            <w:tcW w:w="1230" w:type="dxa"/>
            <w:noWrap w:val="0"/>
            <w:vAlign w:val="top"/>
          </w:tcPr>
          <w:p w14:paraId="78246438">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指数</w:t>
            </w:r>
          </w:p>
        </w:tc>
        <w:tc>
          <w:tcPr>
            <w:tcW w:w="1380" w:type="dxa"/>
            <w:noWrap w:val="0"/>
            <w:vAlign w:val="top"/>
          </w:tcPr>
          <w:p w14:paraId="2468EBF3">
            <w:pPr>
              <w:wordWrap/>
              <w:topLinePunct w:val="0"/>
              <w:spacing w:line="360" w:lineRule="auto"/>
              <w:ind w:firstLine="0" w:firstLineChars="0"/>
              <w:rPr>
                <w:rFonts w:hint="eastAsia" w:ascii="宋体" w:hAnsi="宋体" w:eastAsia="宋体" w:cs="宋体"/>
                <w:color w:val="auto"/>
                <w:sz w:val="28"/>
                <w:szCs w:val="28"/>
                <w:highlight w:val="none"/>
              </w:rPr>
            </w:pPr>
          </w:p>
        </w:tc>
      </w:tr>
      <w:tr w14:paraId="497C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640517F4">
            <w:pPr>
              <w:wordWrap/>
              <w:topLinePunct w:val="0"/>
              <w:spacing w:line="360" w:lineRule="auto"/>
              <w:ind w:firstLine="0" w:firstLineChars="0"/>
              <w:rPr>
                <w:rFonts w:hint="eastAsia" w:ascii="宋体" w:hAnsi="宋体" w:eastAsia="宋体" w:cs="宋体"/>
                <w:color w:val="auto"/>
                <w:sz w:val="28"/>
                <w:szCs w:val="28"/>
                <w:highlight w:val="none"/>
              </w:rPr>
            </w:pPr>
          </w:p>
        </w:tc>
        <w:tc>
          <w:tcPr>
            <w:tcW w:w="584" w:type="dxa"/>
            <w:vMerge w:val="restart"/>
            <w:noWrap w:val="0"/>
            <w:vAlign w:val="top"/>
          </w:tcPr>
          <w:p w14:paraId="36FA9EE3">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变</w:t>
            </w:r>
          </w:p>
          <w:p w14:paraId="6C584B66">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值</w:t>
            </w:r>
          </w:p>
          <w:p w14:paraId="65219AC5">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部</w:t>
            </w:r>
          </w:p>
          <w:p w14:paraId="6603CDF1">
            <w:pPr>
              <w:wordWrap/>
              <w:topLinePunct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w:t>
            </w:r>
          </w:p>
        </w:tc>
        <w:tc>
          <w:tcPr>
            <w:tcW w:w="876" w:type="dxa"/>
            <w:noWrap w:val="0"/>
            <w:vAlign w:val="top"/>
          </w:tcPr>
          <w:p w14:paraId="03E97AC2">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5674EF6D">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B1</w:t>
            </w:r>
          </w:p>
        </w:tc>
        <w:tc>
          <w:tcPr>
            <w:tcW w:w="1080" w:type="dxa"/>
            <w:noWrap w:val="0"/>
            <w:vAlign w:val="top"/>
          </w:tcPr>
          <w:p w14:paraId="4D44B491">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297BF63B">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F01</w:t>
            </w:r>
          </w:p>
        </w:tc>
        <w:tc>
          <w:tcPr>
            <w:tcW w:w="1230" w:type="dxa"/>
            <w:noWrap w:val="0"/>
            <w:vAlign w:val="top"/>
          </w:tcPr>
          <w:p w14:paraId="00EB6781">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65AE9D3B">
            <w:pPr>
              <w:wordWrap/>
              <w:topLinePunct w:val="0"/>
              <w:spacing w:line="360" w:lineRule="auto"/>
              <w:ind w:firstLine="0" w:firstLineChars="0"/>
              <w:rPr>
                <w:rFonts w:hint="eastAsia" w:ascii="宋体" w:hAnsi="宋体" w:eastAsia="宋体" w:cs="宋体"/>
                <w:color w:val="auto"/>
                <w:sz w:val="28"/>
                <w:szCs w:val="28"/>
                <w:highlight w:val="none"/>
              </w:rPr>
            </w:pPr>
          </w:p>
        </w:tc>
      </w:tr>
      <w:tr w14:paraId="7B7B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37C2FED6">
            <w:pPr>
              <w:wordWrap/>
              <w:topLinePunct w:val="0"/>
              <w:spacing w:line="360" w:lineRule="auto"/>
              <w:ind w:firstLine="0" w:firstLineChars="0"/>
              <w:rPr>
                <w:rFonts w:hint="eastAsia" w:ascii="宋体" w:hAnsi="宋体" w:eastAsia="宋体" w:cs="宋体"/>
                <w:color w:val="auto"/>
                <w:sz w:val="28"/>
                <w:szCs w:val="28"/>
                <w:highlight w:val="none"/>
              </w:rPr>
            </w:pPr>
          </w:p>
        </w:tc>
        <w:tc>
          <w:tcPr>
            <w:tcW w:w="584" w:type="dxa"/>
            <w:vMerge w:val="continue"/>
            <w:noWrap w:val="0"/>
            <w:vAlign w:val="top"/>
          </w:tcPr>
          <w:p w14:paraId="1F268C77">
            <w:pPr>
              <w:wordWrap/>
              <w:topLinePunct w:val="0"/>
              <w:spacing w:line="360" w:lineRule="auto"/>
              <w:ind w:firstLine="0" w:firstLineChars="0"/>
              <w:rPr>
                <w:rFonts w:hint="eastAsia" w:ascii="宋体" w:hAnsi="宋体" w:eastAsia="宋体" w:cs="宋体"/>
                <w:color w:val="auto"/>
                <w:sz w:val="28"/>
                <w:szCs w:val="28"/>
                <w:highlight w:val="none"/>
              </w:rPr>
            </w:pPr>
          </w:p>
        </w:tc>
        <w:tc>
          <w:tcPr>
            <w:tcW w:w="876" w:type="dxa"/>
            <w:noWrap w:val="0"/>
            <w:vAlign w:val="top"/>
          </w:tcPr>
          <w:p w14:paraId="21118D9D">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28707CB1">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B2</w:t>
            </w:r>
          </w:p>
        </w:tc>
        <w:tc>
          <w:tcPr>
            <w:tcW w:w="1080" w:type="dxa"/>
            <w:noWrap w:val="0"/>
            <w:vAlign w:val="top"/>
          </w:tcPr>
          <w:p w14:paraId="111E2F84">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3D25EC13">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F02</w:t>
            </w:r>
          </w:p>
        </w:tc>
        <w:tc>
          <w:tcPr>
            <w:tcW w:w="1230" w:type="dxa"/>
            <w:noWrap w:val="0"/>
            <w:vAlign w:val="top"/>
          </w:tcPr>
          <w:p w14:paraId="68C856B1">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3A2A8DA3">
            <w:pPr>
              <w:wordWrap/>
              <w:topLinePunct w:val="0"/>
              <w:spacing w:line="360" w:lineRule="auto"/>
              <w:ind w:firstLine="0" w:firstLineChars="0"/>
              <w:rPr>
                <w:rFonts w:hint="eastAsia" w:ascii="宋体" w:hAnsi="宋体" w:eastAsia="宋体" w:cs="宋体"/>
                <w:color w:val="auto"/>
                <w:sz w:val="28"/>
                <w:szCs w:val="28"/>
                <w:highlight w:val="none"/>
              </w:rPr>
            </w:pPr>
          </w:p>
        </w:tc>
      </w:tr>
      <w:tr w14:paraId="4652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671B83E0">
            <w:pPr>
              <w:wordWrap/>
              <w:topLinePunct w:val="0"/>
              <w:spacing w:line="360" w:lineRule="auto"/>
              <w:ind w:firstLine="0" w:firstLineChars="0"/>
              <w:rPr>
                <w:rFonts w:hint="eastAsia" w:ascii="宋体" w:hAnsi="宋体" w:eastAsia="宋体" w:cs="宋体"/>
                <w:color w:val="auto"/>
                <w:sz w:val="28"/>
                <w:szCs w:val="28"/>
                <w:highlight w:val="none"/>
              </w:rPr>
            </w:pPr>
          </w:p>
        </w:tc>
        <w:tc>
          <w:tcPr>
            <w:tcW w:w="584" w:type="dxa"/>
            <w:vMerge w:val="continue"/>
            <w:noWrap w:val="0"/>
            <w:vAlign w:val="top"/>
          </w:tcPr>
          <w:p w14:paraId="39E7541D">
            <w:pPr>
              <w:wordWrap/>
              <w:topLinePunct w:val="0"/>
              <w:spacing w:line="360" w:lineRule="auto"/>
              <w:ind w:firstLine="0" w:firstLineChars="0"/>
              <w:rPr>
                <w:rFonts w:hint="eastAsia" w:ascii="宋体" w:hAnsi="宋体" w:eastAsia="宋体" w:cs="宋体"/>
                <w:color w:val="auto"/>
                <w:sz w:val="28"/>
                <w:szCs w:val="28"/>
                <w:highlight w:val="none"/>
              </w:rPr>
            </w:pPr>
          </w:p>
        </w:tc>
        <w:tc>
          <w:tcPr>
            <w:tcW w:w="876" w:type="dxa"/>
            <w:noWrap w:val="0"/>
            <w:vAlign w:val="top"/>
          </w:tcPr>
          <w:p w14:paraId="66B19348">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3257A634">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B3</w:t>
            </w:r>
          </w:p>
        </w:tc>
        <w:tc>
          <w:tcPr>
            <w:tcW w:w="1080" w:type="dxa"/>
            <w:noWrap w:val="0"/>
            <w:vAlign w:val="top"/>
          </w:tcPr>
          <w:p w14:paraId="60771C7B">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262CC167">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F03</w:t>
            </w:r>
          </w:p>
        </w:tc>
        <w:tc>
          <w:tcPr>
            <w:tcW w:w="1230" w:type="dxa"/>
            <w:noWrap w:val="0"/>
            <w:vAlign w:val="top"/>
          </w:tcPr>
          <w:p w14:paraId="307421A3">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2E362C2C">
            <w:pPr>
              <w:wordWrap/>
              <w:topLinePunct w:val="0"/>
              <w:spacing w:line="360" w:lineRule="auto"/>
              <w:ind w:firstLine="0" w:firstLineChars="0"/>
              <w:rPr>
                <w:rFonts w:hint="eastAsia" w:ascii="宋体" w:hAnsi="宋体" w:eastAsia="宋体" w:cs="宋体"/>
                <w:color w:val="auto"/>
                <w:sz w:val="28"/>
                <w:szCs w:val="28"/>
                <w:highlight w:val="none"/>
              </w:rPr>
            </w:pPr>
          </w:p>
        </w:tc>
      </w:tr>
      <w:tr w14:paraId="0EA07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77E5FBD8">
            <w:pPr>
              <w:wordWrap/>
              <w:topLinePunct w:val="0"/>
              <w:spacing w:line="360" w:lineRule="auto"/>
              <w:ind w:firstLine="0" w:firstLineChars="0"/>
              <w:rPr>
                <w:rFonts w:hint="eastAsia" w:ascii="宋体" w:hAnsi="宋体" w:eastAsia="宋体" w:cs="宋体"/>
                <w:color w:val="auto"/>
                <w:sz w:val="28"/>
                <w:szCs w:val="28"/>
                <w:highlight w:val="none"/>
              </w:rPr>
            </w:pPr>
          </w:p>
        </w:tc>
        <w:tc>
          <w:tcPr>
            <w:tcW w:w="584" w:type="dxa"/>
            <w:vMerge w:val="continue"/>
            <w:noWrap w:val="0"/>
            <w:vAlign w:val="top"/>
          </w:tcPr>
          <w:p w14:paraId="752CC45E">
            <w:pPr>
              <w:wordWrap/>
              <w:topLinePunct w:val="0"/>
              <w:spacing w:line="360" w:lineRule="auto"/>
              <w:ind w:firstLine="0" w:firstLineChars="0"/>
              <w:rPr>
                <w:rFonts w:hint="eastAsia" w:ascii="宋体" w:hAnsi="宋体" w:eastAsia="宋体" w:cs="宋体"/>
                <w:color w:val="auto"/>
                <w:sz w:val="28"/>
                <w:szCs w:val="28"/>
                <w:highlight w:val="none"/>
              </w:rPr>
            </w:pPr>
          </w:p>
        </w:tc>
        <w:tc>
          <w:tcPr>
            <w:tcW w:w="876" w:type="dxa"/>
            <w:noWrap w:val="0"/>
            <w:vAlign w:val="top"/>
          </w:tcPr>
          <w:p w14:paraId="13FDA4FB">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2DAF2232">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B4</w:t>
            </w:r>
          </w:p>
        </w:tc>
        <w:tc>
          <w:tcPr>
            <w:tcW w:w="1080" w:type="dxa"/>
            <w:noWrap w:val="0"/>
            <w:vAlign w:val="top"/>
          </w:tcPr>
          <w:p w14:paraId="3D3CBA88">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58EFEF0A">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F04</w:t>
            </w:r>
          </w:p>
        </w:tc>
        <w:tc>
          <w:tcPr>
            <w:tcW w:w="1230" w:type="dxa"/>
            <w:noWrap w:val="0"/>
            <w:vAlign w:val="top"/>
          </w:tcPr>
          <w:p w14:paraId="27A11CED">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0B0906FE">
            <w:pPr>
              <w:wordWrap/>
              <w:topLinePunct w:val="0"/>
              <w:spacing w:line="360" w:lineRule="auto"/>
              <w:ind w:firstLine="0" w:firstLineChars="0"/>
              <w:rPr>
                <w:rFonts w:hint="eastAsia" w:ascii="宋体" w:hAnsi="宋体" w:eastAsia="宋体" w:cs="宋体"/>
                <w:color w:val="auto"/>
                <w:sz w:val="28"/>
                <w:szCs w:val="28"/>
                <w:highlight w:val="none"/>
              </w:rPr>
            </w:pPr>
          </w:p>
        </w:tc>
      </w:tr>
      <w:tr w14:paraId="0065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70AC7749">
            <w:pPr>
              <w:wordWrap/>
              <w:topLinePunct w:val="0"/>
              <w:spacing w:line="360" w:lineRule="auto"/>
              <w:ind w:firstLine="0" w:firstLineChars="0"/>
              <w:rPr>
                <w:rFonts w:hint="eastAsia" w:ascii="宋体" w:hAnsi="宋体" w:eastAsia="宋体" w:cs="宋体"/>
                <w:color w:val="auto"/>
                <w:sz w:val="28"/>
                <w:szCs w:val="28"/>
                <w:highlight w:val="none"/>
              </w:rPr>
            </w:pPr>
          </w:p>
        </w:tc>
        <w:tc>
          <w:tcPr>
            <w:tcW w:w="584" w:type="dxa"/>
            <w:vMerge w:val="continue"/>
            <w:noWrap w:val="0"/>
            <w:vAlign w:val="top"/>
          </w:tcPr>
          <w:p w14:paraId="2E9AF38A">
            <w:pPr>
              <w:wordWrap/>
              <w:topLinePunct w:val="0"/>
              <w:spacing w:line="360" w:lineRule="auto"/>
              <w:ind w:firstLine="0" w:firstLineChars="0"/>
              <w:rPr>
                <w:rFonts w:hint="eastAsia" w:ascii="宋体" w:hAnsi="宋体" w:eastAsia="宋体" w:cs="宋体"/>
                <w:color w:val="auto"/>
                <w:sz w:val="28"/>
                <w:szCs w:val="28"/>
                <w:highlight w:val="none"/>
              </w:rPr>
            </w:pPr>
          </w:p>
        </w:tc>
        <w:tc>
          <w:tcPr>
            <w:tcW w:w="876" w:type="dxa"/>
            <w:noWrap w:val="0"/>
            <w:vAlign w:val="top"/>
          </w:tcPr>
          <w:p w14:paraId="50B4B904">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3B788FB1">
            <w:pPr>
              <w:wordWrap/>
              <w:topLinePunct w:val="0"/>
              <w:spacing w:line="360" w:lineRule="auto"/>
              <w:ind w:firstLine="0" w:firstLineChars="0"/>
              <w:rPr>
                <w:rFonts w:hint="eastAsia" w:ascii="宋体" w:hAnsi="宋体" w:eastAsia="宋体" w:cs="宋体"/>
                <w:color w:val="auto"/>
                <w:sz w:val="28"/>
                <w:szCs w:val="28"/>
                <w:highlight w:val="none"/>
              </w:rPr>
            </w:pPr>
          </w:p>
        </w:tc>
        <w:tc>
          <w:tcPr>
            <w:tcW w:w="1080" w:type="dxa"/>
            <w:noWrap w:val="0"/>
            <w:vAlign w:val="top"/>
          </w:tcPr>
          <w:p w14:paraId="19B2781E">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7A202BA1">
            <w:pPr>
              <w:wordWrap/>
              <w:topLinePunct w:val="0"/>
              <w:spacing w:line="360" w:lineRule="auto"/>
              <w:ind w:firstLine="0" w:firstLineChars="0"/>
              <w:rPr>
                <w:rFonts w:hint="eastAsia" w:ascii="宋体" w:hAnsi="宋体" w:eastAsia="宋体" w:cs="宋体"/>
                <w:color w:val="auto"/>
                <w:sz w:val="28"/>
                <w:szCs w:val="28"/>
                <w:highlight w:val="none"/>
              </w:rPr>
            </w:pPr>
          </w:p>
        </w:tc>
        <w:tc>
          <w:tcPr>
            <w:tcW w:w="1230" w:type="dxa"/>
            <w:noWrap w:val="0"/>
            <w:vAlign w:val="top"/>
          </w:tcPr>
          <w:p w14:paraId="471D7BEC">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33426198">
            <w:pPr>
              <w:wordWrap/>
              <w:topLinePunct w:val="0"/>
              <w:spacing w:line="360" w:lineRule="auto"/>
              <w:ind w:firstLine="0" w:firstLineChars="0"/>
              <w:rPr>
                <w:rFonts w:hint="eastAsia" w:ascii="宋体" w:hAnsi="宋体" w:eastAsia="宋体" w:cs="宋体"/>
                <w:color w:val="auto"/>
                <w:sz w:val="28"/>
                <w:szCs w:val="28"/>
                <w:highlight w:val="none"/>
              </w:rPr>
            </w:pPr>
          </w:p>
        </w:tc>
      </w:tr>
      <w:tr w14:paraId="7F39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noWrap w:val="0"/>
            <w:vAlign w:val="top"/>
          </w:tcPr>
          <w:p w14:paraId="48987C2D">
            <w:pPr>
              <w:wordWrap/>
              <w:topLinePunct w:val="0"/>
              <w:spacing w:line="360" w:lineRule="auto"/>
              <w:ind w:firstLine="0" w:firstLineChars="0"/>
              <w:rPr>
                <w:rFonts w:hint="eastAsia" w:ascii="宋体" w:hAnsi="宋体" w:eastAsia="宋体" w:cs="宋体"/>
                <w:color w:val="auto"/>
                <w:sz w:val="28"/>
                <w:szCs w:val="28"/>
                <w:highlight w:val="none"/>
              </w:rPr>
            </w:pPr>
          </w:p>
        </w:tc>
        <w:tc>
          <w:tcPr>
            <w:tcW w:w="584" w:type="dxa"/>
            <w:vMerge w:val="continue"/>
            <w:noWrap w:val="0"/>
            <w:vAlign w:val="top"/>
          </w:tcPr>
          <w:p w14:paraId="744B8EDA">
            <w:pPr>
              <w:wordWrap/>
              <w:topLinePunct w:val="0"/>
              <w:spacing w:line="360" w:lineRule="auto"/>
              <w:ind w:firstLine="0" w:firstLineChars="0"/>
              <w:rPr>
                <w:rFonts w:hint="eastAsia" w:ascii="宋体" w:hAnsi="宋体" w:eastAsia="宋体" w:cs="宋体"/>
                <w:color w:val="auto"/>
                <w:sz w:val="28"/>
                <w:szCs w:val="28"/>
                <w:highlight w:val="none"/>
              </w:rPr>
            </w:pPr>
          </w:p>
        </w:tc>
        <w:tc>
          <w:tcPr>
            <w:tcW w:w="876" w:type="dxa"/>
            <w:noWrap w:val="0"/>
            <w:vAlign w:val="top"/>
          </w:tcPr>
          <w:p w14:paraId="5D209C46">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7AF8A0AD">
            <w:pPr>
              <w:wordWrap/>
              <w:topLinePunct w:val="0"/>
              <w:spacing w:line="360" w:lineRule="auto"/>
              <w:ind w:firstLine="0" w:firstLineChars="0"/>
              <w:rPr>
                <w:rFonts w:hint="eastAsia" w:ascii="宋体" w:hAnsi="宋体" w:eastAsia="宋体" w:cs="宋体"/>
                <w:color w:val="auto"/>
                <w:sz w:val="28"/>
                <w:szCs w:val="28"/>
                <w:highlight w:val="none"/>
              </w:rPr>
            </w:pPr>
          </w:p>
        </w:tc>
        <w:tc>
          <w:tcPr>
            <w:tcW w:w="1080" w:type="dxa"/>
            <w:noWrap w:val="0"/>
            <w:vAlign w:val="top"/>
          </w:tcPr>
          <w:p w14:paraId="76E8EEB1">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11F3E04C">
            <w:pPr>
              <w:wordWrap/>
              <w:topLinePunct w:val="0"/>
              <w:spacing w:line="360" w:lineRule="auto"/>
              <w:ind w:firstLine="0" w:firstLineChars="0"/>
              <w:rPr>
                <w:rFonts w:hint="eastAsia" w:ascii="宋体" w:hAnsi="宋体" w:eastAsia="宋体" w:cs="宋体"/>
                <w:color w:val="auto"/>
                <w:sz w:val="28"/>
                <w:szCs w:val="28"/>
                <w:highlight w:val="none"/>
              </w:rPr>
            </w:pPr>
          </w:p>
        </w:tc>
        <w:tc>
          <w:tcPr>
            <w:tcW w:w="1230" w:type="dxa"/>
            <w:noWrap w:val="0"/>
            <w:vAlign w:val="top"/>
          </w:tcPr>
          <w:p w14:paraId="68ECC0CF">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5670CACB">
            <w:pPr>
              <w:wordWrap/>
              <w:topLinePunct w:val="0"/>
              <w:spacing w:line="360" w:lineRule="auto"/>
              <w:ind w:firstLine="0" w:firstLineChars="0"/>
              <w:rPr>
                <w:rFonts w:hint="eastAsia" w:ascii="宋体" w:hAnsi="宋体" w:eastAsia="宋体" w:cs="宋体"/>
                <w:color w:val="auto"/>
                <w:sz w:val="28"/>
                <w:szCs w:val="28"/>
                <w:highlight w:val="none"/>
              </w:rPr>
            </w:pPr>
          </w:p>
        </w:tc>
      </w:tr>
      <w:tr w14:paraId="01ED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549D0707">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定值部分权重A</w:t>
            </w:r>
          </w:p>
        </w:tc>
        <w:tc>
          <w:tcPr>
            <w:tcW w:w="1215" w:type="dxa"/>
            <w:noWrap w:val="0"/>
            <w:vAlign w:val="top"/>
          </w:tcPr>
          <w:p w14:paraId="32075E30">
            <w:pPr>
              <w:wordWrap/>
              <w:topLinePunct w:val="0"/>
              <w:spacing w:line="360" w:lineRule="auto"/>
              <w:ind w:firstLine="0" w:firstLineChars="0"/>
              <w:rPr>
                <w:rFonts w:hint="eastAsia" w:ascii="宋体" w:hAnsi="宋体" w:eastAsia="宋体" w:cs="宋体"/>
                <w:color w:val="auto"/>
                <w:sz w:val="28"/>
                <w:szCs w:val="28"/>
                <w:highlight w:val="none"/>
              </w:rPr>
            </w:pPr>
          </w:p>
        </w:tc>
        <w:tc>
          <w:tcPr>
            <w:tcW w:w="1080" w:type="dxa"/>
            <w:noWrap w:val="0"/>
            <w:vAlign w:val="top"/>
          </w:tcPr>
          <w:p w14:paraId="7D8B222E">
            <w:pPr>
              <w:wordWrap/>
              <w:topLinePunct w:val="0"/>
              <w:spacing w:line="360" w:lineRule="auto"/>
              <w:ind w:firstLine="0" w:firstLineChars="0"/>
              <w:rPr>
                <w:rFonts w:hint="eastAsia" w:ascii="宋体" w:hAnsi="宋体" w:eastAsia="宋体" w:cs="宋体"/>
                <w:color w:val="auto"/>
                <w:sz w:val="28"/>
                <w:szCs w:val="28"/>
                <w:highlight w:val="none"/>
              </w:rPr>
            </w:pPr>
          </w:p>
        </w:tc>
        <w:tc>
          <w:tcPr>
            <w:tcW w:w="1215" w:type="dxa"/>
            <w:noWrap w:val="0"/>
            <w:vAlign w:val="top"/>
          </w:tcPr>
          <w:p w14:paraId="65EA09D2">
            <w:pPr>
              <w:wordWrap/>
              <w:topLinePunct w:val="0"/>
              <w:spacing w:line="360" w:lineRule="auto"/>
              <w:ind w:firstLine="0" w:firstLineChars="0"/>
              <w:rPr>
                <w:rFonts w:hint="eastAsia" w:ascii="宋体" w:hAnsi="宋体" w:eastAsia="宋体" w:cs="宋体"/>
                <w:color w:val="auto"/>
                <w:sz w:val="28"/>
                <w:szCs w:val="28"/>
                <w:highlight w:val="none"/>
              </w:rPr>
            </w:pPr>
          </w:p>
        </w:tc>
        <w:tc>
          <w:tcPr>
            <w:tcW w:w="1230" w:type="dxa"/>
            <w:noWrap w:val="0"/>
            <w:vAlign w:val="top"/>
          </w:tcPr>
          <w:p w14:paraId="4876F823">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66EFC28A">
            <w:pPr>
              <w:wordWrap/>
              <w:topLinePunct w:val="0"/>
              <w:spacing w:line="360" w:lineRule="auto"/>
              <w:ind w:firstLine="0" w:firstLineChars="0"/>
              <w:rPr>
                <w:rFonts w:hint="eastAsia" w:ascii="宋体" w:hAnsi="宋体" w:eastAsia="宋体" w:cs="宋体"/>
                <w:color w:val="auto"/>
                <w:sz w:val="28"/>
                <w:szCs w:val="28"/>
                <w:highlight w:val="none"/>
              </w:rPr>
            </w:pPr>
          </w:p>
        </w:tc>
      </w:tr>
      <w:tr w14:paraId="6B8C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noWrap w:val="0"/>
            <w:vAlign w:val="top"/>
          </w:tcPr>
          <w:p w14:paraId="257AB5D4">
            <w:pPr>
              <w:wordWrap/>
              <w:topLinePunct w:val="0"/>
              <w:spacing w:line="360" w:lineRule="auto"/>
              <w:ind w:firstLine="0" w:firstLineChar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合计</w:t>
            </w:r>
          </w:p>
        </w:tc>
        <w:tc>
          <w:tcPr>
            <w:tcW w:w="2295" w:type="dxa"/>
            <w:gridSpan w:val="2"/>
            <w:noWrap w:val="0"/>
            <w:vAlign w:val="top"/>
          </w:tcPr>
          <w:p w14:paraId="759EBD26">
            <w:pPr>
              <w:wordWrap/>
              <w:topLinePunct w:val="0"/>
              <w:spacing w:line="360" w:lineRule="auto"/>
              <w:ind w:firstLine="0" w:firstLineChars="0"/>
              <w:rPr>
                <w:rFonts w:hint="eastAsia" w:ascii="宋体" w:hAnsi="宋体" w:eastAsia="宋体" w:cs="宋体"/>
                <w:color w:val="auto"/>
                <w:sz w:val="28"/>
                <w:szCs w:val="28"/>
                <w:highlight w:val="none"/>
              </w:rPr>
            </w:pPr>
          </w:p>
        </w:tc>
        <w:tc>
          <w:tcPr>
            <w:tcW w:w="2445" w:type="dxa"/>
            <w:gridSpan w:val="2"/>
            <w:noWrap w:val="0"/>
            <w:vAlign w:val="top"/>
          </w:tcPr>
          <w:p w14:paraId="7115AB01">
            <w:pPr>
              <w:wordWrap/>
              <w:topLinePunct w:val="0"/>
              <w:spacing w:line="360" w:lineRule="auto"/>
              <w:ind w:firstLine="0" w:firstLineChars="0"/>
              <w:rPr>
                <w:rFonts w:hint="eastAsia" w:ascii="宋体" w:hAnsi="宋体" w:eastAsia="宋体" w:cs="宋体"/>
                <w:color w:val="auto"/>
                <w:sz w:val="28"/>
                <w:szCs w:val="28"/>
                <w:highlight w:val="none"/>
              </w:rPr>
            </w:pPr>
          </w:p>
        </w:tc>
        <w:tc>
          <w:tcPr>
            <w:tcW w:w="1380" w:type="dxa"/>
            <w:noWrap w:val="0"/>
            <w:vAlign w:val="top"/>
          </w:tcPr>
          <w:p w14:paraId="300C9008">
            <w:pPr>
              <w:wordWrap/>
              <w:topLinePunct w:val="0"/>
              <w:spacing w:line="360" w:lineRule="auto"/>
              <w:ind w:firstLine="0" w:firstLineChars="0"/>
              <w:rPr>
                <w:rFonts w:hint="eastAsia" w:ascii="宋体" w:hAnsi="宋体" w:eastAsia="宋体" w:cs="宋体"/>
                <w:color w:val="auto"/>
                <w:sz w:val="28"/>
                <w:szCs w:val="28"/>
                <w:highlight w:val="none"/>
              </w:rPr>
            </w:pPr>
          </w:p>
        </w:tc>
      </w:tr>
    </w:tbl>
    <w:p w14:paraId="4D6667FD">
      <w:pPr>
        <w:wordWrap/>
        <w:topLinePunct w:val="0"/>
        <w:spacing w:line="360" w:lineRule="auto"/>
        <w:rPr>
          <w:rFonts w:hint="eastAsia" w:ascii="宋体" w:hAnsi="宋体" w:eastAsia="宋体" w:cs="宋体"/>
          <w:color w:val="auto"/>
          <w:sz w:val="28"/>
          <w:szCs w:val="28"/>
          <w:highlight w:val="none"/>
        </w:rPr>
      </w:pPr>
    </w:p>
    <w:p w14:paraId="51D25DB4">
      <w:pPr>
        <w:pStyle w:val="28"/>
        <w:spacing w:after="0" w:afterLines="0" w:line="360" w:lineRule="auto"/>
        <w:ind w:firstLine="560" w:firstLineChars="200"/>
        <w:rPr>
          <w:rFonts w:hint="eastAsia" w:ascii="宋体" w:hAnsi="宋体" w:eastAsia="宋体" w:cs="宋体"/>
          <w:color w:val="auto"/>
          <w:sz w:val="28"/>
          <w:szCs w:val="28"/>
          <w:highlight w:val="none"/>
        </w:rPr>
      </w:pPr>
    </w:p>
    <w:p w14:paraId="5C953F61">
      <w:pPr>
        <w:pStyle w:val="28"/>
        <w:spacing w:after="0" w:afterLines="0" w:line="360" w:lineRule="auto"/>
        <w:ind w:firstLine="560" w:firstLineChars="200"/>
        <w:rPr>
          <w:rFonts w:hint="eastAsia" w:ascii="宋体" w:hAnsi="宋体" w:eastAsia="宋体" w:cs="宋体"/>
          <w:color w:val="auto"/>
          <w:sz w:val="28"/>
          <w:szCs w:val="28"/>
          <w:highlight w:val="none"/>
        </w:rPr>
      </w:pPr>
    </w:p>
    <w:p w14:paraId="463B0BEC">
      <w:pPr>
        <w:pStyle w:val="28"/>
        <w:spacing w:after="0" w:afterLines="0" w:line="360" w:lineRule="auto"/>
        <w:ind w:firstLine="560" w:firstLineChars="200"/>
        <w:rPr>
          <w:rFonts w:hint="eastAsia" w:ascii="宋体" w:hAnsi="宋体" w:eastAsia="宋体" w:cs="宋体"/>
          <w:color w:val="auto"/>
          <w:sz w:val="28"/>
          <w:szCs w:val="28"/>
          <w:highlight w:val="none"/>
        </w:rPr>
      </w:pPr>
    </w:p>
    <w:p w14:paraId="238091F2">
      <w:pPr>
        <w:pStyle w:val="28"/>
        <w:spacing w:after="0" w:afterLines="0" w:line="360" w:lineRule="auto"/>
        <w:ind w:firstLine="560" w:firstLineChars="200"/>
        <w:rPr>
          <w:rFonts w:hint="eastAsia" w:ascii="宋体" w:hAnsi="宋体" w:eastAsia="宋体" w:cs="宋体"/>
          <w:color w:val="auto"/>
          <w:sz w:val="28"/>
          <w:szCs w:val="28"/>
          <w:highlight w:val="none"/>
        </w:rPr>
      </w:pPr>
    </w:p>
    <w:p w14:paraId="51346668">
      <w:pPr>
        <w:pStyle w:val="28"/>
        <w:spacing w:after="0" w:afterLines="0" w:line="360" w:lineRule="auto"/>
        <w:ind w:firstLine="560" w:firstLineChars="200"/>
        <w:rPr>
          <w:rFonts w:hint="eastAsia" w:ascii="宋体" w:hAnsi="宋体" w:eastAsia="宋体" w:cs="宋体"/>
          <w:color w:val="auto"/>
          <w:sz w:val="28"/>
          <w:szCs w:val="28"/>
          <w:highlight w:val="none"/>
        </w:rPr>
      </w:pPr>
    </w:p>
    <w:p w14:paraId="270826C7">
      <w:pPr>
        <w:pStyle w:val="28"/>
        <w:spacing w:after="0" w:afterLines="0" w:line="360" w:lineRule="auto"/>
        <w:ind w:firstLine="560" w:firstLineChars="200"/>
        <w:rPr>
          <w:rFonts w:hint="eastAsia" w:ascii="宋体" w:hAnsi="宋体" w:eastAsia="宋体" w:cs="宋体"/>
          <w:color w:val="auto"/>
          <w:sz w:val="28"/>
          <w:szCs w:val="28"/>
          <w:highlight w:val="none"/>
        </w:rPr>
      </w:pPr>
    </w:p>
    <w:bookmarkEnd w:id="319"/>
    <w:p w14:paraId="10D5D80F">
      <w:pPr>
        <w:pStyle w:val="16"/>
        <w:rPr>
          <w:rFonts w:hint="eastAsia" w:ascii="宋体" w:hAnsi="宋体" w:eastAsia="宋体" w:cs="宋体"/>
          <w:bCs/>
          <w:color w:val="auto"/>
          <w:sz w:val="32"/>
          <w:szCs w:val="32"/>
          <w:highlight w:val="none"/>
        </w:rPr>
      </w:pPr>
    </w:p>
    <w:p w14:paraId="2227D985">
      <w:pPr>
        <w:rPr>
          <w:rFonts w:hint="eastAsia" w:ascii="宋体" w:hAnsi="宋体" w:eastAsia="宋体" w:cs="宋体"/>
          <w:bCs/>
          <w:color w:val="auto"/>
          <w:sz w:val="32"/>
          <w:szCs w:val="32"/>
          <w:highlight w:val="none"/>
        </w:rPr>
      </w:pPr>
    </w:p>
    <w:p w14:paraId="6345854C">
      <w:pPr>
        <w:pStyle w:val="16"/>
        <w:rPr>
          <w:rFonts w:hint="eastAsia" w:ascii="宋体" w:hAnsi="宋体" w:eastAsia="宋体" w:cs="宋体"/>
          <w:color w:val="auto"/>
          <w:highlight w:val="none"/>
        </w:rPr>
        <w:sectPr>
          <w:footerReference r:id="rId17" w:type="first"/>
          <w:headerReference r:id="rId14" w:type="default"/>
          <w:footerReference r:id="rId15" w:type="default"/>
          <w:footerReference r:id="rId16" w:type="even"/>
          <w:pgSz w:w="11906" w:h="16838"/>
          <w:pgMar w:top="1191" w:right="1191" w:bottom="1191" w:left="1191" w:header="851" w:footer="992" w:gutter="397"/>
          <w:pgNumType w:fmt="numberInDash"/>
          <w:cols w:space="720" w:num="1"/>
          <w:titlePg/>
          <w:docGrid w:type="linesAndChars" w:linePitch="312" w:charSpace="0"/>
        </w:sectPr>
      </w:pPr>
    </w:p>
    <w:p w14:paraId="21B6E6B9">
      <w:pPr>
        <w:pStyle w:val="2"/>
        <w:numPr>
          <w:ilvl w:val="0"/>
          <w:numId w:val="17"/>
        </w:numPr>
        <w:bidi w:val="0"/>
        <w:spacing w:before="0" w:after="0" w:line="240" w:lineRule="auto"/>
        <w:jc w:val="center"/>
        <w:rPr>
          <w:rFonts w:hint="eastAsia" w:ascii="宋体" w:hAnsi="宋体" w:eastAsia="宋体" w:cs="宋体"/>
          <w:color w:val="auto"/>
          <w:highlight w:val="none"/>
          <w:lang w:val="en-US" w:eastAsia="zh-CN"/>
        </w:rPr>
      </w:pPr>
      <w:bookmarkStart w:id="320" w:name="_Toc282843656"/>
      <w:bookmarkStart w:id="321" w:name="_Toc282433359"/>
      <w:bookmarkStart w:id="322" w:name="_Toc283289425"/>
      <w:bookmarkStart w:id="323" w:name="_Toc282823845"/>
      <w:bookmarkStart w:id="324" w:name="_Toc31724"/>
      <w:bookmarkStart w:id="325" w:name="_Toc278183387"/>
      <w:bookmarkStart w:id="326" w:name="_Toc278183464"/>
      <w:bookmarkStart w:id="327" w:name="_Toc4511"/>
      <w:bookmarkStart w:id="328" w:name="_Toc278183964"/>
      <w:bookmarkStart w:id="329" w:name="_Toc2190"/>
      <w:bookmarkStart w:id="330" w:name="_Toc282810504"/>
      <w:bookmarkStart w:id="331" w:name="_Toc28314"/>
      <w:bookmarkStart w:id="332" w:name="_Toc12206"/>
      <w:bookmarkStart w:id="333" w:name="_Toc278183636"/>
      <w:bookmarkStart w:id="334" w:name="_Toc283128975"/>
      <w:bookmarkStart w:id="335" w:name="_Toc278183802"/>
      <w:bookmarkStart w:id="336" w:name="_Toc32417"/>
      <w:bookmarkStart w:id="337" w:name="_Toc2186"/>
      <w:bookmarkStart w:id="338" w:name="_Toc278183469"/>
      <w:bookmarkStart w:id="339" w:name="_Toc278183392"/>
      <w:bookmarkStart w:id="340" w:name="_Toc282433364"/>
      <w:bookmarkStart w:id="341" w:name="_Toc278183807"/>
      <w:bookmarkStart w:id="342" w:name="_Toc278183641"/>
      <w:bookmarkStart w:id="343" w:name="_Toc278183969"/>
      <w:r>
        <w:rPr>
          <w:rFonts w:hint="eastAsia" w:ascii="宋体" w:hAnsi="宋体" w:eastAsia="宋体" w:cs="宋体"/>
          <w:color w:val="auto"/>
          <w:highlight w:val="none"/>
          <w:lang w:val="en-US" w:eastAsia="zh-CN"/>
        </w:rPr>
        <w:t>发包人要求</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2451CC8">
      <w:pPr>
        <w:pageBreakBefore w:val="0"/>
        <w:kinsoku/>
        <w:wordWrap/>
        <w:overflowPunct/>
        <w:topLinePunct w:val="0"/>
        <w:autoSpaceDE/>
        <w:autoSpaceDN/>
        <w:bidi w:val="0"/>
        <w:spacing w:line="360" w:lineRule="auto"/>
        <w:ind w:firstLine="568" w:firstLineChars="200"/>
        <w:jc w:val="right"/>
        <w:rPr>
          <w:rFonts w:hint="eastAsia" w:ascii="宋体" w:hAnsi="宋体" w:eastAsia="宋体" w:cs="宋体"/>
          <w:color w:val="auto"/>
          <w:sz w:val="28"/>
          <w:szCs w:val="28"/>
        </w:rPr>
      </w:pPr>
    </w:p>
    <w:p w14:paraId="7482BE39">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项目概况</w:t>
      </w:r>
    </w:p>
    <w:p w14:paraId="78C6BF27">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建设地点：库伦旗额勒顺镇查干朝鲁嘎查</w:t>
      </w:r>
    </w:p>
    <w:p w14:paraId="7A917FA9">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建设内容：本项目总用地面积约657.71亩，建设牛舍8栋，总建筑面积35000.00平方米，配套建设运动场围栏等。</w:t>
      </w:r>
    </w:p>
    <w:p w14:paraId="1BA7DC64">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承包方式：EPC 工程总承包+O 运营</w:t>
      </w:r>
    </w:p>
    <w:p w14:paraId="62F3D4D7">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质量标准：合格，符合国家、行业及地方现行规范标准</w:t>
      </w:r>
    </w:p>
    <w:p w14:paraId="1E58E4E3">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运营要求：项目竣工验收合格后进入运营期（运营期20年），负责养殖、疾病防控、资产维护、租金缴纳等全部运营工作，需满足年缴纳财政审计结算金额的4 .75%收益金，初期一次性缴纳三年收益金的要求。如相关政策有变动，按上级政策执行。</w:t>
      </w:r>
    </w:p>
    <w:p w14:paraId="5CDA53B5">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技术标准及要求</w:t>
      </w:r>
    </w:p>
    <w:p w14:paraId="3F4378AE">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 设计图纸的技术要求</w:t>
      </w:r>
    </w:p>
    <w:p w14:paraId="675941F1">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2．国家现行的操作规程及验收规范</w:t>
      </w:r>
    </w:p>
    <w:p w14:paraId="764FAB85">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3．地方主管机关的相关规定</w:t>
      </w:r>
    </w:p>
    <w:p w14:paraId="15388032">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4．建设单位的具体要求</w:t>
      </w:r>
    </w:p>
    <w:p w14:paraId="7A5DF4E3">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5.安全目标</w:t>
      </w:r>
    </w:p>
    <w:p w14:paraId="2EA67F19">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（1）工程(项目)安全目标为:不发生轻伤及以上人身伤害事故;</w:t>
      </w:r>
    </w:p>
    <w:p w14:paraId="643B08BA">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（2）不发生一般设备事故:不发生火灾事故:不发生负主要责任的轻微及以上交通事故;</w:t>
      </w:r>
    </w:p>
    <w:p w14:paraId="075D97FE">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（3）不发生被各级环保、质量等政府部门处以罚款的，被环保、质检等政府部门通报的污染环境事件;</w:t>
      </w:r>
    </w:p>
    <w:p w14:paraId="21B151F1">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（4）不发生质量事件;</w:t>
      </w:r>
    </w:p>
    <w:p w14:paraId="2710EB50">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5）具体详细的安全目标(安环部提供)、承包商应编制为完成安全目标所采取的各项安全生产措施，确保安全目标实现。如由于承包商责任导致未达到项目安全指标的，按发包方考核条款执行。由于承包商负有主要责任而发生一般及以上事故时，发包方有权无偿中止合同，所有责任由承包商承担。</w:t>
      </w:r>
    </w:p>
    <w:p w14:paraId="031472BA">
      <w:pPr>
        <w:pageBreakBefore w:val="0"/>
        <w:kinsoku/>
        <w:wordWrap/>
        <w:overflowPunct/>
        <w:topLinePunct w:val="0"/>
        <w:autoSpaceDE/>
        <w:autoSpaceDN/>
        <w:bidi w:val="0"/>
        <w:spacing w:line="360" w:lineRule="auto"/>
        <w:ind w:firstLine="568" w:firstLineChars="200"/>
        <w:jc w:val="both"/>
        <w:rPr>
          <w:rFonts w:hint="eastAsia" w:ascii="宋体" w:hAnsi="宋体" w:eastAsia="宋体" w:cs="宋体"/>
          <w:b w:val="0"/>
          <w:bCs w:val="0"/>
          <w:color w:val="auto"/>
          <w:sz w:val="28"/>
          <w:szCs w:val="28"/>
          <w:highlight w:val="none"/>
          <w:lang w:val="en-US" w:eastAsia="zh-CN" w:bidi="ar"/>
        </w:rPr>
      </w:pPr>
    </w:p>
    <w:p w14:paraId="1AD172B7">
      <w:pPr>
        <w:rPr>
          <w:rFonts w:hint="eastAsia" w:ascii="宋体" w:hAnsi="宋体" w:eastAsia="宋体" w:cs="宋体"/>
          <w:color w:val="auto"/>
        </w:rPr>
      </w:pPr>
    </w:p>
    <w:p w14:paraId="369CE9C2">
      <w:pPr>
        <w:rPr>
          <w:rFonts w:hint="eastAsia" w:ascii="宋体" w:hAnsi="宋体" w:eastAsia="宋体" w:cs="宋体"/>
          <w:color w:val="auto"/>
          <w:highlight w:val="none"/>
          <w:lang w:val="en-US" w:eastAsia="zh-CN"/>
        </w:rPr>
      </w:pPr>
      <w:bookmarkStart w:id="344" w:name="_Toc283289426"/>
      <w:bookmarkStart w:id="345" w:name="_Toc27575"/>
      <w:bookmarkStart w:id="346" w:name="_Toc11462"/>
      <w:bookmarkStart w:id="347" w:name="_Toc14051"/>
      <w:bookmarkStart w:id="348" w:name="_Toc9427"/>
      <w:bookmarkStart w:id="349" w:name="_Toc25450"/>
      <w:bookmarkStart w:id="350" w:name="_Toc20377"/>
      <w:bookmarkStart w:id="351" w:name="_Toc282843657"/>
      <w:bookmarkStart w:id="352" w:name="_Toc283128976"/>
      <w:bookmarkStart w:id="353" w:name="_Toc282810509"/>
      <w:bookmarkStart w:id="354" w:name="_Toc282823846"/>
      <w:bookmarkStart w:id="355" w:name="_Toc3567"/>
      <w:r>
        <w:rPr>
          <w:rFonts w:hint="eastAsia" w:ascii="宋体" w:hAnsi="宋体" w:eastAsia="宋体" w:cs="宋体"/>
          <w:color w:val="auto"/>
          <w:highlight w:val="none"/>
          <w:lang w:val="en-US" w:eastAsia="zh-CN"/>
        </w:rPr>
        <w:br w:type="page"/>
      </w:r>
    </w:p>
    <w:p w14:paraId="7E1DFE12">
      <w:pPr>
        <w:pStyle w:val="2"/>
        <w:numPr>
          <w:ilvl w:val="0"/>
          <w:numId w:val="0"/>
        </w:numPr>
        <w:bidi w:val="0"/>
        <w:spacing w:before="0" w:after="0" w:line="240" w:lineRule="auto"/>
        <w:ind w:left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第六章发包人提供的资料</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3523FF53">
      <w:pPr>
        <w:bidi w:val="0"/>
        <w:rPr>
          <w:rFonts w:hint="eastAsia" w:ascii="宋体" w:hAnsi="宋体" w:eastAsia="宋体" w:cs="宋体"/>
          <w:color w:val="auto"/>
          <w:highlight w:val="none"/>
          <w:lang w:val="en-US" w:eastAsia="zh-CN"/>
        </w:rPr>
      </w:pPr>
    </w:p>
    <w:p w14:paraId="5C07C5FC">
      <w:pPr>
        <w:bidi w:val="0"/>
        <w:rPr>
          <w:rFonts w:hint="eastAsia" w:ascii="宋体" w:hAnsi="宋体" w:eastAsia="宋体" w:cs="宋体"/>
          <w:color w:val="auto"/>
          <w:highlight w:val="none"/>
          <w:lang w:val="en-US" w:eastAsia="zh-CN"/>
        </w:rPr>
      </w:pPr>
    </w:p>
    <w:p w14:paraId="538189E8">
      <w:pPr>
        <w:bidi w:val="0"/>
        <w:spacing w:line="480" w:lineRule="auto"/>
        <w:ind w:firstLine="568"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发包人提供的资料</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可行性研究报告</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详见招标文件附件</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w:t>
      </w:r>
    </w:p>
    <w:p w14:paraId="614709E9">
      <w:pPr>
        <w:bidi w:val="0"/>
        <w:rPr>
          <w:rFonts w:hint="eastAsia" w:ascii="宋体" w:hAnsi="宋体" w:eastAsia="宋体" w:cs="宋体"/>
          <w:color w:val="auto"/>
          <w:highlight w:val="none"/>
          <w:lang w:val="en-US" w:eastAsia="zh-CN"/>
        </w:rPr>
      </w:pPr>
    </w:p>
    <w:p w14:paraId="6C1E0192">
      <w:pPr>
        <w:bidi w:val="0"/>
        <w:rPr>
          <w:rFonts w:hint="eastAsia" w:ascii="宋体" w:hAnsi="宋体" w:eastAsia="宋体" w:cs="宋体"/>
          <w:color w:val="auto"/>
          <w:highlight w:val="none"/>
          <w:lang w:val="en-US" w:eastAsia="zh-CN"/>
        </w:rPr>
      </w:pPr>
    </w:p>
    <w:p w14:paraId="58E3FCC0">
      <w:pPr>
        <w:bidi w:val="0"/>
        <w:rPr>
          <w:rFonts w:hint="eastAsia" w:ascii="宋体" w:hAnsi="宋体" w:eastAsia="宋体" w:cs="宋体"/>
          <w:color w:val="auto"/>
          <w:highlight w:val="none"/>
          <w:lang w:val="en-US" w:eastAsia="zh-CN"/>
        </w:rPr>
      </w:pPr>
    </w:p>
    <w:p w14:paraId="3F6CC4F9">
      <w:pPr>
        <w:bidi w:val="0"/>
        <w:rPr>
          <w:rFonts w:hint="eastAsia" w:ascii="宋体" w:hAnsi="宋体" w:eastAsia="宋体" w:cs="宋体"/>
          <w:color w:val="auto"/>
          <w:highlight w:val="none"/>
          <w:lang w:val="en-US" w:eastAsia="zh-CN"/>
        </w:rPr>
      </w:pPr>
    </w:p>
    <w:p w14:paraId="27581FA3">
      <w:pPr>
        <w:bidi w:val="0"/>
        <w:rPr>
          <w:rFonts w:hint="eastAsia" w:ascii="宋体" w:hAnsi="宋体" w:eastAsia="宋体" w:cs="宋体"/>
          <w:color w:val="auto"/>
          <w:highlight w:val="none"/>
          <w:lang w:val="en-US" w:eastAsia="zh-CN"/>
        </w:rPr>
      </w:pPr>
    </w:p>
    <w:p w14:paraId="39C079BB">
      <w:pPr>
        <w:bidi w:val="0"/>
        <w:rPr>
          <w:rFonts w:hint="eastAsia" w:ascii="宋体" w:hAnsi="宋体" w:eastAsia="宋体" w:cs="宋体"/>
          <w:color w:val="auto"/>
          <w:highlight w:val="none"/>
          <w:lang w:val="en-US" w:eastAsia="zh-CN"/>
        </w:rPr>
      </w:pPr>
    </w:p>
    <w:p w14:paraId="7A194D9A">
      <w:pPr>
        <w:bidi w:val="0"/>
        <w:rPr>
          <w:rFonts w:hint="eastAsia" w:ascii="宋体" w:hAnsi="宋体" w:eastAsia="宋体" w:cs="宋体"/>
          <w:color w:val="auto"/>
          <w:highlight w:val="none"/>
          <w:lang w:val="en-US" w:eastAsia="zh-CN"/>
        </w:rPr>
      </w:pPr>
    </w:p>
    <w:p w14:paraId="46A0D19D">
      <w:pPr>
        <w:bidi w:val="0"/>
        <w:rPr>
          <w:rFonts w:hint="eastAsia" w:ascii="宋体" w:hAnsi="宋体" w:eastAsia="宋体" w:cs="宋体"/>
          <w:color w:val="auto"/>
          <w:highlight w:val="none"/>
          <w:lang w:val="en-US" w:eastAsia="zh-CN"/>
        </w:rPr>
      </w:pPr>
    </w:p>
    <w:p w14:paraId="59888697">
      <w:pPr>
        <w:bidi w:val="0"/>
        <w:rPr>
          <w:rFonts w:hint="eastAsia" w:ascii="宋体" w:hAnsi="宋体" w:eastAsia="宋体" w:cs="宋体"/>
          <w:color w:val="auto"/>
          <w:highlight w:val="none"/>
          <w:lang w:val="en-US" w:eastAsia="zh-CN"/>
        </w:rPr>
      </w:pPr>
    </w:p>
    <w:p w14:paraId="5AF4F212">
      <w:pPr>
        <w:bidi w:val="0"/>
        <w:rPr>
          <w:rFonts w:hint="eastAsia" w:ascii="宋体" w:hAnsi="宋体" w:eastAsia="宋体" w:cs="宋体"/>
          <w:color w:val="auto"/>
          <w:highlight w:val="none"/>
          <w:lang w:val="en-US" w:eastAsia="zh-CN"/>
        </w:rPr>
      </w:pPr>
    </w:p>
    <w:p w14:paraId="21CCC355">
      <w:pPr>
        <w:pStyle w:val="16"/>
        <w:rPr>
          <w:rFonts w:hint="eastAsia" w:ascii="宋体" w:hAnsi="宋体" w:eastAsia="宋体" w:cs="宋体"/>
          <w:color w:val="auto"/>
          <w:highlight w:val="none"/>
          <w:lang w:val="en-US" w:eastAsia="zh-CN"/>
        </w:rPr>
      </w:pPr>
    </w:p>
    <w:p w14:paraId="6C2146A0">
      <w:pPr>
        <w:rPr>
          <w:rFonts w:hint="eastAsia" w:ascii="宋体" w:hAnsi="宋体" w:eastAsia="宋体" w:cs="宋体"/>
          <w:color w:val="auto"/>
          <w:highlight w:val="none"/>
          <w:lang w:val="en-US" w:eastAsia="zh-CN"/>
        </w:rPr>
      </w:pPr>
    </w:p>
    <w:p w14:paraId="7D8A4229">
      <w:pPr>
        <w:rPr>
          <w:rFonts w:hint="eastAsia" w:ascii="宋体" w:hAnsi="宋体" w:eastAsia="宋体" w:cs="宋体"/>
          <w:color w:val="auto"/>
          <w:highlight w:val="none"/>
          <w:lang w:val="en-US" w:eastAsia="zh-CN"/>
        </w:rPr>
      </w:pPr>
    </w:p>
    <w:p w14:paraId="496FF3B1">
      <w:pPr>
        <w:rPr>
          <w:rFonts w:hint="eastAsia" w:ascii="宋体" w:hAnsi="宋体" w:eastAsia="宋体" w:cs="宋体"/>
          <w:color w:val="auto"/>
          <w:highlight w:val="none"/>
          <w:lang w:val="en-US" w:eastAsia="zh-CN"/>
        </w:rPr>
      </w:pPr>
    </w:p>
    <w:p w14:paraId="7B3E6A21">
      <w:pPr>
        <w:rPr>
          <w:rFonts w:hint="eastAsia" w:ascii="宋体" w:hAnsi="宋体" w:eastAsia="宋体" w:cs="宋体"/>
          <w:color w:val="auto"/>
          <w:highlight w:val="none"/>
          <w:lang w:val="en-US" w:eastAsia="zh-CN"/>
        </w:rPr>
      </w:pPr>
    </w:p>
    <w:p w14:paraId="39EF4D6C">
      <w:pPr>
        <w:rPr>
          <w:rFonts w:hint="eastAsia" w:ascii="宋体" w:hAnsi="宋体" w:eastAsia="宋体" w:cs="宋体"/>
          <w:color w:val="auto"/>
          <w:highlight w:val="none"/>
          <w:lang w:val="en-US" w:eastAsia="zh-CN"/>
        </w:rPr>
      </w:pPr>
    </w:p>
    <w:p w14:paraId="4ED731B1">
      <w:pPr>
        <w:rPr>
          <w:rFonts w:hint="eastAsia" w:ascii="宋体" w:hAnsi="宋体" w:eastAsia="宋体" w:cs="宋体"/>
          <w:color w:val="auto"/>
          <w:highlight w:val="none"/>
          <w:lang w:val="en-US" w:eastAsia="zh-CN"/>
        </w:rPr>
      </w:pPr>
    </w:p>
    <w:p w14:paraId="0185BA4C">
      <w:pPr>
        <w:rPr>
          <w:rFonts w:hint="eastAsia" w:ascii="宋体" w:hAnsi="宋体" w:eastAsia="宋体" w:cs="宋体"/>
          <w:color w:val="auto"/>
          <w:highlight w:val="none"/>
          <w:lang w:val="en-US" w:eastAsia="zh-CN"/>
        </w:rPr>
      </w:pPr>
    </w:p>
    <w:p w14:paraId="2EB516ED">
      <w:pPr>
        <w:rPr>
          <w:rFonts w:hint="eastAsia" w:ascii="宋体" w:hAnsi="宋体" w:eastAsia="宋体" w:cs="宋体"/>
          <w:color w:val="auto"/>
          <w:highlight w:val="none"/>
          <w:lang w:val="en-US" w:eastAsia="zh-CN"/>
        </w:rPr>
      </w:pPr>
    </w:p>
    <w:p w14:paraId="7EF92DF0">
      <w:pPr>
        <w:rPr>
          <w:rFonts w:hint="eastAsia" w:ascii="宋体" w:hAnsi="宋体" w:eastAsia="宋体" w:cs="宋体"/>
          <w:color w:val="auto"/>
          <w:highlight w:val="none"/>
          <w:lang w:val="en-US" w:eastAsia="zh-CN"/>
        </w:rPr>
      </w:pPr>
    </w:p>
    <w:p w14:paraId="79D1F0A9">
      <w:pPr>
        <w:rPr>
          <w:rFonts w:hint="eastAsia" w:ascii="宋体" w:hAnsi="宋体" w:eastAsia="宋体" w:cs="宋体"/>
          <w:color w:val="auto"/>
          <w:highlight w:val="none"/>
          <w:lang w:val="en-US" w:eastAsia="zh-CN"/>
        </w:rPr>
      </w:pPr>
    </w:p>
    <w:p w14:paraId="77B255C9">
      <w:pPr>
        <w:rPr>
          <w:rFonts w:hint="eastAsia" w:ascii="宋体" w:hAnsi="宋体" w:eastAsia="宋体" w:cs="宋体"/>
          <w:color w:val="auto"/>
          <w:highlight w:val="none"/>
          <w:lang w:val="en-US" w:eastAsia="zh-CN"/>
        </w:rPr>
      </w:pPr>
    </w:p>
    <w:p w14:paraId="1126156D">
      <w:pPr>
        <w:rPr>
          <w:rFonts w:hint="eastAsia" w:ascii="宋体" w:hAnsi="宋体" w:eastAsia="宋体" w:cs="宋体"/>
          <w:color w:val="auto"/>
          <w:highlight w:val="none"/>
          <w:lang w:val="en-US" w:eastAsia="zh-CN"/>
        </w:rPr>
      </w:pPr>
    </w:p>
    <w:p w14:paraId="37B3EA09">
      <w:pPr>
        <w:rPr>
          <w:rFonts w:hint="eastAsia" w:ascii="宋体" w:hAnsi="宋体" w:eastAsia="宋体" w:cs="宋体"/>
          <w:color w:val="auto"/>
          <w:highlight w:val="none"/>
          <w:lang w:val="en-US" w:eastAsia="zh-CN"/>
        </w:rPr>
      </w:pPr>
    </w:p>
    <w:p w14:paraId="67D032BE">
      <w:pPr>
        <w:rPr>
          <w:rFonts w:hint="eastAsia" w:ascii="宋体" w:hAnsi="宋体" w:eastAsia="宋体" w:cs="宋体"/>
          <w:color w:val="auto"/>
          <w:highlight w:val="none"/>
          <w:lang w:val="en-US" w:eastAsia="zh-CN"/>
        </w:rPr>
      </w:pPr>
    </w:p>
    <w:p w14:paraId="2B8602BF">
      <w:pPr>
        <w:rPr>
          <w:rFonts w:hint="eastAsia" w:ascii="宋体" w:hAnsi="宋体" w:eastAsia="宋体" w:cs="宋体"/>
          <w:color w:val="auto"/>
          <w:lang w:val="en-US" w:eastAsia="zh-CN"/>
        </w:rPr>
      </w:pPr>
      <w:bookmarkStart w:id="356" w:name="_Toc17203"/>
      <w:bookmarkStart w:id="357" w:name="_Toc4383"/>
      <w:bookmarkStart w:id="358" w:name="_Toc18785"/>
      <w:bookmarkStart w:id="359" w:name="_Toc3968"/>
      <w:bookmarkStart w:id="360" w:name="_Toc4841"/>
      <w:bookmarkStart w:id="361" w:name="_Toc31345"/>
      <w:bookmarkStart w:id="362" w:name="_Toc283128987"/>
      <w:bookmarkStart w:id="363" w:name="_Toc283289429"/>
      <w:bookmarkStart w:id="364" w:name="_Toc282973180"/>
      <w:bookmarkStart w:id="365" w:name="_Toc26843"/>
      <w:r>
        <w:rPr>
          <w:rFonts w:hint="eastAsia" w:ascii="宋体" w:hAnsi="宋体" w:eastAsia="宋体" w:cs="宋体"/>
          <w:color w:val="auto"/>
          <w:lang w:val="en-US" w:eastAsia="zh-CN"/>
        </w:rPr>
        <w:br w:type="page"/>
      </w:r>
    </w:p>
    <w:p w14:paraId="13CA7D55">
      <w:pPr>
        <w:pStyle w:val="2"/>
        <w:bidi w:val="0"/>
        <w:spacing w:before="0" w:after="0" w:line="240" w:lineRule="auto"/>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第七章投标文件格式</w:t>
      </w:r>
    </w:p>
    <w:p w14:paraId="4A5564FD">
      <w:pPr>
        <w:spacing w:line="360" w:lineRule="auto"/>
        <w:jc w:val="center"/>
        <w:outlineLvl w:val="9"/>
        <w:rPr>
          <w:rFonts w:hint="eastAsia" w:ascii="宋体" w:hAnsi="宋体" w:eastAsia="宋体" w:cs="宋体"/>
          <w:b/>
          <w:bCs/>
          <w:color w:val="auto"/>
          <w:sz w:val="44"/>
          <w:szCs w:val="44"/>
        </w:rPr>
      </w:pPr>
    </w:p>
    <w:p w14:paraId="66A72F98">
      <w:pPr>
        <w:spacing w:line="360" w:lineRule="auto"/>
        <w:jc w:val="center"/>
        <w:outlineLvl w:val="0"/>
        <w:rPr>
          <w:rFonts w:hint="eastAsia" w:ascii="宋体" w:hAnsi="宋体" w:eastAsia="宋体" w:cs="宋体"/>
          <w:b/>
          <w:bCs/>
          <w:color w:val="auto"/>
          <w:sz w:val="18"/>
          <w:szCs w:val="18"/>
        </w:rPr>
      </w:pPr>
      <w:bookmarkStart w:id="366" w:name="_Toc5395"/>
      <w:bookmarkStart w:id="367" w:name="_Toc29480"/>
      <w:bookmarkStart w:id="368" w:name="_Toc13593"/>
      <w:bookmarkStart w:id="369" w:name="_Toc14128"/>
      <w:bookmarkStart w:id="370" w:name="_Toc1043"/>
      <w:bookmarkStart w:id="371" w:name="_Toc12633"/>
      <w:bookmarkStart w:id="372" w:name="_Toc1402"/>
      <w:bookmarkStart w:id="373" w:name="_Toc10990"/>
      <w:bookmarkStart w:id="374" w:name="_Toc7426"/>
      <w:r>
        <w:rPr>
          <w:rFonts w:hint="eastAsia" w:ascii="宋体" w:hAnsi="宋体" w:eastAsia="宋体" w:cs="宋体"/>
          <w:b/>
          <w:bCs/>
          <w:color w:val="auto"/>
          <w:sz w:val="44"/>
          <w:szCs w:val="44"/>
        </w:rPr>
        <w:t>(</w:t>
      </w:r>
      <w:r>
        <w:rPr>
          <w:rFonts w:hint="eastAsia" w:ascii="宋体" w:hAnsi="宋体" w:eastAsia="宋体" w:cs="宋体"/>
          <w:b/>
          <w:bCs/>
          <w:color w:val="auto"/>
          <w:sz w:val="44"/>
          <w:szCs w:val="44"/>
          <w:lang w:val="en-US" w:eastAsia="zh-CN"/>
        </w:rPr>
        <w:t>项目名称</w:t>
      </w:r>
      <w:r>
        <w:rPr>
          <w:rFonts w:hint="eastAsia" w:ascii="宋体" w:hAnsi="宋体" w:eastAsia="宋体" w:cs="宋体"/>
          <w:b/>
          <w:bCs/>
          <w:color w:val="auto"/>
          <w:sz w:val="44"/>
          <w:szCs w:val="44"/>
        </w:rPr>
        <w:t>)</w:t>
      </w:r>
      <w:bookmarkEnd w:id="366"/>
      <w:bookmarkEnd w:id="367"/>
      <w:bookmarkEnd w:id="368"/>
      <w:bookmarkEnd w:id="369"/>
      <w:bookmarkEnd w:id="370"/>
      <w:bookmarkEnd w:id="371"/>
      <w:bookmarkEnd w:id="372"/>
      <w:bookmarkEnd w:id="373"/>
      <w:bookmarkEnd w:id="374"/>
    </w:p>
    <w:p w14:paraId="75F25CA0">
      <w:pPr>
        <w:tabs>
          <w:tab w:val="left" w:pos="500"/>
        </w:tabs>
        <w:snapToGrid w:val="0"/>
        <w:spacing w:line="360" w:lineRule="auto"/>
        <w:jc w:val="center"/>
        <w:rPr>
          <w:rFonts w:hint="eastAsia" w:ascii="宋体" w:hAnsi="宋体" w:eastAsia="宋体" w:cs="宋体"/>
          <w:b/>
          <w:color w:val="auto"/>
          <w:sz w:val="48"/>
          <w:szCs w:val="48"/>
        </w:rPr>
      </w:pPr>
    </w:p>
    <w:p w14:paraId="423C0427">
      <w:pPr>
        <w:tabs>
          <w:tab w:val="left" w:pos="500"/>
        </w:tabs>
        <w:snapToGrid w:val="0"/>
        <w:spacing w:line="360" w:lineRule="auto"/>
        <w:jc w:val="center"/>
        <w:rPr>
          <w:rFonts w:hint="eastAsia" w:ascii="宋体" w:hAnsi="宋体" w:eastAsia="宋体" w:cs="宋体"/>
          <w:b/>
          <w:color w:val="auto"/>
          <w:sz w:val="48"/>
          <w:szCs w:val="48"/>
        </w:rPr>
      </w:pPr>
    </w:p>
    <w:p w14:paraId="43CE396C">
      <w:pPr>
        <w:spacing w:line="360" w:lineRule="auto"/>
        <w:jc w:val="center"/>
        <w:outlineLvl w:val="0"/>
        <w:rPr>
          <w:rFonts w:hint="eastAsia" w:ascii="宋体" w:hAnsi="宋体" w:eastAsia="宋体" w:cs="宋体"/>
          <w:b/>
          <w:color w:val="auto"/>
          <w:szCs w:val="21"/>
        </w:rPr>
      </w:pPr>
      <w:bookmarkStart w:id="375" w:name="_Toc5520"/>
      <w:bookmarkStart w:id="376" w:name="_Toc1941"/>
      <w:bookmarkStart w:id="377" w:name="_Toc24249"/>
      <w:bookmarkStart w:id="378" w:name="_Toc23533"/>
      <w:bookmarkStart w:id="379" w:name="_Toc29356"/>
      <w:bookmarkStart w:id="380" w:name="_Toc28038"/>
      <w:bookmarkStart w:id="381" w:name="_Toc25195"/>
      <w:bookmarkStart w:id="382" w:name="_Toc31518"/>
      <w:bookmarkStart w:id="383" w:name="_Toc29330"/>
      <w:r>
        <w:rPr>
          <w:rFonts w:hint="eastAsia" w:ascii="宋体" w:hAnsi="宋体" w:eastAsia="宋体" w:cs="宋体"/>
          <w:b/>
          <w:color w:val="auto"/>
          <w:sz w:val="84"/>
          <w:szCs w:val="84"/>
        </w:rPr>
        <w:t>投标文件</w:t>
      </w:r>
      <w:bookmarkEnd w:id="375"/>
      <w:bookmarkEnd w:id="376"/>
      <w:bookmarkEnd w:id="377"/>
      <w:bookmarkEnd w:id="378"/>
      <w:bookmarkEnd w:id="379"/>
      <w:bookmarkEnd w:id="380"/>
      <w:bookmarkEnd w:id="381"/>
      <w:bookmarkEnd w:id="382"/>
      <w:bookmarkEnd w:id="383"/>
    </w:p>
    <w:p w14:paraId="32BB9C8E">
      <w:pPr>
        <w:spacing w:line="360" w:lineRule="auto"/>
        <w:jc w:val="center"/>
        <w:rPr>
          <w:rFonts w:hint="eastAsia" w:ascii="宋体" w:hAnsi="宋体" w:eastAsia="宋体" w:cs="宋体"/>
          <w:b/>
          <w:color w:val="auto"/>
          <w:sz w:val="32"/>
          <w:szCs w:val="32"/>
          <w:lang w:eastAsia="zh-CN"/>
        </w:rPr>
      </w:pPr>
    </w:p>
    <w:p w14:paraId="65AF1363">
      <w:pPr>
        <w:spacing w:line="360" w:lineRule="auto"/>
        <w:ind w:left="1465" w:leftChars="685" w:firstLine="963" w:firstLineChars="317"/>
        <w:jc w:val="left"/>
        <w:rPr>
          <w:rFonts w:hint="eastAsia" w:ascii="宋体" w:hAnsi="宋体" w:eastAsia="宋体" w:cs="宋体"/>
          <w:b/>
          <w:color w:val="auto"/>
          <w:sz w:val="30"/>
        </w:rPr>
      </w:pPr>
    </w:p>
    <w:p w14:paraId="25BC2066">
      <w:pPr>
        <w:spacing w:line="360" w:lineRule="auto"/>
        <w:ind w:left="1465" w:leftChars="685" w:firstLine="963" w:firstLineChars="317"/>
        <w:jc w:val="left"/>
        <w:outlineLvl w:val="0"/>
        <w:rPr>
          <w:rFonts w:hint="eastAsia" w:ascii="宋体" w:hAnsi="宋体" w:eastAsia="宋体" w:cs="宋体"/>
          <w:b/>
          <w:color w:val="auto"/>
          <w:sz w:val="30"/>
          <w:lang w:eastAsia="zh-CN"/>
        </w:rPr>
      </w:pPr>
      <w:bookmarkStart w:id="384" w:name="_Toc24658"/>
      <w:bookmarkStart w:id="385" w:name="_Toc5961"/>
      <w:bookmarkStart w:id="386" w:name="_Toc17369"/>
      <w:bookmarkStart w:id="387" w:name="_Toc3480"/>
      <w:bookmarkStart w:id="388" w:name="_Toc27454"/>
      <w:bookmarkStart w:id="389" w:name="_Toc28361"/>
      <w:bookmarkStart w:id="390" w:name="_Toc14655"/>
      <w:bookmarkStart w:id="391" w:name="_Toc11545"/>
      <w:bookmarkStart w:id="392" w:name="_Toc25330"/>
      <w:r>
        <w:rPr>
          <w:rFonts w:hint="eastAsia" w:ascii="宋体" w:hAnsi="宋体" w:eastAsia="宋体" w:cs="宋体"/>
          <w:b/>
          <w:color w:val="auto"/>
          <w:sz w:val="30"/>
        </w:rPr>
        <w:t>招标编号：</w:t>
      </w:r>
      <w:bookmarkEnd w:id="384"/>
      <w:bookmarkEnd w:id="385"/>
      <w:bookmarkEnd w:id="386"/>
      <w:bookmarkEnd w:id="387"/>
      <w:bookmarkEnd w:id="388"/>
      <w:bookmarkEnd w:id="389"/>
      <w:bookmarkEnd w:id="390"/>
      <w:bookmarkEnd w:id="391"/>
      <w:bookmarkEnd w:id="392"/>
    </w:p>
    <w:p w14:paraId="25C350BE">
      <w:pPr>
        <w:spacing w:line="360" w:lineRule="auto"/>
        <w:jc w:val="center"/>
        <w:rPr>
          <w:rFonts w:hint="eastAsia" w:ascii="宋体" w:hAnsi="宋体" w:eastAsia="宋体" w:cs="宋体"/>
          <w:b/>
          <w:color w:val="auto"/>
          <w:sz w:val="32"/>
          <w:szCs w:val="32"/>
        </w:rPr>
      </w:pPr>
    </w:p>
    <w:p w14:paraId="656F126F">
      <w:pPr>
        <w:spacing w:line="360" w:lineRule="auto"/>
        <w:rPr>
          <w:rFonts w:hint="eastAsia" w:ascii="宋体" w:hAnsi="宋体" w:eastAsia="宋体" w:cs="宋体"/>
          <w:b/>
          <w:color w:val="auto"/>
          <w:sz w:val="32"/>
          <w:highlight w:val="cyan"/>
        </w:rPr>
      </w:pPr>
    </w:p>
    <w:p w14:paraId="028E34EE">
      <w:pPr>
        <w:spacing w:line="360" w:lineRule="auto"/>
        <w:jc w:val="center"/>
        <w:rPr>
          <w:rFonts w:hint="eastAsia" w:ascii="宋体" w:hAnsi="宋体" w:eastAsia="宋体" w:cs="宋体"/>
          <w:b/>
          <w:color w:val="auto"/>
          <w:sz w:val="32"/>
          <w:highlight w:val="cyan"/>
        </w:rPr>
      </w:pPr>
    </w:p>
    <w:p w14:paraId="0621E7F8">
      <w:pPr>
        <w:spacing w:line="360" w:lineRule="auto"/>
        <w:jc w:val="center"/>
        <w:rPr>
          <w:rFonts w:hint="eastAsia" w:ascii="宋体" w:hAnsi="宋体" w:eastAsia="宋体" w:cs="宋体"/>
          <w:b/>
          <w:color w:val="auto"/>
          <w:sz w:val="32"/>
          <w:szCs w:val="32"/>
        </w:rPr>
      </w:pPr>
    </w:p>
    <w:p w14:paraId="68D24612">
      <w:pPr>
        <w:spacing w:line="360" w:lineRule="auto"/>
        <w:ind w:firstLine="502" w:firstLineChars="155"/>
        <w:jc w:val="both"/>
        <w:outlineLvl w:val="0"/>
        <w:rPr>
          <w:rFonts w:hint="eastAsia" w:ascii="宋体" w:hAnsi="宋体" w:eastAsia="宋体" w:cs="宋体"/>
          <w:b/>
          <w:color w:val="auto"/>
          <w:sz w:val="32"/>
        </w:rPr>
      </w:pPr>
      <w:bookmarkStart w:id="393" w:name="_Toc19763"/>
      <w:bookmarkStart w:id="394" w:name="_Toc32015"/>
      <w:bookmarkStart w:id="395" w:name="_Toc20310"/>
      <w:bookmarkStart w:id="396" w:name="_Toc26731"/>
      <w:bookmarkStart w:id="397" w:name="_Toc20895"/>
      <w:bookmarkStart w:id="398" w:name="_Toc31136"/>
      <w:bookmarkStart w:id="399" w:name="_Toc30111"/>
      <w:bookmarkStart w:id="400" w:name="_Toc114"/>
      <w:bookmarkStart w:id="401" w:name="_Toc21657"/>
      <w:r>
        <w:rPr>
          <w:rFonts w:hint="eastAsia" w:ascii="宋体" w:hAnsi="宋体" w:eastAsia="宋体" w:cs="宋体"/>
          <w:b/>
          <w:color w:val="auto"/>
          <w:sz w:val="32"/>
        </w:rPr>
        <w:t>投标人：</w:t>
      </w:r>
      <w:r>
        <w:rPr>
          <w:rFonts w:hint="eastAsia" w:ascii="宋体" w:hAnsi="宋体" w:cs="宋体"/>
          <w:b/>
          <w:color w:val="auto"/>
          <w:sz w:val="32"/>
          <w:lang w:val="en-US" w:eastAsia="zh-CN"/>
        </w:rPr>
        <w:t xml:space="preserve"> </w:t>
      </w:r>
      <w:r>
        <w:rPr>
          <w:rFonts w:hint="eastAsia" w:ascii="宋体" w:hAnsi="宋体" w:cs="宋体"/>
          <w:b/>
          <w:color w:val="auto"/>
          <w:sz w:val="32"/>
          <w:u w:val="single"/>
          <w:lang w:val="en-US" w:eastAsia="zh-CN"/>
        </w:rPr>
        <w:t xml:space="preserve">                          </w:t>
      </w:r>
      <w:r>
        <w:rPr>
          <w:rFonts w:hint="eastAsia" w:ascii="宋体" w:hAnsi="宋体" w:eastAsia="宋体" w:cs="宋体"/>
          <w:b/>
          <w:color w:val="auto"/>
          <w:sz w:val="32"/>
        </w:rPr>
        <w:t>（单位公章）</w:t>
      </w:r>
      <w:bookmarkEnd w:id="393"/>
      <w:bookmarkEnd w:id="394"/>
      <w:bookmarkEnd w:id="395"/>
      <w:bookmarkEnd w:id="396"/>
      <w:bookmarkEnd w:id="397"/>
      <w:bookmarkEnd w:id="398"/>
      <w:bookmarkEnd w:id="399"/>
      <w:bookmarkEnd w:id="400"/>
      <w:bookmarkEnd w:id="401"/>
    </w:p>
    <w:p w14:paraId="5D72CDDE">
      <w:pPr>
        <w:spacing w:line="360" w:lineRule="auto"/>
        <w:jc w:val="center"/>
        <w:rPr>
          <w:rFonts w:hint="eastAsia" w:ascii="宋体" w:hAnsi="宋体" w:eastAsia="宋体" w:cs="宋体"/>
          <w:b/>
          <w:color w:val="auto"/>
          <w:sz w:val="32"/>
        </w:rPr>
      </w:pPr>
    </w:p>
    <w:p w14:paraId="02EDDFD9">
      <w:pPr>
        <w:spacing w:line="360" w:lineRule="auto"/>
        <w:ind w:firstLine="502" w:firstLineChars="155"/>
        <w:rPr>
          <w:rFonts w:hint="eastAsia" w:ascii="宋体" w:hAnsi="宋体" w:eastAsia="宋体" w:cs="宋体"/>
          <w:b/>
          <w:color w:val="auto"/>
          <w:sz w:val="32"/>
        </w:rPr>
      </w:pPr>
      <w:r>
        <w:rPr>
          <w:rFonts w:hint="eastAsia" w:ascii="宋体" w:hAnsi="宋体" w:eastAsia="宋体" w:cs="宋体"/>
          <w:b/>
          <w:color w:val="auto"/>
          <w:sz w:val="32"/>
        </w:rPr>
        <w:t>法人代表或委托代理人：</w:t>
      </w:r>
      <w:r>
        <w:rPr>
          <w:rFonts w:hint="eastAsia" w:ascii="宋体" w:hAnsi="宋体" w:cs="宋体"/>
          <w:b/>
          <w:color w:val="auto"/>
          <w:sz w:val="32"/>
          <w:u w:val="single"/>
          <w:lang w:val="en-US" w:eastAsia="zh-CN"/>
        </w:rPr>
        <w:t xml:space="preserve">              </w:t>
      </w:r>
      <w:r>
        <w:rPr>
          <w:rFonts w:hint="eastAsia" w:ascii="宋体" w:hAnsi="宋体" w:eastAsia="宋体" w:cs="宋体"/>
          <w:b/>
          <w:color w:val="auto"/>
          <w:sz w:val="32"/>
        </w:rPr>
        <w:t>（签字</w:t>
      </w:r>
      <w:r>
        <w:rPr>
          <w:rFonts w:hint="eastAsia" w:ascii="宋体" w:hAnsi="宋体" w:eastAsia="宋体" w:cs="宋体"/>
          <w:b/>
          <w:color w:val="auto"/>
          <w:sz w:val="32"/>
          <w:lang w:val="en-US" w:eastAsia="zh-CN"/>
        </w:rPr>
        <w:t>盖章</w:t>
      </w:r>
      <w:r>
        <w:rPr>
          <w:rFonts w:hint="eastAsia" w:ascii="宋体" w:hAnsi="宋体" w:eastAsia="宋体" w:cs="宋体"/>
          <w:b/>
          <w:color w:val="auto"/>
          <w:sz w:val="32"/>
        </w:rPr>
        <w:t>）</w:t>
      </w:r>
    </w:p>
    <w:p w14:paraId="2501B741">
      <w:pPr>
        <w:spacing w:line="360" w:lineRule="auto"/>
        <w:jc w:val="center"/>
        <w:rPr>
          <w:rFonts w:hint="eastAsia" w:ascii="宋体" w:hAnsi="宋体" w:eastAsia="宋体" w:cs="宋体"/>
          <w:b/>
          <w:color w:val="auto"/>
          <w:sz w:val="32"/>
        </w:rPr>
      </w:pPr>
    </w:p>
    <w:p w14:paraId="3E5143E6">
      <w:pPr>
        <w:spacing w:line="360" w:lineRule="auto"/>
        <w:jc w:val="center"/>
        <w:outlineLvl w:val="0"/>
        <w:rPr>
          <w:rFonts w:hint="eastAsia" w:ascii="宋体" w:hAnsi="宋体" w:eastAsia="宋体" w:cs="宋体"/>
          <w:b/>
          <w:color w:val="auto"/>
          <w:sz w:val="36"/>
          <w:szCs w:val="36"/>
        </w:rPr>
      </w:pPr>
      <w:bookmarkStart w:id="402" w:name="_Toc3023"/>
      <w:bookmarkStart w:id="403" w:name="_Toc23268"/>
      <w:bookmarkStart w:id="404" w:name="_Toc29557"/>
      <w:bookmarkStart w:id="405" w:name="_Toc12719"/>
      <w:bookmarkStart w:id="406" w:name="_Toc17732"/>
      <w:bookmarkStart w:id="407" w:name="_Toc25225"/>
      <w:bookmarkStart w:id="408" w:name="_Toc30116"/>
      <w:bookmarkStart w:id="409" w:name="_Toc30545"/>
      <w:bookmarkStart w:id="410" w:name="_Toc23353"/>
      <w:r>
        <w:rPr>
          <w:rFonts w:hint="eastAsia" w:ascii="宋体" w:hAnsi="宋体" w:eastAsia="宋体" w:cs="宋体"/>
          <w:b/>
          <w:bCs/>
          <w:color w:val="auto"/>
          <w:sz w:val="28"/>
          <w:szCs w:val="28"/>
        </w:rPr>
        <w:t>年月日</w:t>
      </w:r>
      <w:bookmarkEnd w:id="402"/>
      <w:bookmarkEnd w:id="403"/>
      <w:bookmarkEnd w:id="404"/>
      <w:bookmarkEnd w:id="405"/>
      <w:bookmarkEnd w:id="406"/>
      <w:bookmarkEnd w:id="407"/>
      <w:bookmarkEnd w:id="408"/>
      <w:bookmarkEnd w:id="409"/>
      <w:bookmarkEnd w:id="410"/>
    </w:p>
    <w:p w14:paraId="2A210AC0">
      <w:pPr>
        <w:spacing w:line="360" w:lineRule="auto"/>
        <w:jc w:val="center"/>
        <w:rPr>
          <w:rFonts w:hint="eastAsia" w:ascii="宋体" w:hAnsi="宋体" w:eastAsia="宋体" w:cs="宋体"/>
          <w:b/>
          <w:color w:val="auto"/>
          <w:sz w:val="28"/>
          <w:szCs w:val="28"/>
        </w:rPr>
      </w:pPr>
    </w:p>
    <w:p w14:paraId="26EB4872">
      <w:pPr>
        <w:spacing w:line="360" w:lineRule="auto"/>
        <w:jc w:val="center"/>
        <w:rPr>
          <w:rFonts w:hint="eastAsia" w:ascii="宋体" w:hAnsi="宋体" w:eastAsia="宋体" w:cs="宋体"/>
          <w:b/>
          <w:color w:val="auto"/>
          <w:sz w:val="28"/>
          <w:szCs w:val="28"/>
        </w:rPr>
      </w:pPr>
    </w:p>
    <w:p w14:paraId="2EDD0829">
      <w:pPr>
        <w:jc w:val="center"/>
        <w:rPr>
          <w:rFonts w:hint="eastAsia" w:ascii="宋体" w:hAnsi="宋体" w:eastAsia="宋体" w:cs="宋体"/>
          <w:color w:val="auto"/>
          <w:sz w:val="32"/>
          <w:szCs w:val="32"/>
        </w:rPr>
      </w:pPr>
      <w:r>
        <w:rPr>
          <w:rFonts w:hint="eastAsia" w:ascii="宋体" w:hAnsi="宋体" w:eastAsia="宋体" w:cs="宋体"/>
          <w:color w:val="auto"/>
          <w:sz w:val="32"/>
          <w:szCs w:val="32"/>
        </w:rPr>
        <w:t>目</w:t>
      </w:r>
      <w:r>
        <w:rPr>
          <w:rFonts w:hint="eastAsia" w:ascii="宋体" w:hAnsi="宋体" w:cs="宋体"/>
          <w:color w:val="auto"/>
          <w:sz w:val="32"/>
          <w:szCs w:val="32"/>
          <w:lang w:val="en-US" w:eastAsia="zh-CN"/>
        </w:rPr>
        <w:t xml:space="preserve"> </w:t>
      </w:r>
      <w:r>
        <w:rPr>
          <w:rFonts w:hint="eastAsia" w:ascii="宋体" w:hAnsi="宋体" w:eastAsia="宋体" w:cs="宋体"/>
          <w:color w:val="auto"/>
          <w:sz w:val="32"/>
          <w:szCs w:val="32"/>
        </w:rPr>
        <w:t>录</w:t>
      </w:r>
    </w:p>
    <w:p w14:paraId="622A08A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格式自拟</w:t>
      </w:r>
    </w:p>
    <w:p w14:paraId="51EAD673">
      <w:pPr>
        <w:rPr>
          <w:rFonts w:hint="eastAsia" w:ascii="宋体" w:hAnsi="宋体" w:eastAsia="宋体" w:cs="宋体"/>
          <w:color w:val="auto"/>
          <w:sz w:val="28"/>
          <w:szCs w:val="28"/>
          <w:lang w:val="en-US" w:eastAsia="zh-CN"/>
        </w:rPr>
      </w:pPr>
    </w:p>
    <w:p w14:paraId="61DEC644">
      <w:pPr>
        <w:rPr>
          <w:rFonts w:hint="eastAsia" w:ascii="宋体" w:hAnsi="宋体" w:eastAsia="宋体" w:cs="宋体"/>
          <w:color w:val="auto"/>
          <w:sz w:val="28"/>
          <w:szCs w:val="28"/>
          <w:lang w:val="en-US" w:eastAsia="zh-CN"/>
        </w:rPr>
      </w:pPr>
    </w:p>
    <w:p w14:paraId="130EE2F4">
      <w:pPr>
        <w:rPr>
          <w:rFonts w:hint="eastAsia" w:ascii="宋体" w:hAnsi="宋体" w:eastAsia="宋体" w:cs="宋体"/>
          <w:color w:val="auto"/>
          <w:sz w:val="32"/>
          <w:szCs w:val="32"/>
        </w:rPr>
      </w:pPr>
    </w:p>
    <w:p w14:paraId="4C7584AE">
      <w:pPr>
        <w:rPr>
          <w:rFonts w:hint="eastAsia" w:ascii="宋体" w:hAnsi="宋体" w:eastAsia="宋体" w:cs="宋体"/>
          <w:color w:val="auto"/>
          <w:sz w:val="32"/>
          <w:szCs w:val="32"/>
        </w:rPr>
      </w:pPr>
    </w:p>
    <w:p w14:paraId="304B170A">
      <w:pPr>
        <w:rPr>
          <w:rFonts w:hint="eastAsia" w:ascii="宋体" w:hAnsi="宋体" w:eastAsia="宋体" w:cs="宋体"/>
          <w:color w:val="auto"/>
          <w:sz w:val="32"/>
          <w:szCs w:val="32"/>
        </w:rPr>
      </w:pPr>
    </w:p>
    <w:p w14:paraId="34650F31">
      <w:pPr>
        <w:rPr>
          <w:rFonts w:hint="eastAsia" w:ascii="宋体" w:hAnsi="宋体" w:eastAsia="宋体" w:cs="宋体"/>
          <w:color w:val="auto"/>
          <w:sz w:val="32"/>
          <w:szCs w:val="32"/>
        </w:rPr>
      </w:pPr>
    </w:p>
    <w:p w14:paraId="03DDD696">
      <w:pPr>
        <w:rPr>
          <w:rFonts w:hint="eastAsia" w:ascii="宋体" w:hAnsi="宋体" w:eastAsia="宋体" w:cs="宋体"/>
          <w:color w:val="auto"/>
          <w:sz w:val="32"/>
          <w:szCs w:val="32"/>
        </w:rPr>
      </w:pPr>
    </w:p>
    <w:p w14:paraId="5A849587">
      <w:pPr>
        <w:rPr>
          <w:rFonts w:hint="eastAsia" w:ascii="宋体" w:hAnsi="宋体" w:eastAsia="宋体" w:cs="宋体"/>
          <w:color w:val="auto"/>
          <w:sz w:val="32"/>
          <w:szCs w:val="32"/>
        </w:rPr>
      </w:pPr>
    </w:p>
    <w:p w14:paraId="7669CA47">
      <w:pPr>
        <w:rPr>
          <w:rFonts w:hint="eastAsia" w:ascii="宋体" w:hAnsi="宋体" w:eastAsia="宋体" w:cs="宋体"/>
          <w:color w:val="auto"/>
          <w:sz w:val="32"/>
          <w:szCs w:val="32"/>
        </w:rPr>
      </w:pPr>
    </w:p>
    <w:p w14:paraId="24339F9B">
      <w:pPr>
        <w:rPr>
          <w:rFonts w:hint="eastAsia" w:ascii="宋体" w:hAnsi="宋体" w:eastAsia="宋体" w:cs="宋体"/>
          <w:color w:val="auto"/>
          <w:sz w:val="32"/>
          <w:szCs w:val="32"/>
        </w:rPr>
      </w:pPr>
    </w:p>
    <w:p w14:paraId="1C5C17C9">
      <w:pPr>
        <w:rPr>
          <w:rFonts w:hint="eastAsia" w:ascii="宋体" w:hAnsi="宋体" w:eastAsia="宋体" w:cs="宋体"/>
          <w:color w:val="auto"/>
          <w:sz w:val="32"/>
          <w:szCs w:val="32"/>
        </w:rPr>
      </w:pPr>
    </w:p>
    <w:p w14:paraId="50E76469">
      <w:pPr>
        <w:rPr>
          <w:rFonts w:hint="eastAsia" w:ascii="宋体" w:hAnsi="宋体" w:eastAsia="宋体" w:cs="宋体"/>
          <w:color w:val="auto"/>
          <w:sz w:val="32"/>
          <w:szCs w:val="32"/>
        </w:rPr>
      </w:pPr>
    </w:p>
    <w:p w14:paraId="6FEED584">
      <w:pPr>
        <w:rPr>
          <w:rFonts w:hint="eastAsia" w:ascii="宋体" w:hAnsi="宋体" w:eastAsia="宋体" w:cs="宋体"/>
          <w:color w:val="auto"/>
          <w:sz w:val="32"/>
          <w:szCs w:val="32"/>
        </w:rPr>
      </w:pPr>
    </w:p>
    <w:p w14:paraId="1B216DEE">
      <w:pPr>
        <w:rPr>
          <w:rFonts w:hint="eastAsia" w:ascii="宋体" w:hAnsi="宋体" w:eastAsia="宋体" w:cs="宋体"/>
          <w:color w:val="auto"/>
          <w:sz w:val="32"/>
          <w:szCs w:val="32"/>
        </w:rPr>
      </w:pPr>
    </w:p>
    <w:p w14:paraId="2A498459">
      <w:pPr>
        <w:rPr>
          <w:rFonts w:hint="eastAsia" w:ascii="宋体" w:hAnsi="宋体" w:eastAsia="宋体" w:cs="宋体"/>
          <w:color w:val="auto"/>
          <w:sz w:val="32"/>
          <w:szCs w:val="32"/>
        </w:rPr>
      </w:pPr>
    </w:p>
    <w:p w14:paraId="650B9ABF">
      <w:pPr>
        <w:rPr>
          <w:rFonts w:hint="eastAsia" w:ascii="宋体" w:hAnsi="宋体" w:eastAsia="宋体" w:cs="宋体"/>
          <w:color w:val="auto"/>
          <w:sz w:val="32"/>
          <w:szCs w:val="32"/>
        </w:rPr>
      </w:pPr>
    </w:p>
    <w:p w14:paraId="3B99EFA2">
      <w:pPr>
        <w:rPr>
          <w:rFonts w:hint="eastAsia" w:ascii="宋体" w:hAnsi="宋体" w:eastAsia="宋体" w:cs="宋体"/>
          <w:color w:val="auto"/>
          <w:sz w:val="32"/>
          <w:szCs w:val="32"/>
        </w:rPr>
      </w:pPr>
    </w:p>
    <w:p w14:paraId="6BC49027">
      <w:pPr>
        <w:rPr>
          <w:rFonts w:hint="eastAsia" w:ascii="宋体" w:hAnsi="宋体" w:eastAsia="宋体" w:cs="宋体"/>
          <w:color w:val="auto"/>
          <w:sz w:val="32"/>
          <w:szCs w:val="32"/>
        </w:rPr>
      </w:pPr>
    </w:p>
    <w:p w14:paraId="69750854">
      <w:pPr>
        <w:rPr>
          <w:rFonts w:hint="eastAsia" w:ascii="宋体" w:hAnsi="宋体" w:eastAsia="宋体" w:cs="宋体"/>
          <w:color w:val="auto"/>
          <w:sz w:val="32"/>
          <w:szCs w:val="32"/>
        </w:rPr>
      </w:pPr>
    </w:p>
    <w:p w14:paraId="0528E562">
      <w:pPr>
        <w:rPr>
          <w:rFonts w:hint="eastAsia" w:ascii="宋体" w:hAnsi="宋体" w:eastAsia="宋体" w:cs="宋体"/>
          <w:color w:val="auto"/>
          <w:sz w:val="32"/>
          <w:szCs w:val="32"/>
        </w:rPr>
      </w:pPr>
    </w:p>
    <w:p w14:paraId="73B09A8B">
      <w:pPr>
        <w:spacing w:line="240" w:lineRule="auto"/>
        <w:ind w:firstLine="0" w:firstLineChars="0"/>
        <w:jc w:val="center"/>
        <w:outlineLvl w:val="0"/>
        <w:rPr>
          <w:rFonts w:hint="eastAsia" w:ascii="宋体" w:hAnsi="宋体" w:eastAsia="宋体" w:cs="宋体"/>
          <w:b/>
          <w:bCs/>
          <w:color w:val="auto"/>
          <w:szCs w:val="21"/>
        </w:rPr>
      </w:pPr>
      <w:bookmarkStart w:id="411" w:name="_Toc10649"/>
      <w:bookmarkStart w:id="412" w:name="_Toc28792"/>
      <w:bookmarkStart w:id="413" w:name="_Toc22245"/>
      <w:bookmarkStart w:id="414" w:name="_Toc6820"/>
      <w:bookmarkStart w:id="415" w:name="_Toc17513"/>
      <w:r>
        <w:rPr>
          <w:rFonts w:hint="eastAsia" w:ascii="宋体" w:hAnsi="宋体" w:eastAsia="宋体" w:cs="宋体"/>
          <w:b/>
          <w:bCs/>
          <w:color w:val="auto"/>
          <w:sz w:val="32"/>
          <w:szCs w:val="32"/>
          <w:lang w:eastAsia="zh-CN"/>
        </w:rPr>
        <w:t>一、</w:t>
      </w:r>
      <w:r>
        <w:rPr>
          <w:rFonts w:hint="eastAsia" w:ascii="宋体" w:hAnsi="宋体" w:eastAsia="宋体" w:cs="宋体"/>
          <w:b/>
          <w:bCs/>
          <w:color w:val="auto"/>
          <w:sz w:val="28"/>
          <w:szCs w:val="28"/>
        </w:rPr>
        <w:t>投标函及投标函附录</w:t>
      </w:r>
      <w:bookmarkEnd w:id="411"/>
      <w:bookmarkEnd w:id="412"/>
      <w:bookmarkEnd w:id="413"/>
      <w:bookmarkEnd w:id="414"/>
      <w:bookmarkEnd w:id="415"/>
    </w:p>
    <w:p w14:paraId="4397C792">
      <w:pPr>
        <w:spacing w:line="240" w:lineRule="auto"/>
        <w:ind w:firstLine="0" w:firstLineChars="0"/>
        <w:jc w:val="center"/>
        <w:rPr>
          <w:rFonts w:hint="eastAsia" w:ascii="宋体" w:hAnsi="宋体" w:eastAsia="宋体" w:cs="宋体"/>
          <w:color w:val="auto"/>
          <w:sz w:val="28"/>
          <w:szCs w:val="28"/>
        </w:rPr>
      </w:pPr>
      <w:bookmarkStart w:id="416" w:name="_Toc282843669"/>
      <w:bookmarkStart w:id="417" w:name="_Toc282433383"/>
      <w:bookmarkStart w:id="418" w:name="_Toc282810528"/>
      <w:bookmarkStart w:id="419" w:name="_Toc283128988"/>
      <w:bookmarkStart w:id="420" w:name="_Toc282823858"/>
      <w:bookmarkStart w:id="421" w:name="_Toc282432800"/>
      <w:r>
        <w:rPr>
          <w:rFonts w:hint="eastAsia" w:ascii="宋体" w:hAnsi="宋体" w:eastAsia="宋体" w:cs="宋体"/>
          <w:color w:val="auto"/>
          <w:sz w:val="28"/>
          <w:szCs w:val="28"/>
        </w:rPr>
        <w:t>（一）投标函</w:t>
      </w:r>
      <w:bookmarkEnd w:id="416"/>
      <w:bookmarkEnd w:id="417"/>
      <w:bookmarkEnd w:id="418"/>
      <w:bookmarkEnd w:id="419"/>
      <w:bookmarkEnd w:id="420"/>
      <w:bookmarkEnd w:id="421"/>
    </w:p>
    <w:p w14:paraId="2FA4F85E">
      <w:pPr>
        <w:spacing w:line="360" w:lineRule="auto"/>
        <w:ind w:firstLine="568" w:firstLineChars="200"/>
        <w:jc w:val="left"/>
        <w:rPr>
          <w:rFonts w:hint="eastAsia" w:ascii="宋体" w:hAnsi="宋体" w:eastAsia="宋体" w:cs="宋体"/>
          <w:i w:val="0"/>
          <w:iCs w:val="0"/>
          <w:color w:val="auto"/>
          <w:sz w:val="28"/>
          <w:szCs w:val="28"/>
          <w:lang w:eastAsia="zh-CN"/>
        </w:rPr>
      </w:pPr>
      <w:r>
        <w:rPr>
          <w:rFonts w:hint="eastAsia" w:ascii="宋体" w:hAnsi="宋体" w:eastAsia="宋体" w:cs="宋体"/>
          <w:i w:val="0"/>
          <w:iCs w:val="0"/>
          <w:color w:val="auto"/>
          <w:sz w:val="28"/>
          <w:szCs w:val="28"/>
        </w:rPr>
        <w:t>（招标人名称）:</w:t>
      </w:r>
    </w:p>
    <w:p w14:paraId="2F1D00F6">
      <w:pPr>
        <w:numPr>
          <w:ilvl w:val="0"/>
          <w:numId w:val="18"/>
        </w:numPr>
        <w:spacing w:line="360" w:lineRule="auto"/>
        <w:ind w:firstLine="568" w:firstLineChars="200"/>
        <w:jc w:val="left"/>
        <w:rPr>
          <w:rFonts w:hint="eastAsia" w:ascii="宋体" w:hAnsi="宋体" w:eastAsia="宋体" w:cs="宋体"/>
          <w:i w:val="0"/>
          <w:iCs w:val="0"/>
          <w:color w:val="auto"/>
          <w:sz w:val="28"/>
          <w:szCs w:val="28"/>
        </w:rPr>
      </w:pPr>
      <w:r>
        <w:rPr>
          <w:spacing w:val="0"/>
          <w:w w:val="100"/>
          <w:sz w:val="28"/>
          <w:szCs w:val="28"/>
        </w:rPr>
        <w:t>我方已仔细研究了</w:t>
      </w:r>
      <w:r>
        <w:rPr>
          <w:spacing w:val="0"/>
          <w:w w:val="100"/>
          <w:sz w:val="28"/>
          <w:szCs w:val="28"/>
          <w:u w:val="single"/>
        </w:rPr>
        <w:tab/>
      </w:r>
      <w:r>
        <w:rPr>
          <w:spacing w:val="0"/>
          <w:w w:val="100"/>
          <w:sz w:val="28"/>
          <w:szCs w:val="28"/>
          <w:u w:val="single"/>
        </w:rPr>
        <w:tab/>
      </w:r>
      <w:r>
        <w:rPr>
          <w:spacing w:val="0"/>
          <w:w w:val="100"/>
          <w:sz w:val="28"/>
          <w:szCs w:val="28"/>
        </w:rPr>
        <w:t>（项目名称、招标编号）</w:t>
      </w:r>
      <w:r>
        <w:rPr>
          <w:rFonts w:hint="eastAsia"/>
          <w:spacing w:val="0"/>
          <w:w w:val="100"/>
          <w:sz w:val="28"/>
          <w:szCs w:val="28"/>
          <w:lang w:eastAsia="zh-CN"/>
        </w:rPr>
        <w:t>招标</w:t>
      </w:r>
      <w:r>
        <w:rPr>
          <w:spacing w:val="0"/>
          <w:w w:val="100"/>
          <w:sz w:val="28"/>
          <w:szCs w:val="28"/>
        </w:rPr>
        <w:t>文件的全部内容，愿意以</w:t>
      </w:r>
      <w:r>
        <w:rPr>
          <w:rFonts w:hint="eastAsia"/>
          <w:spacing w:val="0"/>
          <w:w w:val="100"/>
          <w:sz w:val="28"/>
          <w:szCs w:val="28"/>
          <w:lang w:val="en-US" w:eastAsia="zh-CN"/>
        </w:rPr>
        <w:t>设计费</w:t>
      </w:r>
      <w:r>
        <w:rPr>
          <w:spacing w:val="0"/>
          <w:w w:val="100"/>
          <w:sz w:val="28"/>
          <w:szCs w:val="28"/>
        </w:rPr>
        <w:t>大写：</w:t>
      </w:r>
      <w:r>
        <w:rPr>
          <w:spacing w:val="0"/>
          <w:w w:val="100"/>
          <w:sz w:val="28"/>
          <w:szCs w:val="28"/>
          <w:u w:val="single"/>
        </w:rPr>
        <w:tab/>
      </w:r>
      <w:r>
        <w:rPr>
          <w:rFonts w:hint="eastAsia"/>
          <w:spacing w:val="0"/>
          <w:w w:val="100"/>
          <w:sz w:val="28"/>
          <w:szCs w:val="28"/>
          <w:u w:val="single"/>
          <w:lang w:val="en-US" w:eastAsia="zh-CN"/>
        </w:rPr>
        <w:t xml:space="preserve">   </w:t>
      </w:r>
      <w:r>
        <w:rPr>
          <w:spacing w:val="0"/>
          <w:w w:val="100"/>
          <w:sz w:val="28"/>
          <w:szCs w:val="28"/>
        </w:rPr>
        <w:t>（小写：</w:t>
      </w:r>
      <w:r>
        <w:rPr>
          <w:spacing w:val="0"/>
          <w:w w:val="100"/>
          <w:sz w:val="28"/>
          <w:szCs w:val="28"/>
          <w:u w:val="single"/>
        </w:rPr>
        <w:tab/>
      </w:r>
      <w:r>
        <w:rPr>
          <w:spacing w:val="0"/>
          <w:w w:val="100"/>
          <w:sz w:val="28"/>
          <w:szCs w:val="28"/>
          <w:u w:val="single"/>
        </w:rPr>
        <w:tab/>
      </w:r>
      <w:r>
        <w:rPr>
          <w:rFonts w:hint="eastAsia"/>
          <w:spacing w:val="0"/>
          <w:w w:val="100"/>
          <w:sz w:val="28"/>
          <w:szCs w:val="28"/>
          <w:u w:val="single"/>
          <w:lang w:val="en-US" w:eastAsia="zh-CN"/>
        </w:rPr>
        <w:t>元</w:t>
      </w:r>
      <w:r>
        <w:rPr>
          <w:spacing w:val="0"/>
          <w:w w:val="100"/>
          <w:sz w:val="28"/>
          <w:szCs w:val="28"/>
        </w:rPr>
        <w:t>）</w:t>
      </w:r>
      <w:r>
        <w:rPr>
          <w:rFonts w:hint="eastAsia"/>
          <w:spacing w:val="0"/>
          <w:w w:val="100"/>
          <w:sz w:val="28"/>
          <w:szCs w:val="28"/>
          <w:lang w:eastAsia="zh-CN"/>
        </w:rPr>
        <w:t>，</w:t>
      </w:r>
      <w:r>
        <w:rPr>
          <w:rFonts w:hint="eastAsia"/>
          <w:spacing w:val="0"/>
          <w:w w:val="100"/>
          <w:sz w:val="28"/>
          <w:szCs w:val="28"/>
          <w:lang w:val="en-US" w:eastAsia="zh-CN"/>
        </w:rPr>
        <w:t>工程费</w:t>
      </w:r>
      <w:r>
        <w:rPr>
          <w:spacing w:val="0"/>
          <w:w w:val="100"/>
          <w:sz w:val="28"/>
          <w:szCs w:val="28"/>
        </w:rPr>
        <w:t>大写：</w:t>
      </w:r>
      <w:r>
        <w:rPr>
          <w:spacing w:val="0"/>
          <w:w w:val="100"/>
          <w:sz w:val="28"/>
          <w:szCs w:val="28"/>
          <w:u w:val="single"/>
        </w:rPr>
        <w:tab/>
      </w:r>
      <w:r>
        <w:rPr>
          <w:spacing w:val="0"/>
          <w:w w:val="100"/>
          <w:sz w:val="28"/>
          <w:szCs w:val="28"/>
        </w:rPr>
        <w:t>（小写：</w:t>
      </w:r>
      <w:r>
        <w:rPr>
          <w:rFonts w:hint="eastAsia"/>
          <w:spacing w:val="0"/>
          <w:w w:val="100"/>
          <w:sz w:val="28"/>
          <w:szCs w:val="28"/>
          <w:u w:val="single"/>
          <w:lang w:val="en-US" w:eastAsia="zh-CN"/>
        </w:rPr>
        <w:t xml:space="preserve">   元</w:t>
      </w:r>
      <w:r>
        <w:rPr>
          <w:spacing w:val="0"/>
          <w:w w:val="100"/>
          <w:sz w:val="28"/>
          <w:szCs w:val="28"/>
        </w:rPr>
        <w:t>）作为项目的投标报价；工期</w:t>
      </w:r>
      <w:r>
        <w:rPr>
          <w:spacing w:val="0"/>
          <w:w w:val="100"/>
          <w:sz w:val="28"/>
          <w:szCs w:val="28"/>
          <w:u w:val="single"/>
        </w:rPr>
        <w:tab/>
      </w:r>
      <w:r>
        <w:rPr>
          <w:spacing w:val="0"/>
          <w:w w:val="100"/>
          <w:sz w:val="28"/>
          <w:szCs w:val="28"/>
        </w:rPr>
        <w:t>日历天，按合同约定进行设计、施工、设备安装及竣工验收等工程，并修补工程中的任何缺陷，实现工程目的，设计要求的质量标准：</w:t>
      </w:r>
      <w:r>
        <w:rPr>
          <w:rFonts w:hint="eastAsia"/>
          <w:spacing w:val="0"/>
          <w:w w:val="100"/>
          <w:sz w:val="28"/>
          <w:szCs w:val="28"/>
          <w:u w:val="single"/>
          <w:lang w:val="en-US" w:eastAsia="zh-CN"/>
        </w:rPr>
        <w:t xml:space="preserve">        </w:t>
      </w:r>
      <w:r>
        <w:rPr>
          <w:spacing w:val="0"/>
          <w:w w:val="100"/>
          <w:sz w:val="28"/>
          <w:szCs w:val="28"/>
        </w:rPr>
        <w:t>，施工要求的质量标准：</w:t>
      </w:r>
      <w:r>
        <w:rPr>
          <w:rFonts w:hint="eastAsia"/>
          <w:spacing w:val="0"/>
          <w:w w:val="100"/>
          <w:sz w:val="28"/>
          <w:szCs w:val="28"/>
          <w:u w:val="single"/>
          <w:lang w:val="en-US" w:eastAsia="zh-CN"/>
        </w:rPr>
        <w:t xml:space="preserve">     </w:t>
      </w:r>
      <w:r>
        <w:rPr>
          <w:spacing w:val="0"/>
          <w:w w:val="100"/>
          <w:sz w:val="28"/>
          <w:szCs w:val="28"/>
          <w:u w:val="single"/>
        </w:rPr>
        <w:tab/>
      </w:r>
      <w:r>
        <w:rPr>
          <w:spacing w:val="0"/>
          <w:w w:val="100"/>
          <w:sz w:val="28"/>
          <w:szCs w:val="28"/>
        </w:rPr>
        <w:t>。</w:t>
      </w:r>
    </w:p>
    <w:p w14:paraId="2BDA70FE">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2．我方承诺在投标有效期内不修改、撤销投标文件。</w:t>
      </w:r>
    </w:p>
    <w:p w14:paraId="710CEA9A">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3．随同本投标函提交投标保证金一份，金额为人民币（大写</w:t>
      </w:r>
      <w:r>
        <w:rPr>
          <w:rFonts w:hint="eastAsia" w:ascii="宋体" w:hAnsi="宋体" w:eastAsia="宋体" w:cs="宋体"/>
          <w:i w:val="0"/>
          <w:iCs w:val="0"/>
          <w:color w:val="auto"/>
          <w:sz w:val="28"/>
          <w:szCs w:val="28"/>
          <w:lang w:eastAsia="zh-CN"/>
        </w:rPr>
        <w:t>：</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）元（￥</w:t>
      </w:r>
      <w:r>
        <w:rPr>
          <w:rFonts w:hint="eastAsia" w:ascii="宋体" w:hAnsi="宋体" w:eastAsia="宋体" w:cs="宋体"/>
          <w:i w:val="0"/>
          <w:iCs w:val="0"/>
          <w:color w:val="auto"/>
          <w:sz w:val="28"/>
          <w:szCs w:val="28"/>
          <w:lang w:eastAsia="zh-CN"/>
        </w:rPr>
        <w:t>：</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w:t>
      </w:r>
    </w:p>
    <w:p w14:paraId="01B6F52B">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4．如我方中标：</w:t>
      </w:r>
    </w:p>
    <w:p w14:paraId="7FC6CD2E">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(l）我方承诺在收到中标通知书后，在中标通知书规定的期限内与你方签订合同。</w:t>
      </w:r>
    </w:p>
    <w:p w14:paraId="16CEEAA1">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(2）随同本投标函递交的投标函附录属于合同文件的组成部分。</w:t>
      </w:r>
    </w:p>
    <w:p w14:paraId="6FEF633D">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(3）我方承诺按照招标文件规定向你方递交履约担保。</w:t>
      </w:r>
    </w:p>
    <w:p w14:paraId="787018AD">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(4）我方承诺在合同约定的期限内完成并移交全部合同工程。</w:t>
      </w:r>
    </w:p>
    <w:p w14:paraId="63AD3207">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5．我方在此声明，所递交的投标文件及有关资料内容完整、真实和准确。</w:t>
      </w:r>
    </w:p>
    <w:p w14:paraId="5E4E67E9">
      <w:pPr>
        <w:spacing w:line="360" w:lineRule="auto"/>
        <w:ind w:firstLine="568" w:firstLineChars="200"/>
        <w:jc w:val="left"/>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6.</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（其他补充说明）。</w:t>
      </w:r>
    </w:p>
    <w:p w14:paraId="1E6E411E">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i w:val="0"/>
          <w:iCs w:val="0"/>
          <w:color w:val="auto"/>
          <w:sz w:val="28"/>
          <w:szCs w:val="28"/>
        </w:rPr>
        <w:t>投标人：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（盖单位章</w:t>
      </w:r>
      <w:r>
        <w:rPr>
          <w:rFonts w:hint="eastAsia" w:ascii="宋体" w:hAnsi="宋体" w:eastAsia="宋体" w:cs="宋体"/>
          <w:color w:val="auto"/>
          <w:sz w:val="28"/>
          <w:szCs w:val="28"/>
        </w:rPr>
        <w:t>）</w:t>
      </w:r>
    </w:p>
    <w:p w14:paraId="66BB5998">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法定代表人或其委托代理人：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highlight w:val="none"/>
          <w:lang w:val="en-US" w:eastAsia="zh-CN" w:bidi="zh-CN"/>
        </w:rPr>
        <w:t>签字并加盖名章</w:t>
      </w:r>
      <w:r>
        <w:rPr>
          <w:rFonts w:hint="eastAsia" w:ascii="宋体" w:hAnsi="宋体" w:cs="宋体"/>
          <w:color w:val="auto"/>
          <w:sz w:val="28"/>
          <w:szCs w:val="28"/>
          <w:highlight w:val="none"/>
          <w:lang w:val="en-US" w:eastAsia="zh-CN" w:bidi="zh-CN"/>
        </w:rPr>
        <w:t>及加盖单位公章</w:t>
      </w:r>
      <w:r>
        <w:rPr>
          <w:rFonts w:hint="eastAsia" w:ascii="宋体" w:hAnsi="宋体" w:eastAsia="宋体" w:cs="宋体"/>
          <w:color w:val="auto"/>
          <w:sz w:val="28"/>
          <w:szCs w:val="28"/>
        </w:rPr>
        <w:t>）</w:t>
      </w:r>
    </w:p>
    <w:p w14:paraId="6AA9AEF1">
      <w:pPr>
        <w:spacing w:line="360" w:lineRule="auto"/>
        <w:ind w:firstLine="568"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地址：</w:t>
      </w:r>
      <w:r>
        <w:rPr>
          <w:rFonts w:hint="eastAsia" w:ascii="宋体" w:hAnsi="宋体" w:eastAsia="宋体" w:cs="宋体"/>
          <w:i w:val="0"/>
          <w:iCs w:val="0"/>
          <w:color w:val="auto"/>
          <w:sz w:val="28"/>
          <w:szCs w:val="28"/>
          <w:u w:val="single"/>
          <w:lang w:val="en-US" w:eastAsia="zh-CN"/>
        </w:rPr>
        <w:t xml:space="preserve">                   </w:t>
      </w:r>
    </w:p>
    <w:p w14:paraId="723D6C3E">
      <w:pPr>
        <w:spacing w:line="360" w:lineRule="auto"/>
        <w:ind w:firstLine="568"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网址：</w:t>
      </w:r>
      <w:r>
        <w:rPr>
          <w:rFonts w:hint="eastAsia" w:ascii="宋体" w:hAnsi="宋体" w:eastAsia="宋体" w:cs="宋体"/>
          <w:i w:val="0"/>
          <w:iCs w:val="0"/>
          <w:color w:val="auto"/>
          <w:sz w:val="28"/>
          <w:szCs w:val="28"/>
          <w:u w:val="single"/>
          <w:lang w:val="en-US" w:eastAsia="zh-CN"/>
        </w:rPr>
        <w:t xml:space="preserve">                   </w:t>
      </w:r>
    </w:p>
    <w:p w14:paraId="0BBA38A7">
      <w:pPr>
        <w:spacing w:line="360" w:lineRule="auto"/>
        <w:ind w:firstLine="568"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电话：</w:t>
      </w:r>
      <w:r>
        <w:rPr>
          <w:rFonts w:hint="eastAsia" w:ascii="宋体" w:hAnsi="宋体" w:eastAsia="宋体" w:cs="宋体"/>
          <w:i w:val="0"/>
          <w:iCs w:val="0"/>
          <w:color w:val="auto"/>
          <w:sz w:val="28"/>
          <w:szCs w:val="28"/>
          <w:u w:val="single"/>
          <w:lang w:val="en-US" w:eastAsia="zh-CN"/>
        </w:rPr>
        <w:t xml:space="preserve">                   </w:t>
      </w:r>
    </w:p>
    <w:p w14:paraId="137106B7">
      <w:pPr>
        <w:spacing w:line="360" w:lineRule="auto"/>
        <w:ind w:firstLine="568"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传真：</w:t>
      </w:r>
      <w:r>
        <w:rPr>
          <w:rFonts w:hint="eastAsia" w:ascii="宋体" w:hAnsi="宋体" w:eastAsia="宋体" w:cs="宋体"/>
          <w:i w:val="0"/>
          <w:iCs w:val="0"/>
          <w:color w:val="auto"/>
          <w:sz w:val="28"/>
          <w:szCs w:val="28"/>
          <w:u w:val="single"/>
          <w:lang w:val="en-US" w:eastAsia="zh-CN"/>
        </w:rPr>
        <w:t xml:space="preserve">                   </w:t>
      </w:r>
    </w:p>
    <w:p w14:paraId="680267EB">
      <w:pPr>
        <w:spacing w:line="360" w:lineRule="auto"/>
        <w:ind w:firstLine="568"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邮政编码：</w:t>
      </w:r>
      <w:r>
        <w:rPr>
          <w:rFonts w:hint="eastAsia" w:ascii="宋体" w:hAnsi="宋体" w:eastAsia="宋体" w:cs="宋体"/>
          <w:i w:val="0"/>
          <w:iCs w:val="0"/>
          <w:color w:val="auto"/>
          <w:sz w:val="28"/>
          <w:szCs w:val="28"/>
          <w:u w:val="single"/>
          <w:lang w:val="en-US" w:eastAsia="zh-CN"/>
        </w:rPr>
        <w:t xml:space="preserve">                   </w:t>
      </w:r>
    </w:p>
    <w:p w14:paraId="531A575F">
      <w:pPr>
        <w:spacing w:line="360" w:lineRule="auto"/>
        <w:ind w:firstLine="2556" w:firstLineChars="900"/>
        <w:jc w:val="left"/>
        <w:rPr>
          <w:rFonts w:hint="eastAsia" w:ascii="宋体" w:hAnsi="宋体" w:eastAsia="宋体" w:cs="宋体"/>
          <w:color w:val="auto"/>
          <w:sz w:val="28"/>
          <w:szCs w:val="28"/>
        </w:rPr>
      </w:pP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日</w:t>
      </w:r>
    </w:p>
    <w:p w14:paraId="37818963">
      <w:pPr>
        <w:spacing w:line="240" w:lineRule="auto"/>
        <w:ind w:firstLine="0"/>
        <w:jc w:val="both"/>
        <w:rPr>
          <w:rFonts w:hint="eastAsia" w:ascii="宋体" w:hAnsi="宋体" w:eastAsia="宋体" w:cs="宋体"/>
          <w:color w:val="auto"/>
          <w:szCs w:val="21"/>
          <w:highlight w:val="none"/>
        </w:rPr>
      </w:pPr>
    </w:p>
    <w:p w14:paraId="6747DC12">
      <w:pPr>
        <w:pStyle w:val="15"/>
        <w:keepNext w:val="0"/>
        <w:keepLines w:val="0"/>
        <w:widowControl/>
        <w:suppressLineNumbers w:val="0"/>
        <w:spacing w:line="240" w:lineRule="auto"/>
        <w:ind w:left="0" w:firstLine="0"/>
        <w:jc w:val="left"/>
        <w:textAlignment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注：1、联合体投标的，由联合体牵头人填写并盖章。</w:t>
      </w:r>
    </w:p>
    <w:p w14:paraId="1F7136CF">
      <w:pPr>
        <w:spacing w:line="240" w:lineRule="auto"/>
        <w:ind w:firstLine="0"/>
        <w:jc w:val="both"/>
        <w:rPr>
          <w:rFonts w:hint="eastAsia" w:ascii="宋体" w:hAnsi="宋体" w:eastAsia="宋体" w:cs="宋体"/>
          <w:color w:val="auto"/>
          <w:sz w:val="28"/>
          <w:szCs w:val="28"/>
        </w:rPr>
      </w:pPr>
      <w:r>
        <w:rPr>
          <w:rFonts w:hint="eastAsia" w:ascii="宋体" w:hAnsi="宋体" w:eastAsia="宋体" w:cs="宋体"/>
          <w:color w:val="auto"/>
          <w:szCs w:val="21"/>
        </w:rPr>
        <w:br w:type="page"/>
      </w:r>
      <w:bookmarkStart w:id="422" w:name="_Toc283128989"/>
      <w:bookmarkStart w:id="423" w:name="_Toc282823859"/>
      <w:bookmarkStart w:id="424" w:name="_Toc282810529"/>
      <w:bookmarkStart w:id="425" w:name="_Toc282433384"/>
      <w:bookmarkStart w:id="426" w:name="_Toc282432801"/>
      <w:bookmarkStart w:id="427" w:name="_Toc282843670"/>
      <w:r>
        <w:rPr>
          <w:rFonts w:hint="eastAsia" w:ascii="宋体" w:hAnsi="宋体" w:eastAsia="宋体" w:cs="宋体"/>
          <w:color w:val="auto"/>
          <w:sz w:val="28"/>
          <w:szCs w:val="28"/>
        </w:rPr>
        <w:t>（二）投标函附录</w:t>
      </w:r>
      <w:bookmarkEnd w:id="422"/>
      <w:bookmarkEnd w:id="423"/>
      <w:bookmarkEnd w:id="424"/>
      <w:bookmarkEnd w:id="425"/>
      <w:bookmarkEnd w:id="426"/>
      <w:bookmarkEnd w:id="427"/>
    </w:p>
    <w:tbl>
      <w:tblPr>
        <w:tblStyle w:val="18"/>
        <w:tblW w:w="485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3003"/>
        <w:gridCol w:w="3010"/>
        <w:gridCol w:w="2060"/>
      </w:tblGrid>
      <w:tr w14:paraId="35D814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6B2129BF">
            <w:pPr>
              <w:spacing w:line="360" w:lineRule="auto"/>
              <w:ind w:firstLine="64" w:firstLineChars="23"/>
              <w:jc w:val="left"/>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1656" w:type="pct"/>
            <w:noWrap w:val="0"/>
            <w:vAlign w:val="center"/>
          </w:tcPr>
          <w:p w14:paraId="2448AEB1">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条款名称</w:t>
            </w:r>
          </w:p>
        </w:tc>
        <w:tc>
          <w:tcPr>
            <w:tcW w:w="1660" w:type="pct"/>
            <w:noWrap w:val="0"/>
            <w:vAlign w:val="center"/>
          </w:tcPr>
          <w:p w14:paraId="3B5489E2">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约定内容</w:t>
            </w:r>
          </w:p>
        </w:tc>
        <w:tc>
          <w:tcPr>
            <w:tcW w:w="1136" w:type="pct"/>
            <w:noWrap w:val="0"/>
            <w:vAlign w:val="center"/>
          </w:tcPr>
          <w:p w14:paraId="39299708">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r>
      <w:tr w14:paraId="4D3A56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79788B33">
            <w:pPr>
              <w:spacing w:line="240" w:lineRule="auto"/>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1656" w:type="pct"/>
            <w:noWrap w:val="0"/>
            <w:vAlign w:val="center"/>
          </w:tcPr>
          <w:p w14:paraId="5E948A35">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项目经理</w:t>
            </w:r>
          </w:p>
        </w:tc>
        <w:tc>
          <w:tcPr>
            <w:tcW w:w="1660" w:type="pct"/>
            <w:noWrap w:val="0"/>
            <w:vAlign w:val="center"/>
          </w:tcPr>
          <w:p w14:paraId="258E2037">
            <w:pPr>
              <w:spacing w:line="360"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i w:val="0"/>
                <w:iCs w:val="0"/>
                <w:color w:val="auto"/>
                <w:sz w:val="28"/>
                <w:szCs w:val="28"/>
                <w:u w:val="single"/>
                <w:lang w:val="en-US" w:eastAsia="zh-CN"/>
              </w:rPr>
              <w:t xml:space="preserve">          </w:t>
            </w:r>
          </w:p>
        </w:tc>
        <w:tc>
          <w:tcPr>
            <w:tcW w:w="1136" w:type="pct"/>
            <w:noWrap w:val="0"/>
            <w:vAlign w:val="center"/>
          </w:tcPr>
          <w:p w14:paraId="49D68FB1">
            <w:pPr>
              <w:spacing w:line="360" w:lineRule="auto"/>
              <w:ind w:firstLine="568" w:firstLineChars="200"/>
              <w:jc w:val="left"/>
              <w:rPr>
                <w:rFonts w:hint="eastAsia" w:ascii="宋体" w:hAnsi="宋体" w:eastAsia="宋体" w:cs="宋体"/>
                <w:color w:val="auto"/>
                <w:sz w:val="28"/>
                <w:szCs w:val="28"/>
              </w:rPr>
            </w:pPr>
          </w:p>
        </w:tc>
      </w:tr>
      <w:tr w14:paraId="79C064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187578EF">
            <w:pPr>
              <w:spacing w:line="240" w:lineRule="auto"/>
              <w:ind w:firstLine="0" w:firstLineChars="0"/>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2</w:t>
            </w:r>
          </w:p>
        </w:tc>
        <w:tc>
          <w:tcPr>
            <w:tcW w:w="1656" w:type="pct"/>
            <w:shd w:val="clear" w:color="auto" w:fill="auto"/>
            <w:noWrap w:val="0"/>
            <w:vAlign w:val="center"/>
          </w:tcPr>
          <w:p w14:paraId="3FF73D61">
            <w:pPr>
              <w:spacing w:line="360" w:lineRule="auto"/>
              <w:ind w:firstLine="568" w:firstLineChars="200"/>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设计负责人</w:t>
            </w:r>
          </w:p>
        </w:tc>
        <w:tc>
          <w:tcPr>
            <w:tcW w:w="1660" w:type="pct"/>
            <w:shd w:val="clear" w:color="auto" w:fill="auto"/>
            <w:noWrap w:val="0"/>
            <w:vAlign w:val="center"/>
          </w:tcPr>
          <w:p w14:paraId="40004916">
            <w:pPr>
              <w:spacing w:line="360" w:lineRule="auto"/>
              <w:jc w:val="left"/>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rPr>
              <w:t>姓名：</w:t>
            </w:r>
            <w:r>
              <w:rPr>
                <w:rFonts w:hint="eastAsia" w:ascii="宋体" w:hAnsi="宋体" w:eastAsia="宋体" w:cs="宋体"/>
                <w:i w:val="0"/>
                <w:iCs w:val="0"/>
                <w:color w:val="auto"/>
                <w:sz w:val="28"/>
                <w:szCs w:val="28"/>
                <w:u w:val="single"/>
                <w:lang w:val="en-US" w:eastAsia="zh-CN"/>
              </w:rPr>
              <w:t xml:space="preserve">          </w:t>
            </w:r>
          </w:p>
        </w:tc>
        <w:tc>
          <w:tcPr>
            <w:tcW w:w="1136" w:type="pct"/>
            <w:noWrap w:val="0"/>
            <w:vAlign w:val="center"/>
          </w:tcPr>
          <w:p w14:paraId="6753D1F7">
            <w:pPr>
              <w:spacing w:line="360" w:lineRule="auto"/>
              <w:ind w:firstLine="568" w:firstLineChars="200"/>
              <w:jc w:val="left"/>
              <w:rPr>
                <w:rFonts w:hint="eastAsia" w:ascii="宋体" w:hAnsi="宋体" w:eastAsia="宋体" w:cs="宋体"/>
                <w:color w:val="auto"/>
                <w:sz w:val="28"/>
                <w:szCs w:val="28"/>
              </w:rPr>
            </w:pPr>
          </w:p>
        </w:tc>
      </w:tr>
      <w:tr w14:paraId="70FC82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0C573DAB">
            <w:pPr>
              <w:spacing w:line="240" w:lineRule="auto"/>
              <w:ind w:firstLine="0" w:firstLineChars="0"/>
              <w:jc w:val="center"/>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3</w:t>
            </w:r>
          </w:p>
        </w:tc>
        <w:tc>
          <w:tcPr>
            <w:tcW w:w="1656" w:type="pct"/>
            <w:noWrap w:val="0"/>
            <w:vAlign w:val="center"/>
          </w:tcPr>
          <w:p w14:paraId="41E7DED2">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工期</w:t>
            </w:r>
          </w:p>
        </w:tc>
        <w:tc>
          <w:tcPr>
            <w:tcW w:w="1660" w:type="pct"/>
            <w:noWrap w:val="0"/>
            <w:vAlign w:val="center"/>
          </w:tcPr>
          <w:p w14:paraId="429264D2">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天数:</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日历天</w:t>
            </w:r>
          </w:p>
        </w:tc>
        <w:tc>
          <w:tcPr>
            <w:tcW w:w="1136" w:type="pct"/>
            <w:noWrap w:val="0"/>
            <w:vAlign w:val="center"/>
          </w:tcPr>
          <w:p w14:paraId="5B172DBB">
            <w:pPr>
              <w:spacing w:line="360" w:lineRule="auto"/>
              <w:ind w:firstLine="568" w:firstLineChars="200"/>
              <w:jc w:val="left"/>
              <w:rPr>
                <w:rFonts w:hint="eastAsia" w:ascii="宋体" w:hAnsi="宋体" w:eastAsia="宋体" w:cs="宋体"/>
                <w:color w:val="auto"/>
                <w:sz w:val="28"/>
                <w:szCs w:val="28"/>
              </w:rPr>
            </w:pPr>
          </w:p>
        </w:tc>
      </w:tr>
      <w:tr w14:paraId="4ECD99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1026CA74">
            <w:pPr>
              <w:spacing w:line="240" w:lineRule="auto"/>
              <w:ind w:firstLine="0" w:firstLineChars="0"/>
              <w:jc w:val="center"/>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4</w:t>
            </w:r>
          </w:p>
        </w:tc>
        <w:tc>
          <w:tcPr>
            <w:tcW w:w="1656" w:type="pct"/>
            <w:noWrap w:val="0"/>
            <w:vAlign w:val="center"/>
          </w:tcPr>
          <w:p w14:paraId="2DE62EEE">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缺陷责任期</w:t>
            </w:r>
          </w:p>
        </w:tc>
        <w:tc>
          <w:tcPr>
            <w:tcW w:w="1660" w:type="pct"/>
            <w:noWrap w:val="0"/>
            <w:vAlign w:val="center"/>
          </w:tcPr>
          <w:p w14:paraId="6F1CD4C0">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6A75DA13">
            <w:pPr>
              <w:spacing w:line="360" w:lineRule="auto"/>
              <w:ind w:firstLine="568" w:firstLineChars="200"/>
              <w:jc w:val="left"/>
              <w:rPr>
                <w:rFonts w:hint="eastAsia" w:ascii="宋体" w:hAnsi="宋体" w:eastAsia="宋体" w:cs="宋体"/>
                <w:color w:val="auto"/>
                <w:sz w:val="28"/>
                <w:szCs w:val="28"/>
              </w:rPr>
            </w:pPr>
          </w:p>
        </w:tc>
      </w:tr>
      <w:tr w14:paraId="1EDD1E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469DBF72">
            <w:pPr>
              <w:spacing w:line="240" w:lineRule="auto"/>
              <w:ind w:firstLine="0" w:firstLineChars="0"/>
              <w:jc w:val="center"/>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5</w:t>
            </w:r>
          </w:p>
        </w:tc>
        <w:tc>
          <w:tcPr>
            <w:tcW w:w="1656" w:type="pct"/>
            <w:noWrap w:val="0"/>
            <w:vAlign w:val="center"/>
          </w:tcPr>
          <w:p w14:paraId="289EA44E">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分包</w:t>
            </w:r>
          </w:p>
        </w:tc>
        <w:tc>
          <w:tcPr>
            <w:tcW w:w="1660" w:type="pct"/>
            <w:noWrap w:val="0"/>
            <w:vAlign w:val="center"/>
          </w:tcPr>
          <w:p w14:paraId="1FD70DEA">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0571039A">
            <w:pPr>
              <w:spacing w:line="360" w:lineRule="auto"/>
              <w:ind w:firstLine="568" w:firstLineChars="200"/>
              <w:jc w:val="left"/>
              <w:rPr>
                <w:rFonts w:hint="eastAsia" w:ascii="宋体" w:hAnsi="宋体" w:eastAsia="宋体" w:cs="宋体"/>
                <w:color w:val="auto"/>
                <w:sz w:val="28"/>
                <w:szCs w:val="28"/>
              </w:rPr>
            </w:pPr>
          </w:p>
        </w:tc>
      </w:tr>
      <w:tr w14:paraId="4F36C9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44A3C426">
            <w:pPr>
              <w:spacing w:line="240" w:lineRule="auto"/>
              <w:ind w:firstLine="0" w:firstLineChars="0"/>
              <w:jc w:val="center"/>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6</w:t>
            </w:r>
          </w:p>
        </w:tc>
        <w:tc>
          <w:tcPr>
            <w:tcW w:w="1656" w:type="pct"/>
            <w:noWrap w:val="0"/>
            <w:vAlign w:val="center"/>
          </w:tcPr>
          <w:p w14:paraId="7A718EE3">
            <w:pPr>
              <w:spacing w:line="360" w:lineRule="auto"/>
              <w:ind w:firstLine="568"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其它</w:t>
            </w:r>
          </w:p>
        </w:tc>
        <w:tc>
          <w:tcPr>
            <w:tcW w:w="1660" w:type="pct"/>
            <w:noWrap w:val="0"/>
            <w:vAlign w:val="center"/>
          </w:tcPr>
          <w:p w14:paraId="660E92E4">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7CE84916">
            <w:pPr>
              <w:spacing w:line="360" w:lineRule="auto"/>
              <w:ind w:firstLine="568" w:firstLineChars="200"/>
              <w:jc w:val="left"/>
              <w:rPr>
                <w:rFonts w:hint="eastAsia" w:ascii="宋体" w:hAnsi="宋体" w:eastAsia="宋体" w:cs="宋体"/>
                <w:color w:val="auto"/>
                <w:sz w:val="28"/>
                <w:szCs w:val="28"/>
              </w:rPr>
            </w:pPr>
          </w:p>
        </w:tc>
      </w:tr>
      <w:tr w14:paraId="7568A6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6DA06999">
            <w:pPr>
              <w:spacing w:line="360" w:lineRule="auto"/>
              <w:ind w:firstLine="568" w:firstLineChars="200"/>
              <w:jc w:val="left"/>
              <w:rPr>
                <w:rFonts w:hint="eastAsia" w:ascii="宋体" w:hAnsi="宋体" w:eastAsia="宋体" w:cs="宋体"/>
                <w:color w:val="auto"/>
                <w:sz w:val="28"/>
                <w:szCs w:val="28"/>
              </w:rPr>
            </w:pPr>
          </w:p>
        </w:tc>
        <w:tc>
          <w:tcPr>
            <w:tcW w:w="1656" w:type="pct"/>
            <w:noWrap w:val="0"/>
            <w:vAlign w:val="center"/>
          </w:tcPr>
          <w:p w14:paraId="5CF60D25">
            <w:pPr>
              <w:spacing w:line="360" w:lineRule="auto"/>
              <w:ind w:firstLine="568" w:firstLineChars="200"/>
              <w:jc w:val="left"/>
              <w:rPr>
                <w:rFonts w:hint="eastAsia" w:ascii="宋体" w:hAnsi="宋体" w:eastAsia="宋体" w:cs="宋体"/>
                <w:color w:val="auto"/>
                <w:sz w:val="28"/>
                <w:szCs w:val="28"/>
              </w:rPr>
            </w:pPr>
          </w:p>
        </w:tc>
        <w:tc>
          <w:tcPr>
            <w:tcW w:w="1660" w:type="pct"/>
            <w:noWrap w:val="0"/>
            <w:vAlign w:val="center"/>
          </w:tcPr>
          <w:p w14:paraId="70472C4D">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38A17558">
            <w:pPr>
              <w:spacing w:line="360" w:lineRule="auto"/>
              <w:ind w:firstLine="568" w:firstLineChars="200"/>
              <w:jc w:val="left"/>
              <w:rPr>
                <w:rFonts w:hint="eastAsia" w:ascii="宋体" w:hAnsi="宋体" w:eastAsia="宋体" w:cs="宋体"/>
                <w:color w:val="auto"/>
                <w:sz w:val="28"/>
                <w:szCs w:val="28"/>
              </w:rPr>
            </w:pPr>
          </w:p>
        </w:tc>
      </w:tr>
      <w:tr w14:paraId="5B4F5E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268A6CF4">
            <w:pPr>
              <w:spacing w:line="360" w:lineRule="auto"/>
              <w:ind w:firstLine="568" w:firstLineChars="200"/>
              <w:jc w:val="left"/>
              <w:rPr>
                <w:rFonts w:hint="eastAsia" w:ascii="宋体" w:hAnsi="宋体" w:eastAsia="宋体" w:cs="宋体"/>
                <w:color w:val="auto"/>
                <w:sz w:val="28"/>
                <w:szCs w:val="28"/>
              </w:rPr>
            </w:pPr>
          </w:p>
        </w:tc>
        <w:tc>
          <w:tcPr>
            <w:tcW w:w="1656" w:type="pct"/>
            <w:noWrap w:val="0"/>
            <w:vAlign w:val="center"/>
          </w:tcPr>
          <w:p w14:paraId="7D893C11">
            <w:pPr>
              <w:spacing w:line="360" w:lineRule="auto"/>
              <w:ind w:firstLine="568" w:firstLineChars="200"/>
              <w:jc w:val="left"/>
              <w:rPr>
                <w:rFonts w:hint="eastAsia" w:ascii="宋体" w:hAnsi="宋体" w:eastAsia="宋体" w:cs="宋体"/>
                <w:color w:val="auto"/>
                <w:sz w:val="28"/>
                <w:szCs w:val="28"/>
              </w:rPr>
            </w:pPr>
          </w:p>
        </w:tc>
        <w:tc>
          <w:tcPr>
            <w:tcW w:w="1660" w:type="pct"/>
            <w:noWrap w:val="0"/>
            <w:vAlign w:val="center"/>
          </w:tcPr>
          <w:p w14:paraId="1427806D">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4FE594EE">
            <w:pPr>
              <w:spacing w:line="360" w:lineRule="auto"/>
              <w:ind w:firstLine="568" w:firstLineChars="200"/>
              <w:jc w:val="left"/>
              <w:rPr>
                <w:rFonts w:hint="eastAsia" w:ascii="宋体" w:hAnsi="宋体" w:eastAsia="宋体" w:cs="宋体"/>
                <w:color w:val="auto"/>
                <w:sz w:val="28"/>
                <w:szCs w:val="28"/>
              </w:rPr>
            </w:pPr>
          </w:p>
        </w:tc>
      </w:tr>
      <w:tr w14:paraId="407D00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63B59AAA">
            <w:pPr>
              <w:spacing w:line="360" w:lineRule="auto"/>
              <w:ind w:firstLine="568" w:firstLineChars="200"/>
              <w:jc w:val="left"/>
              <w:rPr>
                <w:rFonts w:hint="eastAsia" w:ascii="宋体" w:hAnsi="宋体" w:eastAsia="宋体" w:cs="宋体"/>
                <w:color w:val="auto"/>
                <w:sz w:val="28"/>
                <w:szCs w:val="28"/>
              </w:rPr>
            </w:pPr>
          </w:p>
        </w:tc>
        <w:tc>
          <w:tcPr>
            <w:tcW w:w="1656" w:type="pct"/>
            <w:noWrap w:val="0"/>
            <w:vAlign w:val="center"/>
          </w:tcPr>
          <w:p w14:paraId="58B26DFD">
            <w:pPr>
              <w:spacing w:line="360" w:lineRule="auto"/>
              <w:ind w:firstLine="568" w:firstLineChars="200"/>
              <w:jc w:val="left"/>
              <w:rPr>
                <w:rFonts w:hint="eastAsia" w:ascii="宋体" w:hAnsi="宋体" w:eastAsia="宋体" w:cs="宋体"/>
                <w:color w:val="auto"/>
                <w:sz w:val="28"/>
                <w:szCs w:val="28"/>
              </w:rPr>
            </w:pPr>
          </w:p>
        </w:tc>
        <w:tc>
          <w:tcPr>
            <w:tcW w:w="1660" w:type="pct"/>
            <w:noWrap w:val="0"/>
            <w:vAlign w:val="center"/>
          </w:tcPr>
          <w:p w14:paraId="0AE35250">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53D7FE47">
            <w:pPr>
              <w:spacing w:line="360" w:lineRule="auto"/>
              <w:ind w:firstLine="568" w:firstLineChars="200"/>
              <w:jc w:val="left"/>
              <w:rPr>
                <w:rFonts w:hint="eastAsia" w:ascii="宋体" w:hAnsi="宋体" w:eastAsia="宋体" w:cs="宋体"/>
                <w:color w:val="auto"/>
                <w:sz w:val="28"/>
                <w:szCs w:val="28"/>
              </w:rPr>
            </w:pPr>
          </w:p>
        </w:tc>
      </w:tr>
      <w:tr w14:paraId="54C37D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6B36D7F2">
            <w:pPr>
              <w:spacing w:line="360" w:lineRule="auto"/>
              <w:ind w:firstLine="568" w:firstLineChars="200"/>
              <w:jc w:val="left"/>
              <w:rPr>
                <w:rFonts w:hint="eastAsia" w:ascii="宋体" w:hAnsi="宋体" w:eastAsia="宋体" w:cs="宋体"/>
                <w:color w:val="auto"/>
                <w:sz w:val="28"/>
                <w:szCs w:val="28"/>
              </w:rPr>
            </w:pPr>
          </w:p>
        </w:tc>
        <w:tc>
          <w:tcPr>
            <w:tcW w:w="1656" w:type="pct"/>
            <w:noWrap w:val="0"/>
            <w:vAlign w:val="center"/>
          </w:tcPr>
          <w:p w14:paraId="393EF510">
            <w:pPr>
              <w:spacing w:line="360" w:lineRule="auto"/>
              <w:ind w:firstLine="568" w:firstLineChars="200"/>
              <w:jc w:val="left"/>
              <w:rPr>
                <w:rFonts w:hint="eastAsia" w:ascii="宋体" w:hAnsi="宋体" w:eastAsia="宋体" w:cs="宋体"/>
                <w:color w:val="auto"/>
                <w:sz w:val="28"/>
                <w:szCs w:val="28"/>
              </w:rPr>
            </w:pPr>
          </w:p>
        </w:tc>
        <w:tc>
          <w:tcPr>
            <w:tcW w:w="1660" w:type="pct"/>
            <w:noWrap w:val="0"/>
            <w:vAlign w:val="center"/>
          </w:tcPr>
          <w:p w14:paraId="49141CEE">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3EC832F5">
            <w:pPr>
              <w:spacing w:line="360" w:lineRule="auto"/>
              <w:ind w:firstLine="568" w:firstLineChars="200"/>
              <w:jc w:val="left"/>
              <w:rPr>
                <w:rFonts w:hint="eastAsia" w:ascii="宋体" w:hAnsi="宋体" w:eastAsia="宋体" w:cs="宋体"/>
                <w:color w:val="auto"/>
                <w:sz w:val="28"/>
                <w:szCs w:val="28"/>
              </w:rPr>
            </w:pPr>
          </w:p>
        </w:tc>
      </w:tr>
      <w:tr w14:paraId="00B24A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5896620A">
            <w:pPr>
              <w:spacing w:line="360" w:lineRule="auto"/>
              <w:ind w:firstLine="568" w:firstLineChars="200"/>
              <w:jc w:val="left"/>
              <w:rPr>
                <w:rFonts w:hint="eastAsia" w:ascii="宋体" w:hAnsi="宋体" w:eastAsia="宋体" w:cs="宋体"/>
                <w:color w:val="auto"/>
                <w:sz w:val="28"/>
                <w:szCs w:val="28"/>
              </w:rPr>
            </w:pPr>
          </w:p>
        </w:tc>
        <w:tc>
          <w:tcPr>
            <w:tcW w:w="1656" w:type="pct"/>
            <w:noWrap w:val="0"/>
            <w:vAlign w:val="center"/>
          </w:tcPr>
          <w:p w14:paraId="38DC0F3F">
            <w:pPr>
              <w:spacing w:line="360" w:lineRule="auto"/>
              <w:ind w:firstLine="568" w:firstLineChars="200"/>
              <w:jc w:val="left"/>
              <w:rPr>
                <w:rFonts w:hint="eastAsia" w:ascii="宋体" w:hAnsi="宋体" w:eastAsia="宋体" w:cs="宋体"/>
                <w:color w:val="auto"/>
                <w:sz w:val="28"/>
                <w:szCs w:val="28"/>
              </w:rPr>
            </w:pPr>
          </w:p>
        </w:tc>
        <w:tc>
          <w:tcPr>
            <w:tcW w:w="1660" w:type="pct"/>
            <w:noWrap w:val="0"/>
            <w:vAlign w:val="center"/>
          </w:tcPr>
          <w:p w14:paraId="1ECADB9C">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center"/>
          </w:tcPr>
          <w:p w14:paraId="0A2C26C3">
            <w:pPr>
              <w:spacing w:line="360" w:lineRule="auto"/>
              <w:ind w:firstLine="568" w:firstLineChars="200"/>
              <w:jc w:val="left"/>
              <w:rPr>
                <w:rFonts w:hint="eastAsia" w:ascii="宋体" w:hAnsi="宋体" w:eastAsia="宋体" w:cs="宋体"/>
                <w:color w:val="auto"/>
                <w:sz w:val="28"/>
                <w:szCs w:val="28"/>
              </w:rPr>
            </w:pPr>
          </w:p>
        </w:tc>
      </w:tr>
      <w:tr w14:paraId="7E706F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46" w:type="pct"/>
            <w:noWrap w:val="0"/>
            <w:vAlign w:val="center"/>
          </w:tcPr>
          <w:p w14:paraId="1E7C92B0">
            <w:pPr>
              <w:spacing w:line="360" w:lineRule="auto"/>
              <w:ind w:firstLine="568" w:firstLineChars="200"/>
              <w:jc w:val="left"/>
              <w:rPr>
                <w:rFonts w:hint="eastAsia" w:ascii="宋体" w:hAnsi="宋体" w:eastAsia="宋体" w:cs="宋体"/>
                <w:color w:val="auto"/>
                <w:sz w:val="28"/>
                <w:szCs w:val="28"/>
              </w:rPr>
            </w:pPr>
          </w:p>
        </w:tc>
        <w:tc>
          <w:tcPr>
            <w:tcW w:w="1656" w:type="pct"/>
            <w:noWrap w:val="0"/>
            <w:vAlign w:val="center"/>
          </w:tcPr>
          <w:p w14:paraId="6C4BA3A4">
            <w:pPr>
              <w:spacing w:line="360" w:lineRule="auto"/>
              <w:ind w:firstLine="568" w:firstLineChars="200"/>
              <w:jc w:val="left"/>
              <w:rPr>
                <w:rFonts w:hint="eastAsia" w:ascii="宋体" w:hAnsi="宋体" w:eastAsia="宋体" w:cs="宋体"/>
                <w:color w:val="auto"/>
                <w:sz w:val="28"/>
                <w:szCs w:val="28"/>
              </w:rPr>
            </w:pPr>
          </w:p>
        </w:tc>
        <w:tc>
          <w:tcPr>
            <w:tcW w:w="1660" w:type="pct"/>
            <w:noWrap w:val="0"/>
            <w:vAlign w:val="top"/>
          </w:tcPr>
          <w:p w14:paraId="55E788C1">
            <w:pPr>
              <w:spacing w:line="360" w:lineRule="auto"/>
              <w:ind w:firstLine="568" w:firstLineChars="200"/>
              <w:jc w:val="left"/>
              <w:rPr>
                <w:rFonts w:hint="eastAsia" w:ascii="宋体" w:hAnsi="宋体" w:eastAsia="宋体" w:cs="宋体"/>
                <w:color w:val="auto"/>
                <w:sz w:val="28"/>
                <w:szCs w:val="28"/>
              </w:rPr>
            </w:pPr>
          </w:p>
        </w:tc>
        <w:tc>
          <w:tcPr>
            <w:tcW w:w="1136" w:type="pct"/>
            <w:noWrap w:val="0"/>
            <w:vAlign w:val="top"/>
          </w:tcPr>
          <w:p w14:paraId="74503DAB">
            <w:pPr>
              <w:spacing w:line="360" w:lineRule="auto"/>
              <w:ind w:firstLine="568" w:firstLineChars="200"/>
              <w:jc w:val="left"/>
              <w:rPr>
                <w:rFonts w:hint="eastAsia" w:ascii="宋体" w:hAnsi="宋体" w:eastAsia="宋体" w:cs="宋体"/>
                <w:color w:val="auto"/>
                <w:sz w:val="28"/>
                <w:szCs w:val="28"/>
              </w:rPr>
            </w:pPr>
          </w:p>
        </w:tc>
      </w:tr>
    </w:tbl>
    <w:p w14:paraId="2469997E">
      <w:pPr>
        <w:spacing w:line="360" w:lineRule="auto"/>
        <w:ind w:firstLine="428" w:firstLineChars="200"/>
        <w:jc w:val="left"/>
        <w:rPr>
          <w:rFonts w:hint="eastAsia" w:ascii="宋体" w:hAnsi="宋体" w:eastAsia="宋体" w:cs="宋体"/>
          <w:color w:val="auto"/>
          <w:szCs w:val="21"/>
        </w:rPr>
      </w:pPr>
    </w:p>
    <w:p w14:paraId="00D86B46">
      <w:pPr>
        <w:spacing w:line="360" w:lineRule="auto"/>
        <w:jc w:val="both"/>
        <w:outlineLvl w:val="9"/>
        <w:rPr>
          <w:rFonts w:hint="eastAsia" w:ascii="宋体" w:hAnsi="宋体" w:eastAsia="宋体" w:cs="宋体"/>
          <w:b/>
          <w:bCs/>
          <w:color w:val="auto"/>
          <w:szCs w:val="21"/>
        </w:rPr>
      </w:pPr>
      <w:r>
        <w:rPr>
          <w:rFonts w:hint="eastAsia" w:ascii="宋体" w:hAnsi="宋体" w:eastAsia="宋体" w:cs="宋体"/>
          <w:b/>
          <w:bCs/>
          <w:color w:val="auto"/>
          <w:szCs w:val="21"/>
        </w:rPr>
        <w:br w:type="page"/>
      </w:r>
    </w:p>
    <w:p w14:paraId="57097E02">
      <w:pPr>
        <w:spacing w:line="240" w:lineRule="auto"/>
        <w:ind w:firstLine="0" w:firstLineChars="0"/>
        <w:jc w:val="center"/>
        <w:outlineLvl w:val="0"/>
        <w:rPr>
          <w:rFonts w:hint="eastAsia" w:ascii="宋体" w:hAnsi="宋体" w:eastAsia="宋体" w:cs="宋体"/>
          <w:b/>
          <w:bCs/>
          <w:color w:val="auto"/>
          <w:sz w:val="32"/>
          <w:szCs w:val="32"/>
          <w:lang w:eastAsia="zh-CN"/>
        </w:rPr>
      </w:pPr>
      <w:bookmarkStart w:id="428" w:name="_Toc8022"/>
      <w:bookmarkStart w:id="429" w:name="_Toc19184"/>
      <w:bookmarkStart w:id="430" w:name="_Toc30092"/>
      <w:bookmarkStart w:id="431" w:name="_Toc31308"/>
      <w:bookmarkStart w:id="432" w:name="_Toc30013"/>
      <w:bookmarkStart w:id="433" w:name="_Toc16583"/>
      <w:bookmarkStart w:id="434" w:name="_Toc282973182"/>
      <w:bookmarkStart w:id="435" w:name="_Toc282808132"/>
      <w:bookmarkStart w:id="436" w:name="_Toc32409"/>
      <w:bookmarkStart w:id="437" w:name="_Toc282790392"/>
      <w:r>
        <w:rPr>
          <w:rFonts w:hint="eastAsia" w:ascii="宋体" w:hAnsi="宋体" w:eastAsia="宋体" w:cs="宋体"/>
          <w:b/>
          <w:bCs/>
          <w:color w:val="auto"/>
          <w:sz w:val="32"/>
          <w:szCs w:val="32"/>
          <w:lang w:eastAsia="zh-CN"/>
        </w:rPr>
        <w:t>二、法定代表人身份证明</w:t>
      </w:r>
      <w:bookmarkEnd w:id="428"/>
      <w:bookmarkEnd w:id="429"/>
      <w:bookmarkEnd w:id="430"/>
      <w:bookmarkEnd w:id="431"/>
      <w:bookmarkEnd w:id="432"/>
      <w:bookmarkEnd w:id="433"/>
      <w:bookmarkEnd w:id="434"/>
      <w:bookmarkEnd w:id="435"/>
      <w:bookmarkEnd w:id="436"/>
      <w:bookmarkEnd w:id="437"/>
    </w:p>
    <w:p w14:paraId="42205F74">
      <w:pPr>
        <w:spacing w:line="360" w:lineRule="auto"/>
        <w:rPr>
          <w:rFonts w:hint="eastAsia" w:ascii="宋体" w:hAnsi="宋体" w:eastAsia="宋体" w:cs="宋体"/>
          <w:color w:val="auto"/>
          <w:sz w:val="24"/>
          <w:szCs w:val="24"/>
        </w:rPr>
      </w:pPr>
    </w:p>
    <w:p w14:paraId="6D4A0B0E">
      <w:pP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投标人：</w:t>
      </w:r>
      <w:r>
        <w:rPr>
          <w:rFonts w:hint="eastAsia" w:ascii="宋体" w:hAnsi="宋体" w:eastAsia="宋体" w:cs="宋体"/>
          <w:i w:val="0"/>
          <w:iCs w:val="0"/>
          <w:color w:val="auto"/>
          <w:sz w:val="28"/>
          <w:szCs w:val="28"/>
          <w:u w:val="single"/>
          <w:lang w:val="en-US" w:eastAsia="zh-CN"/>
        </w:rPr>
        <w:t xml:space="preserve">                           </w:t>
      </w:r>
    </w:p>
    <w:p w14:paraId="2CF4F16A">
      <w:pP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单位性质：</w:t>
      </w:r>
      <w:r>
        <w:rPr>
          <w:rFonts w:hint="eastAsia" w:ascii="宋体" w:hAnsi="宋体" w:eastAsia="宋体" w:cs="宋体"/>
          <w:i w:val="0"/>
          <w:iCs w:val="0"/>
          <w:color w:val="auto"/>
          <w:sz w:val="28"/>
          <w:szCs w:val="28"/>
          <w:u w:val="single"/>
          <w:lang w:val="en-US" w:eastAsia="zh-CN"/>
        </w:rPr>
        <w:t xml:space="preserve">                         </w:t>
      </w:r>
    </w:p>
    <w:p w14:paraId="3DB4B273">
      <w:pP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地址：</w:t>
      </w:r>
      <w:r>
        <w:rPr>
          <w:rFonts w:hint="eastAsia" w:ascii="宋体" w:hAnsi="宋体" w:eastAsia="宋体" w:cs="宋体"/>
          <w:i w:val="0"/>
          <w:iCs w:val="0"/>
          <w:color w:val="auto"/>
          <w:sz w:val="28"/>
          <w:szCs w:val="28"/>
          <w:u w:val="single"/>
          <w:lang w:val="en-US" w:eastAsia="zh-CN"/>
        </w:rPr>
        <w:t xml:space="preserve">                             </w:t>
      </w:r>
    </w:p>
    <w:p w14:paraId="3FB8EF2A">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成立时间：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日</w:t>
      </w:r>
    </w:p>
    <w:p w14:paraId="50F2199A">
      <w:pPr>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经营期限：</w:t>
      </w:r>
      <w:r>
        <w:rPr>
          <w:rFonts w:hint="eastAsia" w:ascii="宋体" w:hAnsi="宋体" w:eastAsia="宋体" w:cs="宋体"/>
          <w:i w:val="0"/>
          <w:iCs w:val="0"/>
          <w:color w:val="auto"/>
          <w:sz w:val="28"/>
          <w:szCs w:val="28"/>
          <w:u w:val="single"/>
          <w:lang w:val="en-US" w:eastAsia="zh-CN"/>
        </w:rPr>
        <w:t xml:space="preserve">                   </w:t>
      </w:r>
    </w:p>
    <w:p w14:paraId="662BE5D5">
      <w:pP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姓名：</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性别：</w:t>
      </w:r>
      <w:r>
        <w:rPr>
          <w:rFonts w:hint="eastAsia" w:ascii="宋体" w:hAnsi="宋体" w:eastAsia="宋体" w:cs="宋体"/>
          <w:i w:val="0"/>
          <w:iCs w:val="0"/>
          <w:color w:val="auto"/>
          <w:sz w:val="28"/>
          <w:szCs w:val="28"/>
          <w:u w:val="single"/>
          <w:lang w:val="en-US" w:eastAsia="zh-CN"/>
        </w:rPr>
        <w:t xml:space="preserve">       </w:t>
      </w:r>
    </w:p>
    <w:p w14:paraId="79C6756C">
      <w:pP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年龄：</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职务：</w:t>
      </w:r>
      <w:r>
        <w:rPr>
          <w:rFonts w:hint="eastAsia" w:ascii="宋体" w:hAnsi="宋体" w:eastAsia="宋体" w:cs="宋体"/>
          <w:i w:val="0"/>
          <w:iCs w:val="0"/>
          <w:color w:val="auto"/>
          <w:sz w:val="28"/>
          <w:szCs w:val="28"/>
          <w:u w:val="single"/>
          <w:lang w:val="en-US" w:eastAsia="zh-CN"/>
        </w:rPr>
        <w:t xml:space="preserve">        </w:t>
      </w:r>
    </w:p>
    <w:p w14:paraId="6271E0DE">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系</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（投标人名称）的法定代表人。</w:t>
      </w:r>
    </w:p>
    <w:p w14:paraId="6428F3C3">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C3BBB76">
      <w:pPr>
        <w:spacing w:line="360" w:lineRule="auto"/>
        <w:rPr>
          <w:rFonts w:hint="eastAsia" w:ascii="宋体" w:hAnsi="宋体" w:eastAsia="宋体" w:cs="宋体"/>
          <w:color w:val="auto"/>
          <w:sz w:val="28"/>
          <w:szCs w:val="28"/>
        </w:rPr>
      </w:pPr>
    </w:p>
    <w:p w14:paraId="45D56B1C">
      <w:pPr>
        <w:spacing w:line="360" w:lineRule="auto"/>
        <w:rPr>
          <w:rFonts w:hint="eastAsia" w:ascii="宋体" w:hAnsi="宋体" w:eastAsia="宋体" w:cs="宋体"/>
          <w:color w:val="auto"/>
          <w:sz w:val="28"/>
          <w:szCs w:val="28"/>
        </w:rPr>
      </w:pPr>
    </w:p>
    <w:p w14:paraId="10D2CC4C">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投标人：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（盖单位章）</w:t>
      </w:r>
    </w:p>
    <w:p w14:paraId="19582747">
      <w:pPr>
        <w:spacing w:line="360" w:lineRule="auto"/>
        <w:ind w:firstLine="568" w:firstLineChars="200"/>
        <w:jc w:val="center"/>
        <w:rPr>
          <w:rFonts w:hint="eastAsia" w:ascii="宋体" w:hAnsi="宋体" w:eastAsia="宋体" w:cs="宋体"/>
          <w:color w:val="auto"/>
          <w:sz w:val="28"/>
          <w:szCs w:val="28"/>
          <w:lang w:eastAsia="zh-CN"/>
        </w:rPr>
      </w:pPr>
      <w:bookmarkStart w:id="438" w:name="_Toc283196411"/>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日</w:t>
      </w:r>
      <w:bookmarkEnd w:id="438"/>
    </w:p>
    <w:p w14:paraId="00023087">
      <w:pPr>
        <w:pStyle w:val="4"/>
        <w:ind w:firstLine="98"/>
        <w:jc w:val="center"/>
        <w:outlineLvl w:val="9"/>
        <w:rPr>
          <w:rFonts w:hint="eastAsia" w:ascii="宋体" w:hAnsi="宋体" w:eastAsia="宋体" w:cs="宋体"/>
          <w:color w:val="auto"/>
          <w:sz w:val="24"/>
          <w:szCs w:val="24"/>
        </w:rPr>
      </w:pPr>
    </w:p>
    <w:p w14:paraId="3ED0CFB6">
      <w:pPr>
        <w:pStyle w:val="15"/>
        <w:keepNext w:val="0"/>
        <w:keepLines w:val="0"/>
        <w:widowControl/>
        <w:suppressLineNumbers w:val="0"/>
        <w:spacing w:line="240" w:lineRule="auto"/>
        <w:ind w:left="0" w:firstLine="0"/>
        <w:jc w:val="left"/>
        <w:textAlignment w:val="center"/>
      </w:pPr>
      <w:r>
        <w:rPr>
          <w:rFonts w:hint="eastAsia" w:ascii="宋体" w:hAnsi="宋体" w:eastAsia="宋体" w:cs="宋体"/>
          <w:b/>
          <w:bCs/>
          <w:color w:val="000000"/>
          <w:spacing w:val="0"/>
          <w:position w:val="0"/>
          <w:sz w:val="28"/>
          <w:szCs w:val="28"/>
        </w:rPr>
        <w:t>注：如联合体投标，联合体牵头人提供即可</w:t>
      </w:r>
    </w:p>
    <w:p w14:paraId="24DCB9A0">
      <w:pPr>
        <w:pStyle w:val="4"/>
        <w:ind w:firstLine="98"/>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1B861BA4">
      <w:pPr>
        <w:spacing w:line="240" w:lineRule="auto"/>
        <w:ind w:firstLine="0" w:firstLineChars="0"/>
        <w:jc w:val="center"/>
        <w:outlineLvl w:val="0"/>
        <w:rPr>
          <w:rFonts w:hint="eastAsia" w:ascii="宋体" w:hAnsi="宋体" w:eastAsia="宋体" w:cs="宋体"/>
          <w:color w:val="auto"/>
          <w:szCs w:val="21"/>
        </w:rPr>
      </w:pPr>
      <w:bookmarkStart w:id="439" w:name="_Toc18489"/>
      <w:bookmarkStart w:id="440" w:name="_Toc31293"/>
      <w:bookmarkStart w:id="441" w:name="_Toc1945"/>
      <w:bookmarkStart w:id="442" w:name="_Toc3074"/>
      <w:bookmarkStart w:id="443" w:name="_Toc2671"/>
      <w:bookmarkStart w:id="444" w:name="_Toc6813"/>
      <w:r>
        <w:rPr>
          <w:rFonts w:hint="eastAsia" w:ascii="宋体" w:hAnsi="宋体" w:eastAsia="宋体" w:cs="宋体"/>
          <w:b/>
          <w:bCs/>
          <w:color w:val="auto"/>
          <w:sz w:val="32"/>
          <w:szCs w:val="32"/>
          <w:lang w:val="en-US" w:eastAsia="zh-CN"/>
        </w:rPr>
        <w:t>三</w:t>
      </w:r>
      <w:r>
        <w:rPr>
          <w:rFonts w:hint="eastAsia" w:ascii="宋体" w:hAnsi="宋体" w:eastAsia="宋体" w:cs="宋体"/>
          <w:b/>
          <w:bCs/>
          <w:color w:val="auto"/>
          <w:sz w:val="32"/>
          <w:szCs w:val="32"/>
          <w:lang w:eastAsia="zh-CN"/>
        </w:rPr>
        <w:t>、授权委托书</w:t>
      </w:r>
      <w:bookmarkEnd w:id="439"/>
      <w:bookmarkEnd w:id="440"/>
      <w:bookmarkEnd w:id="441"/>
      <w:bookmarkEnd w:id="442"/>
      <w:bookmarkEnd w:id="443"/>
      <w:bookmarkEnd w:id="444"/>
    </w:p>
    <w:p w14:paraId="30EFD4A5">
      <w:pPr>
        <w:spacing w:line="360" w:lineRule="auto"/>
        <w:ind w:firstLine="484" w:firstLineChars="171"/>
        <w:rPr>
          <w:rFonts w:hint="eastAsia" w:ascii="宋体" w:hAnsi="宋体" w:eastAsia="宋体" w:cs="宋体"/>
          <w:color w:val="auto"/>
          <w:sz w:val="28"/>
          <w:szCs w:val="28"/>
        </w:rPr>
      </w:pPr>
      <w:r>
        <w:rPr>
          <w:rFonts w:hint="eastAsia" w:ascii="宋体" w:hAnsi="宋体" w:eastAsia="宋体" w:cs="宋体"/>
          <w:i w:val="0"/>
          <w:iCs w:val="0"/>
          <w:color w:val="auto"/>
          <w:sz w:val="28"/>
          <w:szCs w:val="28"/>
        </w:rPr>
        <w:t>本人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（姓名）系</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（投标人名称）的法定代表人，现委托</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rPr>
        <w:t>（姓名）为我方代理人。代理人根据授权，以我方名义签署、澄清、说明、补正、递交</w:t>
      </w:r>
      <w:r>
        <w:rPr>
          <w:rFonts w:hint="eastAsia" w:ascii="宋体" w:hAnsi="宋体" w:eastAsia="宋体" w:cs="宋体"/>
          <w:color w:val="auto"/>
          <w:sz w:val="28"/>
          <w:szCs w:val="28"/>
        </w:rPr>
        <w:t>、撤回、修改</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u w:val="none"/>
        </w:rPr>
        <w:t>（</w:t>
      </w:r>
      <w:r>
        <w:rPr>
          <w:rFonts w:hint="eastAsia" w:ascii="宋体" w:hAnsi="宋体" w:eastAsia="宋体" w:cs="宋体"/>
          <w:i w:val="0"/>
          <w:iCs w:val="0"/>
          <w:color w:val="auto"/>
          <w:sz w:val="28"/>
          <w:szCs w:val="28"/>
        </w:rPr>
        <w:t>项目名称</w:t>
      </w:r>
      <w:r>
        <w:rPr>
          <w:rFonts w:hint="eastAsia" w:ascii="宋体" w:hAnsi="宋体" w:eastAsia="宋体" w:cs="宋体"/>
          <w:i w:val="0"/>
          <w:iCs w:val="0"/>
          <w:color w:val="auto"/>
          <w:sz w:val="28"/>
          <w:szCs w:val="28"/>
          <w:lang w:val="en-US" w:eastAsia="zh-CN"/>
        </w:rPr>
        <w:t>及标段名称</w:t>
      </w:r>
      <w:r>
        <w:rPr>
          <w:rFonts w:hint="eastAsia" w:ascii="宋体" w:hAnsi="宋体" w:eastAsia="宋体" w:cs="宋体"/>
          <w:i w:val="0"/>
          <w:iCs w:val="0"/>
          <w:color w:val="auto"/>
          <w:sz w:val="28"/>
          <w:szCs w:val="28"/>
        </w:rPr>
        <w:t>）</w:t>
      </w:r>
      <w:r>
        <w:rPr>
          <w:rFonts w:hint="eastAsia" w:ascii="宋体" w:hAnsi="宋体" w:eastAsia="宋体" w:cs="宋体"/>
          <w:color w:val="auto"/>
          <w:sz w:val="28"/>
          <w:szCs w:val="28"/>
        </w:rPr>
        <w:t>投标文件、签订合同和处理有关事宜，其法律后果由我方承担。</w:t>
      </w:r>
    </w:p>
    <w:p w14:paraId="2C2068F6">
      <w:pPr>
        <w:spacing w:before="156" w:beforeLines="50" w:line="360" w:lineRule="auto"/>
        <w:ind w:firstLine="484" w:firstLineChars="171"/>
        <w:rPr>
          <w:rFonts w:hint="eastAsia" w:ascii="宋体" w:hAnsi="宋体" w:eastAsia="宋体" w:cs="宋体"/>
          <w:color w:val="auto"/>
          <w:sz w:val="28"/>
          <w:szCs w:val="28"/>
        </w:rPr>
      </w:pPr>
      <w:r>
        <w:rPr>
          <w:rFonts w:hint="eastAsia" w:ascii="宋体" w:hAnsi="宋体" w:eastAsia="宋体" w:cs="宋体"/>
          <w:color w:val="auto"/>
          <w:sz w:val="28"/>
          <w:szCs w:val="28"/>
        </w:rPr>
        <w:t>委托期限：</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w:t>
      </w:r>
    </w:p>
    <w:p w14:paraId="6C289FE0">
      <w:pPr>
        <w:spacing w:before="312" w:beforeLines="100" w:after="312" w:afterLines="100" w:line="360" w:lineRule="auto"/>
        <w:ind w:firstLine="484" w:firstLineChars="171"/>
        <w:rPr>
          <w:rFonts w:hint="eastAsia" w:ascii="宋体" w:hAnsi="宋体" w:eastAsia="宋体" w:cs="宋体"/>
          <w:color w:val="auto"/>
          <w:sz w:val="28"/>
          <w:szCs w:val="28"/>
        </w:rPr>
      </w:pPr>
      <w:r>
        <w:rPr>
          <w:rFonts w:hint="eastAsia" w:ascii="宋体" w:hAnsi="宋体" w:eastAsia="宋体" w:cs="宋体"/>
          <w:color w:val="auto"/>
          <w:sz w:val="28"/>
          <w:szCs w:val="28"/>
        </w:rPr>
        <w:t>代理人无转委托权。</w:t>
      </w:r>
    </w:p>
    <w:p w14:paraId="1082FA63">
      <w:pPr>
        <w:spacing w:after="312" w:afterLines="100" w:line="360" w:lineRule="auto"/>
        <w:ind w:firstLine="484" w:firstLineChars="171"/>
        <w:rPr>
          <w:rFonts w:hint="eastAsia" w:ascii="宋体" w:hAnsi="宋体" w:eastAsia="宋体" w:cs="宋体"/>
          <w:color w:val="auto"/>
          <w:sz w:val="28"/>
          <w:szCs w:val="28"/>
        </w:rPr>
      </w:pPr>
      <w:r>
        <w:rPr>
          <w:rFonts w:hint="eastAsia" w:ascii="宋体" w:hAnsi="宋体" w:eastAsia="宋体" w:cs="宋体"/>
          <w:color w:val="auto"/>
          <w:sz w:val="28"/>
          <w:szCs w:val="28"/>
        </w:rPr>
        <w:t>附：法定代表人身份证明</w:t>
      </w:r>
    </w:p>
    <w:p w14:paraId="24FBEDE9">
      <w:pPr>
        <w:spacing w:line="360" w:lineRule="auto"/>
        <w:ind w:firstLine="484" w:firstLineChars="171"/>
        <w:rPr>
          <w:rFonts w:hint="eastAsia" w:ascii="宋体" w:hAnsi="宋体" w:eastAsia="宋体" w:cs="宋体"/>
          <w:i w:val="0"/>
          <w:iCs w:val="0"/>
          <w:color w:val="auto"/>
          <w:sz w:val="28"/>
          <w:szCs w:val="28"/>
        </w:rPr>
      </w:pPr>
      <w:r>
        <w:rPr>
          <w:rFonts w:hint="eastAsia" w:ascii="宋体" w:hAnsi="宋体" w:eastAsia="宋体" w:cs="宋体"/>
          <w:i w:val="0"/>
          <w:iCs w:val="0"/>
          <w:color w:val="auto"/>
          <w:sz w:val="28"/>
          <w:szCs w:val="28"/>
        </w:rPr>
        <w:t>（粘贴</w:t>
      </w:r>
      <w:r>
        <w:rPr>
          <w:rFonts w:hint="eastAsia" w:ascii="宋体" w:hAnsi="宋体" w:eastAsia="宋体" w:cs="宋体"/>
          <w:i w:val="0"/>
          <w:iCs w:val="0"/>
          <w:color w:val="auto"/>
          <w:sz w:val="28"/>
          <w:szCs w:val="28"/>
          <w:lang w:val="en-US" w:eastAsia="zh-CN"/>
        </w:rPr>
        <w:t>法定代表人、授权委托人</w:t>
      </w:r>
      <w:r>
        <w:rPr>
          <w:rFonts w:hint="eastAsia" w:ascii="宋体" w:hAnsi="宋体" w:eastAsia="宋体" w:cs="宋体"/>
          <w:i w:val="0"/>
          <w:iCs w:val="0"/>
          <w:color w:val="auto"/>
          <w:sz w:val="28"/>
          <w:szCs w:val="28"/>
        </w:rPr>
        <w:t>身份证复印件）</w:t>
      </w:r>
    </w:p>
    <w:p w14:paraId="04B670D6">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投标人：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（盖单位章）</w:t>
      </w:r>
    </w:p>
    <w:p w14:paraId="0C419CB9">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（签字）</w:t>
      </w:r>
    </w:p>
    <w:p w14:paraId="39F1D3FB">
      <w:pPr>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身份证号码：</w:t>
      </w:r>
      <w:r>
        <w:rPr>
          <w:rFonts w:hint="eastAsia" w:ascii="宋体" w:hAnsi="宋体" w:eastAsia="宋体" w:cs="宋体"/>
          <w:i w:val="0"/>
          <w:iCs w:val="0"/>
          <w:color w:val="auto"/>
          <w:sz w:val="28"/>
          <w:szCs w:val="28"/>
          <w:u w:val="single"/>
          <w:lang w:val="en-US" w:eastAsia="zh-CN"/>
        </w:rPr>
        <w:t xml:space="preserve">                         </w:t>
      </w:r>
    </w:p>
    <w:p w14:paraId="6A4DD7D6">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委托代理人：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（签字）</w:t>
      </w:r>
    </w:p>
    <w:p w14:paraId="23376434">
      <w:pPr>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身份证号码：</w:t>
      </w:r>
      <w:r>
        <w:rPr>
          <w:rFonts w:hint="eastAsia" w:ascii="宋体" w:hAnsi="宋体" w:eastAsia="宋体" w:cs="宋体"/>
          <w:i w:val="0"/>
          <w:iCs w:val="0"/>
          <w:color w:val="auto"/>
          <w:sz w:val="28"/>
          <w:szCs w:val="28"/>
          <w:u w:val="single"/>
          <w:lang w:val="en-US" w:eastAsia="zh-CN"/>
        </w:rPr>
        <w:t xml:space="preserve">                         </w:t>
      </w:r>
    </w:p>
    <w:p w14:paraId="3CFAA752">
      <w:pPr>
        <w:spacing w:line="360" w:lineRule="auto"/>
        <w:jc w:val="center"/>
        <w:rPr>
          <w:rFonts w:hint="eastAsia" w:ascii="宋体" w:hAnsi="宋体" w:eastAsia="宋体" w:cs="宋体"/>
          <w:color w:val="auto"/>
          <w:sz w:val="28"/>
          <w:szCs w:val="28"/>
        </w:rPr>
      </w:pP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color w:val="auto"/>
          <w:sz w:val="28"/>
          <w:szCs w:val="28"/>
        </w:rPr>
        <w:t>日</w:t>
      </w:r>
    </w:p>
    <w:p w14:paraId="3A88F96F">
      <w:pPr>
        <w:pStyle w:val="15"/>
        <w:keepNext w:val="0"/>
        <w:keepLines w:val="0"/>
        <w:widowControl/>
        <w:suppressLineNumbers w:val="0"/>
        <w:spacing w:line="240" w:lineRule="auto"/>
        <w:ind w:left="0" w:firstLine="0"/>
        <w:jc w:val="left"/>
        <w:textAlignment w:val="center"/>
      </w:pPr>
      <w:r>
        <w:rPr>
          <w:rFonts w:hint="eastAsia" w:ascii="宋体" w:hAnsi="宋体" w:eastAsia="宋体" w:cs="宋体"/>
          <w:b/>
          <w:bCs/>
          <w:color w:val="000000"/>
          <w:spacing w:val="0"/>
          <w:position w:val="0"/>
          <w:sz w:val="28"/>
          <w:szCs w:val="28"/>
        </w:rPr>
        <w:t>注：如联合体投标，联合体牵头人提供即可</w:t>
      </w:r>
    </w:p>
    <w:p w14:paraId="1D8646F4">
      <w:pPr>
        <w:spacing w:line="400" w:lineRule="exact"/>
        <w:rPr>
          <w:rFonts w:hint="eastAsia" w:ascii="宋体" w:hAnsi="宋体" w:eastAsia="宋体" w:cs="宋体"/>
          <w:color w:val="auto"/>
          <w:sz w:val="24"/>
          <w:szCs w:val="32"/>
        </w:rPr>
      </w:pPr>
      <w:r>
        <w:rPr>
          <w:rFonts w:hint="eastAsia" w:ascii="宋体" w:hAnsi="宋体" w:eastAsia="宋体" w:cs="宋体"/>
          <w:color w:val="auto"/>
          <w:sz w:val="24"/>
          <w:szCs w:val="24"/>
        </w:rPr>
        <w:br w:type="page"/>
      </w:r>
    </w:p>
    <w:p w14:paraId="25A7ACCD">
      <w:pPr>
        <w:spacing w:line="240" w:lineRule="auto"/>
        <w:ind w:firstLine="0" w:firstLineChars="0"/>
        <w:jc w:val="center"/>
        <w:outlineLvl w:val="0"/>
        <w:rPr>
          <w:rFonts w:hint="eastAsia" w:ascii="宋体" w:hAnsi="宋体" w:eastAsia="宋体" w:cs="宋体"/>
          <w:b/>
          <w:bCs/>
          <w:color w:val="auto"/>
          <w:sz w:val="32"/>
          <w:szCs w:val="32"/>
          <w:lang w:val="en-US" w:eastAsia="zh-CN"/>
        </w:rPr>
      </w:pPr>
      <w:bookmarkStart w:id="445" w:name="_Toc179632814"/>
      <w:bookmarkStart w:id="446" w:name="_Toc13590"/>
      <w:bookmarkStart w:id="447" w:name="_Toc23446"/>
      <w:bookmarkStart w:id="448" w:name="_Toc12375"/>
      <w:bookmarkStart w:id="449" w:name="_Toc7386"/>
      <w:bookmarkStart w:id="450" w:name="_Toc25948"/>
      <w:bookmarkStart w:id="451" w:name="_Toc28379"/>
      <w:bookmarkStart w:id="452" w:name="_Toc24498_WPSOffice_Level1"/>
      <w:bookmarkStart w:id="453" w:name="_Toc25976"/>
      <w:bookmarkStart w:id="454" w:name="_Toc152042583"/>
      <w:bookmarkStart w:id="455" w:name="_Toc152045794"/>
      <w:r>
        <w:rPr>
          <w:rFonts w:hint="eastAsia" w:ascii="宋体" w:hAnsi="宋体" w:eastAsia="宋体" w:cs="宋体"/>
          <w:b/>
          <w:bCs/>
          <w:color w:val="auto"/>
          <w:sz w:val="32"/>
          <w:szCs w:val="32"/>
          <w:lang w:val="en-US" w:eastAsia="zh-CN"/>
        </w:rPr>
        <w:t>四、投标保证金</w:t>
      </w:r>
      <w:bookmarkEnd w:id="445"/>
      <w:bookmarkEnd w:id="446"/>
      <w:bookmarkEnd w:id="447"/>
      <w:bookmarkEnd w:id="448"/>
      <w:bookmarkEnd w:id="449"/>
      <w:bookmarkEnd w:id="450"/>
      <w:bookmarkEnd w:id="451"/>
      <w:bookmarkEnd w:id="452"/>
      <w:bookmarkEnd w:id="453"/>
      <w:bookmarkEnd w:id="454"/>
      <w:bookmarkEnd w:id="455"/>
    </w:p>
    <w:p w14:paraId="3B32B940">
      <w:pPr>
        <w:spacing w:line="440" w:lineRule="exact"/>
        <w:rPr>
          <w:rFonts w:hint="eastAsia" w:ascii="宋体" w:hAnsi="宋体" w:eastAsia="宋体" w:cs="宋体"/>
          <w:color w:val="auto"/>
        </w:rPr>
      </w:pPr>
    </w:p>
    <w:p w14:paraId="1F1E1C46">
      <w:pPr>
        <w:spacing w:line="440" w:lineRule="exact"/>
        <w:ind w:firstLine="4981" w:firstLineChars="2328"/>
        <w:rPr>
          <w:rFonts w:hint="eastAsia" w:ascii="宋体" w:hAnsi="宋体" w:eastAsia="宋体" w:cs="宋体"/>
          <w:color w:val="auto"/>
        </w:rPr>
      </w:pPr>
    </w:p>
    <w:p w14:paraId="3889E9B7">
      <w:pPr>
        <w:spacing w:line="440" w:lineRule="exact"/>
        <w:ind w:firstLine="4981" w:firstLineChars="2328"/>
        <w:rPr>
          <w:rFonts w:hint="eastAsia" w:ascii="宋体" w:hAnsi="宋体" w:eastAsia="宋体" w:cs="宋体"/>
          <w:color w:val="auto"/>
        </w:rPr>
      </w:pPr>
    </w:p>
    <w:p w14:paraId="7F622651">
      <w:pPr>
        <w:spacing w:line="440" w:lineRule="exact"/>
        <w:ind w:firstLine="4981" w:firstLineChars="2328"/>
        <w:rPr>
          <w:rFonts w:hint="eastAsia" w:ascii="宋体" w:hAnsi="宋体" w:eastAsia="宋体" w:cs="宋体"/>
          <w:color w:val="auto"/>
        </w:rPr>
      </w:pPr>
    </w:p>
    <w:p w14:paraId="15930CC7">
      <w:pPr>
        <w:spacing w:line="440" w:lineRule="exact"/>
        <w:ind w:firstLine="4981" w:firstLineChars="2328"/>
        <w:rPr>
          <w:rFonts w:hint="eastAsia" w:ascii="宋体" w:hAnsi="宋体" w:eastAsia="宋体" w:cs="宋体"/>
          <w:color w:val="auto"/>
        </w:rPr>
      </w:pPr>
    </w:p>
    <w:p w14:paraId="284D1ED0">
      <w:pPr>
        <w:spacing w:line="440" w:lineRule="exact"/>
        <w:ind w:firstLine="4981" w:firstLineChars="2328"/>
        <w:rPr>
          <w:rFonts w:hint="eastAsia" w:ascii="宋体" w:hAnsi="宋体" w:eastAsia="宋体" w:cs="宋体"/>
          <w:color w:val="auto"/>
        </w:rPr>
      </w:pPr>
    </w:p>
    <w:p w14:paraId="7256B7F1">
      <w:pPr>
        <w:spacing w:line="440" w:lineRule="exact"/>
        <w:ind w:firstLine="4981" w:firstLineChars="2328"/>
        <w:rPr>
          <w:rFonts w:hint="eastAsia" w:ascii="宋体" w:hAnsi="宋体" w:eastAsia="宋体" w:cs="宋体"/>
          <w:color w:val="auto"/>
        </w:rPr>
      </w:pPr>
    </w:p>
    <w:p w14:paraId="1FC69D0A">
      <w:pPr>
        <w:spacing w:line="360" w:lineRule="auto"/>
        <w:ind w:firstLine="484" w:firstLineChars="171"/>
        <w:jc w:val="both"/>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rPr>
        <w:t>附投标保证金</w:t>
      </w:r>
      <w:r>
        <w:rPr>
          <w:rFonts w:hint="eastAsia" w:ascii="宋体" w:hAnsi="宋体" w:cs="宋体"/>
          <w:i w:val="0"/>
          <w:iCs w:val="0"/>
          <w:color w:val="auto"/>
          <w:sz w:val="28"/>
          <w:szCs w:val="28"/>
          <w:lang w:eastAsia="zh-CN"/>
        </w:rPr>
        <w:t>证明文件</w:t>
      </w:r>
    </w:p>
    <w:p w14:paraId="5B1F7024">
      <w:pPr>
        <w:spacing w:line="360" w:lineRule="auto"/>
        <w:ind w:firstLine="428" w:firstLineChars="200"/>
        <w:jc w:val="left"/>
        <w:rPr>
          <w:rFonts w:hint="eastAsia" w:ascii="宋体" w:hAnsi="宋体" w:eastAsia="宋体" w:cs="宋体"/>
          <w:color w:val="auto"/>
          <w:szCs w:val="21"/>
        </w:rPr>
      </w:pPr>
    </w:p>
    <w:p w14:paraId="37CA69B4">
      <w:pPr>
        <w:spacing w:line="360" w:lineRule="auto"/>
        <w:ind w:firstLine="428" w:firstLineChars="200"/>
        <w:jc w:val="left"/>
        <w:rPr>
          <w:rFonts w:hint="eastAsia" w:ascii="宋体" w:hAnsi="宋体" w:eastAsia="宋体" w:cs="宋体"/>
          <w:color w:val="auto"/>
          <w:szCs w:val="21"/>
        </w:rPr>
      </w:pPr>
    </w:p>
    <w:p w14:paraId="471FAE89">
      <w:pPr>
        <w:spacing w:line="360" w:lineRule="auto"/>
        <w:ind w:firstLine="428" w:firstLineChars="200"/>
        <w:jc w:val="left"/>
        <w:rPr>
          <w:rFonts w:hint="eastAsia" w:ascii="宋体" w:hAnsi="宋体" w:eastAsia="宋体" w:cs="宋体"/>
          <w:color w:val="auto"/>
          <w:szCs w:val="21"/>
          <w:lang w:eastAsia="zh-CN"/>
        </w:rPr>
      </w:pPr>
    </w:p>
    <w:p w14:paraId="7BD8FE08">
      <w:pPr>
        <w:spacing w:line="360" w:lineRule="auto"/>
        <w:ind w:firstLine="428" w:firstLineChars="200"/>
        <w:jc w:val="left"/>
        <w:rPr>
          <w:rFonts w:hint="eastAsia" w:ascii="宋体" w:hAnsi="宋体" w:eastAsia="宋体" w:cs="宋体"/>
          <w:color w:val="auto"/>
          <w:szCs w:val="21"/>
        </w:rPr>
      </w:pPr>
    </w:p>
    <w:p w14:paraId="197784DD">
      <w:pPr>
        <w:pStyle w:val="4"/>
        <w:ind w:firstLine="98"/>
        <w:jc w:val="center"/>
        <w:outlineLvl w:val="9"/>
        <w:rPr>
          <w:rFonts w:hint="eastAsia" w:ascii="宋体" w:hAnsi="宋体" w:eastAsia="宋体" w:cs="宋体"/>
          <w:color w:val="auto"/>
          <w:szCs w:val="21"/>
        </w:rPr>
      </w:pPr>
    </w:p>
    <w:p w14:paraId="7E5FEA1C">
      <w:pPr>
        <w:rPr>
          <w:rFonts w:hint="eastAsia" w:ascii="宋体" w:hAnsi="宋体" w:eastAsia="宋体" w:cs="宋体"/>
          <w:color w:val="auto"/>
          <w:szCs w:val="21"/>
        </w:rPr>
      </w:pPr>
    </w:p>
    <w:p w14:paraId="2E6DA943">
      <w:pPr>
        <w:rPr>
          <w:rFonts w:hint="eastAsia" w:ascii="宋体" w:hAnsi="宋体" w:eastAsia="宋体" w:cs="宋体"/>
          <w:color w:val="auto"/>
          <w:szCs w:val="21"/>
        </w:rPr>
      </w:pPr>
    </w:p>
    <w:p w14:paraId="05DF3C70">
      <w:pPr>
        <w:rPr>
          <w:rFonts w:hint="eastAsia" w:ascii="宋体" w:hAnsi="宋体" w:eastAsia="宋体" w:cs="宋体"/>
          <w:color w:val="auto"/>
          <w:szCs w:val="21"/>
        </w:rPr>
      </w:pPr>
    </w:p>
    <w:p w14:paraId="6FD41035">
      <w:pPr>
        <w:rPr>
          <w:rFonts w:hint="eastAsia" w:ascii="宋体" w:hAnsi="宋体" w:eastAsia="宋体" w:cs="宋体"/>
          <w:color w:val="auto"/>
          <w:szCs w:val="21"/>
        </w:rPr>
      </w:pPr>
    </w:p>
    <w:p w14:paraId="3EF1A0C7">
      <w:pPr>
        <w:rPr>
          <w:rFonts w:hint="eastAsia" w:ascii="宋体" w:hAnsi="宋体" w:eastAsia="宋体" w:cs="宋体"/>
          <w:color w:val="auto"/>
          <w:szCs w:val="21"/>
        </w:rPr>
      </w:pPr>
    </w:p>
    <w:p w14:paraId="53F3084C">
      <w:pPr>
        <w:rPr>
          <w:rFonts w:hint="eastAsia" w:ascii="宋体" w:hAnsi="宋体" w:eastAsia="宋体" w:cs="宋体"/>
          <w:color w:val="auto"/>
          <w:szCs w:val="21"/>
        </w:rPr>
      </w:pPr>
    </w:p>
    <w:p w14:paraId="01296A8C">
      <w:pPr>
        <w:rPr>
          <w:rFonts w:hint="eastAsia" w:ascii="宋体" w:hAnsi="宋体" w:eastAsia="宋体" w:cs="宋体"/>
          <w:color w:val="auto"/>
          <w:szCs w:val="21"/>
        </w:rPr>
      </w:pPr>
    </w:p>
    <w:p w14:paraId="169495F6">
      <w:pPr>
        <w:rPr>
          <w:rFonts w:hint="eastAsia" w:ascii="宋体" w:hAnsi="宋体" w:eastAsia="宋体" w:cs="宋体"/>
          <w:color w:val="auto"/>
          <w:szCs w:val="21"/>
        </w:rPr>
      </w:pPr>
    </w:p>
    <w:p w14:paraId="642ADD7D">
      <w:pPr>
        <w:rPr>
          <w:rFonts w:hint="eastAsia" w:ascii="宋体" w:hAnsi="宋体" w:eastAsia="宋体" w:cs="宋体"/>
          <w:color w:val="auto"/>
          <w:szCs w:val="21"/>
        </w:rPr>
      </w:pPr>
    </w:p>
    <w:p w14:paraId="74DF8AE9">
      <w:pPr>
        <w:rPr>
          <w:rFonts w:hint="eastAsia" w:ascii="宋体" w:hAnsi="宋体" w:eastAsia="宋体" w:cs="宋体"/>
          <w:color w:val="auto"/>
          <w:szCs w:val="21"/>
        </w:rPr>
      </w:pPr>
    </w:p>
    <w:p w14:paraId="7D9E4B98">
      <w:pPr>
        <w:rPr>
          <w:rFonts w:hint="eastAsia" w:ascii="宋体" w:hAnsi="宋体" w:eastAsia="宋体" w:cs="宋体"/>
          <w:color w:val="auto"/>
          <w:szCs w:val="21"/>
        </w:rPr>
      </w:pPr>
    </w:p>
    <w:p w14:paraId="06268B59">
      <w:pPr>
        <w:rPr>
          <w:rFonts w:hint="eastAsia" w:ascii="宋体" w:hAnsi="宋体" w:eastAsia="宋体" w:cs="宋体"/>
          <w:color w:val="auto"/>
          <w:szCs w:val="21"/>
        </w:rPr>
      </w:pPr>
    </w:p>
    <w:p w14:paraId="467A26BC">
      <w:pPr>
        <w:rPr>
          <w:rFonts w:hint="eastAsia" w:ascii="宋体" w:hAnsi="宋体" w:eastAsia="宋体" w:cs="宋体"/>
          <w:color w:val="auto"/>
          <w:szCs w:val="21"/>
        </w:rPr>
      </w:pPr>
    </w:p>
    <w:p w14:paraId="5507EA71">
      <w:pPr>
        <w:rPr>
          <w:rFonts w:hint="eastAsia" w:ascii="宋体" w:hAnsi="宋体" w:eastAsia="宋体" w:cs="宋体"/>
          <w:color w:val="auto"/>
          <w:szCs w:val="21"/>
        </w:rPr>
      </w:pPr>
    </w:p>
    <w:p w14:paraId="1A52D59C">
      <w:pPr>
        <w:rPr>
          <w:rFonts w:hint="eastAsia" w:ascii="宋体" w:hAnsi="宋体" w:eastAsia="宋体" w:cs="宋体"/>
          <w:color w:val="auto"/>
          <w:szCs w:val="21"/>
        </w:rPr>
      </w:pPr>
    </w:p>
    <w:p w14:paraId="46CB44DB">
      <w:pPr>
        <w:rPr>
          <w:rFonts w:hint="eastAsia" w:ascii="宋体" w:hAnsi="宋体" w:eastAsia="宋体" w:cs="宋体"/>
          <w:color w:val="auto"/>
          <w:szCs w:val="21"/>
        </w:rPr>
      </w:pPr>
    </w:p>
    <w:p w14:paraId="6D0B2393">
      <w:pPr>
        <w:rPr>
          <w:rFonts w:hint="eastAsia" w:ascii="宋体" w:hAnsi="宋体" w:eastAsia="宋体" w:cs="宋体"/>
          <w:color w:val="auto"/>
          <w:szCs w:val="21"/>
        </w:rPr>
      </w:pPr>
    </w:p>
    <w:p w14:paraId="3672AFB8">
      <w:pPr>
        <w:rPr>
          <w:rFonts w:hint="eastAsia" w:ascii="宋体" w:hAnsi="宋体" w:eastAsia="宋体" w:cs="宋体"/>
          <w:color w:val="auto"/>
          <w:szCs w:val="21"/>
        </w:rPr>
      </w:pPr>
    </w:p>
    <w:p w14:paraId="646045C6">
      <w:pPr>
        <w:rPr>
          <w:rFonts w:hint="eastAsia" w:ascii="宋体" w:hAnsi="宋体" w:eastAsia="宋体" w:cs="宋体"/>
          <w:color w:val="auto"/>
          <w:szCs w:val="21"/>
        </w:rPr>
      </w:pPr>
    </w:p>
    <w:p w14:paraId="6C97BB35">
      <w:pPr>
        <w:rPr>
          <w:rFonts w:hint="eastAsia" w:ascii="宋体" w:hAnsi="宋体" w:eastAsia="宋体" w:cs="宋体"/>
          <w:color w:val="auto"/>
          <w:szCs w:val="21"/>
        </w:rPr>
      </w:pPr>
    </w:p>
    <w:p w14:paraId="6A473031">
      <w:pPr>
        <w:rPr>
          <w:rFonts w:hint="eastAsia" w:ascii="宋体" w:hAnsi="宋体" w:eastAsia="宋体" w:cs="宋体"/>
          <w:b/>
          <w:bCs/>
          <w:color w:val="auto"/>
          <w:sz w:val="32"/>
          <w:szCs w:val="32"/>
          <w:lang w:val="en-US" w:eastAsia="zh-CN"/>
        </w:rPr>
      </w:pPr>
      <w:bookmarkStart w:id="456" w:name="_Toc30278"/>
      <w:bookmarkStart w:id="457" w:name="_Toc30431"/>
      <w:bookmarkStart w:id="458" w:name="_Toc24635"/>
      <w:bookmarkStart w:id="459" w:name="_Toc9241"/>
      <w:bookmarkStart w:id="460" w:name="_Toc9578"/>
      <w:r>
        <w:rPr>
          <w:rFonts w:hint="eastAsia" w:ascii="宋体" w:hAnsi="宋体" w:eastAsia="宋体" w:cs="宋体"/>
          <w:b/>
          <w:bCs/>
          <w:color w:val="auto"/>
          <w:sz w:val="32"/>
          <w:szCs w:val="32"/>
          <w:lang w:val="en-US" w:eastAsia="zh-CN"/>
        </w:rPr>
        <w:br w:type="page"/>
      </w:r>
    </w:p>
    <w:p w14:paraId="7FCB9925">
      <w:pPr>
        <w:spacing w:line="240" w:lineRule="auto"/>
        <w:ind w:firstLine="0" w:firstLineChars="0"/>
        <w:jc w:val="center"/>
        <w:outlineLvl w:val="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五、报价内容</w:t>
      </w:r>
      <w:bookmarkEnd w:id="456"/>
      <w:bookmarkEnd w:id="457"/>
      <w:bookmarkEnd w:id="458"/>
      <w:bookmarkEnd w:id="459"/>
      <w:bookmarkEnd w:id="460"/>
    </w:p>
    <w:p w14:paraId="5CFBF3F5">
      <w:pPr>
        <w:tabs>
          <w:tab w:val="left" w:pos="249"/>
        </w:tabs>
        <w:bidi w:val="0"/>
        <w:jc w:val="left"/>
        <w:rPr>
          <w:rFonts w:hint="eastAsia" w:ascii="宋体" w:hAnsi="宋体" w:eastAsia="宋体" w:cs="宋体"/>
          <w:color w:val="auto"/>
          <w:vertAlign w:val="baseline"/>
          <w:lang w:val="en-US" w:eastAsia="zh-CN"/>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2"/>
        <w:gridCol w:w="2406"/>
        <w:gridCol w:w="2194"/>
        <w:gridCol w:w="2195"/>
      </w:tblGrid>
      <w:tr w14:paraId="3BF7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5F8E08DA">
            <w:pPr>
              <w:spacing w:line="360" w:lineRule="auto"/>
              <w:jc w:val="center"/>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标段名称</w:t>
            </w:r>
          </w:p>
        </w:tc>
        <w:tc>
          <w:tcPr>
            <w:tcW w:w="2406" w:type="dxa"/>
            <w:noWrap w:val="0"/>
            <w:vAlign w:val="center"/>
          </w:tcPr>
          <w:p w14:paraId="6FE32F0F">
            <w:pPr>
              <w:spacing w:line="360" w:lineRule="auto"/>
              <w:ind w:firstLine="484" w:firstLineChars="171"/>
              <w:jc w:val="center"/>
              <w:rPr>
                <w:rFonts w:hint="eastAsia" w:ascii="宋体" w:hAnsi="宋体" w:eastAsia="宋体" w:cs="宋体"/>
                <w:i w:val="0"/>
                <w:iCs w:val="0"/>
                <w:color w:val="auto"/>
                <w:sz w:val="28"/>
                <w:szCs w:val="28"/>
                <w:lang w:val="en-US" w:eastAsia="zh-CN"/>
              </w:rPr>
            </w:pPr>
          </w:p>
        </w:tc>
        <w:tc>
          <w:tcPr>
            <w:tcW w:w="2194" w:type="dxa"/>
            <w:noWrap w:val="0"/>
            <w:vAlign w:val="center"/>
          </w:tcPr>
          <w:p w14:paraId="6271F8AC">
            <w:pPr>
              <w:spacing w:line="360" w:lineRule="auto"/>
              <w:ind w:firstLine="484" w:firstLineChars="171"/>
              <w:jc w:val="center"/>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标段编号</w:t>
            </w:r>
          </w:p>
        </w:tc>
        <w:tc>
          <w:tcPr>
            <w:tcW w:w="2195" w:type="dxa"/>
            <w:noWrap w:val="0"/>
            <w:vAlign w:val="center"/>
          </w:tcPr>
          <w:p w14:paraId="5AD67056">
            <w:pPr>
              <w:spacing w:line="360" w:lineRule="auto"/>
              <w:ind w:firstLine="484" w:firstLineChars="171"/>
              <w:jc w:val="center"/>
              <w:rPr>
                <w:rFonts w:hint="eastAsia" w:ascii="宋体" w:hAnsi="宋体" w:eastAsia="宋体" w:cs="宋体"/>
                <w:i w:val="0"/>
                <w:iCs w:val="0"/>
                <w:color w:val="auto"/>
                <w:sz w:val="28"/>
                <w:szCs w:val="28"/>
                <w:lang w:val="en-US" w:eastAsia="zh-CN"/>
              </w:rPr>
            </w:pPr>
          </w:p>
        </w:tc>
      </w:tr>
      <w:tr w14:paraId="7A75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5E9A8FAE">
            <w:pPr>
              <w:spacing w:line="360" w:lineRule="auto"/>
              <w:jc w:val="center"/>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投标人名称</w:t>
            </w:r>
          </w:p>
        </w:tc>
        <w:tc>
          <w:tcPr>
            <w:tcW w:w="6795" w:type="dxa"/>
            <w:gridSpan w:val="3"/>
            <w:noWrap w:val="0"/>
            <w:vAlign w:val="center"/>
          </w:tcPr>
          <w:p w14:paraId="59FB00D8">
            <w:pPr>
              <w:spacing w:line="360" w:lineRule="auto"/>
              <w:ind w:firstLine="484" w:firstLineChars="171"/>
              <w:jc w:val="center"/>
              <w:rPr>
                <w:rFonts w:hint="eastAsia" w:ascii="宋体" w:hAnsi="宋体" w:eastAsia="宋体" w:cs="宋体"/>
                <w:i w:val="0"/>
                <w:iCs w:val="0"/>
                <w:color w:val="auto"/>
                <w:sz w:val="28"/>
                <w:szCs w:val="28"/>
                <w:lang w:val="en-US" w:eastAsia="zh-CN"/>
              </w:rPr>
            </w:pPr>
          </w:p>
        </w:tc>
      </w:tr>
      <w:tr w14:paraId="672C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3B26114E">
            <w:pPr>
              <w:spacing w:line="360" w:lineRule="auto"/>
              <w:jc w:val="both"/>
              <w:rPr>
                <w:rFonts w:hint="eastAsia" w:ascii="宋体" w:hAnsi="宋体" w:eastAsia="宋体" w:cs="宋体"/>
                <w:i w:val="0"/>
                <w:iCs w:val="0"/>
                <w:color w:val="auto"/>
                <w:sz w:val="28"/>
                <w:szCs w:val="28"/>
                <w:lang w:val="en-US" w:eastAsia="zh-CN"/>
              </w:rPr>
            </w:pPr>
            <w:r>
              <w:rPr>
                <w:rFonts w:hint="eastAsia" w:ascii="宋体" w:hAnsi="宋体" w:cs="宋体"/>
                <w:i w:val="0"/>
                <w:iCs w:val="0"/>
                <w:color w:val="auto"/>
                <w:sz w:val="28"/>
                <w:szCs w:val="28"/>
                <w:lang w:val="en-US" w:eastAsia="zh-CN"/>
              </w:rPr>
              <w:t>设计费</w:t>
            </w:r>
            <w:r>
              <w:rPr>
                <w:rFonts w:hint="eastAsia" w:ascii="宋体" w:hAnsi="宋体" w:eastAsia="宋体" w:cs="宋体"/>
                <w:i w:val="0"/>
                <w:iCs w:val="0"/>
                <w:color w:val="auto"/>
                <w:sz w:val="28"/>
                <w:szCs w:val="28"/>
                <w:lang w:val="en-US" w:eastAsia="zh-CN"/>
              </w:rPr>
              <w:t>（元）</w:t>
            </w:r>
          </w:p>
        </w:tc>
        <w:tc>
          <w:tcPr>
            <w:tcW w:w="6795" w:type="dxa"/>
            <w:gridSpan w:val="3"/>
            <w:noWrap w:val="0"/>
            <w:vAlign w:val="center"/>
          </w:tcPr>
          <w:p w14:paraId="6121328B">
            <w:pPr>
              <w:spacing w:line="360" w:lineRule="auto"/>
              <w:ind w:firstLine="484" w:firstLineChars="171"/>
              <w:jc w:val="left"/>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大写：</w:t>
            </w:r>
          </w:p>
          <w:p w14:paraId="3905886F">
            <w:pPr>
              <w:spacing w:line="360" w:lineRule="auto"/>
              <w:ind w:firstLine="484" w:firstLineChars="171"/>
              <w:jc w:val="left"/>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小写：</w:t>
            </w:r>
          </w:p>
        </w:tc>
      </w:tr>
      <w:tr w14:paraId="68A73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436637EA">
            <w:pPr>
              <w:spacing w:line="360" w:lineRule="auto"/>
              <w:jc w:val="both"/>
              <w:rPr>
                <w:rFonts w:hint="eastAsia" w:ascii="宋体" w:hAnsi="宋体" w:eastAsia="宋体" w:cs="宋体"/>
                <w:i w:val="0"/>
                <w:iCs w:val="0"/>
                <w:color w:val="auto"/>
                <w:sz w:val="28"/>
                <w:szCs w:val="28"/>
                <w:lang w:val="en-US" w:eastAsia="zh-CN"/>
              </w:rPr>
            </w:pPr>
            <w:r>
              <w:rPr>
                <w:rFonts w:hint="eastAsia" w:ascii="宋体" w:hAnsi="宋体" w:cs="宋体"/>
                <w:i w:val="0"/>
                <w:iCs w:val="0"/>
                <w:color w:val="auto"/>
                <w:sz w:val="28"/>
                <w:szCs w:val="28"/>
                <w:lang w:val="en-US" w:eastAsia="zh-CN"/>
              </w:rPr>
              <w:t>施工费</w:t>
            </w:r>
            <w:r>
              <w:rPr>
                <w:rFonts w:hint="eastAsia" w:ascii="宋体" w:hAnsi="宋体" w:eastAsia="宋体" w:cs="宋体"/>
                <w:i w:val="0"/>
                <w:iCs w:val="0"/>
                <w:color w:val="auto"/>
                <w:sz w:val="28"/>
                <w:szCs w:val="28"/>
                <w:lang w:val="en-US" w:eastAsia="zh-CN"/>
              </w:rPr>
              <w:t>（元）</w:t>
            </w:r>
          </w:p>
        </w:tc>
        <w:tc>
          <w:tcPr>
            <w:tcW w:w="6795" w:type="dxa"/>
            <w:gridSpan w:val="3"/>
            <w:noWrap w:val="0"/>
            <w:vAlign w:val="center"/>
          </w:tcPr>
          <w:p w14:paraId="05723011">
            <w:pPr>
              <w:spacing w:line="360" w:lineRule="auto"/>
              <w:ind w:firstLine="484" w:firstLineChars="171"/>
              <w:jc w:val="left"/>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大写：</w:t>
            </w:r>
          </w:p>
          <w:p w14:paraId="6B583A68">
            <w:pPr>
              <w:spacing w:line="360" w:lineRule="auto"/>
              <w:ind w:firstLine="484" w:firstLineChars="171"/>
              <w:jc w:val="left"/>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小写：</w:t>
            </w:r>
          </w:p>
        </w:tc>
      </w:tr>
      <w:tr w14:paraId="19FB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700E641C">
            <w:pPr>
              <w:spacing w:line="360" w:lineRule="auto"/>
              <w:ind w:firstLine="484" w:firstLineChars="171"/>
              <w:jc w:val="both"/>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工期</w:t>
            </w:r>
          </w:p>
        </w:tc>
        <w:tc>
          <w:tcPr>
            <w:tcW w:w="6795" w:type="dxa"/>
            <w:gridSpan w:val="3"/>
            <w:noWrap w:val="0"/>
            <w:vAlign w:val="center"/>
          </w:tcPr>
          <w:p w14:paraId="65063D03">
            <w:pPr>
              <w:spacing w:line="360" w:lineRule="auto"/>
              <w:ind w:firstLine="484" w:firstLineChars="171"/>
              <w:jc w:val="center"/>
              <w:rPr>
                <w:rFonts w:hint="eastAsia" w:ascii="宋体" w:hAnsi="宋体" w:eastAsia="宋体" w:cs="宋体"/>
                <w:i w:val="0"/>
                <w:iCs w:val="0"/>
                <w:color w:val="auto"/>
                <w:sz w:val="28"/>
                <w:szCs w:val="28"/>
                <w:lang w:val="en-US" w:eastAsia="zh-CN"/>
              </w:rPr>
            </w:pPr>
          </w:p>
        </w:tc>
      </w:tr>
      <w:tr w14:paraId="12B2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51836C68">
            <w:pPr>
              <w:spacing w:line="360" w:lineRule="auto"/>
              <w:jc w:val="center"/>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质量承诺</w:t>
            </w:r>
          </w:p>
        </w:tc>
        <w:tc>
          <w:tcPr>
            <w:tcW w:w="6795" w:type="dxa"/>
            <w:gridSpan w:val="3"/>
            <w:noWrap w:val="0"/>
            <w:vAlign w:val="center"/>
          </w:tcPr>
          <w:p w14:paraId="1667E846">
            <w:pPr>
              <w:spacing w:line="360" w:lineRule="auto"/>
              <w:ind w:firstLine="484" w:firstLineChars="171"/>
              <w:jc w:val="center"/>
              <w:rPr>
                <w:rFonts w:hint="eastAsia" w:ascii="宋体" w:hAnsi="宋体" w:eastAsia="宋体" w:cs="宋体"/>
                <w:i w:val="0"/>
                <w:iCs w:val="0"/>
                <w:color w:val="auto"/>
                <w:sz w:val="28"/>
                <w:szCs w:val="28"/>
                <w:lang w:val="en-US" w:eastAsia="zh-CN"/>
              </w:rPr>
            </w:pPr>
          </w:p>
        </w:tc>
      </w:tr>
      <w:tr w14:paraId="7EDE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82" w:type="dxa"/>
            <w:noWrap w:val="0"/>
            <w:vAlign w:val="center"/>
          </w:tcPr>
          <w:p w14:paraId="543C2823">
            <w:pPr>
              <w:spacing w:line="360" w:lineRule="auto"/>
              <w:ind w:firstLine="484" w:firstLineChars="171"/>
              <w:jc w:val="both"/>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备注</w:t>
            </w:r>
          </w:p>
        </w:tc>
        <w:tc>
          <w:tcPr>
            <w:tcW w:w="6795" w:type="dxa"/>
            <w:gridSpan w:val="3"/>
            <w:noWrap w:val="0"/>
            <w:vAlign w:val="center"/>
          </w:tcPr>
          <w:p w14:paraId="20DDA2DD">
            <w:pPr>
              <w:spacing w:line="360" w:lineRule="auto"/>
              <w:ind w:firstLine="484" w:firstLineChars="171"/>
              <w:jc w:val="center"/>
              <w:rPr>
                <w:rFonts w:hint="eastAsia" w:ascii="宋体" w:hAnsi="宋体" w:eastAsia="宋体" w:cs="宋体"/>
                <w:i w:val="0"/>
                <w:iCs w:val="0"/>
                <w:color w:val="auto"/>
                <w:sz w:val="28"/>
                <w:szCs w:val="28"/>
                <w:lang w:val="en-US" w:eastAsia="zh-CN"/>
              </w:rPr>
            </w:pPr>
          </w:p>
        </w:tc>
      </w:tr>
    </w:tbl>
    <w:p w14:paraId="4C699792">
      <w:pPr>
        <w:tabs>
          <w:tab w:val="left" w:pos="249"/>
        </w:tabs>
        <w:bidi w:val="0"/>
        <w:jc w:val="left"/>
        <w:rPr>
          <w:rFonts w:hint="eastAsia" w:ascii="宋体" w:hAnsi="宋体" w:eastAsia="宋体" w:cs="宋体"/>
          <w:color w:val="auto"/>
          <w:lang w:val="en-US" w:eastAsia="zh-CN"/>
        </w:rPr>
      </w:pPr>
    </w:p>
    <w:p w14:paraId="196F2ECF">
      <w:pPr>
        <w:spacing w:line="360" w:lineRule="auto"/>
        <w:jc w:val="both"/>
        <w:rPr>
          <w:rFonts w:hint="eastAsia" w:ascii="宋体" w:hAnsi="宋体" w:eastAsia="宋体" w:cs="宋体"/>
          <w:i w:val="0"/>
          <w:iCs w:val="0"/>
          <w:color w:val="auto"/>
          <w:sz w:val="28"/>
          <w:szCs w:val="28"/>
          <w:lang w:val="en-US" w:eastAsia="zh-CN"/>
        </w:rPr>
      </w:pPr>
    </w:p>
    <w:p w14:paraId="34B99021">
      <w:pPr>
        <w:spacing w:line="360" w:lineRule="auto"/>
        <w:jc w:val="center"/>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投标人：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（盖章）</w:t>
      </w:r>
    </w:p>
    <w:p w14:paraId="1DE72DE3">
      <w:pPr>
        <w:spacing w:line="360" w:lineRule="auto"/>
        <w:jc w:val="both"/>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法定代表人或其授权委托人：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（签字盖章）</w:t>
      </w:r>
    </w:p>
    <w:p w14:paraId="77E10FB6">
      <w:pPr>
        <w:spacing w:line="360" w:lineRule="auto"/>
        <w:jc w:val="center"/>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月</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日</w:t>
      </w:r>
    </w:p>
    <w:p w14:paraId="1E0A4B7A">
      <w:pPr>
        <w:spacing w:line="480" w:lineRule="auto"/>
        <w:ind w:firstLine="488" w:firstLineChars="200"/>
        <w:jc w:val="left"/>
        <w:rPr>
          <w:rFonts w:hint="eastAsia" w:ascii="宋体" w:hAnsi="宋体" w:eastAsia="宋体" w:cs="宋体"/>
          <w:b/>
          <w:bCs/>
          <w:color w:val="auto"/>
          <w:sz w:val="24"/>
          <w:szCs w:val="24"/>
          <w:lang w:val="en-US" w:eastAsia="zh-CN"/>
        </w:rPr>
      </w:pPr>
    </w:p>
    <w:p w14:paraId="46256AB0">
      <w:pPr>
        <w:spacing w:line="480" w:lineRule="auto"/>
        <w:ind w:firstLine="488" w:firstLineChars="200"/>
        <w:jc w:val="left"/>
        <w:rPr>
          <w:rFonts w:hint="eastAsia" w:ascii="宋体" w:hAnsi="宋体" w:eastAsia="宋体" w:cs="宋体"/>
          <w:b/>
          <w:bCs/>
          <w:i w:val="0"/>
          <w:iCs/>
          <w:color w:val="auto"/>
          <w:sz w:val="24"/>
          <w:szCs w:val="24"/>
        </w:rPr>
      </w:pPr>
      <w:r>
        <w:rPr>
          <w:rFonts w:hint="eastAsia" w:ascii="宋体" w:hAnsi="宋体" w:eastAsia="宋体" w:cs="宋体"/>
          <w:b/>
          <w:bCs/>
          <w:color w:val="auto"/>
          <w:sz w:val="24"/>
          <w:szCs w:val="24"/>
          <w:lang w:val="en-US" w:eastAsia="zh-CN"/>
        </w:rPr>
        <w:t>说明：</w:t>
      </w:r>
      <w:r>
        <w:rPr>
          <w:rFonts w:hint="eastAsia" w:ascii="宋体" w:hAnsi="宋体" w:eastAsia="宋体" w:cs="宋体"/>
          <w:b/>
          <w:bCs/>
          <w:i w:val="0"/>
          <w:iCs/>
          <w:color w:val="auto"/>
          <w:sz w:val="24"/>
          <w:szCs w:val="24"/>
        </w:rPr>
        <w:t>报价包括</w:t>
      </w:r>
      <w:r>
        <w:rPr>
          <w:rFonts w:hint="eastAsia" w:ascii="宋体" w:hAnsi="宋体" w:eastAsia="宋体" w:cs="宋体"/>
          <w:b/>
          <w:bCs/>
          <w:i w:val="0"/>
          <w:iCs/>
          <w:color w:val="auto"/>
          <w:sz w:val="24"/>
          <w:szCs w:val="24"/>
          <w:lang w:eastAsia="zh-CN"/>
        </w:rPr>
        <w:t>：</w:t>
      </w:r>
      <w:r>
        <w:rPr>
          <w:rFonts w:hint="eastAsia" w:ascii="宋体" w:hAnsi="宋体" w:eastAsia="宋体" w:cs="宋体"/>
          <w:b/>
          <w:bCs/>
          <w:i w:val="0"/>
          <w:iCs/>
          <w:color w:val="auto"/>
          <w:sz w:val="24"/>
          <w:szCs w:val="24"/>
          <w:lang w:val="en-US" w:eastAsia="zh-CN"/>
        </w:rPr>
        <w:t>设计、</w:t>
      </w:r>
      <w:r>
        <w:rPr>
          <w:rFonts w:hint="eastAsia" w:ascii="宋体" w:hAnsi="宋体" w:eastAsia="宋体" w:cs="宋体"/>
          <w:b/>
          <w:bCs/>
          <w:i w:val="0"/>
          <w:iCs/>
          <w:color w:val="auto"/>
          <w:sz w:val="24"/>
          <w:szCs w:val="24"/>
        </w:rPr>
        <w:t>施工</w:t>
      </w:r>
      <w:r>
        <w:rPr>
          <w:rFonts w:hint="eastAsia" w:ascii="宋体" w:hAnsi="宋体" w:eastAsia="宋体" w:cs="宋体"/>
          <w:b/>
          <w:bCs/>
          <w:i w:val="0"/>
          <w:iCs/>
          <w:color w:val="auto"/>
          <w:sz w:val="24"/>
          <w:szCs w:val="24"/>
          <w:lang w:val="en-US" w:eastAsia="zh-CN"/>
        </w:rPr>
        <w:t>费用</w:t>
      </w:r>
      <w:r>
        <w:rPr>
          <w:rFonts w:hint="eastAsia" w:ascii="宋体" w:hAnsi="宋体" w:eastAsia="宋体" w:cs="宋体"/>
          <w:b/>
          <w:bCs/>
          <w:i w:val="0"/>
          <w:iCs/>
          <w:color w:val="auto"/>
          <w:sz w:val="24"/>
          <w:szCs w:val="24"/>
        </w:rPr>
        <w:t>。</w:t>
      </w:r>
    </w:p>
    <w:p w14:paraId="0DF6EF1A">
      <w:pPr>
        <w:spacing w:line="480" w:lineRule="auto"/>
        <w:ind w:firstLine="488" w:firstLineChars="200"/>
        <w:jc w:val="left"/>
        <w:rPr>
          <w:rFonts w:hint="eastAsia" w:ascii="宋体" w:hAnsi="宋体" w:eastAsia="宋体" w:cs="宋体"/>
          <w:b/>
          <w:bCs/>
          <w:i w:val="0"/>
          <w:iCs/>
          <w:color w:val="auto"/>
          <w:sz w:val="24"/>
          <w:szCs w:val="24"/>
        </w:rPr>
      </w:pPr>
      <w:r>
        <w:rPr>
          <w:rFonts w:hint="eastAsia" w:ascii="宋体" w:hAnsi="宋体" w:eastAsia="宋体" w:cs="宋体"/>
          <w:b/>
          <w:bCs/>
          <w:i w:val="0"/>
          <w:iCs/>
          <w:color w:val="auto"/>
          <w:sz w:val="24"/>
          <w:szCs w:val="24"/>
        </w:rPr>
        <w:t>根据</w:t>
      </w:r>
      <w:r>
        <w:rPr>
          <w:rFonts w:hint="eastAsia" w:ascii="宋体" w:hAnsi="宋体" w:eastAsia="宋体" w:cs="宋体"/>
          <w:b/>
          <w:bCs/>
          <w:i w:val="0"/>
          <w:iCs/>
          <w:color w:val="auto"/>
          <w:sz w:val="24"/>
          <w:szCs w:val="24"/>
          <w:lang w:val="en-US" w:eastAsia="zh-CN"/>
        </w:rPr>
        <w:t>各个投标单位</w:t>
      </w:r>
      <w:r>
        <w:rPr>
          <w:rFonts w:hint="eastAsia" w:ascii="宋体" w:hAnsi="宋体" w:eastAsia="宋体" w:cs="宋体"/>
          <w:b/>
          <w:bCs/>
          <w:i w:val="0"/>
          <w:iCs/>
          <w:color w:val="auto"/>
          <w:sz w:val="24"/>
          <w:szCs w:val="24"/>
        </w:rPr>
        <w:t>技术条件，结合</w:t>
      </w:r>
      <w:r>
        <w:rPr>
          <w:rFonts w:hint="eastAsia" w:ascii="宋体" w:hAnsi="宋体" w:eastAsia="宋体" w:cs="宋体"/>
          <w:b/>
          <w:bCs/>
          <w:i w:val="0"/>
          <w:iCs/>
          <w:color w:val="auto"/>
          <w:sz w:val="24"/>
          <w:szCs w:val="24"/>
          <w:lang w:val="en-US" w:eastAsia="zh-CN"/>
        </w:rPr>
        <w:t>招标人</w:t>
      </w:r>
      <w:r>
        <w:rPr>
          <w:rFonts w:hint="eastAsia" w:ascii="宋体" w:hAnsi="宋体" w:eastAsia="宋体" w:cs="宋体"/>
          <w:b/>
          <w:bCs/>
          <w:i w:val="0"/>
          <w:iCs/>
          <w:color w:val="auto"/>
          <w:sz w:val="24"/>
          <w:szCs w:val="24"/>
        </w:rPr>
        <w:t>的要求可采用与项目相适合的工程</w:t>
      </w:r>
      <w:r>
        <w:rPr>
          <w:rFonts w:hint="eastAsia" w:ascii="宋体" w:hAnsi="宋体" w:eastAsia="宋体" w:cs="宋体"/>
          <w:b/>
          <w:bCs/>
          <w:i w:val="0"/>
          <w:iCs/>
          <w:color w:val="auto"/>
          <w:sz w:val="24"/>
          <w:szCs w:val="24"/>
          <w:lang w:val="en-US" w:eastAsia="zh-CN"/>
        </w:rPr>
        <w:t>单项</w:t>
      </w:r>
      <w:r>
        <w:rPr>
          <w:rFonts w:hint="eastAsia" w:ascii="宋体" w:hAnsi="宋体" w:eastAsia="宋体" w:cs="宋体"/>
          <w:b/>
          <w:bCs/>
          <w:i w:val="0"/>
          <w:iCs/>
          <w:color w:val="auto"/>
          <w:sz w:val="24"/>
          <w:szCs w:val="24"/>
        </w:rPr>
        <w:t>报价。</w:t>
      </w:r>
    </w:p>
    <w:p w14:paraId="4C0A5A97">
      <w:pPr>
        <w:pStyle w:val="16"/>
        <w:rPr>
          <w:rFonts w:hint="eastAsia" w:ascii="宋体" w:hAnsi="宋体" w:eastAsia="宋体" w:cs="宋体"/>
          <w:color w:val="auto"/>
          <w:sz w:val="24"/>
          <w:szCs w:val="24"/>
          <w:lang w:val="en-US" w:eastAsia="zh-CN"/>
        </w:rPr>
      </w:pPr>
    </w:p>
    <w:p w14:paraId="4051B63C">
      <w:pPr>
        <w:rPr>
          <w:rFonts w:hint="eastAsia" w:ascii="宋体" w:hAnsi="宋体" w:eastAsia="宋体" w:cs="宋体"/>
          <w:color w:val="auto"/>
          <w:sz w:val="24"/>
          <w:szCs w:val="24"/>
          <w:lang w:val="en-US" w:eastAsia="zh-CN"/>
        </w:rPr>
      </w:pPr>
    </w:p>
    <w:p w14:paraId="3261AB3D">
      <w:pPr>
        <w:rPr>
          <w:rFonts w:hint="eastAsia" w:ascii="宋体" w:hAnsi="宋体" w:eastAsia="宋体" w:cs="宋体"/>
          <w:color w:val="auto"/>
          <w:sz w:val="24"/>
          <w:szCs w:val="24"/>
          <w:lang w:val="en-US" w:eastAsia="zh-CN"/>
        </w:rPr>
      </w:pPr>
    </w:p>
    <w:p w14:paraId="2A5118C2">
      <w:pPr>
        <w:rPr>
          <w:rFonts w:hint="eastAsia" w:ascii="宋体" w:hAnsi="宋体" w:eastAsia="宋体" w:cs="宋体"/>
          <w:b/>
          <w:bCs/>
          <w:i w:val="0"/>
          <w:iCs w:val="0"/>
          <w:color w:val="auto"/>
          <w:sz w:val="28"/>
          <w:szCs w:val="28"/>
          <w:lang w:val="en-US" w:eastAsia="zh-CN"/>
        </w:rPr>
      </w:pPr>
      <w:r>
        <w:rPr>
          <w:rFonts w:hint="eastAsia" w:ascii="宋体" w:hAnsi="宋体" w:eastAsia="宋体" w:cs="宋体"/>
          <w:b/>
          <w:bCs/>
          <w:i w:val="0"/>
          <w:iCs w:val="0"/>
          <w:color w:val="auto"/>
          <w:sz w:val="28"/>
          <w:szCs w:val="28"/>
          <w:lang w:val="en-US" w:eastAsia="zh-CN"/>
        </w:rPr>
        <w:br w:type="page"/>
      </w:r>
    </w:p>
    <w:p w14:paraId="5E584054">
      <w:pPr>
        <w:spacing w:line="360" w:lineRule="auto"/>
        <w:ind w:firstLine="484" w:firstLineChars="171"/>
        <w:jc w:val="center"/>
        <w:rPr>
          <w:rFonts w:hint="eastAsia" w:ascii="宋体" w:hAnsi="宋体" w:eastAsia="宋体" w:cs="宋体"/>
          <w:b/>
          <w:bCs/>
          <w:i w:val="0"/>
          <w:iCs w:val="0"/>
          <w:color w:val="auto"/>
          <w:sz w:val="28"/>
          <w:szCs w:val="28"/>
          <w:lang w:val="en-US" w:eastAsia="zh-CN"/>
        </w:rPr>
      </w:pPr>
      <w:r>
        <w:rPr>
          <w:rFonts w:hint="eastAsia" w:ascii="宋体" w:hAnsi="宋体" w:eastAsia="宋体" w:cs="宋体"/>
          <w:b/>
          <w:bCs/>
          <w:i w:val="0"/>
          <w:iCs w:val="0"/>
          <w:color w:val="auto"/>
          <w:sz w:val="28"/>
          <w:szCs w:val="28"/>
          <w:lang w:val="en-US" w:eastAsia="zh-CN"/>
        </w:rPr>
        <w:t>设计分项报价明细表</w:t>
      </w:r>
    </w:p>
    <w:p w14:paraId="08508971">
      <w:pPr>
        <w:bidi w:val="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格式自拟</w:t>
      </w:r>
    </w:p>
    <w:p w14:paraId="6A97F4E0">
      <w:pPr>
        <w:rPr>
          <w:rFonts w:hint="eastAsia" w:ascii="宋体" w:hAnsi="宋体" w:eastAsia="宋体" w:cs="宋体"/>
          <w:color w:val="auto"/>
          <w:lang w:eastAsia="zh-CN"/>
        </w:rPr>
      </w:pPr>
    </w:p>
    <w:p w14:paraId="718D5D6F">
      <w:pPr>
        <w:rPr>
          <w:rFonts w:hint="eastAsia" w:ascii="宋体" w:hAnsi="宋体" w:eastAsia="宋体" w:cs="宋体"/>
          <w:color w:val="auto"/>
          <w:lang w:eastAsia="zh-CN"/>
        </w:rPr>
      </w:pPr>
    </w:p>
    <w:p w14:paraId="35F4639F">
      <w:pPr>
        <w:rPr>
          <w:rFonts w:hint="eastAsia" w:ascii="宋体" w:hAnsi="宋体" w:eastAsia="宋体" w:cs="宋体"/>
          <w:color w:val="auto"/>
          <w:lang w:eastAsia="zh-CN"/>
        </w:rPr>
      </w:pPr>
    </w:p>
    <w:p w14:paraId="2BB4EA51">
      <w:pPr>
        <w:rPr>
          <w:rFonts w:hint="eastAsia" w:ascii="宋体" w:hAnsi="宋体" w:eastAsia="宋体" w:cs="宋体"/>
          <w:color w:val="auto"/>
          <w:lang w:eastAsia="zh-CN"/>
        </w:rPr>
      </w:pPr>
    </w:p>
    <w:p w14:paraId="5892344C">
      <w:pPr>
        <w:rPr>
          <w:rFonts w:hint="eastAsia" w:ascii="宋体" w:hAnsi="宋体" w:eastAsia="宋体" w:cs="宋体"/>
          <w:color w:val="auto"/>
          <w:lang w:eastAsia="zh-CN"/>
        </w:rPr>
      </w:pPr>
    </w:p>
    <w:p w14:paraId="1C0902FA">
      <w:pPr>
        <w:rPr>
          <w:rFonts w:hint="eastAsia" w:ascii="宋体" w:hAnsi="宋体" w:eastAsia="宋体" w:cs="宋体"/>
          <w:color w:val="auto"/>
          <w:lang w:eastAsia="zh-CN"/>
        </w:rPr>
      </w:pPr>
    </w:p>
    <w:p w14:paraId="62DFE13B">
      <w:pPr>
        <w:rPr>
          <w:rFonts w:hint="eastAsia" w:ascii="宋体" w:hAnsi="宋体" w:eastAsia="宋体" w:cs="宋体"/>
          <w:color w:val="auto"/>
          <w:lang w:eastAsia="zh-CN"/>
        </w:rPr>
      </w:pPr>
    </w:p>
    <w:p w14:paraId="6B7CFB56">
      <w:pPr>
        <w:rPr>
          <w:rFonts w:hint="eastAsia" w:ascii="宋体" w:hAnsi="宋体" w:eastAsia="宋体" w:cs="宋体"/>
          <w:color w:val="auto"/>
          <w:lang w:eastAsia="zh-CN"/>
        </w:rPr>
      </w:pPr>
    </w:p>
    <w:p w14:paraId="5F5EC616">
      <w:pPr>
        <w:rPr>
          <w:rFonts w:hint="eastAsia" w:ascii="宋体" w:hAnsi="宋体" w:eastAsia="宋体" w:cs="宋体"/>
          <w:color w:val="auto"/>
          <w:lang w:eastAsia="zh-CN"/>
        </w:rPr>
      </w:pPr>
    </w:p>
    <w:p w14:paraId="651339C6">
      <w:pPr>
        <w:rPr>
          <w:rFonts w:hint="eastAsia" w:ascii="宋体" w:hAnsi="宋体" w:eastAsia="宋体" w:cs="宋体"/>
          <w:color w:val="auto"/>
          <w:lang w:eastAsia="zh-CN"/>
        </w:rPr>
      </w:pPr>
    </w:p>
    <w:p w14:paraId="7C4FF7F6">
      <w:pPr>
        <w:bidi w:val="0"/>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施工分项报价明细表</w:t>
      </w:r>
    </w:p>
    <w:p w14:paraId="23D834E0">
      <w:pPr>
        <w:bidi w:val="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格式自拟</w:t>
      </w:r>
    </w:p>
    <w:p w14:paraId="4B423054">
      <w:pPr>
        <w:bidi w:val="0"/>
        <w:rPr>
          <w:rFonts w:hint="eastAsia" w:ascii="宋体" w:hAnsi="宋体" w:eastAsia="宋体" w:cs="宋体"/>
          <w:color w:val="auto"/>
          <w:lang w:eastAsia="zh-CN"/>
        </w:rPr>
      </w:pPr>
    </w:p>
    <w:p w14:paraId="68A71B46">
      <w:pPr>
        <w:bidi w:val="0"/>
        <w:rPr>
          <w:rFonts w:hint="eastAsia" w:ascii="宋体" w:hAnsi="宋体" w:eastAsia="宋体" w:cs="宋体"/>
          <w:color w:val="auto"/>
          <w:lang w:eastAsia="zh-CN"/>
        </w:rPr>
      </w:pPr>
    </w:p>
    <w:p w14:paraId="74BE38F4">
      <w:pPr>
        <w:bidi w:val="0"/>
        <w:rPr>
          <w:rFonts w:hint="eastAsia" w:ascii="宋体" w:hAnsi="宋体" w:eastAsia="宋体" w:cs="宋体"/>
          <w:color w:val="auto"/>
          <w:lang w:eastAsia="zh-CN"/>
        </w:rPr>
      </w:pPr>
    </w:p>
    <w:p w14:paraId="46388C44">
      <w:pPr>
        <w:bidi w:val="0"/>
        <w:rPr>
          <w:rFonts w:hint="eastAsia" w:ascii="宋体" w:hAnsi="宋体" w:eastAsia="宋体" w:cs="宋体"/>
          <w:color w:val="auto"/>
          <w:lang w:eastAsia="zh-CN"/>
        </w:rPr>
      </w:pPr>
    </w:p>
    <w:p w14:paraId="4B29E92D">
      <w:pPr>
        <w:bidi w:val="0"/>
        <w:rPr>
          <w:rFonts w:hint="eastAsia" w:ascii="宋体" w:hAnsi="宋体" w:eastAsia="宋体" w:cs="宋体"/>
          <w:color w:val="auto"/>
          <w:lang w:eastAsia="zh-CN"/>
        </w:rPr>
      </w:pPr>
    </w:p>
    <w:p w14:paraId="118F3A85">
      <w:pPr>
        <w:bidi w:val="0"/>
        <w:rPr>
          <w:rFonts w:hint="eastAsia" w:ascii="宋体" w:hAnsi="宋体" w:eastAsia="宋体" w:cs="宋体"/>
          <w:color w:val="auto"/>
          <w:lang w:eastAsia="zh-CN"/>
        </w:rPr>
      </w:pPr>
    </w:p>
    <w:p w14:paraId="27570550">
      <w:pPr>
        <w:bidi w:val="0"/>
        <w:rPr>
          <w:rFonts w:hint="eastAsia" w:ascii="宋体" w:hAnsi="宋体" w:eastAsia="宋体" w:cs="宋体"/>
          <w:color w:val="auto"/>
          <w:lang w:eastAsia="zh-CN"/>
        </w:rPr>
      </w:pPr>
    </w:p>
    <w:p w14:paraId="205147B3">
      <w:pPr>
        <w:bidi w:val="0"/>
        <w:rPr>
          <w:rFonts w:hint="eastAsia" w:ascii="宋体" w:hAnsi="宋体" w:eastAsia="宋体" w:cs="宋体"/>
          <w:color w:val="auto"/>
          <w:lang w:eastAsia="zh-CN"/>
        </w:rPr>
      </w:pPr>
    </w:p>
    <w:p w14:paraId="52A75798">
      <w:pPr>
        <w:bidi w:val="0"/>
        <w:rPr>
          <w:rFonts w:hint="eastAsia" w:ascii="宋体" w:hAnsi="宋体" w:eastAsia="宋体" w:cs="宋体"/>
          <w:color w:val="auto"/>
          <w:lang w:eastAsia="zh-CN"/>
        </w:rPr>
      </w:pPr>
    </w:p>
    <w:p w14:paraId="6F2256A6">
      <w:pPr>
        <w:bidi w:val="0"/>
        <w:rPr>
          <w:rFonts w:hint="eastAsia" w:ascii="宋体" w:hAnsi="宋体" w:eastAsia="宋体" w:cs="宋体"/>
          <w:color w:val="auto"/>
          <w:lang w:eastAsia="zh-CN"/>
        </w:rPr>
      </w:pPr>
    </w:p>
    <w:p w14:paraId="653440B8">
      <w:pPr>
        <w:bidi w:val="0"/>
        <w:rPr>
          <w:rFonts w:hint="eastAsia" w:ascii="宋体" w:hAnsi="宋体" w:eastAsia="宋体" w:cs="宋体"/>
          <w:color w:val="auto"/>
          <w:lang w:eastAsia="zh-CN"/>
        </w:rPr>
      </w:pPr>
    </w:p>
    <w:p w14:paraId="64EBCB24">
      <w:pPr>
        <w:bidi w:val="0"/>
        <w:rPr>
          <w:rFonts w:hint="eastAsia" w:ascii="宋体" w:hAnsi="宋体" w:eastAsia="宋体" w:cs="宋体"/>
          <w:color w:val="auto"/>
          <w:lang w:eastAsia="zh-CN"/>
        </w:rPr>
      </w:pPr>
    </w:p>
    <w:p w14:paraId="38014427">
      <w:pPr>
        <w:bidi w:val="0"/>
        <w:rPr>
          <w:rFonts w:hint="eastAsia" w:ascii="宋体" w:hAnsi="宋体" w:eastAsia="宋体" w:cs="宋体"/>
          <w:color w:val="auto"/>
          <w:lang w:eastAsia="zh-CN"/>
        </w:rPr>
      </w:pPr>
    </w:p>
    <w:p w14:paraId="5DB6992F">
      <w:pPr>
        <w:bidi w:val="0"/>
        <w:rPr>
          <w:rFonts w:hint="eastAsia" w:ascii="宋体" w:hAnsi="宋体" w:eastAsia="宋体" w:cs="宋体"/>
          <w:color w:val="auto"/>
          <w:lang w:eastAsia="zh-CN"/>
        </w:rPr>
      </w:pPr>
    </w:p>
    <w:p w14:paraId="4AD78422">
      <w:pPr>
        <w:bidi w:val="0"/>
        <w:rPr>
          <w:rFonts w:hint="eastAsia" w:ascii="宋体" w:hAnsi="宋体" w:eastAsia="宋体" w:cs="宋体"/>
          <w:color w:val="auto"/>
          <w:lang w:eastAsia="zh-CN"/>
        </w:rPr>
      </w:pPr>
    </w:p>
    <w:p w14:paraId="70F01B50">
      <w:pPr>
        <w:bidi w:val="0"/>
        <w:rPr>
          <w:rFonts w:hint="eastAsia" w:ascii="宋体" w:hAnsi="宋体" w:eastAsia="宋体" w:cs="宋体"/>
          <w:color w:val="auto"/>
          <w:lang w:eastAsia="zh-CN"/>
        </w:rPr>
      </w:pPr>
    </w:p>
    <w:p w14:paraId="21638815">
      <w:pPr>
        <w:bidi w:val="0"/>
        <w:rPr>
          <w:rFonts w:hint="eastAsia" w:ascii="宋体" w:hAnsi="宋体" w:eastAsia="宋体" w:cs="宋体"/>
          <w:color w:val="auto"/>
          <w:lang w:eastAsia="zh-CN"/>
        </w:rPr>
      </w:pPr>
    </w:p>
    <w:p w14:paraId="3E140FD7">
      <w:pPr>
        <w:bidi w:val="0"/>
        <w:rPr>
          <w:rFonts w:hint="eastAsia" w:ascii="宋体" w:hAnsi="宋体" w:eastAsia="宋体" w:cs="宋体"/>
          <w:color w:val="auto"/>
          <w:lang w:eastAsia="zh-CN"/>
        </w:rPr>
      </w:pPr>
    </w:p>
    <w:p w14:paraId="676E85CA">
      <w:pPr>
        <w:bidi w:val="0"/>
        <w:rPr>
          <w:rFonts w:hint="eastAsia" w:ascii="宋体" w:hAnsi="宋体" w:eastAsia="宋体" w:cs="宋体"/>
          <w:color w:val="auto"/>
          <w:lang w:eastAsia="zh-CN"/>
        </w:rPr>
      </w:pPr>
    </w:p>
    <w:p w14:paraId="47C8E266">
      <w:pPr>
        <w:bidi w:val="0"/>
        <w:rPr>
          <w:rFonts w:hint="eastAsia" w:ascii="宋体" w:hAnsi="宋体" w:eastAsia="宋体" w:cs="宋体"/>
          <w:color w:val="auto"/>
          <w:lang w:eastAsia="zh-CN"/>
        </w:rPr>
      </w:pPr>
    </w:p>
    <w:p w14:paraId="46403711">
      <w:pPr>
        <w:bidi w:val="0"/>
        <w:rPr>
          <w:rFonts w:hint="eastAsia" w:ascii="宋体" w:hAnsi="宋体" w:eastAsia="宋体" w:cs="宋体"/>
          <w:color w:val="auto"/>
          <w:lang w:eastAsia="zh-CN"/>
        </w:rPr>
      </w:pPr>
    </w:p>
    <w:p w14:paraId="4AEA2291">
      <w:pPr>
        <w:bidi w:val="0"/>
        <w:rPr>
          <w:rFonts w:hint="eastAsia" w:ascii="宋体" w:hAnsi="宋体" w:eastAsia="宋体" w:cs="宋体"/>
          <w:color w:val="auto"/>
          <w:lang w:eastAsia="zh-CN"/>
        </w:rPr>
      </w:pPr>
    </w:p>
    <w:p w14:paraId="5A134E82">
      <w:pPr>
        <w:bidi w:val="0"/>
        <w:rPr>
          <w:rFonts w:hint="eastAsia" w:ascii="宋体" w:hAnsi="宋体" w:eastAsia="宋体" w:cs="宋体"/>
          <w:color w:val="auto"/>
          <w:lang w:eastAsia="zh-CN"/>
        </w:rPr>
      </w:pPr>
    </w:p>
    <w:p w14:paraId="59D3FA8D">
      <w:pPr>
        <w:bidi w:val="0"/>
        <w:rPr>
          <w:rFonts w:hint="eastAsia" w:ascii="宋体" w:hAnsi="宋体" w:eastAsia="宋体" w:cs="宋体"/>
          <w:color w:val="auto"/>
          <w:lang w:eastAsia="zh-CN"/>
        </w:rPr>
      </w:pPr>
    </w:p>
    <w:p w14:paraId="67829809">
      <w:pPr>
        <w:bidi w:val="0"/>
        <w:rPr>
          <w:rFonts w:hint="eastAsia" w:ascii="宋体" w:hAnsi="宋体" w:eastAsia="宋体" w:cs="宋体"/>
          <w:color w:val="auto"/>
          <w:lang w:eastAsia="zh-CN"/>
        </w:rPr>
      </w:pPr>
    </w:p>
    <w:p w14:paraId="5DA2E14E">
      <w:pPr>
        <w:bidi w:val="0"/>
        <w:rPr>
          <w:rFonts w:hint="eastAsia" w:ascii="宋体" w:hAnsi="宋体" w:eastAsia="宋体" w:cs="宋体"/>
          <w:color w:val="auto"/>
          <w:lang w:eastAsia="zh-CN"/>
        </w:rPr>
      </w:pPr>
    </w:p>
    <w:p w14:paraId="70212819">
      <w:pPr>
        <w:bidi w:val="0"/>
        <w:rPr>
          <w:rFonts w:hint="eastAsia" w:ascii="宋体" w:hAnsi="宋体" w:eastAsia="宋体" w:cs="宋体"/>
          <w:color w:val="auto"/>
          <w:lang w:eastAsia="zh-CN"/>
        </w:rPr>
      </w:pPr>
    </w:p>
    <w:p w14:paraId="456D1FB2">
      <w:pPr>
        <w:spacing w:line="360" w:lineRule="auto"/>
        <w:ind w:firstLine="484" w:firstLineChars="171"/>
        <w:jc w:val="center"/>
        <w:rPr>
          <w:rFonts w:hint="eastAsia" w:ascii="宋体" w:hAnsi="宋体" w:eastAsia="宋体" w:cs="宋体"/>
          <w:b/>
          <w:bCs/>
          <w:i w:val="0"/>
          <w:iCs w:val="0"/>
          <w:color w:val="auto"/>
          <w:sz w:val="28"/>
          <w:szCs w:val="28"/>
          <w:lang w:val="en-US" w:eastAsia="zh-CN"/>
        </w:rPr>
      </w:pPr>
      <w:bookmarkStart w:id="461" w:name="_Toc11437"/>
      <w:bookmarkStart w:id="462" w:name="_Toc30201"/>
      <w:bookmarkStart w:id="463" w:name="_Toc29190"/>
      <w:bookmarkStart w:id="464" w:name="_Toc1280"/>
      <w:r>
        <w:rPr>
          <w:rFonts w:hint="eastAsia" w:ascii="宋体" w:hAnsi="宋体" w:eastAsia="宋体" w:cs="宋体"/>
          <w:b/>
          <w:bCs/>
          <w:i w:val="0"/>
          <w:iCs w:val="0"/>
          <w:color w:val="auto"/>
          <w:sz w:val="28"/>
          <w:szCs w:val="28"/>
          <w:lang w:val="en-US" w:eastAsia="zh-CN"/>
        </w:rPr>
        <w:t>六、联合体投标协议书</w:t>
      </w:r>
      <w:bookmarkEnd w:id="461"/>
      <w:bookmarkEnd w:id="462"/>
      <w:bookmarkEnd w:id="463"/>
      <w:bookmarkEnd w:id="464"/>
    </w:p>
    <w:p w14:paraId="1A6FD690">
      <w:pPr>
        <w:keepNext w:val="0"/>
        <w:keepLines w:val="0"/>
        <w:pageBreakBefore w:val="0"/>
        <w:widowControl w:val="0"/>
        <w:kinsoku/>
        <w:wordWrap/>
        <w:overflowPunct/>
        <w:topLinePunct w:val="0"/>
        <w:autoSpaceDE/>
        <w:autoSpaceDN/>
        <w:bidi w:val="0"/>
        <w:adjustRightInd/>
        <w:snapToGrid/>
        <w:spacing w:line="500" w:lineRule="exact"/>
        <w:ind w:firstLine="568" w:firstLineChars="200"/>
        <w:jc w:val="left"/>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（所有成员单位名称）自愿组成</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（联合体名称）联合体，共同参加</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（项目名称）设计、施工总承包投标。现就联合体投标事宜订立如下协议。</w:t>
      </w:r>
    </w:p>
    <w:p w14:paraId="52C0C1E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1、</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（某成员单位名称）为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（联合体名称）牵头人。</w:t>
      </w:r>
    </w:p>
    <w:p w14:paraId="5EF1F5C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EEA1129">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3、联合体将严格按照招标文件的各项要求，递交投标文件，履行合同，并对外承担连带责任。</w:t>
      </w:r>
    </w:p>
    <w:p w14:paraId="7167742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4、联合体各成员单位内部的职责分工如下：</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w:t>
      </w:r>
    </w:p>
    <w:p w14:paraId="49056497">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5、本协议书自签署之日起生效，合同履行完毕后自动失效。</w:t>
      </w:r>
    </w:p>
    <w:p w14:paraId="7666F8B2">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6、本协议书一式份，联合体成员和招标人各执一份。</w:t>
      </w:r>
    </w:p>
    <w:p w14:paraId="6FB932CA">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注：1、本协议书由委托代理人签字的，应附法定代表人的授权委托书。</w:t>
      </w:r>
    </w:p>
    <w:p w14:paraId="5C67F4B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2、如同一企业同时具备设计、施工资格要求，视为一个投标人身份，无需本协议。</w:t>
      </w:r>
    </w:p>
    <w:p w14:paraId="70D09261">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牵头人名称：</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（盖单位章）</w:t>
      </w:r>
    </w:p>
    <w:p w14:paraId="218AA0E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法定代表人或其委托代理人：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（签字盖章）</w:t>
      </w:r>
    </w:p>
    <w:p w14:paraId="308735A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成员一名称：</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（盖单位章）</w:t>
      </w:r>
    </w:p>
    <w:p w14:paraId="0593CFAA">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法定代表人或其委托代理人：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（签字盖章）</w:t>
      </w:r>
    </w:p>
    <w:p w14:paraId="7BF96595">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成员二名称：</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（盖单位章）</w:t>
      </w:r>
    </w:p>
    <w:p w14:paraId="4C6787F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法定代表人或其委托代理人：</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（签字盖章）</w:t>
      </w:r>
    </w:p>
    <w:p w14:paraId="0249108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r>
        <w:rPr>
          <w:rFonts w:hint="eastAsia" w:ascii="宋体" w:hAnsi="宋体" w:cs="宋体"/>
          <w:i w:val="0"/>
          <w:iCs w:val="0"/>
          <w:color w:val="auto"/>
          <w:sz w:val="28"/>
          <w:szCs w:val="28"/>
          <w:lang w:val="en-US" w:eastAsia="zh-CN"/>
        </w:rPr>
        <w:t>……</w:t>
      </w:r>
    </w:p>
    <w:p w14:paraId="068A4AA6">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年</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月</w:t>
      </w:r>
      <w:r>
        <w:rPr>
          <w:rFonts w:hint="eastAsia" w:ascii="宋体" w:hAnsi="宋体" w:eastAsia="宋体" w:cs="宋体"/>
          <w:i w:val="0"/>
          <w:iCs w:val="0"/>
          <w:color w:val="auto"/>
          <w:sz w:val="28"/>
          <w:szCs w:val="28"/>
          <w:u w:val="single"/>
          <w:lang w:val="en-US" w:eastAsia="zh-CN"/>
        </w:rPr>
        <w:t xml:space="preserve">     </w:t>
      </w:r>
      <w:r>
        <w:rPr>
          <w:rFonts w:hint="eastAsia" w:ascii="宋体" w:hAnsi="宋体" w:eastAsia="宋体" w:cs="宋体"/>
          <w:i w:val="0"/>
          <w:iCs w:val="0"/>
          <w:color w:val="auto"/>
          <w:sz w:val="28"/>
          <w:szCs w:val="28"/>
          <w:lang w:val="en-US" w:eastAsia="zh-CN"/>
        </w:rPr>
        <w:t>日</w:t>
      </w:r>
    </w:p>
    <w:p w14:paraId="6F53BA23">
      <w:pPr>
        <w:bidi w:val="0"/>
        <w:spacing w:line="360" w:lineRule="auto"/>
        <w:rPr>
          <w:rFonts w:hint="eastAsia" w:ascii="宋体" w:hAnsi="宋体" w:eastAsia="宋体" w:cs="宋体"/>
          <w:color w:val="auto"/>
          <w:sz w:val="24"/>
          <w:szCs w:val="32"/>
          <w:lang w:eastAsia="zh-CN"/>
        </w:rPr>
      </w:pPr>
      <w:r>
        <w:rPr>
          <w:rFonts w:hint="eastAsia" w:ascii="宋体" w:hAnsi="宋体" w:eastAsia="宋体" w:cs="宋体"/>
          <w:color w:val="auto"/>
          <w:sz w:val="24"/>
          <w:szCs w:val="24"/>
        </w:rPr>
        <w:br w:type="page"/>
      </w:r>
    </w:p>
    <w:p w14:paraId="0876108B">
      <w:pPr>
        <w:spacing w:line="240" w:lineRule="auto"/>
        <w:ind w:firstLine="0" w:firstLineChars="0"/>
        <w:jc w:val="center"/>
        <w:outlineLvl w:val="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七、项目管理机构</w:t>
      </w:r>
    </w:p>
    <w:p w14:paraId="727D2E3A">
      <w:pPr>
        <w:pStyle w:val="4"/>
        <w:numPr>
          <w:ilvl w:val="0"/>
          <w:numId w:val="19"/>
        </w:numPr>
        <w:jc w:val="center"/>
        <w:rPr>
          <w:rFonts w:hint="eastAsia" w:ascii="宋体" w:hAnsi="宋体" w:eastAsia="宋体" w:cs="宋体"/>
          <w:color w:val="auto"/>
          <w:sz w:val="28"/>
          <w:szCs w:val="28"/>
        </w:rPr>
      </w:pPr>
      <w:bookmarkStart w:id="465" w:name="_Toc11157"/>
      <w:bookmarkStart w:id="466" w:name="_Toc6050"/>
      <w:bookmarkStart w:id="467" w:name="_Toc735"/>
      <w:bookmarkStart w:id="468" w:name="_Toc16012"/>
      <w:bookmarkStart w:id="469" w:name="_Toc30791"/>
      <w:bookmarkStart w:id="470" w:name="_Toc22649"/>
      <w:bookmarkStart w:id="471" w:name="_Toc12349"/>
      <w:bookmarkStart w:id="472" w:name="_Toc19005"/>
      <w:bookmarkStart w:id="473" w:name="_Toc30998"/>
      <w:bookmarkStart w:id="474" w:name="_Toc4860"/>
      <w:r>
        <w:rPr>
          <w:rFonts w:hint="eastAsia" w:ascii="宋体" w:hAnsi="宋体" w:eastAsia="宋体" w:cs="宋体"/>
          <w:color w:val="auto"/>
          <w:sz w:val="28"/>
          <w:szCs w:val="28"/>
        </w:rPr>
        <w:t>项目管理机构组成表</w:t>
      </w:r>
      <w:bookmarkEnd w:id="465"/>
      <w:bookmarkEnd w:id="466"/>
      <w:bookmarkEnd w:id="467"/>
      <w:bookmarkEnd w:id="468"/>
      <w:bookmarkEnd w:id="469"/>
      <w:bookmarkEnd w:id="470"/>
      <w:bookmarkEnd w:id="471"/>
      <w:bookmarkEnd w:id="472"/>
      <w:bookmarkEnd w:id="473"/>
      <w:bookmarkEnd w:id="474"/>
    </w:p>
    <w:tbl>
      <w:tblPr>
        <w:tblStyle w:val="18"/>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823"/>
        <w:gridCol w:w="821"/>
        <w:gridCol w:w="1535"/>
        <w:gridCol w:w="890"/>
        <w:gridCol w:w="872"/>
        <w:gridCol w:w="907"/>
        <w:gridCol w:w="1511"/>
        <w:gridCol w:w="940"/>
      </w:tblGrid>
      <w:tr w14:paraId="6F0E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trPr>
        <w:tc>
          <w:tcPr>
            <w:tcW w:w="739" w:type="dxa"/>
            <w:vMerge w:val="restart"/>
            <w:noWrap w:val="0"/>
            <w:vAlign w:val="center"/>
          </w:tcPr>
          <w:p w14:paraId="797BBC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职务</w:t>
            </w:r>
          </w:p>
        </w:tc>
        <w:tc>
          <w:tcPr>
            <w:tcW w:w="823" w:type="dxa"/>
            <w:vMerge w:val="restart"/>
            <w:noWrap w:val="0"/>
            <w:vAlign w:val="center"/>
          </w:tcPr>
          <w:p w14:paraId="0ECDB9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姓名</w:t>
            </w:r>
          </w:p>
        </w:tc>
        <w:tc>
          <w:tcPr>
            <w:tcW w:w="821" w:type="dxa"/>
            <w:vMerge w:val="restart"/>
            <w:noWrap w:val="0"/>
            <w:vAlign w:val="center"/>
          </w:tcPr>
          <w:p w14:paraId="6C50D6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职称</w:t>
            </w:r>
          </w:p>
        </w:tc>
        <w:tc>
          <w:tcPr>
            <w:tcW w:w="5715" w:type="dxa"/>
            <w:gridSpan w:val="5"/>
            <w:noWrap w:val="0"/>
            <w:vAlign w:val="center"/>
          </w:tcPr>
          <w:p w14:paraId="531B0EF2">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执业或职业资格证明</w:t>
            </w:r>
          </w:p>
        </w:tc>
        <w:tc>
          <w:tcPr>
            <w:tcW w:w="940" w:type="dxa"/>
            <w:noWrap w:val="0"/>
            <w:vAlign w:val="center"/>
          </w:tcPr>
          <w:p w14:paraId="0D772E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备注</w:t>
            </w:r>
          </w:p>
        </w:tc>
      </w:tr>
      <w:tr w14:paraId="77922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2" w:hRule="atLeast"/>
        </w:trPr>
        <w:tc>
          <w:tcPr>
            <w:tcW w:w="739" w:type="dxa"/>
            <w:vMerge w:val="continue"/>
            <w:noWrap w:val="0"/>
            <w:vAlign w:val="center"/>
          </w:tcPr>
          <w:p w14:paraId="174FDDB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center"/>
              <w:textAlignment w:val="auto"/>
              <w:rPr>
                <w:rFonts w:hint="eastAsia" w:ascii="宋体" w:hAnsi="宋体" w:eastAsia="宋体" w:cs="宋体"/>
                <w:i w:val="0"/>
                <w:iCs w:val="0"/>
                <w:color w:val="auto"/>
                <w:sz w:val="28"/>
                <w:szCs w:val="28"/>
                <w:lang w:val="en-US" w:eastAsia="zh-CN"/>
              </w:rPr>
            </w:pPr>
          </w:p>
        </w:tc>
        <w:tc>
          <w:tcPr>
            <w:tcW w:w="823" w:type="dxa"/>
            <w:vMerge w:val="continue"/>
            <w:noWrap w:val="0"/>
            <w:vAlign w:val="center"/>
          </w:tcPr>
          <w:p w14:paraId="557C28DD">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center"/>
              <w:textAlignment w:val="auto"/>
              <w:rPr>
                <w:rFonts w:hint="eastAsia" w:ascii="宋体" w:hAnsi="宋体" w:eastAsia="宋体" w:cs="宋体"/>
                <w:i w:val="0"/>
                <w:iCs w:val="0"/>
                <w:color w:val="auto"/>
                <w:sz w:val="28"/>
                <w:szCs w:val="28"/>
                <w:lang w:val="en-US" w:eastAsia="zh-CN"/>
              </w:rPr>
            </w:pPr>
          </w:p>
        </w:tc>
        <w:tc>
          <w:tcPr>
            <w:tcW w:w="821" w:type="dxa"/>
            <w:vMerge w:val="continue"/>
            <w:noWrap w:val="0"/>
            <w:vAlign w:val="center"/>
          </w:tcPr>
          <w:p w14:paraId="491380E8">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center"/>
              <w:textAlignment w:val="auto"/>
              <w:rPr>
                <w:rFonts w:hint="eastAsia" w:ascii="宋体" w:hAnsi="宋体" w:eastAsia="宋体" w:cs="宋体"/>
                <w:i w:val="0"/>
                <w:iCs w:val="0"/>
                <w:color w:val="auto"/>
                <w:sz w:val="28"/>
                <w:szCs w:val="28"/>
                <w:lang w:val="en-US" w:eastAsia="zh-CN"/>
              </w:rPr>
            </w:pPr>
          </w:p>
        </w:tc>
        <w:tc>
          <w:tcPr>
            <w:tcW w:w="1535" w:type="dxa"/>
            <w:noWrap w:val="0"/>
            <w:vAlign w:val="center"/>
          </w:tcPr>
          <w:p w14:paraId="5EA616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证书名称</w:t>
            </w:r>
          </w:p>
        </w:tc>
        <w:tc>
          <w:tcPr>
            <w:tcW w:w="890" w:type="dxa"/>
            <w:noWrap w:val="0"/>
            <w:vAlign w:val="center"/>
          </w:tcPr>
          <w:p w14:paraId="05B059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级别</w:t>
            </w:r>
          </w:p>
        </w:tc>
        <w:tc>
          <w:tcPr>
            <w:tcW w:w="872" w:type="dxa"/>
            <w:noWrap w:val="0"/>
            <w:vAlign w:val="center"/>
          </w:tcPr>
          <w:p w14:paraId="19C2CE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证号</w:t>
            </w:r>
          </w:p>
        </w:tc>
        <w:tc>
          <w:tcPr>
            <w:tcW w:w="907" w:type="dxa"/>
            <w:noWrap w:val="0"/>
            <w:vAlign w:val="center"/>
          </w:tcPr>
          <w:p w14:paraId="00327D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专业</w:t>
            </w:r>
          </w:p>
        </w:tc>
        <w:tc>
          <w:tcPr>
            <w:tcW w:w="1511" w:type="dxa"/>
            <w:noWrap w:val="0"/>
            <w:vAlign w:val="center"/>
          </w:tcPr>
          <w:p w14:paraId="275BA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养老保险</w:t>
            </w:r>
          </w:p>
        </w:tc>
        <w:tc>
          <w:tcPr>
            <w:tcW w:w="940" w:type="dxa"/>
            <w:noWrap w:val="0"/>
            <w:vAlign w:val="center"/>
          </w:tcPr>
          <w:p w14:paraId="3E96E1A7">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center"/>
              <w:textAlignment w:val="auto"/>
              <w:rPr>
                <w:rFonts w:hint="eastAsia" w:ascii="宋体" w:hAnsi="宋体" w:eastAsia="宋体" w:cs="宋体"/>
                <w:i w:val="0"/>
                <w:iCs w:val="0"/>
                <w:color w:val="auto"/>
                <w:sz w:val="28"/>
                <w:szCs w:val="28"/>
                <w:lang w:val="en-US" w:eastAsia="zh-CN"/>
              </w:rPr>
            </w:pPr>
          </w:p>
        </w:tc>
      </w:tr>
      <w:tr w14:paraId="16FF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center"/>
          </w:tcPr>
          <w:p w14:paraId="6853A941">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3" w:type="dxa"/>
            <w:noWrap w:val="0"/>
            <w:vAlign w:val="center"/>
          </w:tcPr>
          <w:p w14:paraId="2850D95A">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1" w:type="dxa"/>
            <w:noWrap w:val="0"/>
            <w:vAlign w:val="center"/>
          </w:tcPr>
          <w:p w14:paraId="5E3E9299">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35" w:type="dxa"/>
            <w:noWrap w:val="0"/>
            <w:vAlign w:val="center"/>
          </w:tcPr>
          <w:p w14:paraId="5CE1646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90" w:type="dxa"/>
            <w:noWrap w:val="0"/>
            <w:vAlign w:val="center"/>
          </w:tcPr>
          <w:p w14:paraId="789DBBB9">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72" w:type="dxa"/>
            <w:noWrap w:val="0"/>
            <w:vAlign w:val="center"/>
          </w:tcPr>
          <w:p w14:paraId="60A33BDC">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07" w:type="dxa"/>
            <w:noWrap w:val="0"/>
            <w:vAlign w:val="center"/>
          </w:tcPr>
          <w:p w14:paraId="741E23D5">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11" w:type="dxa"/>
            <w:noWrap w:val="0"/>
            <w:vAlign w:val="center"/>
          </w:tcPr>
          <w:p w14:paraId="72D0981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40" w:type="dxa"/>
            <w:noWrap w:val="0"/>
            <w:vAlign w:val="center"/>
          </w:tcPr>
          <w:p w14:paraId="2D259A4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r>
      <w:tr w14:paraId="1D99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389DEBD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3" w:type="dxa"/>
            <w:noWrap w:val="0"/>
            <w:vAlign w:val="top"/>
          </w:tcPr>
          <w:p w14:paraId="2E5B5A5D">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1" w:type="dxa"/>
            <w:noWrap w:val="0"/>
            <w:vAlign w:val="top"/>
          </w:tcPr>
          <w:p w14:paraId="04BB3A3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35" w:type="dxa"/>
            <w:noWrap w:val="0"/>
            <w:vAlign w:val="top"/>
          </w:tcPr>
          <w:p w14:paraId="5E700B7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90" w:type="dxa"/>
            <w:noWrap w:val="0"/>
            <w:vAlign w:val="top"/>
          </w:tcPr>
          <w:p w14:paraId="4F6BE152">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72" w:type="dxa"/>
            <w:noWrap w:val="0"/>
            <w:vAlign w:val="top"/>
          </w:tcPr>
          <w:p w14:paraId="68137F9A">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07" w:type="dxa"/>
            <w:noWrap w:val="0"/>
            <w:vAlign w:val="top"/>
          </w:tcPr>
          <w:p w14:paraId="7F282E02">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11" w:type="dxa"/>
            <w:noWrap w:val="0"/>
            <w:vAlign w:val="top"/>
          </w:tcPr>
          <w:p w14:paraId="2D339258">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40" w:type="dxa"/>
            <w:noWrap w:val="0"/>
            <w:vAlign w:val="top"/>
          </w:tcPr>
          <w:p w14:paraId="777197E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r>
      <w:tr w14:paraId="2046B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61220E48">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3" w:type="dxa"/>
            <w:noWrap w:val="0"/>
            <w:vAlign w:val="top"/>
          </w:tcPr>
          <w:p w14:paraId="2106E286">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1" w:type="dxa"/>
            <w:noWrap w:val="0"/>
            <w:vAlign w:val="top"/>
          </w:tcPr>
          <w:p w14:paraId="361B8DB4">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35" w:type="dxa"/>
            <w:noWrap w:val="0"/>
            <w:vAlign w:val="top"/>
          </w:tcPr>
          <w:p w14:paraId="57B47E35">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90" w:type="dxa"/>
            <w:noWrap w:val="0"/>
            <w:vAlign w:val="top"/>
          </w:tcPr>
          <w:p w14:paraId="22A3373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72" w:type="dxa"/>
            <w:noWrap w:val="0"/>
            <w:vAlign w:val="top"/>
          </w:tcPr>
          <w:p w14:paraId="4F2823D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07" w:type="dxa"/>
            <w:noWrap w:val="0"/>
            <w:vAlign w:val="top"/>
          </w:tcPr>
          <w:p w14:paraId="4D7C1715">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11" w:type="dxa"/>
            <w:noWrap w:val="0"/>
            <w:vAlign w:val="top"/>
          </w:tcPr>
          <w:p w14:paraId="6F6A84E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40" w:type="dxa"/>
            <w:noWrap w:val="0"/>
            <w:vAlign w:val="top"/>
          </w:tcPr>
          <w:p w14:paraId="2CF8BBE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r>
      <w:tr w14:paraId="702C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08A14EED">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3" w:type="dxa"/>
            <w:noWrap w:val="0"/>
            <w:vAlign w:val="top"/>
          </w:tcPr>
          <w:p w14:paraId="4708F058">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1" w:type="dxa"/>
            <w:noWrap w:val="0"/>
            <w:vAlign w:val="top"/>
          </w:tcPr>
          <w:p w14:paraId="28884D62">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35" w:type="dxa"/>
            <w:noWrap w:val="0"/>
            <w:vAlign w:val="top"/>
          </w:tcPr>
          <w:p w14:paraId="2D479D5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90" w:type="dxa"/>
            <w:noWrap w:val="0"/>
            <w:vAlign w:val="top"/>
          </w:tcPr>
          <w:p w14:paraId="7410D61A">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72" w:type="dxa"/>
            <w:noWrap w:val="0"/>
            <w:vAlign w:val="top"/>
          </w:tcPr>
          <w:p w14:paraId="12857677">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07" w:type="dxa"/>
            <w:noWrap w:val="0"/>
            <w:vAlign w:val="top"/>
          </w:tcPr>
          <w:p w14:paraId="5BB1F47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11" w:type="dxa"/>
            <w:noWrap w:val="0"/>
            <w:vAlign w:val="top"/>
          </w:tcPr>
          <w:p w14:paraId="4A526091">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40" w:type="dxa"/>
            <w:noWrap w:val="0"/>
            <w:vAlign w:val="top"/>
          </w:tcPr>
          <w:p w14:paraId="561B7CC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r>
      <w:tr w14:paraId="3AC4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4A1CEAC5">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3" w:type="dxa"/>
            <w:noWrap w:val="0"/>
            <w:vAlign w:val="top"/>
          </w:tcPr>
          <w:p w14:paraId="2D38F41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1" w:type="dxa"/>
            <w:noWrap w:val="0"/>
            <w:vAlign w:val="top"/>
          </w:tcPr>
          <w:p w14:paraId="1372449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35" w:type="dxa"/>
            <w:noWrap w:val="0"/>
            <w:vAlign w:val="top"/>
          </w:tcPr>
          <w:p w14:paraId="164E3A82">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90" w:type="dxa"/>
            <w:noWrap w:val="0"/>
            <w:vAlign w:val="top"/>
          </w:tcPr>
          <w:p w14:paraId="18C02339">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72" w:type="dxa"/>
            <w:noWrap w:val="0"/>
            <w:vAlign w:val="top"/>
          </w:tcPr>
          <w:p w14:paraId="0DB9BDE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07" w:type="dxa"/>
            <w:noWrap w:val="0"/>
            <w:vAlign w:val="top"/>
          </w:tcPr>
          <w:p w14:paraId="4EB83BF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11" w:type="dxa"/>
            <w:noWrap w:val="0"/>
            <w:vAlign w:val="top"/>
          </w:tcPr>
          <w:p w14:paraId="4EED8111">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40" w:type="dxa"/>
            <w:noWrap w:val="0"/>
            <w:vAlign w:val="top"/>
          </w:tcPr>
          <w:p w14:paraId="7283CC88">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r>
      <w:tr w14:paraId="4FD27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163CE08A">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3" w:type="dxa"/>
            <w:noWrap w:val="0"/>
            <w:vAlign w:val="top"/>
          </w:tcPr>
          <w:p w14:paraId="6A189E4B">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21" w:type="dxa"/>
            <w:noWrap w:val="0"/>
            <w:vAlign w:val="top"/>
          </w:tcPr>
          <w:p w14:paraId="3AE34210">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35" w:type="dxa"/>
            <w:noWrap w:val="0"/>
            <w:vAlign w:val="top"/>
          </w:tcPr>
          <w:p w14:paraId="3F7BB77D">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90" w:type="dxa"/>
            <w:noWrap w:val="0"/>
            <w:vAlign w:val="top"/>
          </w:tcPr>
          <w:p w14:paraId="1B075BEC">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872" w:type="dxa"/>
            <w:noWrap w:val="0"/>
            <w:vAlign w:val="top"/>
          </w:tcPr>
          <w:p w14:paraId="4D72F34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07" w:type="dxa"/>
            <w:noWrap w:val="0"/>
            <w:vAlign w:val="top"/>
          </w:tcPr>
          <w:p w14:paraId="0E72B501">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1511" w:type="dxa"/>
            <w:noWrap w:val="0"/>
            <w:vAlign w:val="top"/>
          </w:tcPr>
          <w:p w14:paraId="29E15A5E">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c>
          <w:tcPr>
            <w:tcW w:w="940" w:type="dxa"/>
            <w:noWrap w:val="0"/>
            <w:vAlign w:val="top"/>
          </w:tcPr>
          <w:p w14:paraId="18376B53">
            <w:pPr>
              <w:keepNext w:val="0"/>
              <w:keepLines w:val="0"/>
              <w:pageBreakBefore w:val="0"/>
              <w:widowControl w:val="0"/>
              <w:kinsoku/>
              <w:wordWrap/>
              <w:overflowPunct/>
              <w:topLinePunct w:val="0"/>
              <w:autoSpaceDE/>
              <w:autoSpaceDN/>
              <w:bidi w:val="0"/>
              <w:adjustRightInd/>
              <w:snapToGrid/>
              <w:spacing w:line="500" w:lineRule="exact"/>
              <w:ind w:firstLine="484" w:firstLineChars="171"/>
              <w:jc w:val="both"/>
              <w:textAlignment w:val="auto"/>
              <w:rPr>
                <w:rFonts w:hint="eastAsia" w:ascii="宋体" w:hAnsi="宋体" w:eastAsia="宋体" w:cs="宋体"/>
                <w:i w:val="0"/>
                <w:iCs w:val="0"/>
                <w:color w:val="auto"/>
                <w:sz w:val="28"/>
                <w:szCs w:val="28"/>
                <w:lang w:val="en-US" w:eastAsia="zh-CN"/>
              </w:rPr>
            </w:pPr>
          </w:p>
        </w:tc>
      </w:tr>
      <w:tr w14:paraId="6933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232C289A">
            <w:pPr>
              <w:spacing w:line="440" w:lineRule="exact"/>
              <w:jc w:val="center"/>
              <w:rPr>
                <w:rFonts w:hint="eastAsia" w:ascii="宋体" w:hAnsi="宋体" w:eastAsia="宋体" w:cs="宋体"/>
                <w:color w:val="auto"/>
                <w:sz w:val="24"/>
                <w:szCs w:val="24"/>
              </w:rPr>
            </w:pPr>
          </w:p>
        </w:tc>
        <w:tc>
          <w:tcPr>
            <w:tcW w:w="823" w:type="dxa"/>
            <w:noWrap w:val="0"/>
            <w:vAlign w:val="top"/>
          </w:tcPr>
          <w:p w14:paraId="08C05454">
            <w:pPr>
              <w:spacing w:line="440" w:lineRule="exact"/>
              <w:jc w:val="center"/>
              <w:rPr>
                <w:rFonts w:hint="eastAsia" w:ascii="宋体" w:hAnsi="宋体" w:eastAsia="宋体" w:cs="宋体"/>
                <w:color w:val="auto"/>
                <w:sz w:val="24"/>
                <w:szCs w:val="24"/>
              </w:rPr>
            </w:pPr>
          </w:p>
        </w:tc>
        <w:tc>
          <w:tcPr>
            <w:tcW w:w="821" w:type="dxa"/>
            <w:noWrap w:val="0"/>
            <w:vAlign w:val="top"/>
          </w:tcPr>
          <w:p w14:paraId="61BD063F">
            <w:pPr>
              <w:spacing w:line="440" w:lineRule="exact"/>
              <w:jc w:val="center"/>
              <w:rPr>
                <w:rFonts w:hint="eastAsia" w:ascii="宋体" w:hAnsi="宋体" w:eastAsia="宋体" w:cs="宋体"/>
                <w:color w:val="auto"/>
                <w:sz w:val="24"/>
                <w:szCs w:val="24"/>
              </w:rPr>
            </w:pPr>
          </w:p>
        </w:tc>
        <w:tc>
          <w:tcPr>
            <w:tcW w:w="1535" w:type="dxa"/>
            <w:noWrap w:val="0"/>
            <w:vAlign w:val="top"/>
          </w:tcPr>
          <w:p w14:paraId="0763E176">
            <w:pPr>
              <w:spacing w:line="440" w:lineRule="exact"/>
              <w:jc w:val="center"/>
              <w:rPr>
                <w:rFonts w:hint="eastAsia" w:ascii="宋体" w:hAnsi="宋体" w:eastAsia="宋体" w:cs="宋体"/>
                <w:color w:val="auto"/>
                <w:sz w:val="24"/>
                <w:szCs w:val="24"/>
              </w:rPr>
            </w:pPr>
          </w:p>
        </w:tc>
        <w:tc>
          <w:tcPr>
            <w:tcW w:w="890" w:type="dxa"/>
            <w:noWrap w:val="0"/>
            <w:vAlign w:val="top"/>
          </w:tcPr>
          <w:p w14:paraId="6340D8DC">
            <w:pPr>
              <w:spacing w:line="440" w:lineRule="exact"/>
              <w:jc w:val="center"/>
              <w:rPr>
                <w:rFonts w:hint="eastAsia" w:ascii="宋体" w:hAnsi="宋体" w:eastAsia="宋体" w:cs="宋体"/>
                <w:color w:val="auto"/>
                <w:sz w:val="24"/>
                <w:szCs w:val="24"/>
              </w:rPr>
            </w:pPr>
          </w:p>
        </w:tc>
        <w:tc>
          <w:tcPr>
            <w:tcW w:w="872" w:type="dxa"/>
            <w:noWrap w:val="0"/>
            <w:vAlign w:val="top"/>
          </w:tcPr>
          <w:p w14:paraId="62D93FB2">
            <w:pPr>
              <w:spacing w:line="440" w:lineRule="exact"/>
              <w:jc w:val="center"/>
              <w:rPr>
                <w:rFonts w:hint="eastAsia" w:ascii="宋体" w:hAnsi="宋体" w:eastAsia="宋体" w:cs="宋体"/>
                <w:color w:val="auto"/>
                <w:sz w:val="24"/>
                <w:szCs w:val="24"/>
              </w:rPr>
            </w:pPr>
          </w:p>
        </w:tc>
        <w:tc>
          <w:tcPr>
            <w:tcW w:w="907" w:type="dxa"/>
            <w:noWrap w:val="0"/>
            <w:vAlign w:val="top"/>
          </w:tcPr>
          <w:p w14:paraId="59BFFB3B">
            <w:pPr>
              <w:spacing w:line="440" w:lineRule="exact"/>
              <w:jc w:val="center"/>
              <w:rPr>
                <w:rFonts w:hint="eastAsia" w:ascii="宋体" w:hAnsi="宋体" w:eastAsia="宋体" w:cs="宋体"/>
                <w:color w:val="auto"/>
                <w:sz w:val="24"/>
                <w:szCs w:val="24"/>
              </w:rPr>
            </w:pPr>
          </w:p>
        </w:tc>
        <w:tc>
          <w:tcPr>
            <w:tcW w:w="1511" w:type="dxa"/>
            <w:noWrap w:val="0"/>
            <w:vAlign w:val="top"/>
          </w:tcPr>
          <w:p w14:paraId="02105178">
            <w:pPr>
              <w:spacing w:line="440" w:lineRule="exact"/>
              <w:jc w:val="center"/>
              <w:rPr>
                <w:rFonts w:hint="eastAsia" w:ascii="宋体" w:hAnsi="宋体" w:eastAsia="宋体" w:cs="宋体"/>
                <w:color w:val="auto"/>
                <w:sz w:val="24"/>
                <w:szCs w:val="24"/>
              </w:rPr>
            </w:pPr>
          </w:p>
        </w:tc>
        <w:tc>
          <w:tcPr>
            <w:tcW w:w="940" w:type="dxa"/>
            <w:noWrap w:val="0"/>
            <w:vAlign w:val="top"/>
          </w:tcPr>
          <w:p w14:paraId="06F6CB91">
            <w:pPr>
              <w:spacing w:line="440" w:lineRule="exact"/>
              <w:jc w:val="center"/>
              <w:rPr>
                <w:rFonts w:hint="eastAsia" w:ascii="宋体" w:hAnsi="宋体" w:eastAsia="宋体" w:cs="宋体"/>
                <w:color w:val="auto"/>
                <w:sz w:val="24"/>
                <w:szCs w:val="24"/>
              </w:rPr>
            </w:pPr>
          </w:p>
        </w:tc>
      </w:tr>
      <w:tr w14:paraId="76017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7E0FF83D">
            <w:pPr>
              <w:spacing w:line="440" w:lineRule="exact"/>
              <w:jc w:val="center"/>
              <w:rPr>
                <w:rFonts w:hint="eastAsia" w:ascii="宋体" w:hAnsi="宋体" w:eastAsia="宋体" w:cs="宋体"/>
                <w:color w:val="auto"/>
                <w:sz w:val="24"/>
                <w:szCs w:val="24"/>
              </w:rPr>
            </w:pPr>
          </w:p>
        </w:tc>
        <w:tc>
          <w:tcPr>
            <w:tcW w:w="823" w:type="dxa"/>
            <w:noWrap w:val="0"/>
            <w:vAlign w:val="top"/>
          </w:tcPr>
          <w:p w14:paraId="40370E94">
            <w:pPr>
              <w:spacing w:line="440" w:lineRule="exact"/>
              <w:jc w:val="center"/>
              <w:rPr>
                <w:rFonts w:hint="eastAsia" w:ascii="宋体" w:hAnsi="宋体" w:eastAsia="宋体" w:cs="宋体"/>
                <w:color w:val="auto"/>
                <w:sz w:val="24"/>
                <w:szCs w:val="24"/>
              </w:rPr>
            </w:pPr>
          </w:p>
        </w:tc>
        <w:tc>
          <w:tcPr>
            <w:tcW w:w="821" w:type="dxa"/>
            <w:noWrap w:val="0"/>
            <w:vAlign w:val="top"/>
          </w:tcPr>
          <w:p w14:paraId="34A76B4F">
            <w:pPr>
              <w:spacing w:line="440" w:lineRule="exact"/>
              <w:jc w:val="center"/>
              <w:rPr>
                <w:rFonts w:hint="eastAsia" w:ascii="宋体" w:hAnsi="宋体" w:eastAsia="宋体" w:cs="宋体"/>
                <w:color w:val="auto"/>
                <w:sz w:val="24"/>
                <w:szCs w:val="24"/>
              </w:rPr>
            </w:pPr>
          </w:p>
        </w:tc>
        <w:tc>
          <w:tcPr>
            <w:tcW w:w="1535" w:type="dxa"/>
            <w:noWrap w:val="0"/>
            <w:vAlign w:val="top"/>
          </w:tcPr>
          <w:p w14:paraId="4D43ED33">
            <w:pPr>
              <w:spacing w:line="440" w:lineRule="exact"/>
              <w:jc w:val="center"/>
              <w:rPr>
                <w:rFonts w:hint="eastAsia" w:ascii="宋体" w:hAnsi="宋体" w:eastAsia="宋体" w:cs="宋体"/>
                <w:color w:val="auto"/>
                <w:sz w:val="24"/>
                <w:szCs w:val="24"/>
              </w:rPr>
            </w:pPr>
          </w:p>
        </w:tc>
        <w:tc>
          <w:tcPr>
            <w:tcW w:w="890" w:type="dxa"/>
            <w:noWrap w:val="0"/>
            <w:vAlign w:val="top"/>
          </w:tcPr>
          <w:p w14:paraId="155D32C2">
            <w:pPr>
              <w:spacing w:line="440" w:lineRule="exact"/>
              <w:jc w:val="center"/>
              <w:rPr>
                <w:rFonts w:hint="eastAsia" w:ascii="宋体" w:hAnsi="宋体" w:eastAsia="宋体" w:cs="宋体"/>
                <w:color w:val="auto"/>
                <w:sz w:val="24"/>
                <w:szCs w:val="24"/>
              </w:rPr>
            </w:pPr>
          </w:p>
        </w:tc>
        <w:tc>
          <w:tcPr>
            <w:tcW w:w="872" w:type="dxa"/>
            <w:noWrap w:val="0"/>
            <w:vAlign w:val="top"/>
          </w:tcPr>
          <w:p w14:paraId="6BB284A2">
            <w:pPr>
              <w:spacing w:line="440" w:lineRule="exact"/>
              <w:jc w:val="center"/>
              <w:rPr>
                <w:rFonts w:hint="eastAsia" w:ascii="宋体" w:hAnsi="宋体" w:eastAsia="宋体" w:cs="宋体"/>
                <w:color w:val="auto"/>
                <w:sz w:val="24"/>
                <w:szCs w:val="24"/>
              </w:rPr>
            </w:pPr>
          </w:p>
        </w:tc>
        <w:tc>
          <w:tcPr>
            <w:tcW w:w="907" w:type="dxa"/>
            <w:noWrap w:val="0"/>
            <w:vAlign w:val="top"/>
          </w:tcPr>
          <w:p w14:paraId="38C1DA53">
            <w:pPr>
              <w:spacing w:line="440" w:lineRule="exact"/>
              <w:jc w:val="center"/>
              <w:rPr>
                <w:rFonts w:hint="eastAsia" w:ascii="宋体" w:hAnsi="宋体" w:eastAsia="宋体" w:cs="宋体"/>
                <w:color w:val="auto"/>
                <w:sz w:val="24"/>
                <w:szCs w:val="24"/>
              </w:rPr>
            </w:pPr>
          </w:p>
        </w:tc>
        <w:tc>
          <w:tcPr>
            <w:tcW w:w="1511" w:type="dxa"/>
            <w:noWrap w:val="0"/>
            <w:vAlign w:val="top"/>
          </w:tcPr>
          <w:p w14:paraId="4E0EE822">
            <w:pPr>
              <w:spacing w:line="440" w:lineRule="exact"/>
              <w:jc w:val="center"/>
              <w:rPr>
                <w:rFonts w:hint="eastAsia" w:ascii="宋体" w:hAnsi="宋体" w:eastAsia="宋体" w:cs="宋体"/>
                <w:color w:val="auto"/>
                <w:sz w:val="24"/>
                <w:szCs w:val="24"/>
              </w:rPr>
            </w:pPr>
          </w:p>
        </w:tc>
        <w:tc>
          <w:tcPr>
            <w:tcW w:w="940" w:type="dxa"/>
            <w:noWrap w:val="0"/>
            <w:vAlign w:val="top"/>
          </w:tcPr>
          <w:p w14:paraId="3D240BA7">
            <w:pPr>
              <w:spacing w:line="440" w:lineRule="exact"/>
              <w:jc w:val="center"/>
              <w:rPr>
                <w:rFonts w:hint="eastAsia" w:ascii="宋体" w:hAnsi="宋体" w:eastAsia="宋体" w:cs="宋体"/>
                <w:color w:val="auto"/>
                <w:sz w:val="24"/>
                <w:szCs w:val="24"/>
              </w:rPr>
            </w:pPr>
          </w:p>
        </w:tc>
      </w:tr>
      <w:tr w14:paraId="1F18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noWrap w:val="0"/>
            <w:vAlign w:val="top"/>
          </w:tcPr>
          <w:p w14:paraId="3ED79016">
            <w:pPr>
              <w:spacing w:line="440" w:lineRule="exact"/>
              <w:jc w:val="center"/>
              <w:rPr>
                <w:rFonts w:hint="eastAsia" w:ascii="宋体" w:hAnsi="宋体" w:eastAsia="宋体" w:cs="宋体"/>
                <w:color w:val="auto"/>
                <w:sz w:val="24"/>
                <w:szCs w:val="24"/>
              </w:rPr>
            </w:pPr>
          </w:p>
        </w:tc>
        <w:tc>
          <w:tcPr>
            <w:tcW w:w="823" w:type="dxa"/>
            <w:noWrap w:val="0"/>
            <w:vAlign w:val="top"/>
          </w:tcPr>
          <w:p w14:paraId="4D9035BD">
            <w:pPr>
              <w:spacing w:line="440" w:lineRule="exact"/>
              <w:jc w:val="center"/>
              <w:rPr>
                <w:rFonts w:hint="eastAsia" w:ascii="宋体" w:hAnsi="宋体" w:eastAsia="宋体" w:cs="宋体"/>
                <w:color w:val="auto"/>
                <w:sz w:val="24"/>
                <w:szCs w:val="24"/>
              </w:rPr>
            </w:pPr>
          </w:p>
        </w:tc>
        <w:tc>
          <w:tcPr>
            <w:tcW w:w="821" w:type="dxa"/>
            <w:noWrap w:val="0"/>
            <w:vAlign w:val="top"/>
          </w:tcPr>
          <w:p w14:paraId="346A6D78">
            <w:pPr>
              <w:spacing w:line="440" w:lineRule="exact"/>
              <w:jc w:val="center"/>
              <w:rPr>
                <w:rFonts w:hint="eastAsia" w:ascii="宋体" w:hAnsi="宋体" w:eastAsia="宋体" w:cs="宋体"/>
                <w:color w:val="auto"/>
                <w:sz w:val="24"/>
                <w:szCs w:val="24"/>
              </w:rPr>
            </w:pPr>
          </w:p>
        </w:tc>
        <w:tc>
          <w:tcPr>
            <w:tcW w:w="1535" w:type="dxa"/>
            <w:noWrap w:val="0"/>
            <w:vAlign w:val="top"/>
          </w:tcPr>
          <w:p w14:paraId="3D6BC691">
            <w:pPr>
              <w:spacing w:line="440" w:lineRule="exact"/>
              <w:jc w:val="center"/>
              <w:rPr>
                <w:rFonts w:hint="eastAsia" w:ascii="宋体" w:hAnsi="宋体" w:eastAsia="宋体" w:cs="宋体"/>
                <w:color w:val="auto"/>
                <w:sz w:val="24"/>
                <w:szCs w:val="24"/>
              </w:rPr>
            </w:pPr>
          </w:p>
        </w:tc>
        <w:tc>
          <w:tcPr>
            <w:tcW w:w="890" w:type="dxa"/>
            <w:noWrap w:val="0"/>
            <w:vAlign w:val="top"/>
          </w:tcPr>
          <w:p w14:paraId="2BA3BA7D">
            <w:pPr>
              <w:spacing w:line="440" w:lineRule="exact"/>
              <w:jc w:val="center"/>
              <w:rPr>
                <w:rFonts w:hint="eastAsia" w:ascii="宋体" w:hAnsi="宋体" w:eastAsia="宋体" w:cs="宋体"/>
                <w:color w:val="auto"/>
                <w:sz w:val="24"/>
                <w:szCs w:val="24"/>
              </w:rPr>
            </w:pPr>
          </w:p>
        </w:tc>
        <w:tc>
          <w:tcPr>
            <w:tcW w:w="872" w:type="dxa"/>
            <w:noWrap w:val="0"/>
            <w:vAlign w:val="top"/>
          </w:tcPr>
          <w:p w14:paraId="42DA862C">
            <w:pPr>
              <w:spacing w:line="440" w:lineRule="exact"/>
              <w:jc w:val="center"/>
              <w:rPr>
                <w:rFonts w:hint="eastAsia" w:ascii="宋体" w:hAnsi="宋体" w:eastAsia="宋体" w:cs="宋体"/>
                <w:color w:val="auto"/>
                <w:sz w:val="24"/>
                <w:szCs w:val="24"/>
              </w:rPr>
            </w:pPr>
          </w:p>
        </w:tc>
        <w:tc>
          <w:tcPr>
            <w:tcW w:w="907" w:type="dxa"/>
            <w:noWrap w:val="0"/>
            <w:vAlign w:val="top"/>
          </w:tcPr>
          <w:p w14:paraId="3C65E561">
            <w:pPr>
              <w:spacing w:line="440" w:lineRule="exact"/>
              <w:jc w:val="center"/>
              <w:rPr>
                <w:rFonts w:hint="eastAsia" w:ascii="宋体" w:hAnsi="宋体" w:eastAsia="宋体" w:cs="宋体"/>
                <w:color w:val="auto"/>
                <w:sz w:val="24"/>
                <w:szCs w:val="24"/>
              </w:rPr>
            </w:pPr>
          </w:p>
        </w:tc>
        <w:tc>
          <w:tcPr>
            <w:tcW w:w="1511" w:type="dxa"/>
            <w:noWrap w:val="0"/>
            <w:vAlign w:val="top"/>
          </w:tcPr>
          <w:p w14:paraId="40D2A596">
            <w:pPr>
              <w:spacing w:line="440" w:lineRule="exact"/>
              <w:jc w:val="center"/>
              <w:rPr>
                <w:rFonts w:hint="eastAsia" w:ascii="宋体" w:hAnsi="宋体" w:eastAsia="宋体" w:cs="宋体"/>
                <w:color w:val="auto"/>
                <w:sz w:val="24"/>
                <w:szCs w:val="24"/>
              </w:rPr>
            </w:pPr>
          </w:p>
        </w:tc>
        <w:tc>
          <w:tcPr>
            <w:tcW w:w="940" w:type="dxa"/>
            <w:noWrap w:val="0"/>
            <w:vAlign w:val="top"/>
          </w:tcPr>
          <w:p w14:paraId="7BFF72A0">
            <w:pPr>
              <w:spacing w:line="440" w:lineRule="exact"/>
              <w:jc w:val="center"/>
              <w:rPr>
                <w:rFonts w:hint="eastAsia" w:ascii="宋体" w:hAnsi="宋体" w:eastAsia="宋体" w:cs="宋体"/>
                <w:color w:val="auto"/>
                <w:sz w:val="24"/>
                <w:szCs w:val="24"/>
              </w:rPr>
            </w:pPr>
          </w:p>
        </w:tc>
      </w:tr>
      <w:tr w14:paraId="741D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tcBorders>
              <w:top w:val="single" w:color="auto" w:sz="4" w:space="0"/>
              <w:left w:val="single" w:color="auto" w:sz="4" w:space="0"/>
              <w:bottom w:val="single" w:color="auto" w:sz="4" w:space="0"/>
              <w:right w:val="single" w:color="auto" w:sz="4" w:space="0"/>
            </w:tcBorders>
            <w:noWrap w:val="0"/>
            <w:vAlign w:val="top"/>
          </w:tcPr>
          <w:p w14:paraId="6FA04AE1">
            <w:pPr>
              <w:spacing w:line="440" w:lineRule="exact"/>
              <w:jc w:val="center"/>
              <w:rPr>
                <w:rFonts w:hint="eastAsia" w:ascii="宋体" w:hAnsi="宋体" w:eastAsia="宋体" w:cs="宋体"/>
                <w:color w:val="auto"/>
                <w:sz w:val="24"/>
                <w:szCs w:val="24"/>
              </w:rPr>
            </w:pPr>
          </w:p>
        </w:tc>
        <w:tc>
          <w:tcPr>
            <w:tcW w:w="823" w:type="dxa"/>
            <w:tcBorders>
              <w:top w:val="single" w:color="auto" w:sz="4" w:space="0"/>
              <w:left w:val="single" w:color="auto" w:sz="4" w:space="0"/>
              <w:bottom w:val="single" w:color="auto" w:sz="4" w:space="0"/>
              <w:right w:val="single" w:color="auto" w:sz="4" w:space="0"/>
            </w:tcBorders>
            <w:noWrap w:val="0"/>
            <w:vAlign w:val="top"/>
          </w:tcPr>
          <w:p w14:paraId="44B9766A">
            <w:pPr>
              <w:spacing w:line="440" w:lineRule="exact"/>
              <w:jc w:val="center"/>
              <w:rPr>
                <w:rFonts w:hint="eastAsia" w:ascii="宋体" w:hAnsi="宋体" w:eastAsia="宋体" w:cs="宋体"/>
                <w:color w:val="auto"/>
                <w:sz w:val="24"/>
                <w:szCs w:val="24"/>
              </w:rPr>
            </w:pPr>
          </w:p>
        </w:tc>
        <w:tc>
          <w:tcPr>
            <w:tcW w:w="821" w:type="dxa"/>
            <w:tcBorders>
              <w:top w:val="single" w:color="auto" w:sz="4" w:space="0"/>
              <w:left w:val="single" w:color="auto" w:sz="4" w:space="0"/>
              <w:bottom w:val="single" w:color="auto" w:sz="4" w:space="0"/>
              <w:right w:val="single" w:color="auto" w:sz="4" w:space="0"/>
            </w:tcBorders>
            <w:noWrap w:val="0"/>
            <w:vAlign w:val="top"/>
          </w:tcPr>
          <w:p w14:paraId="208F3C63">
            <w:pPr>
              <w:spacing w:line="440" w:lineRule="exact"/>
              <w:jc w:val="center"/>
              <w:rPr>
                <w:rFonts w:hint="eastAsia" w:ascii="宋体" w:hAnsi="宋体" w:eastAsia="宋体" w:cs="宋体"/>
                <w:color w:val="auto"/>
                <w:sz w:val="24"/>
                <w:szCs w:val="24"/>
              </w:rPr>
            </w:pPr>
          </w:p>
        </w:tc>
        <w:tc>
          <w:tcPr>
            <w:tcW w:w="1535" w:type="dxa"/>
            <w:tcBorders>
              <w:top w:val="single" w:color="auto" w:sz="4" w:space="0"/>
              <w:left w:val="single" w:color="auto" w:sz="4" w:space="0"/>
              <w:bottom w:val="single" w:color="auto" w:sz="4" w:space="0"/>
              <w:right w:val="single" w:color="auto" w:sz="4" w:space="0"/>
            </w:tcBorders>
            <w:noWrap w:val="0"/>
            <w:vAlign w:val="top"/>
          </w:tcPr>
          <w:p w14:paraId="2284EBDE">
            <w:pPr>
              <w:spacing w:line="440" w:lineRule="exact"/>
              <w:jc w:val="center"/>
              <w:rPr>
                <w:rFonts w:hint="eastAsia" w:ascii="宋体" w:hAnsi="宋体" w:eastAsia="宋体" w:cs="宋体"/>
                <w:color w:val="auto"/>
                <w:sz w:val="24"/>
                <w:szCs w:val="24"/>
              </w:rPr>
            </w:pPr>
          </w:p>
        </w:tc>
        <w:tc>
          <w:tcPr>
            <w:tcW w:w="890" w:type="dxa"/>
            <w:tcBorders>
              <w:top w:val="single" w:color="auto" w:sz="4" w:space="0"/>
              <w:left w:val="single" w:color="auto" w:sz="4" w:space="0"/>
              <w:bottom w:val="single" w:color="auto" w:sz="4" w:space="0"/>
              <w:right w:val="single" w:color="auto" w:sz="4" w:space="0"/>
            </w:tcBorders>
            <w:noWrap w:val="0"/>
            <w:vAlign w:val="top"/>
          </w:tcPr>
          <w:p w14:paraId="56D52242">
            <w:pPr>
              <w:spacing w:line="440" w:lineRule="exact"/>
              <w:jc w:val="center"/>
              <w:rPr>
                <w:rFonts w:hint="eastAsia" w:ascii="宋体" w:hAnsi="宋体" w:eastAsia="宋体" w:cs="宋体"/>
                <w:color w:val="auto"/>
                <w:sz w:val="24"/>
                <w:szCs w:val="24"/>
              </w:rPr>
            </w:pPr>
          </w:p>
        </w:tc>
        <w:tc>
          <w:tcPr>
            <w:tcW w:w="872" w:type="dxa"/>
            <w:tcBorders>
              <w:top w:val="single" w:color="auto" w:sz="4" w:space="0"/>
              <w:left w:val="single" w:color="auto" w:sz="4" w:space="0"/>
              <w:bottom w:val="single" w:color="auto" w:sz="4" w:space="0"/>
              <w:right w:val="single" w:color="auto" w:sz="4" w:space="0"/>
            </w:tcBorders>
            <w:noWrap w:val="0"/>
            <w:vAlign w:val="top"/>
          </w:tcPr>
          <w:p w14:paraId="04CFD644">
            <w:pPr>
              <w:spacing w:line="440" w:lineRule="exact"/>
              <w:jc w:val="center"/>
              <w:rPr>
                <w:rFonts w:hint="eastAsia" w:ascii="宋体" w:hAnsi="宋体" w:eastAsia="宋体" w:cs="宋体"/>
                <w:color w:val="auto"/>
                <w:sz w:val="24"/>
                <w:szCs w:val="24"/>
              </w:rPr>
            </w:pPr>
          </w:p>
        </w:tc>
        <w:tc>
          <w:tcPr>
            <w:tcW w:w="907" w:type="dxa"/>
            <w:tcBorders>
              <w:top w:val="single" w:color="auto" w:sz="4" w:space="0"/>
              <w:left w:val="single" w:color="auto" w:sz="4" w:space="0"/>
              <w:bottom w:val="single" w:color="auto" w:sz="4" w:space="0"/>
              <w:right w:val="single" w:color="auto" w:sz="4" w:space="0"/>
            </w:tcBorders>
            <w:noWrap w:val="0"/>
            <w:vAlign w:val="top"/>
          </w:tcPr>
          <w:p w14:paraId="7AB6F31A">
            <w:pPr>
              <w:spacing w:line="440" w:lineRule="exact"/>
              <w:jc w:val="center"/>
              <w:rPr>
                <w:rFonts w:hint="eastAsia" w:ascii="宋体" w:hAnsi="宋体" w:eastAsia="宋体" w:cs="宋体"/>
                <w:color w:val="auto"/>
                <w:sz w:val="24"/>
                <w:szCs w:val="24"/>
              </w:rPr>
            </w:pPr>
          </w:p>
        </w:tc>
        <w:tc>
          <w:tcPr>
            <w:tcW w:w="1511" w:type="dxa"/>
            <w:tcBorders>
              <w:top w:val="single" w:color="auto" w:sz="4" w:space="0"/>
              <w:left w:val="single" w:color="auto" w:sz="4" w:space="0"/>
              <w:bottom w:val="single" w:color="auto" w:sz="4" w:space="0"/>
              <w:right w:val="single" w:color="auto" w:sz="4" w:space="0"/>
            </w:tcBorders>
            <w:noWrap w:val="0"/>
            <w:vAlign w:val="top"/>
          </w:tcPr>
          <w:p w14:paraId="39D9B153">
            <w:pPr>
              <w:spacing w:line="440" w:lineRule="exact"/>
              <w:jc w:val="center"/>
              <w:rPr>
                <w:rFonts w:hint="eastAsia" w:ascii="宋体" w:hAnsi="宋体" w:eastAsia="宋体" w:cs="宋体"/>
                <w:color w:val="auto"/>
                <w:sz w:val="24"/>
                <w:szCs w:val="24"/>
              </w:rPr>
            </w:pPr>
          </w:p>
        </w:tc>
        <w:tc>
          <w:tcPr>
            <w:tcW w:w="940" w:type="dxa"/>
            <w:tcBorders>
              <w:top w:val="single" w:color="auto" w:sz="4" w:space="0"/>
              <w:left w:val="single" w:color="auto" w:sz="4" w:space="0"/>
              <w:bottom w:val="single" w:color="auto" w:sz="4" w:space="0"/>
              <w:right w:val="single" w:color="auto" w:sz="4" w:space="0"/>
            </w:tcBorders>
            <w:noWrap w:val="0"/>
            <w:vAlign w:val="top"/>
          </w:tcPr>
          <w:p w14:paraId="3F600B7D">
            <w:pPr>
              <w:spacing w:line="440" w:lineRule="exact"/>
              <w:jc w:val="center"/>
              <w:rPr>
                <w:rFonts w:hint="eastAsia" w:ascii="宋体" w:hAnsi="宋体" w:eastAsia="宋体" w:cs="宋体"/>
                <w:color w:val="auto"/>
                <w:sz w:val="24"/>
                <w:szCs w:val="24"/>
              </w:rPr>
            </w:pPr>
          </w:p>
        </w:tc>
      </w:tr>
      <w:tr w14:paraId="5D0AC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39" w:type="dxa"/>
            <w:tcBorders>
              <w:top w:val="single" w:color="auto" w:sz="4" w:space="0"/>
              <w:left w:val="single" w:color="auto" w:sz="4" w:space="0"/>
              <w:bottom w:val="single" w:color="auto" w:sz="4" w:space="0"/>
              <w:right w:val="single" w:color="auto" w:sz="4" w:space="0"/>
            </w:tcBorders>
            <w:noWrap w:val="0"/>
            <w:vAlign w:val="top"/>
          </w:tcPr>
          <w:p w14:paraId="1638FE97">
            <w:pPr>
              <w:spacing w:line="440" w:lineRule="exact"/>
              <w:jc w:val="center"/>
              <w:rPr>
                <w:rFonts w:hint="eastAsia" w:ascii="宋体" w:hAnsi="宋体" w:eastAsia="宋体" w:cs="宋体"/>
                <w:color w:val="auto"/>
                <w:sz w:val="24"/>
                <w:szCs w:val="24"/>
              </w:rPr>
            </w:pPr>
          </w:p>
        </w:tc>
        <w:tc>
          <w:tcPr>
            <w:tcW w:w="823" w:type="dxa"/>
            <w:tcBorders>
              <w:top w:val="single" w:color="auto" w:sz="4" w:space="0"/>
              <w:left w:val="single" w:color="auto" w:sz="4" w:space="0"/>
              <w:bottom w:val="single" w:color="auto" w:sz="4" w:space="0"/>
              <w:right w:val="single" w:color="auto" w:sz="4" w:space="0"/>
            </w:tcBorders>
            <w:noWrap w:val="0"/>
            <w:vAlign w:val="top"/>
          </w:tcPr>
          <w:p w14:paraId="4979F59B">
            <w:pPr>
              <w:spacing w:line="440" w:lineRule="exact"/>
              <w:jc w:val="center"/>
              <w:rPr>
                <w:rFonts w:hint="eastAsia" w:ascii="宋体" w:hAnsi="宋体" w:eastAsia="宋体" w:cs="宋体"/>
                <w:color w:val="auto"/>
                <w:sz w:val="24"/>
                <w:szCs w:val="24"/>
              </w:rPr>
            </w:pPr>
          </w:p>
        </w:tc>
        <w:tc>
          <w:tcPr>
            <w:tcW w:w="821" w:type="dxa"/>
            <w:tcBorders>
              <w:top w:val="single" w:color="auto" w:sz="4" w:space="0"/>
              <w:left w:val="single" w:color="auto" w:sz="4" w:space="0"/>
              <w:bottom w:val="single" w:color="auto" w:sz="4" w:space="0"/>
              <w:right w:val="single" w:color="auto" w:sz="4" w:space="0"/>
            </w:tcBorders>
            <w:noWrap w:val="0"/>
            <w:vAlign w:val="top"/>
          </w:tcPr>
          <w:p w14:paraId="611C5689">
            <w:pPr>
              <w:spacing w:line="440" w:lineRule="exact"/>
              <w:jc w:val="center"/>
              <w:rPr>
                <w:rFonts w:hint="eastAsia" w:ascii="宋体" w:hAnsi="宋体" w:eastAsia="宋体" w:cs="宋体"/>
                <w:color w:val="auto"/>
                <w:sz w:val="24"/>
                <w:szCs w:val="24"/>
              </w:rPr>
            </w:pPr>
          </w:p>
        </w:tc>
        <w:tc>
          <w:tcPr>
            <w:tcW w:w="1535" w:type="dxa"/>
            <w:tcBorders>
              <w:top w:val="single" w:color="auto" w:sz="4" w:space="0"/>
              <w:left w:val="single" w:color="auto" w:sz="4" w:space="0"/>
              <w:bottom w:val="single" w:color="auto" w:sz="4" w:space="0"/>
              <w:right w:val="single" w:color="auto" w:sz="4" w:space="0"/>
            </w:tcBorders>
            <w:noWrap w:val="0"/>
            <w:vAlign w:val="top"/>
          </w:tcPr>
          <w:p w14:paraId="358C8DA1">
            <w:pPr>
              <w:spacing w:line="440" w:lineRule="exact"/>
              <w:jc w:val="center"/>
              <w:rPr>
                <w:rFonts w:hint="eastAsia" w:ascii="宋体" w:hAnsi="宋体" w:eastAsia="宋体" w:cs="宋体"/>
                <w:color w:val="auto"/>
                <w:sz w:val="24"/>
                <w:szCs w:val="24"/>
              </w:rPr>
            </w:pPr>
          </w:p>
        </w:tc>
        <w:tc>
          <w:tcPr>
            <w:tcW w:w="890" w:type="dxa"/>
            <w:tcBorders>
              <w:top w:val="single" w:color="auto" w:sz="4" w:space="0"/>
              <w:left w:val="single" w:color="auto" w:sz="4" w:space="0"/>
              <w:bottom w:val="single" w:color="auto" w:sz="4" w:space="0"/>
              <w:right w:val="single" w:color="auto" w:sz="4" w:space="0"/>
            </w:tcBorders>
            <w:noWrap w:val="0"/>
            <w:vAlign w:val="top"/>
          </w:tcPr>
          <w:p w14:paraId="0B935B22">
            <w:pPr>
              <w:spacing w:line="440" w:lineRule="exact"/>
              <w:jc w:val="center"/>
              <w:rPr>
                <w:rFonts w:hint="eastAsia" w:ascii="宋体" w:hAnsi="宋体" w:eastAsia="宋体" w:cs="宋体"/>
                <w:color w:val="auto"/>
                <w:sz w:val="24"/>
                <w:szCs w:val="24"/>
              </w:rPr>
            </w:pPr>
          </w:p>
        </w:tc>
        <w:tc>
          <w:tcPr>
            <w:tcW w:w="872" w:type="dxa"/>
            <w:tcBorders>
              <w:top w:val="single" w:color="auto" w:sz="4" w:space="0"/>
              <w:left w:val="single" w:color="auto" w:sz="4" w:space="0"/>
              <w:bottom w:val="single" w:color="auto" w:sz="4" w:space="0"/>
              <w:right w:val="single" w:color="auto" w:sz="4" w:space="0"/>
            </w:tcBorders>
            <w:noWrap w:val="0"/>
            <w:vAlign w:val="top"/>
          </w:tcPr>
          <w:p w14:paraId="257A35F0">
            <w:pPr>
              <w:spacing w:line="440" w:lineRule="exact"/>
              <w:jc w:val="center"/>
              <w:rPr>
                <w:rFonts w:hint="eastAsia" w:ascii="宋体" w:hAnsi="宋体" w:eastAsia="宋体" w:cs="宋体"/>
                <w:color w:val="auto"/>
                <w:sz w:val="24"/>
                <w:szCs w:val="24"/>
              </w:rPr>
            </w:pPr>
          </w:p>
        </w:tc>
        <w:tc>
          <w:tcPr>
            <w:tcW w:w="907" w:type="dxa"/>
            <w:tcBorders>
              <w:top w:val="single" w:color="auto" w:sz="4" w:space="0"/>
              <w:left w:val="single" w:color="auto" w:sz="4" w:space="0"/>
              <w:bottom w:val="single" w:color="auto" w:sz="4" w:space="0"/>
              <w:right w:val="single" w:color="auto" w:sz="4" w:space="0"/>
            </w:tcBorders>
            <w:noWrap w:val="0"/>
            <w:vAlign w:val="top"/>
          </w:tcPr>
          <w:p w14:paraId="3F0B3C44">
            <w:pPr>
              <w:spacing w:line="440" w:lineRule="exact"/>
              <w:jc w:val="center"/>
              <w:rPr>
                <w:rFonts w:hint="eastAsia" w:ascii="宋体" w:hAnsi="宋体" w:eastAsia="宋体" w:cs="宋体"/>
                <w:color w:val="auto"/>
                <w:sz w:val="24"/>
                <w:szCs w:val="24"/>
              </w:rPr>
            </w:pPr>
          </w:p>
        </w:tc>
        <w:tc>
          <w:tcPr>
            <w:tcW w:w="1511" w:type="dxa"/>
            <w:tcBorders>
              <w:top w:val="single" w:color="auto" w:sz="4" w:space="0"/>
              <w:left w:val="single" w:color="auto" w:sz="4" w:space="0"/>
              <w:bottom w:val="single" w:color="auto" w:sz="4" w:space="0"/>
              <w:right w:val="single" w:color="auto" w:sz="4" w:space="0"/>
            </w:tcBorders>
            <w:noWrap w:val="0"/>
            <w:vAlign w:val="top"/>
          </w:tcPr>
          <w:p w14:paraId="2D309FB0">
            <w:pPr>
              <w:spacing w:line="440" w:lineRule="exact"/>
              <w:jc w:val="center"/>
              <w:rPr>
                <w:rFonts w:hint="eastAsia" w:ascii="宋体" w:hAnsi="宋体" w:eastAsia="宋体" w:cs="宋体"/>
                <w:color w:val="auto"/>
                <w:sz w:val="24"/>
                <w:szCs w:val="24"/>
              </w:rPr>
            </w:pPr>
          </w:p>
        </w:tc>
        <w:tc>
          <w:tcPr>
            <w:tcW w:w="940" w:type="dxa"/>
            <w:tcBorders>
              <w:top w:val="single" w:color="auto" w:sz="4" w:space="0"/>
              <w:left w:val="single" w:color="auto" w:sz="4" w:space="0"/>
              <w:bottom w:val="single" w:color="auto" w:sz="4" w:space="0"/>
              <w:right w:val="single" w:color="auto" w:sz="4" w:space="0"/>
            </w:tcBorders>
            <w:noWrap w:val="0"/>
            <w:vAlign w:val="top"/>
          </w:tcPr>
          <w:p w14:paraId="5FE3BE05">
            <w:pPr>
              <w:spacing w:line="440" w:lineRule="exact"/>
              <w:jc w:val="center"/>
              <w:rPr>
                <w:rFonts w:hint="eastAsia" w:ascii="宋体" w:hAnsi="宋体" w:eastAsia="宋体" w:cs="宋体"/>
                <w:color w:val="auto"/>
                <w:sz w:val="24"/>
                <w:szCs w:val="24"/>
              </w:rPr>
            </w:pPr>
          </w:p>
        </w:tc>
      </w:tr>
    </w:tbl>
    <w:p w14:paraId="75EFC339">
      <w:pPr>
        <w:tabs>
          <w:tab w:val="left" w:pos="3209"/>
          <w:tab w:val="center" w:pos="4944"/>
        </w:tabs>
        <w:spacing w:line="240" w:lineRule="auto"/>
        <w:outlineLvl w:val="9"/>
        <w:rPr>
          <w:rFonts w:hint="eastAsia" w:ascii="宋体" w:hAnsi="宋体" w:eastAsia="宋体" w:cs="宋体"/>
          <w:color w:val="auto"/>
          <w:sz w:val="24"/>
          <w:szCs w:val="24"/>
        </w:rPr>
      </w:pPr>
      <w:bookmarkStart w:id="475" w:name="_Toc296602616"/>
      <w:r>
        <w:rPr>
          <w:rFonts w:hint="eastAsia" w:ascii="宋体" w:hAnsi="宋体" w:eastAsia="宋体" w:cs="宋体"/>
          <w:color w:val="auto"/>
          <w:sz w:val="24"/>
          <w:szCs w:val="24"/>
        </w:rPr>
        <w:tab/>
      </w:r>
      <w:r>
        <w:rPr>
          <w:rFonts w:hint="eastAsia" w:ascii="宋体" w:hAnsi="宋体" w:eastAsia="宋体" w:cs="宋体"/>
          <w:color w:val="auto"/>
          <w:sz w:val="24"/>
          <w:szCs w:val="24"/>
        </w:rPr>
        <w:tab/>
      </w:r>
    </w:p>
    <w:p w14:paraId="54D9CE60">
      <w:pPr>
        <w:tabs>
          <w:tab w:val="left" w:pos="3209"/>
          <w:tab w:val="center" w:pos="4944"/>
        </w:tabs>
        <w:spacing w:line="240" w:lineRule="auto"/>
        <w:outlineLvl w:val="9"/>
        <w:rPr>
          <w:rFonts w:hint="eastAsia" w:ascii="宋体" w:hAnsi="宋体" w:eastAsia="宋体" w:cs="宋体"/>
          <w:color w:val="auto"/>
          <w:sz w:val="24"/>
          <w:szCs w:val="24"/>
        </w:rPr>
      </w:pPr>
    </w:p>
    <w:p w14:paraId="4E7CD64F">
      <w:pPr>
        <w:tabs>
          <w:tab w:val="left" w:pos="3209"/>
          <w:tab w:val="center" w:pos="4944"/>
        </w:tabs>
        <w:spacing w:line="240" w:lineRule="auto"/>
        <w:outlineLvl w:val="9"/>
        <w:rPr>
          <w:rFonts w:hint="eastAsia" w:ascii="宋体" w:hAnsi="宋体" w:eastAsia="宋体" w:cs="宋体"/>
          <w:color w:val="auto"/>
          <w:sz w:val="24"/>
          <w:szCs w:val="24"/>
        </w:rPr>
      </w:pPr>
    </w:p>
    <w:p w14:paraId="256E2962">
      <w:pPr>
        <w:tabs>
          <w:tab w:val="left" w:pos="3209"/>
          <w:tab w:val="center" w:pos="4944"/>
        </w:tabs>
        <w:spacing w:line="240" w:lineRule="auto"/>
        <w:outlineLvl w:val="9"/>
        <w:rPr>
          <w:rFonts w:hint="eastAsia" w:ascii="宋体" w:hAnsi="宋体" w:eastAsia="宋体" w:cs="宋体"/>
          <w:color w:val="auto"/>
          <w:sz w:val="24"/>
          <w:szCs w:val="24"/>
        </w:rPr>
      </w:pPr>
    </w:p>
    <w:p w14:paraId="5381C715">
      <w:pPr>
        <w:tabs>
          <w:tab w:val="left" w:pos="3209"/>
          <w:tab w:val="center" w:pos="4944"/>
        </w:tabs>
        <w:spacing w:line="240" w:lineRule="auto"/>
        <w:outlineLvl w:val="9"/>
        <w:rPr>
          <w:rFonts w:hint="eastAsia" w:ascii="宋体" w:hAnsi="宋体" w:eastAsia="宋体" w:cs="宋体"/>
          <w:color w:val="auto"/>
          <w:sz w:val="24"/>
          <w:szCs w:val="24"/>
        </w:rPr>
      </w:pPr>
    </w:p>
    <w:p w14:paraId="6AC6E0E6">
      <w:pPr>
        <w:tabs>
          <w:tab w:val="left" w:pos="3209"/>
          <w:tab w:val="center" w:pos="4944"/>
        </w:tabs>
        <w:spacing w:line="240" w:lineRule="auto"/>
        <w:outlineLvl w:val="9"/>
        <w:rPr>
          <w:rFonts w:hint="eastAsia" w:ascii="宋体" w:hAnsi="宋体" w:eastAsia="宋体" w:cs="宋体"/>
          <w:color w:val="auto"/>
          <w:sz w:val="24"/>
          <w:szCs w:val="24"/>
        </w:rPr>
      </w:pPr>
    </w:p>
    <w:p w14:paraId="10B819A3">
      <w:pPr>
        <w:pStyle w:val="4"/>
        <w:tabs>
          <w:tab w:val="left" w:pos="3209"/>
          <w:tab w:val="center" w:pos="4944"/>
        </w:tabs>
        <w:spacing w:line="240" w:lineRule="auto"/>
        <w:jc w:val="center"/>
        <w:rPr>
          <w:rFonts w:hint="eastAsia" w:ascii="宋体" w:hAnsi="宋体" w:eastAsia="宋体" w:cs="宋体"/>
          <w:color w:val="auto"/>
          <w:sz w:val="28"/>
          <w:szCs w:val="28"/>
        </w:rPr>
      </w:pPr>
      <w:bookmarkStart w:id="476" w:name="_Toc10660"/>
      <w:bookmarkStart w:id="477" w:name="_Toc20601"/>
      <w:bookmarkStart w:id="478" w:name="_Toc27586"/>
      <w:bookmarkStart w:id="479" w:name="_Toc4287"/>
      <w:bookmarkStart w:id="480" w:name="_Toc27951"/>
      <w:bookmarkStart w:id="481" w:name="_Toc30428"/>
      <w:bookmarkStart w:id="482" w:name="_Toc21255"/>
      <w:bookmarkStart w:id="483" w:name="_Toc9093"/>
      <w:bookmarkStart w:id="484" w:name="_Toc25253"/>
      <w:bookmarkStart w:id="485" w:name="_Toc21845"/>
      <w:r>
        <w:rPr>
          <w:rFonts w:hint="eastAsia" w:ascii="宋体" w:hAnsi="宋体" w:eastAsia="宋体" w:cs="宋体"/>
          <w:color w:val="auto"/>
          <w:sz w:val="28"/>
          <w:szCs w:val="28"/>
        </w:rPr>
        <w:t>（二）主要人员简历表</w:t>
      </w:r>
      <w:bookmarkEnd w:id="475"/>
      <w:bookmarkEnd w:id="476"/>
      <w:bookmarkEnd w:id="477"/>
      <w:bookmarkEnd w:id="478"/>
      <w:bookmarkEnd w:id="479"/>
      <w:bookmarkEnd w:id="480"/>
      <w:bookmarkEnd w:id="481"/>
      <w:bookmarkEnd w:id="482"/>
      <w:bookmarkEnd w:id="483"/>
      <w:bookmarkEnd w:id="484"/>
      <w:bookmarkEnd w:id="485"/>
    </w:p>
    <w:tbl>
      <w:tblPr>
        <w:tblStyle w:val="18"/>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78"/>
        <w:gridCol w:w="765"/>
        <w:gridCol w:w="986"/>
        <w:gridCol w:w="1132"/>
        <w:gridCol w:w="752"/>
        <w:gridCol w:w="1341"/>
        <w:gridCol w:w="171"/>
        <w:gridCol w:w="2270"/>
      </w:tblGrid>
      <w:tr w14:paraId="5F81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365" w:type="dxa"/>
            <w:noWrap w:val="0"/>
            <w:vAlign w:val="center"/>
          </w:tcPr>
          <w:p w14:paraId="1C8E151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姓名</w:t>
            </w:r>
          </w:p>
        </w:tc>
        <w:tc>
          <w:tcPr>
            <w:tcW w:w="1043" w:type="dxa"/>
            <w:gridSpan w:val="2"/>
            <w:noWrap w:val="0"/>
            <w:vAlign w:val="center"/>
          </w:tcPr>
          <w:p w14:paraId="6B41B75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986" w:type="dxa"/>
            <w:noWrap w:val="0"/>
            <w:vAlign w:val="center"/>
          </w:tcPr>
          <w:p w14:paraId="25FED86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年龄</w:t>
            </w:r>
          </w:p>
        </w:tc>
        <w:tc>
          <w:tcPr>
            <w:tcW w:w="1132" w:type="dxa"/>
            <w:noWrap w:val="0"/>
            <w:vAlign w:val="center"/>
          </w:tcPr>
          <w:p w14:paraId="7145F9A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2264" w:type="dxa"/>
            <w:gridSpan w:val="3"/>
            <w:noWrap w:val="0"/>
            <w:vAlign w:val="center"/>
          </w:tcPr>
          <w:p w14:paraId="188237A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学历</w:t>
            </w:r>
          </w:p>
        </w:tc>
        <w:tc>
          <w:tcPr>
            <w:tcW w:w="2270" w:type="dxa"/>
            <w:noWrap w:val="0"/>
            <w:vAlign w:val="center"/>
          </w:tcPr>
          <w:p w14:paraId="387359A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r>
      <w:tr w14:paraId="2ADA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365" w:type="dxa"/>
            <w:noWrap w:val="0"/>
            <w:vAlign w:val="center"/>
          </w:tcPr>
          <w:p w14:paraId="0869983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职称</w:t>
            </w:r>
          </w:p>
        </w:tc>
        <w:tc>
          <w:tcPr>
            <w:tcW w:w="1043" w:type="dxa"/>
            <w:gridSpan w:val="2"/>
            <w:noWrap w:val="0"/>
            <w:vAlign w:val="center"/>
          </w:tcPr>
          <w:p w14:paraId="7C98FEF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986" w:type="dxa"/>
            <w:noWrap w:val="0"/>
            <w:vAlign w:val="center"/>
          </w:tcPr>
          <w:p w14:paraId="312A6FF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职务</w:t>
            </w:r>
          </w:p>
        </w:tc>
        <w:tc>
          <w:tcPr>
            <w:tcW w:w="1132" w:type="dxa"/>
            <w:noWrap w:val="0"/>
            <w:vAlign w:val="center"/>
          </w:tcPr>
          <w:p w14:paraId="6D33C7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2264" w:type="dxa"/>
            <w:gridSpan w:val="3"/>
            <w:noWrap w:val="0"/>
            <w:vAlign w:val="center"/>
          </w:tcPr>
          <w:p w14:paraId="3E0196D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拟在本合同任职</w:t>
            </w:r>
          </w:p>
        </w:tc>
        <w:tc>
          <w:tcPr>
            <w:tcW w:w="2270" w:type="dxa"/>
            <w:noWrap w:val="0"/>
            <w:vAlign w:val="center"/>
          </w:tcPr>
          <w:p w14:paraId="0A2C562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r>
      <w:tr w14:paraId="4B187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365" w:type="dxa"/>
            <w:noWrap w:val="0"/>
            <w:vAlign w:val="center"/>
          </w:tcPr>
          <w:p w14:paraId="3A329E9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毕业学校</w:t>
            </w:r>
          </w:p>
        </w:tc>
        <w:tc>
          <w:tcPr>
            <w:tcW w:w="7695" w:type="dxa"/>
            <w:gridSpan w:val="8"/>
            <w:noWrap w:val="0"/>
            <w:vAlign w:val="top"/>
          </w:tcPr>
          <w:p w14:paraId="2F8159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年毕业于学校专业</w:t>
            </w:r>
          </w:p>
        </w:tc>
      </w:tr>
      <w:tr w14:paraId="6981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60" w:type="dxa"/>
            <w:gridSpan w:val="9"/>
            <w:noWrap w:val="0"/>
            <w:vAlign w:val="center"/>
          </w:tcPr>
          <w:p w14:paraId="632F1E2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主要工作经历</w:t>
            </w:r>
          </w:p>
        </w:tc>
      </w:tr>
      <w:tr w14:paraId="5527E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643" w:type="dxa"/>
            <w:gridSpan w:val="2"/>
            <w:noWrap w:val="0"/>
            <w:vAlign w:val="center"/>
          </w:tcPr>
          <w:p w14:paraId="3814425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时间</w:t>
            </w:r>
          </w:p>
        </w:tc>
        <w:tc>
          <w:tcPr>
            <w:tcW w:w="3635" w:type="dxa"/>
            <w:gridSpan w:val="4"/>
            <w:noWrap w:val="0"/>
            <w:vAlign w:val="center"/>
          </w:tcPr>
          <w:p w14:paraId="7D40D95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参加过的类似项目</w:t>
            </w:r>
          </w:p>
        </w:tc>
        <w:tc>
          <w:tcPr>
            <w:tcW w:w="1341" w:type="dxa"/>
            <w:noWrap w:val="0"/>
            <w:vAlign w:val="center"/>
          </w:tcPr>
          <w:p w14:paraId="23578C4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担任职务</w:t>
            </w:r>
          </w:p>
        </w:tc>
        <w:tc>
          <w:tcPr>
            <w:tcW w:w="2441" w:type="dxa"/>
            <w:gridSpan w:val="2"/>
            <w:noWrap w:val="0"/>
            <w:vAlign w:val="center"/>
          </w:tcPr>
          <w:p w14:paraId="69E0E5C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r>
              <w:rPr>
                <w:rFonts w:hint="eastAsia" w:ascii="宋体" w:hAnsi="宋体" w:eastAsia="宋体" w:cs="宋体"/>
                <w:i w:val="0"/>
                <w:iCs w:val="0"/>
                <w:color w:val="auto"/>
                <w:sz w:val="28"/>
                <w:szCs w:val="28"/>
                <w:lang w:val="en-US" w:eastAsia="zh-CN"/>
              </w:rPr>
              <w:t>发包人及联系电话</w:t>
            </w:r>
          </w:p>
        </w:tc>
      </w:tr>
      <w:tr w14:paraId="4C08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6EC9098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3635" w:type="dxa"/>
            <w:gridSpan w:val="4"/>
            <w:noWrap w:val="0"/>
            <w:vAlign w:val="top"/>
          </w:tcPr>
          <w:p w14:paraId="0224BCF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1341" w:type="dxa"/>
            <w:noWrap w:val="0"/>
            <w:vAlign w:val="top"/>
          </w:tcPr>
          <w:p w14:paraId="6BA1740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c>
          <w:tcPr>
            <w:tcW w:w="2441" w:type="dxa"/>
            <w:gridSpan w:val="2"/>
            <w:noWrap w:val="0"/>
            <w:vAlign w:val="top"/>
          </w:tcPr>
          <w:p w14:paraId="3322BDE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i w:val="0"/>
                <w:iCs w:val="0"/>
                <w:color w:val="auto"/>
                <w:sz w:val="28"/>
                <w:szCs w:val="28"/>
                <w:lang w:val="en-US" w:eastAsia="zh-CN"/>
              </w:rPr>
            </w:pPr>
          </w:p>
        </w:tc>
      </w:tr>
      <w:tr w14:paraId="4E2F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46FEFC2F">
            <w:pPr>
              <w:spacing w:line="440" w:lineRule="exact"/>
              <w:rPr>
                <w:rFonts w:hint="eastAsia" w:ascii="宋体" w:hAnsi="宋体" w:eastAsia="宋体" w:cs="宋体"/>
                <w:color w:val="auto"/>
                <w:sz w:val="24"/>
                <w:szCs w:val="24"/>
              </w:rPr>
            </w:pPr>
          </w:p>
        </w:tc>
        <w:tc>
          <w:tcPr>
            <w:tcW w:w="3635" w:type="dxa"/>
            <w:gridSpan w:val="4"/>
            <w:noWrap w:val="0"/>
            <w:vAlign w:val="top"/>
          </w:tcPr>
          <w:p w14:paraId="4B58A4B5">
            <w:pPr>
              <w:spacing w:line="440" w:lineRule="exact"/>
              <w:rPr>
                <w:rFonts w:hint="eastAsia" w:ascii="宋体" w:hAnsi="宋体" w:eastAsia="宋体" w:cs="宋体"/>
                <w:color w:val="auto"/>
                <w:sz w:val="24"/>
                <w:szCs w:val="24"/>
              </w:rPr>
            </w:pPr>
          </w:p>
        </w:tc>
        <w:tc>
          <w:tcPr>
            <w:tcW w:w="1341" w:type="dxa"/>
            <w:noWrap w:val="0"/>
            <w:vAlign w:val="top"/>
          </w:tcPr>
          <w:p w14:paraId="53673EC3">
            <w:pPr>
              <w:spacing w:line="440" w:lineRule="exact"/>
              <w:rPr>
                <w:rFonts w:hint="eastAsia" w:ascii="宋体" w:hAnsi="宋体" w:eastAsia="宋体" w:cs="宋体"/>
                <w:color w:val="auto"/>
                <w:sz w:val="24"/>
                <w:szCs w:val="24"/>
              </w:rPr>
            </w:pPr>
          </w:p>
        </w:tc>
        <w:tc>
          <w:tcPr>
            <w:tcW w:w="2441" w:type="dxa"/>
            <w:gridSpan w:val="2"/>
            <w:noWrap w:val="0"/>
            <w:vAlign w:val="top"/>
          </w:tcPr>
          <w:p w14:paraId="18EA12D7">
            <w:pPr>
              <w:spacing w:line="440" w:lineRule="exact"/>
              <w:rPr>
                <w:rFonts w:hint="eastAsia" w:ascii="宋体" w:hAnsi="宋体" w:eastAsia="宋体" w:cs="宋体"/>
                <w:color w:val="auto"/>
                <w:sz w:val="24"/>
                <w:szCs w:val="24"/>
              </w:rPr>
            </w:pPr>
          </w:p>
        </w:tc>
      </w:tr>
      <w:tr w14:paraId="4D52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5A0B3A24">
            <w:pPr>
              <w:spacing w:line="440" w:lineRule="exact"/>
              <w:rPr>
                <w:rFonts w:hint="eastAsia" w:ascii="宋体" w:hAnsi="宋体" w:eastAsia="宋体" w:cs="宋体"/>
                <w:color w:val="auto"/>
                <w:sz w:val="24"/>
                <w:szCs w:val="24"/>
              </w:rPr>
            </w:pPr>
          </w:p>
        </w:tc>
        <w:tc>
          <w:tcPr>
            <w:tcW w:w="3635" w:type="dxa"/>
            <w:gridSpan w:val="4"/>
            <w:noWrap w:val="0"/>
            <w:vAlign w:val="top"/>
          </w:tcPr>
          <w:p w14:paraId="3C1D0359">
            <w:pPr>
              <w:spacing w:line="440" w:lineRule="exact"/>
              <w:rPr>
                <w:rFonts w:hint="eastAsia" w:ascii="宋体" w:hAnsi="宋体" w:eastAsia="宋体" w:cs="宋体"/>
                <w:color w:val="auto"/>
                <w:sz w:val="24"/>
                <w:szCs w:val="24"/>
              </w:rPr>
            </w:pPr>
          </w:p>
        </w:tc>
        <w:tc>
          <w:tcPr>
            <w:tcW w:w="1341" w:type="dxa"/>
            <w:noWrap w:val="0"/>
            <w:vAlign w:val="top"/>
          </w:tcPr>
          <w:p w14:paraId="61CB6FA9">
            <w:pPr>
              <w:spacing w:line="440" w:lineRule="exact"/>
              <w:rPr>
                <w:rFonts w:hint="eastAsia" w:ascii="宋体" w:hAnsi="宋体" w:eastAsia="宋体" w:cs="宋体"/>
                <w:color w:val="auto"/>
                <w:sz w:val="24"/>
                <w:szCs w:val="24"/>
              </w:rPr>
            </w:pPr>
          </w:p>
        </w:tc>
        <w:tc>
          <w:tcPr>
            <w:tcW w:w="2441" w:type="dxa"/>
            <w:gridSpan w:val="2"/>
            <w:noWrap w:val="0"/>
            <w:vAlign w:val="top"/>
          </w:tcPr>
          <w:p w14:paraId="1A930B16">
            <w:pPr>
              <w:spacing w:line="440" w:lineRule="exact"/>
              <w:rPr>
                <w:rFonts w:hint="eastAsia" w:ascii="宋体" w:hAnsi="宋体" w:eastAsia="宋体" w:cs="宋体"/>
                <w:color w:val="auto"/>
                <w:sz w:val="24"/>
                <w:szCs w:val="24"/>
              </w:rPr>
            </w:pPr>
          </w:p>
        </w:tc>
      </w:tr>
      <w:tr w14:paraId="2859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25864EAA">
            <w:pPr>
              <w:spacing w:line="440" w:lineRule="exact"/>
              <w:rPr>
                <w:rFonts w:hint="eastAsia" w:ascii="宋体" w:hAnsi="宋体" w:eastAsia="宋体" w:cs="宋体"/>
                <w:color w:val="auto"/>
                <w:sz w:val="24"/>
                <w:szCs w:val="24"/>
              </w:rPr>
            </w:pPr>
          </w:p>
        </w:tc>
        <w:tc>
          <w:tcPr>
            <w:tcW w:w="3635" w:type="dxa"/>
            <w:gridSpan w:val="4"/>
            <w:noWrap w:val="0"/>
            <w:vAlign w:val="top"/>
          </w:tcPr>
          <w:p w14:paraId="2AEF231C">
            <w:pPr>
              <w:spacing w:line="440" w:lineRule="exact"/>
              <w:rPr>
                <w:rFonts w:hint="eastAsia" w:ascii="宋体" w:hAnsi="宋体" w:eastAsia="宋体" w:cs="宋体"/>
                <w:color w:val="auto"/>
                <w:sz w:val="24"/>
                <w:szCs w:val="24"/>
              </w:rPr>
            </w:pPr>
          </w:p>
        </w:tc>
        <w:tc>
          <w:tcPr>
            <w:tcW w:w="1341" w:type="dxa"/>
            <w:noWrap w:val="0"/>
            <w:vAlign w:val="top"/>
          </w:tcPr>
          <w:p w14:paraId="4D12D0D7">
            <w:pPr>
              <w:spacing w:line="440" w:lineRule="exact"/>
              <w:rPr>
                <w:rFonts w:hint="eastAsia" w:ascii="宋体" w:hAnsi="宋体" w:eastAsia="宋体" w:cs="宋体"/>
                <w:color w:val="auto"/>
                <w:sz w:val="24"/>
                <w:szCs w:val="24"/>
              </w:rPr>
            </w:pPr>
          </w:p>
        </w:tc>
        <w:tc>
          <w:tcPr>
            <w:tcW w:w="2441" w:type="dxa"/>
            <w:gridSpan w:val="2"/>
            <w:noWrap w:val="0"/>
            <w:vAlign w:val="top"/>
          </w:tcPr>
          <w:p w14:paraId="3301742C">
            <w:pPr>
              <w:spacing w:line="440" w:lineRule="exact"/>
              <w:rPr>
                <w:rFonts w:hint="eastAsia" w:ascii="宋体" w:hAnsi="宋体" w:eastAsia="宋体" w:cs="宋体"/>
                <w:color w:val="auto"/>
                <w:sz w:val="24"/>
                <w:szCs w:val="24"/>
              </w:rPr>
            </w:pPr>
          </w:p>
        </w:tc>
      </w:tr>
      <w:tr w14:paraId="041C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63297E4D">
            <w:pPr>
              <w:spacing w:line="440" w:lineRule="exact"/>
              <w:rPr>
                <w:rFonts w:hint="eastAsia" w:ascii="宋体" w:hAnsi="宋体" w:eastAsia="宋体" w:cs="宋体"/>
                <w:color w:val="auto"/>
                <w:sz w:val="24"/>
                <w:szCs w:val="24"/>
              </w:rPr>
            </w:pPr>
          </w:p>
        </w:tc>
        <w:tc>
          <w:tcPr>
            <w:tcW w:w="3635" w:type="dxa"/>
            <w:gridSpan w:val="4"/>
            <w:noWrap w:val="0"/>
            <w:vAlign w:val="top"/>
          </w:tcPr>
          <w:p w14:paraId="3F3D88F7">
            <w:pPr>
              <w:spacing w:line="440" w:lineRule="exact"/>
              <w:rPr>
                <w:rFonts w:hint="eastAsia" w:ascii="宋体" w:hAnsi="宋体" w:eastAsia="宋体" w:cs="宋体"/>
                <w:color w:val="auto"/>
                <w:sz w:val="24"/>
                <w:szCs w:val="24"/>
              </w:rPr>
            </w:pPr>
          </w:p>
        </w:tc>
        <w:tc>
          <w:tcPr>
            <w:tcW w:w="1341" w:type="dxa"/>
            <w:noWrap w:val="0"/>
            <w:vAlign w:val="top"/>
          </w:tcPr>
          <w:p w14:paraId="7A2BEE01">
            <w:pPr>
              <w:spacing w:line="440" w:lineRule="exact"/>
              <w:rPr>
                <w:rFonts w:hint="eastAsia" w:ascii="宋体" w:hAnsi="宋体" w:eastAsia="宋体" w:cs="宋体"/>
                <w:color w:val="auto"/>
                <w:sz w:val="24"/>
                <w:szCs w:val="24"/>
              </w:rPr>
            </w:pPr>
          </w:p>
        </w:tc>
        <w:tc>
          <w:tcPr>
            <w:tcW w:w="2441" w:type="dxa"/>
            <w:gridSpan w:val="2"/>
            <w:noWrap w:val="0"/>
            <w:vAlign w:val="top"/>
          </w:tcPr>
          <w:p w14:paraId="3EB2042A">
            <w:pPr>
              <w:spacing w:line="440" w:lineRule="exact"/>
              <w:rPr>
                <w:rFonts w:hint="eastAsia" w:ascii="宋体" w:hAnsi="宋体" w:eastAsia="宋体" w:cs="宋体"/>
                <w:color w:val="auto"/>
                <w:sz w:val="24"/>
                <w:szCs w:val="24"/>
              </w:rPr>
            </w:pPr>
          </w:p>
        </w:tc>
      </w:tr>
      <w:tr w14:paraId="3944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0EF4132E">
            <w:pPr>
              <w:spacing w:line="440" w:lineRule="exact"/>
              <w:rPr>
                <w:rFonts w:hint="eastAsia" w:ascii="宋体" w:hAnsi="宋体" w:eastAsia="宋体" w:cs="宋体"/>
                <w:color w:val="auto"/>
                <w:sz w:val="24"/>
                <w:szCs w:val="24"/>
              </w:rPr>
            </w:pPr>
          </w:p>
        </w:tc>
        <w:tc>
          <w:tcPr>
            <w:tcW w:w="3635" w:type="dxa"/>
            <w:gridSpan w:val="4"/>
            <w:noWrap w:val="0"/>
            <w:vAlign w:val="top"/>
          </w:tcPr>
          <w:p w14:paraId="1A24B1B3">
            <w:pPr>
              <w:spacing w:line="440" w:lineRule="exact"/>
              <w:rPr>
                <w:rFonts w:hint="eastAsia" w:ascii="宋体" w:hAnsi="宋体" w:eastAsia="宋体" w:cs="宋体"/>
                <w:color w:val="auto"/>
                <w:sz w:val="24"/>
                <w:szCs w:val="24"/>
              </w:rPr>
            </w:pPr>
          </w:p>
        </w:tc>
        <w:tc>
          <w:tcPr>
            <w:tcW w:w="1341" w:type="dxa"/>
            <w:noWrap w:val="0"/>
            <w:vAlign w:val="top"/>
          </w:tcPr>
          <w:p w14:paraId="5AE220B2">
            <w:pPr>
              <w:spacing w:line="440" w:lineRule="exact"/>
              <w:rPr>
                <w:rFonts w:hint="eastAsia" w:ascii="宋体" w:hAnsi="宋体" w:eastAsia="宋体" w:cs="宋体"/>
                <w:color w:val="auto"/>
                <w:sz w:val="24"/>
                <w:szCs w:val="24"/>
              </w:rPr>
            </w:pPr>
          </w:p>
        </w:tc>
        <w:tc>
          <w:tcPr>
            <w:tcW w:w="2441" w:type="dxa"/>
            <w:gridSpan w:val="2"/>
            <w:noWrap w:val="0"/>
            <w:vAlign w:val="top"/>
          </w:tcPr>
          <w:p w14:paraId="6DEF1321">
            <w:pPr>
              <w:spacing w:line="440" w:lineRule="exact"/>
              <w:rPr>
                <w:rFonts w:hint="eastAsia" w:ascii="宋体" w:hAnsi="宋体" w:eastAsia="宋体" w:cs="宋体"/>
                <w:color w:val="auto"/>
                <w:sz w:val="24"/>
                <w:szCs w:val="24"/>
              </w:rPr>
            </w:pPr>
          </w:p>
        </w:tc>
      </w:tr>
      <w:tr w14:paraId="75D7B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32F6EE7C">
            <w:pPr>
              <w:spacing w:line="440" w:lineRule="exact"/>
              <w:rPr>
                <w:rFonts w:hint="eastAsia" w:ascii="宋体" w:hAnsi="宋体" w:eastAsia="宋体" w:cs="宋体"/>
                <w:color w:val="auto"/>
                <w:sz w:val="24"/>
                <w:szCs w:val="24"/>
              </w:rPr>
            </w:pPr>
          </w:p>
        </w:tc>
        <w:tc>
          <w:tcPr>
            <w:tcW w:w="3635" w:type="dxa"/>
            <w:gridSpan w:val="4"/>
            <w:noWrap w:val="0"/>
            <w:vAlign w:val="top"/>
          </w:tcPr>
          <w:p w14:paraId="030816C8">
            <w:pPr>
              <w:spacing w:line="440" w:lineRule="exact"/>
              <w:rPr>
                <w:rFonts w:hint="eastAsia" w:ascii="宋体" w:hAnsi="宋体" w:eastAsia="宋体" w:cs="宋体"/>
                <w:color w:val="auto"/>
                <w:sz w:val="24"/>
                <w:szCs w:val="24"/>
              </w:rPr>
            </w:pPr>
          </w:p>
        </w:tc>
        <w:tc>
          <w:tcPr>
            <w:tcW w:w="1341" w:type="dxa"/>
            <w:noWrap w:val="0"/>
            <w:vAlign w:val="top"/>
          </w:tcPr>
          <w:p w14:paraId="70A07199">
            <w:pPr>
              <w:spacing w:line="440" w:lineRule="exact"/>
              <w:rPr>
                <w:rFonts w:hint="eastAsia" w:ascii="宋体" w:hAnsi="宋体" w:eastAsia="宋体" w:cs="宋体"/>
                <w:color w:val="auto"/>
                <w:sz w:val="24"/>
                <w:szCs w:val="24"/>
              </w:rPr>
            </w:pPr>
          </w:p>
        </w:tc>
        <w:tc>
          <w:tcPr>
            <w:tcW w:w="2441" w:type="dxa"/>
            <w:gridSpan w:val="2"/>
            <w:noWrap w:val="0"/>
            <w:vAlign w:val="top"/>
          </w:tcPr>
          <w:p w14:paraId="45B8939C">
            <w:pPr>
              <w:spacing w:line="440" w:lineRule="exact"/>
              <w:rPr>
                <w:rFonts w:hint="eastAsia" w:ascii="宋体" w:hAnsi="宋体" w:eastAsia="宋体" w:cs="宋体"/>
                <w:color w:val="auto"/>
                <w:sz w:val="24"/>
                <w:szCs w:val="24"/>
              </w:rPr>
            </w:pPr>
          </w:p>
        </w:tc>
      </w:tr>
      <w:tr w14:paraId="6477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43" w:type="dxa"/>
            <w:gridSpan w:val="2"/>
            <w:noWrap w:val="0"/>
            <w:vAlign w:val="top"/>
          </w:tcPr>
          <w:p w14:paraId="401B7C0B">
            <w:pPr>
              <w:spacing w:line="440" w:lineRule="exact"/>
              <w:rPr>
                <w:rFonts w:hint="eastAsia" w:ascii="宋体" w:hAnsi="宋体" w:eastAsia="宋体" w:cs="宋体"/>
                <w:color w:val="auto"/>
                <w:sz w:val="24"/>
                <w:szCs w:val="24"/>
              </w:rPr>
            </w:pPr>
          </w:p>
        </w:tc>
        <w:tc>
          <w:tcPr>
            <w:tcW w:w="3635" w:type="dxa"/>
            <w:gridSpan w:val="4"/>
            <w:noWrap w:val="0"/>
            <w:vAlign w:val="top"/>
          </w:tcPr>
          <w:p w14:paraId="474C6FE2">
            <w:pPr>
              <w:spacing w:line="440" w:lineRule="exact"/>
              <w:rPr>
                <w:rFonts w:hint="eastAsia" w:ascii="宋体" w:hAnsi="宋体" w:eastAsia="宋体" w:cs="宋体"/>
                <w:color w:val="auto"/>
                <w:sz w:val="24"/>
                <w:szCs w:val="24"/>
              </w:rPr>
            </w:pPr>
          </w:p>
        </w:tc>
        <w:tc>
          <w:tcPr>
            <w:tcW w:w="1341" w:type="dxa"/>
            <w:noWrap w:val="0"/>
            <w:vAlign w:val="top"/>
          </w:tcPr>
          <w:p w14:paraId="7A77493E">
            <w:pPr>
              <w:spacing w:line="440" w:lineRule="exact"/>
              <w:rPr>
                <w:rFonts w:hint="eastAsia" w:ascii="宋体" w:hAnsi="宋体" w:eastAsia="宋体" w:cs="宋体"/>
                <w:color w:val="auto"/>
                <w:sz w:val="24"/>
                <w:szCs w:val="24"/>
              </w:rPr>
            </w:pPr>
          </w:p>
        </w:tc>
        <w:tc>
          <w:tcPr>
            <w:tcW w:w="2441" w:type="dxa"/>
            <w:gridSpan w:val="2"/>
            <w:noWrap w:val="0"/>
            <w:vAlign w:val="top"/>
          </w:tcPr>
          <w:p w14:paraId="5BD3C131">
            <w:pPr>
              <w:spacing w:line="440" w:lineRule="exact"/>
              <w:rPr>
                <w:rFonts w:hint="eastAsia" w:ascii="宋体" w:hAnsi="宋体" w:eastAsia="宋体" w:cs="宋体"/>
                <w:color w:val="auto"/>
                <w:sz w:val="24"/>
                <w:szCs w:val="24"/>
              </w:rPr>
            </w:pPr>
          </w:p>
        </w:tc>
      </w:tr>
    </w:tbl>
    <w:p w14:paraId="72F6BAFB">
      <w:pPr>
        <w:spacing w:line="240" w:lineRule="auto"/>
        <w:ind w:firstLine="0" w:firstLineChars="0"/>
        <w:jc w:val="center"/>
        <w:outlineLvl w:val="0"/>
        <w:rPr>
          <w:rFonts w:hint="eastAsia" w:ascii="宋体" w:hAnsi="宋体" w:eastAsia="宋体" w:cs="宋体"/>
          <w:color w:val="auto"/>
          <w:sz w:val="28"/>
          <w:szCs w:val="28"/>
          <w:lang w:val="en-US" w:eastAsia="zh-CN"/>
        </w:rPr>
      </w:pPr>
    </w:p>
    <w:p w14:paraId="2298479B">
      <w:pPr>
        <w:spacing w:line="240" w:lineRule="auto"/>
        <w:ind w:firstLine="0" w:firstLineChars="0"/>
        <w:jc w:val="center"/>
        <w:outlineLvl w:val="0"/>
        <w:rPr>
          <w:rFonts w:hint="eastAsia" w:ascii="宋体" w:hAnsi="宋体" w:eastAsia="宋体" w:cs="宋体"/>
          <w:color w:val="auto"/>
          <w:sz w:val="28"/>
          <w:szCs w:val="28"/>
          <w:lang w:val="en-US" w:eastAsia="zh-CN"/>
        </w:rPr>
      </w:pPr>
    </w:p>
    <w:p w14:paraId="0D083212">
      <w:pPr>
        <w:spacing w:line="240" w:lineRule="auto"/>
        <w:ind w:firstLine="0" w:firstLineChars="0"/>
        <w:jc w:val="center"/>
        <w:outlineLvl w:val="0"/>
        <w:rPr>
          <w:rFonts w:hint="eastAsia" w:ascii="宋体" w:hAnsi="宋体" w:eastAsia="宋体" w:cs="宋体"/>
          <w:color w:val="auto"/>
          <w:sz w:val="28"/>
          <w:szCs w:val="28"/>
          <w:lang w:val="en-US" w:eastAsia="zh-CN"/>
        </w:rPr>
      </w:pPr>
    </w:p>
    <w:p w14:paraId="2B3B5D8D">
      <w:pPr>
        <w:spacing w:line="240" w:lineRule="auto"/>
        <w:ind w:firstLine="0" w:firstLineChars="0"/>
        <w:jc w:val="center"/>
        <w:outlineLvl w:val="0"/>
        <w:rPr>
          <w:rFonts w:hint="eastAsia" w:ascii="宋体" w:hAnsi="宋体" w:eastAsia="宋体" w:cs="宋体"/>
          <w:color w:val="auto"/>
          <w:sz w:val="28"/>
          <w:szCs w:val="28"/>
          <w:lang w:val="en-US" w:eastAsia="zh-CN"/>
        </w:rPr>
      </w:pPr>
    </w:p>
    <w:p w14:paraId="1CCBB821">
      <w:pPr>
        <w:spacing w:line="240" w:lineRule="auto"/>
        <w:ind w:firstLine="0" w:firstLineChars="0"/>
        <w:jc w:val="center"/>
        <w:outlineLvl w:val="0"/>
        <w:rPr>
          <w:rFonts w:hint="eastAsia" w:ascii="宋体" w:hAnsi="宋体" w:eastAsia="宋体" w:cs="宋体"/>
          <w:color w:val="auto"/>
          <w:sz w:val="28"/>
          <w:szCs w:val="28"/>
          <w:lang w:val="en-US" w:eastAsia="zh-CN"/>
        </w:rPr>
      </w:pPr>
    </w:p>
    <w:p w14:paraId="1C00A35A">
      <w:pPr>
        <w:spacing w:line="240" w:lineRule="auto"/>
        <w:ind w:firstLine="0" w:firstLineChars="0"/>
        <w:jc w:val="center"/>
        <w:outlineLvl w:val="0"/>
        <w:rPr>
          <w:rFonts w:hint="eastAsia" w:ascii="宋体" w:hAnsi="宋体" w:eastAsia="宋体" w:cs="宋体"/>
          <w:color w:val="auto"/>
          <w:sz w:val="28"/>
          <w:szCs w:val="28"/>
          <w:lang w:val="en-US" w:eastAsia="zh-CN"/>
        </w:rPr>
      </w:pPr>
    </w:p>
    <w:p w14:paraId="46168EEE">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承诺书</w:t>
      </w:r>
    </w:p>
    <w:p w14:paraId="1D5F3222">
      <w:pPr>
        <w:rPr>
          <w:rFonts w:hint="default" w:ascii="宋体" w:hAnsi="宋体" w:eastAsia="宋体" w:cs="宋体"/>
          <w:color w:val="auto"/>
          <w:sz w:val="28"/>
          <w:szCs w:val="28"/>
          <w:u w:val="single"/>
          <w:lang w:val="en-US" w:eastAsia="zh-CN"/>
        </w:rPr>
      </w:pPr>
      <w:r>
        <w:rPr>
          <w:rFonts w:hint="eastAsia" w:ascii="宋体" w:hAnsi="宋体" w:eastAsia="宋体" w:cs="宋体"/>
          <w:color w:val="auto"/>
          <w:sz w:val="28"/>
          <w:szCs w:val="28"/>
        </w:rPr>
        <w:t>（招标人名称）：</w:t>
      </w:r>
      <w:r>
        <w:rPr>
          <w:rFonts w:hint="eastAsia" w:ascii="宋体" w:hAnsi="宋体" w:cs="宋体"/>
          <w:color w:val="auto"/>
          <w:sz w:val="28"/>
          <w:szCs w:val="28"/>
          <w:u w:val="single"/>
          <w:lang w:val="en-US" w:eastAsia="zh-CN"/>
        </w:rPr>
        <w:t xml:space="preserve">            </w:t>
      </w:r>
    </w:p>
    <w:p w14:paraId="77D50AAF">
      <w:pPr>
        <w:keepNext w:val="0"/>
        <w:keepLines w:val="0"/>
        <w:pageBreakBefore w:val="0"/>
        <w:widowControl w:val="0"/>
        <w:kinsoku/>
        <w:wordWrap/>
        <w:overflowPunct/>
        <w:topLinePunct w:val="0"/>
        <w:autoSpaceDE/>
        <w:autoSpaceDN/>
        <w:bidi w:val="0"/>
        <w:adjustRightInd/>
        <w:snapToGrid/>
        <w:spacing w:line="360" w:lineRule="auto"/>
        <w:ind w:firstLine="568"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我方在此声明，我方拟派往</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（项目名称）</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标段（以下简称“本工程”）的</w:t>
      </w:r>
      <w:r>
        <w:rPr>
          <w:rFonts w:hint="eastAsia" w:ascii="宋体" w:hAnsi="宋体" w:cs="宋体"/>
          <w:color w:val="auto"/>
          <w:sz w:val="28"/>
          <w:szCs w:val="28"/>
          <w:lang w:val="en-US" w:eastAsia="zh-CN"/>
        </w:rPr>
        <w:t>项目经理</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（项目</w:t>
      </w:r>
      <w:r>
        <w:rPr>
          <w:rFonts w:hint="eastAsia" w:ascii="宋体" w:hAnsi="宋体" w:cs="宋体"/>
          <w:color w:val="auto"/>
          <w:sz w:val="28"/>
          <w:szCs w:val="28"/>
          <w:lang w:val="en-US" w:eastAsia="zh-CN"/>
        </w:rPr>
        <w:t>经理姓名</w:t>
      </w:r>
      <w:r>
        <w:rPr>
          <w:rFonts w:hint="eastAsia" w:ascii="宋体" w:hAnsi="宋体" w:eastAsia="宋体" w:cs="宋体"/>
          <w:color w:val="auto"/>
          <w:sz w:val="28"/>
          <w:szCs w:val="28"/>
        </w:rPr>
        <w:t>）现阶段没有担任任何在施建设工程</w:t>
      </w:r>
      <w:r>
        <w:rPr>
          <w:rFonts w:hint="eastAsia" w:ascii="宋体" w:hAnsi="宋体" w:eastAsia="宋体" w:cs="宋体"/>
          <w:color w:val="auto"/>
          <w:sz w:val="28"/>
          <w:szCs w:val="28"/>
          <w:lang w:eastAsia="zh-CN"/>
        </w:rPr>
        <w:t>项目。</w:t>
      </w:r>
    </w:p>
    <w:p w14:paraId="1006E236">
      <w:pPr>
        <w:keepNext w:val="0"/>
        <w:keepLines w:val="0"/>
        <w:pageBreakBefore w:val="0"/>
        <w:widowControl w:val="0"/>
        <w:kinsoku/>
        <w:wordWrap/>
        <w:overflowPunct/>
        <w:topLinePunct w:val="0"/>
        <w:autoSpaceDE/>
        <w:autoSpaceDN/>
        <w:bidi w:val="0"/>
        <w:adjustRightInd/>
        <w:snapToGrid/>
        <w:spacing w:line="360" w:lineRule="auto"/>
        <w:ind w:firstLine="568"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我方保证上述信息的真实和准确，并愿意承担因我方就此弄虚作假所引起的一切法律后果。</w:t>
      </w:r>
    </w:p>
    <w:p w14:paraId="593828AA">
      <w:pPr>
        <w:ind w:firstLine="568" w:firstLineChars="200"/>
        <w:rPr>
          <w:rFonts w:hint="eastAsia" w:ascii="宋体" w:hAnsi="宋体" w:eastAsia="宋体" w:cs="宋体"/>
          <w:color w:val="auto"/>
          <w:sz w:val="28"/>
          <w:szCs w:val="28"/>
        </w:rPr>
      </w:pPr>
    </w:p>
    <w:p w14:paraId="2DCDD88B">
      <w:pPr>
        <w:ind w:firstLine="568" w:firstLineChars="200"/>
        <w:rPr>
          <w:rFonts w:hint="eastAsia" w:ascii="宋体" w:hAnsi="宋体" w:eastAsia="宋体" w:cs="宋体"/>
          <w:color w:val="auto"/>
          <w:sz w:val="28"/>
          <w:szCs w:val="28"/>
        </w:rPr>
      </w:pPr>
    </w:p>
    <w:p w14:paraId="12A2ABE7">
      <w:pPr>
        <w:ind w:firstLine="568" w:firstLineChars="200"/>
        <w:rPr>
          <w:rFonts w:hint="eastAsia" w:ascii="宋体" w:hAnsi="宋体" w:eastAsia="宋体" w:cs="宋体"/>
          <w:color w:val="auto"/>
          <w:sz w:val="28"/>
          <w:szCs w:val="28"/>
        </w:rPr>
      </w:pPr>
      <w:r>
        <w:rPr>
          <w:rFonts w:hint="eastAsia" w:ascii="宋体" w:hAnsi="宋体" w:eastAsia="宋体" w:cs="宋体"/>
          <w:color w:val="auto"/>
          <w:sz w:val="28"/>
          <w:szCs w:val="28"/>
        </w:rPr>
        <w:t>特此承诺</w:t>
      </w:r>
    </w:p>
    <w:p w14:paraId="19A0E269">
      <w:pPr>
        <w:ind w:firstLine="488" w:firstLineChars="200"/>
        <w:rPr>
          <w:rFonts w:hint="eastAsia" w:ascii="宋体" w:hAnsi="宋体" w:eastAsia="宋体" w:cs="宋体"/>
          <w:color w:val="auto"/>
          <w:sz w:val="24"/>
          <w:szCs w:val="24"/>
        </w:rPr>
      </w:pPr>
    </w:p>
    <w:p w14:paraId="728E839A">
      <w:pPr>
        <w:rPr>
          <w:rFonts w:hint="eastAsia" w:ascii="宋体" w:hAnsi="宋体" w:eastAsia="宋体" w:cs="宋体"/>
          <w:color w:val="auto"/>
          <w:sz w:val="24"/>
          <w:szCs w:val="24"/>
        </w:rPr>
      </w:pPr>
    </w:p>
    <w:p w14:paraId="52944937">
      <w:pPr>
        <w:ind w:firstLine="488" w:firstLineChars="200"/>
        <w:rPr>
          <w:rFonts w:hint="eastAsia" w:ascii="宋体" w:hAnsi="宋体" w:eastAsia="宋体" w:cs="宋体"/>
          <w:color w:val="auto"/>
          <w:sz w:val="24"/>
          <w:szCs w:val="24"/>
        </w:rPr>
      </w:pPr>
    </w:p>
    <w:p w14:paraId="01C30966">
      <w:pPr>
        <w:keepNext w:val="0"/>
        <w:keepLines w:val="0"/>
        <w:pageBreakBefore w:val="0"/>
        <w:widowControl w:val="0"/>
        <w:kinsoku/>
        <w:wordWrap w:val="0"/>
        <w:overflowPunct/>
        <w:topLinePunct w:val="0"/>
        <w:autoSpaceDE/>
        <w:autoSpaceDN/>
        <w:bidi w:val="0"/>
        <w:adjustRightInd/>
        <w:snapToGrid/>
        <w:spacing w:line="480" w:lineRule="auto"/>
        <w:ind w:firstLine="568" w:firstLineChars="200"/>
        <w:jc w:val="center"/>
        <w:textAlignment w:val="auto"/>
        <w:outlineLvl w:val="1"/>
        <w:rPr>
          <w:rFonts w:hint="eastAsia" w:ascii="宋体" w:hAnsi="宋体" w:eastAsia="宋体" w:cs="宋体"/>
          <w:color w:val="auto"/>
          <w:sz w:val="28"/>
          <w:szCs w:val="28"/>
        </w:rPr>
      </w:pPr>
      <w:bookmarkStart w:id="486" w:name="_Toc24644"/>
      <w:bookmarkStart w:id="487" w:name="_Toc1069"/>
      <w:bookmarkStart w:id="488" w:name="_Toc13491"/>
      <w:bookmarkStart w:id="489" w:name="_Toc10734"/>
      <w:bookmarkStart w:id="490" w:name="_Toc10232"/>
      <w:bookmarkStart w:id="491" w:name="_Toc18975"/>
      <w:bookmarkStart w:id="492" w:name="_Toc21140"/>
      <w:r>
        <w:rPr>
          <w:rFonts w:hint="eastAsia" w:ascii="宋体" w:hAnsi="宋体" w:eastAsia="宋体" w:cs="宋体"/>
          <w:color w:val="auto"/>
          <w:sz w:val="28"/>
          <w:szCs w:val="28"/>
          <w:lang w:eastAsia="zh-CN"/>
        </w:rPr>
        <w:t>投标</w:t>
      </w:r>
      <w:r>
        <w:rPr>
          <w:rFonts w:hint="eastAsia" w:ascii="宋体" w:hAnsi="宋体" w:eastAsia="宋体" w:cs="宋体"/>
          <w:color w:val="auto"/>
          <w:sz w:val="28"/>
          <w:szCs w:val="28"/>
        </w:rPr>
        <w:t>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（盖单位章）</w:t>
      </w:r>
      <w:bookmarkEnd w:id="486"/>
      <w:bookmarkEnd w:id="487"/>
      <w:bookmarkEnd w:id="488"/>
      <w:bookmarkEnd w:id="489"/>
      <w:bookmarkEnd w:id="490"/>
      <w:bookmarkEnd w:id="491"/>
      <w:bookmarkEnd w:id="492"/>
    </w:p>
    <w:p w14:paraId="2C87030F">
      <w:pPr>
        <w:keepNext w:val="0"/>
        <w:keepLines w:val="0"/>
        <w:pageBreakBefore w:val="0"/>
        <w:widowControl w:val="0"/>
        <w:kinsoku/>
        <w:wordWrap w:val="0"/>
        <w:overflowPunct/>
        <w:topLinePunct w:val="0"/>
        <w:autoSpaceDE/>
        <w:autoSpaceDN/>
        <w:bidi w:val="0"/>
        <w:adjustRightInd/>
        <w:snapToGrid/>
        <w:spacing w:line="480" w:lineRule="auto"/>
        <w:ind w:firstLine="568" w:firstLineChars="200"/>
        <w:jc w:val="center"/>
        <w:textAlignment w:val="auto"/>
        <w:outlineLvl w:val="0"/>
        <w:rPr>
          <w:rFonts w:hint="eastAsia" w:ascii="宋体" w:hAnsi="宋体" w:eastAsia="宋体" w:cs="宋体"/>
          <w:color w:val="auto"/>
          <w:sz w:val="28"/>
          <w:szCs w:val="28"/>
        </w:rPr>
      </w:pPr>
      <w:bookmarkStart w:id="493" w:name="_Toc4956"/>
      <w:bookmarkStart w:id="494" w:name="_Toc2297"/>
      <w:bookmarkStart w:id="495" w:name="_Toc5817"/>
      <w:bookmarkStart w:id="496" w:name="_Toc11760"/>
      <w:bookmarkStart w:id="497" w:name="_Toc26272"/>
      <w:bookmarkStart w:id="498" w:name="_Toc5121"/>
      <w:bookmarkStart w:id="499" w:name="_Toc25406"/>
      <w:r>
        <w:rPr>
          <w:rFonts w:hint="eastAsia" w:ascii="宋体" w:hAnsi="宋体" w:eastAsia="宋体" w:cs="宋体"/>
          <w:color w:val="auto"/>
          <w:sz w:val="28"/>
          <w:szCs w:val="28"/>
        </w:rPr>
        <w:t>法定代表人或其委托代理人：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kern w:val="0"/>
          <w:sz w:val="28"/>
          <w:szCs w:val="28"/>
          <w:lang w:val="en-US" w:eastAsia="zh-CN" w:bidi="ar"/>
        </w:rPr>
        <w:t>签字或盖章</w:t>
      </w:r>
      <w:r>
        <w:rPr>
          <w:rFonts w:hint="eastAsia" w:ascii="宋体" w:hAnsi="宋体" w:eastAsia="宋体" w:cs="宋体"/>
          <w:color w:val="auto"/>
          <w:sz w:val="28"/>
          <w:szCs w:val="28"/>
        </w:rPr>
        <w:t>）</w:t>
      </w:r>
      <w:bookmarkEnd w:id="493"/>
      <w:bookmarkEnd w:id="494"/>
      <w:bookmarkEnd w:id="495"/>
      <w:bookmarkEnd w:id="496"/>
      <w:bookmarkEnd w:id="497"/>
      <w:bookmarkEnd w:id="498"/>
      <w:bookmarkEnd w:id="499"/>
    </w:p>
    <w:p w14:paraId="5EAA5A9E">
      <w:pPr>
        <w:keepNext w:val="0"/>
        <w:keepLines w:val="0"/>
        <w:pageBreakBefore w:val="0"/>
        <w:widowControl w:val="0"/>
        <w:kinsoku/>
        <w:overflowPunct/>
        <w:topLinePunct w:val="0"/>
        <w:autoSpaceDE/>
        <w:autoSpaceDN/>
        <w:bidi w:val="0"/>
        <w:adjustRightInd/>
        <w:snapToGrid/>
        <w:spacing w:line="480" w:lineRule="auto"/>
        <w:ind w:firstLine="568" w:firstLineChars="200"/>
        <w:jc w:val="right"/>
        <w:textAlignment w:val="auto"/>
        <w:outlineLvl w:val="9"/>
        <w:rPr>
          <w:rFonts w:hint="eastAsia" w:ascii="宋体" w:hAnsi="宋体" w:eastAsia="宋体" w:cs="宋体"/>
          <w:color w:val="auto"/>
          <w:sz w:val="28"/>
          <w:szCs w:val="28"/>
        </w:rPr>
      </w:pPr>
    </w:p>
    <w:p w14:paraId="0147314A">
      <w:pPr>
        <w:keepNext w:val="0"/>
        <w:keepLines w:val="0"/>
        <w:pageBreakBefore w:val="0"/>
        <w:widowControl w:val="0"/>
        <w:kinsoku/>
        <w:overflowPunct/>
        <w:topLinePunct w:val="0"/>
        <w:autoSpaceDE/>
        <w:autoSpaceDN/>
        <w:bidi w:val="0"/>
        <w:adjustRightInd/>
        <w:snapToGrid/>
        <w:spacing w:line="480" w:lineRule="auto"/>
        <w:ind w:firstLine="568" w:firstLineChars="200"/>
        <w:jc w:val="center"/>
        <w:textAlignment w:val="auto"/>
        <w:outlineLvl w:val="0"/>
        <w:rPr>
          <w:rFonts w:hint="eastAsia" w:ascii="宋体" w:hAnsi="宋体" w:eastAsia="宋体" w:cs="宋体"/>
          <w:color w:val="auto"/>
          <w:sz w:val="28"/>
          <w:szCs w:val="28"/>
        </w:rPr>
      </w:pPr>
      <w:bookmarkStart w:id="500" w:name="_Toc10302"/>
      <w:bookmarkStart w:id="501" w:name="_Toc23733"/>
      <w:bookmarkStart w:id="502" w:name="_Toc14325"/>
      <w:bookmarkStart w:id="503" w:name="_Toc6491"/>
      <w:bookmarkStart w:id="504" w:name="_Toc4384"/>
      <w:bookmarkStart w:id="505" w:name="_Toc5123"/>
      <w:bookmarkStart w:id="506" w:name="_Toc14431"/>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日</w:t>
      </w:r>
      <w:bookmarkEnd w:id="500"/>
      <w:bookmarkEnd w:id="501"/>
      <w:bookmarkEnd w:id="502"/>
      <w:bookmarkEnd w:id="503"/>
      <w:bookmarkEnd w:id="504"/>
      <w:bookmarkEnd w:id="505"/>
      <w:bookmarkEnd w:id="506"/>
    </w:p>
    <w:p w14:paraId="7609E41F">
      <w:pPr>
        <w:spacing w:line="240" w:lineRule="auto"/>
        <w:ind w:firstLine="0" w:firstLineChars="0"/>
        <w:jc w:val="center"/>
        <w:outlineLvl w:val="0"/>
        <w:rPr>
          <w:rFonts w:hint="eastAsia" w:ascii="宋体" w:hAnsi="宋体" w:eastAsia="宋体" w:cs="宋体"/>
          <w:b/>
          <w:bCs/>
          <w:color w:val="auto"/>
          <w:sz w:val="32"/>
          <w:szCs w:val="32"/>
          <w:lang w:val="en-US" w:eastAsia="zh-CN"/>
        </w:rPr>
      </w:pPr>
      <w:bookmarkStart w:id="507" w:name="_Toc32295"/>
      <w:bookmarkStart w:id="508" w:name="_Toc28645"/>
      <w:bookmarkStart w:id="509" w:name="_Toc14180"/>
      <w:bookmarkStart w:id="510" w:name="_Toc8599"/>
      <w:bookmarkStart w:id="511" w:name="_Toc31739"/>
      <w:bookmarkStart w:id="512" w:name="_Toc29442"/>
    </w:p>
    <w:p w14:paraId="2FFA2D5E">
      <w:pPr>
        <w:spacing w:line="240" w:lineRule="auto"/>
        <w:ind w:firstLine="0" w:firstLineChars="0"/>
        <w:jc w:val="center"/>
        <w:outlineLvl w:val="0"/>
        <w:rPr>
          <w:rFonts w:hint="eastAsia" w:ascii="宋体" w:hAnsi="宋体" w:eastAsia="宋体" w:cs="宋体"/>
          <w:b/>
          <w:bCs/>
          <w:color w:val="auto"/>
          <w:sz w:val="32"/>
          <w:szCs w:val="32"/>
          <w:lang w:val="en-US" w:eastAsia="zh-CN"/>
        </w:rPr>
      </w:pPr>
    </w:p>
    <w:p w14:paraId="1D576131">
      <w:pPr>
        <w:spacing w:line="240" w:lineRule="auto"/>
        <w:ind w:firstLine="0" w:firstLineChars="0"/>
        <w:jc w:val="center"/>
        <w:outlineLvl w:val="0"/>
        <w:rPr>
          <w:rFonts w:hint="eastAsia" w:ascii="宋体" w:hAnsi="宋体" w:eastAsia="宋体" w:cs="宋体"/>
          <w:b/>
          <w:bCs/>
          <w:color w:val="auto"/>
          <w:sz w:val="32"/>
          <w:szCs w:val="32"/>
          <w:lang w:val="en-US" w:eastAsia="zh-CN"/>
        </w:rPr>
      </w:pPr>
    </w:p>
    <w:p w14:paraId="1993DF85">
      <w:pPr>
        <w:spacing w:line="240" w:lineRule="auto"/>
        <w:ind w:firstLine="0" w:firstLineChars="0"/>
        <w:jc w:val="center"/>
        <w:outlineLvl w:val="0"/>
        <w:rPr>
          <w:rFonts w:hint="eastAsia" w:ascii="宋体" w:hAnsi="宋体" w:eastAsia="宋体" w:cs="宋体"/>
          <w:b/>
          <w:bCs/>
          <w:color w:val="auto"/>
          <w:sz w:val="32"/>
          <w:szCs w:val="32"/>
          <w:lang w:val="en-US" w:eastAsia="zh-CN"/>
        </w:rPr>
      </w:pPr>
    </w:p>
    <w:p w14:paraId="69EE5A27">
      <w:pPr>
        <w:spacing w:line="240" w:lineRule="auto"/>
        <w:ind w:firstLine="0" w:firstLineChars="0"/>
        <w:jc w:val="center"/>
        <w:outlineLvl w:val="0"/>
        <w:rPr>
          <w:rFonts w:hint="eastAsia" w:ascii="宋体" w:hAnsi="宋体" w:eastAsia="宋体" w:cs="宋体"/>
          <w:b/>
          <w:bCs/>
          <w:color w:val="auto"/>
          <w:sz w:val="32"/>
          <w:szCs w:val="32"/>
          <w:lang w:val="en-US" w:eastAsia="zh-CN"/>
        </w:rPr>
      </w:pPr>
    </w:p>
    <w:p w14:paraId="7A0AE921">
      <w:pPr>
        <w:spacing w:line="240" w:lineRule="auto"/>
        <w:ind w:firstLine="0" w:firstLineChars="0"/>
        <w:jc w:val="center"/>
        <w:outlineLvl w:val="0"/>
        <w:rPr>
          <w:rFonts w:hint="eastAsia" w:ascii="宋体" w:hAnsi="宋体" w:eastAsia="宋体" w:cs="宋体"/>
          <w:b/>
          <w:bCs/>
          <w:color w:val="auto"/>
          <w:sz w:val="32"/>
          <w:szCs w:val="32"/>
          <w:lang w:val="en-US" w:eastAsia="zh-CN"/>
        </w:rPr>
      </w:pPr>
    </w:p>
    <w:p w14:paraId="543E1094">
      <w:pPr>
        <w:spacing w:line="240" w:lineRule="auto"/>
        <w:ind w:firstLine="0" w:firstLineChars="0"/>
        <w:jc w:val="center"/>
        <w:outlineLvl w:val="0"/>
        <w:rPr>
          <w:rFonts w:hint="eastAsia" w:ascii="宋体" w:hAnsi="宋体" w:eastAsia="宋体" w:cs="宋体"/>
          <w:b/>
          <w:bCs/>
          <w:color w:val="auto"/>
          <w:sz w:val="32"/>
          <w:szCs w:val="32"/>
          <w:lang w:val="en-US" w:eastAsia="zh-CN"/>
        </w:rPr>
      </w:pPr>
    </w:p>
    <w:p w14:paraId="3506A1BB">
      <w:pPr>
        <w:spacing w:line="240" w:lineRule="auto"/>
        <w:ind w:firstLine="0" w:firstLineChars="0"/>
        <w:jc w:val="center"/>
        <w:outlineLvl w:val="0"/>
        <w:rPr>
          <w:rFonts w:hint="eastAsia" w:ascii="宋体" w:hAnsi="宋体" w:eastAsia="宋体" w:cs="宋体"/>
          <w:color w:val="auto"/>
          <w:sz w:val="28"/>
          <w:szCs w:val="28"/>
          <w:lang w:val="en-US" w:eastAsia="zh-CN"/>
        </w:rPr>
      </w:pPr>
      <w:r>
        <w:rPr>
          <w:rFonts w:hint="eastAsia" w:ascii="宋体" w:hAnsi="宋体" w:eastAsia="宋体" w:cs="宋体"/>
          <w:b/>
          <w:bCs/>
          <w:color w:val="auto"/>
          <w:sz w:val="32"/>
          <w:szCs w:val="32"/>
          <w:lang w:val="en-US" w:eastAsia="zh-CN"/>
        </w:rPr>
        <w:t>八、资格审查资料</w:t>
      </w:r>
      <w:bookmarkEnd w:id="507"/>
      <w:bookmarkEnd w:id="508"/>
      <w:bookmarkEnd w:id="509"/>
      <w:bookmarkEnd w:id="510"/>
      <w:bookmarkEnd w:id="511"/>
      <w:bookmarkEnd w:id="512"/>
    </w:p>
    <w:p w14:paraId="2CC20F95">
      <w:pPr>
        <w:pStyle w:val="40"/>
        <w:numPr>
          <w:ilvl w:val="0"/>
          <w:numId w:val="20"/>
        </w:numPr>
        <w:ind w:left="0" w:leftChars="0" w:firstLine="420" w:firstLineChars="0"/>
        <w:rPr>
          <w:rFonts w:hint="eastAsia" w:ascii="宋体" w:hAnsi="宋体" w:eastAsia="宋体" w:cs="宋体"/>
          <w:color w:val="auto"/>
          <w:sz w:val="28"/>
          <w:szCs w:val="28"/>
          <w:lang w:eastAsia="zh-CN"/>
        </w:rPr>
      </w:pPr>
      <w:bookmarkStart w:id="513" w:name="_Toc16033"/>
      <w:bookmarkStart w:id="514" w:name="_Toc530"/>
      <w:bookmarkStart w:id="515" w:name="_Toc25652"/>
      <w:bookmarkStart w:id="516" w:name="_Toc25997"/>
      <w:bookmarkStart w:id="517" w:name="_Toc5929"/>
      <w:bookmarkStart w:id="518" w:name="_Toc6326"/>
      <w:bookmarkStart w:id="519" w:name="_Toc19989"/>
      <w:r>
        <w:rPr>
          <w:rFonts w:hint="eastAsia" w:ascii="宋体" w:hAnsi="宋体" w:eastAsia="宋体" w:cs="宋体"/>
          <w:color w:val="auto"/>
          <w:sz w:val="28"/>
          <w:szCs w:val="28"/>
        </w:rPr>
        <w:t>投标人基本情况表</w:t>
      </w:r>
      <w:r>
        <w:rPr>
          <w:rFonts w:hint="eastAsia" w:ascii="宋体" w:hAnsi="宋体" w:eastAsia="宋体" w:cs="宋体"/>
          <w:color w:val="auto"/>
          <w:sz w:val="28"/>
          <w:szCs w:val="28"/>
          <w:lang w:eastAsia="zh-CN"/>
        </w:rPr>
        <w:t>（联合体牵头人）</w:t>
      </w:r>
      <w:bookmarkEnd w:id="513"/>
      <w:bookmarkEnd w:id="514"/>
      <w:bookmarkEnd w:id="515"/>
      <w:bookmarkEnd w:id="516"/>
      <w:bookmarkEnd w:id="517"/>
      <w:bookmarkEnd w:id="518"/>
      <w:bookmarkEnd w:id="519"/>
    </w:p>
    <w:tbl>
      <w:tblPr>
        <w:tblStyle w:val="1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6EBABA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10D15A8">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4B71B072">
            <w:pPr>
              <w:topLinePunct/>
              <w:spacing w:line="440" w:lineRule="exact"/>
              <w:jc w:val="center"/>
              <w:rPr>
                <w:rFonts w:hint="eastAsia" w:ascii="宋体" w:hAnsi="宋体" w:eastAsia="宋体" w:cs="宋体"/>
                <w:color w:val="auto"/>
                <w:sz w:val="28"/>
                <w:szCs w:val="28"/>
              </w:rPr>
            </w:pPr>
          </w:p>
        </w:tc>
      </w:tr>
      <w:tr w14:paraId="79EF69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B52E782">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2FC2EA07">
            <w:pPr>
              <w:topLinePunct/>
              <w:spacing w:line="440" w:lineRule="exact"/>
              <w:jc w:val="center"/>
              <w:rPr>
                <w:rFonts w:hint="eastAsia" w:ascii="宋体" w:hAnsi="宋体" w:eastAsia="宋体" w:cs="宋体"/>
                <w:color w:val="auto"/>
                <w:sz w:val="28"/>
                <w:szCs w:val="28"/>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8003A89">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CB5C90D">
            <w:pPr>
              <w:topLinePunct/>
              <w:spacing w:line="440" w:lineRule="exact"/>
              <w:jc w:val="center"/>
              <w:rPr>
                <w:rFonts w:hint="eastAsia" w:ascii="宋体" w:hAnsi="宋体" w:eastAsia="宋体" w:cs="宋体"/>
                <w:color w:val="auto"/>
                <w:sz w:val="28"/>
                <w:szCs w:val="28"/>
              </w:rPr>
            </w:pPr>
          </w:p>
        </w:tc>
      </w:tr>
      <w:tr w14:paraId="291476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6C85499A">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C173D7E">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7BD68009">
            <w:pPr>
              <w:topLinePunct/>
              <w:spacing w:line="440" w:lineRule="exact"/>
              <w:jc w:val="center"/>
              <w:rPr>
                <w:rFonts w:hint="eastAsia" w:ascii="宋体" w:hAnsi="宋体" w:eastAsia="宋体" w:cs="宋体"/>
                <w:color w:val="auto"/>
                <w:sz w:val="28"/>
                <w:szCs w:val="28"/>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7EFB51A">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189B8C33">
            <w:pPr>
              <w:topLinePunct/>
              <w:spacing w:line="440" w:lineRule="exact"/>
              <w:jc w:val="center"/>
              <w:rPr>
                <w:rFonts w:hint="eastAsia" w:ascii="宋体" w:hAnsi="宋体" w:eastAsia="宋体" w:cs="宋体"/>
                <w:color w:val="auto"/>
                <w:sz w:val="28"/>
                <w:szCs w:val="28"/>
              </w:rPr>
            </w:pPr>
          </w:p>
        </w:tc>
      </w:tr>
      <w:tr w14:paraId="18F353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5DAC2FA4">
            <w:pPr>
              <w:topLinePunct/>
              <w:spacing w:line="440" w:lineRule="exact"/>
              <w:jc w:val="center"/>
              <w:rPr>
                <w:rFonts w:hint="eastAsia" w:ascii="宋体" w:hAnsi="宋体" w:eastAsia="宋体" w:cs="宋体"/>
                <w:color w:val="auto"/>
                <w:sz w:val="28"/>
                <w:szCs w:val="2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3D316B5">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传真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05EB357A">
            <w:pPr>
              <w:topLinePunct/>
              <w:spacing w:line="440" w:lineRule="exact"/>
              <w:jc w:val="center"/>
              <w:rPr>
                <w:rFonts w:hint="eastAsia" w:ascii="宋体" w:hAnsi="宋体" w:eastAsia="宋体" w:cs="宋体"/>
                <w:color w:val="auto"/>
                <w:sz w:val="28"/>
                <w:szCs w:val="28"/>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F1D0845">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网址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74F19D1D">
            <w:pPr>
              <w:topLinePunct/>
              <w:spacing w:line="440" w:lineRule="exact"/>
              <w:jc w:val="center"/>
              <w:rPr>
                <w:rFonts w:hint="eastAsia" w:ascii="宋体" w:hAnsi="宋体" w:eastAsia="宋体" w:cs="宋体"/>
                <w:color w:val="auto"/>
                <w:sz w:val="28"/>
                <w:szCs w:val="28"/>
              </w:rPr>
            </w:pPr>
          </w:p>
        </w:tc>
      </w:tr>
      <w:tr w14:paraId="77DACC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CEF98F9">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2E98D025">
            <w:pPr>
              <w:topLinePunct/>
              <w:spacing w:line="440" w:lineRule="exact"/>
              <w:jc w:val="center"/>
              <w:rPr>
                <w:rFonts w:hint="eastAsia" w:ascii="宋体" w:hAnsi="宋体" w:eastAsia="宋体" w:cs="宋体"/>
                <w:color w:val="auto"/>
                <w:sz w:val="28"/>
                <w:szCs w:val="28"/>
              </w:rPr>
            </w:pPr>
          </w:p>
        </w:tc>
      </w:tr>
      <w:tr w14:paraId="6E668E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224F3AAE">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F510D95">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2595F121">
            <w:pPr>
              <w:topLinePunct/>
              <w:spacing w:line="440" w:lineRule="exact"/>
              <w:jc w:val="center"/>
              <w:rPr>
                <w:rFonts w:hint="eastAsia" w:ascii="宋体" w:hAnsi="宋体" w:eastAsia="宋体" w:cs="宋体"/>
                <w:color w:val="auto"/>
                <w:sz w:val="28"/>
                <w:szCs w:val="28"/>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6436618D">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029D5548">
            <w:pPr>
              <w:topLinePunct/>
              <w:spacing w:line="440" w:lineRule="exact"/>
              <w:jc w:val="center"/>
              <w:rPr>
                <w:rFonts w:hint="eastAsia" w:ascii="宋体" w:hAnsi="宋体" w:eastAsia="宋体" w:cs="宋体"/>
                <w:color w:val="auto"/>
                <w:sz w:val="28"/>
                <w:szCs w:val="28"/>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46DA45DD">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7CEC05">
            <w:pPr>
              <w:topLinePunct/>
              <w:spacing w:line="440" w:lineRule="exact"/>
              <w:jc w:val="center"/>
              <w:rPr>
                <w:rFonts w:hint="eastAsia" w:ascii="宋体" w:hAnsi="宋体" w:eastAsia="宋体" w:cs="宋体"/>
                <w:color w:val="auto"/>
                <w:sz w:val="28"/>
                <w:szCs w:val="28"/>
              </w:rPr>
            </w:pPr>
          </w:p>
        </w:tc>
      </w:tr>
      <w:tr w14:paraId="26916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AF50FEF">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3EA57FE">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5EE3846D">
            <w:pPr>
              <w:topLinePunct/>
              <w:spacing w:line="440" w:lineRule="exact"/>
              <w:jc w:val="center"/>
              <w:rPr>
                <w:rFonts w:hint="eastAsia" w:ascii="宋体" w:hAnsi="宋体" w:eastAsia="宋体" w:cs="宋体"/>
                <w:color w:val="auto"/>
                <w:sz w:val="28"/>
                <w:szCs w:val="28"/>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0976ADA4">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486EB651">
            <w:pPr>
              <w:topLinePunct/>
              <w:spacing w:line="440" w:lineRule="exact"/>
              <w:jc w:val="center"/>
              <w:rPr>
                <w:rFonts w:hint="eastAsia" w:ascii="宋体" w:hAnsi="宋体" w:eastAsia="宋体" w:cs="宋体"/>
                <w:color w:val="auto"/>
                <w:sz w:val="28"/>
                <w:szCs w:val="28"/>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496361FA">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1ACA671">
            <w:pPr>
              <w:topLinePunct/>
              <w:spacing w:line="440" w:lineRule="exact"/>
              <w:jc w:val="center"/>
              <w:rPr>
                <w:rFonts w:hint="eastAsia" w:ascii="宋体" w:hAnsi="宋体" w:eastAsia="宋体" w:cs="宋体"/>
                <w:color w:val="auto"/>
                <w:sz w:val="28"/>
                <w:szCs w:val="28"/>
              </w:rPr>
            </w:pPr>
          </w:p>
        </w:tc>
      </w:tr>
      <w:tr w14:paraId="22EC2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502C63E">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C8BD7AB">
            <w:pPr>
              <w:topLinePunct/>
              <w:spacing w:line="440" w:lineRule="exact"/>
              <w:jc w:val="center"/>
              <w:rPr>
                <w:rFonts w:hint="eastAsia" w:ascii="宋体" w:hAnsi="宋体" w:eastAsia="宋体" w:cs="宋体"/>
                <w:color w:val="auto"/>
                <w:sz w:val="28"/>
                <w:szCs w:val="28"/>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19906339">
            <w:pPr>
              <w:topLinePunct/>
              <w:spacing w:line="440" w:lineRule="exact"/>
              <w:ind w:firstLine="142" w:firstLineChars="50"/>
              <w:jc w:val="center"/>
              <w:rPr>
                <w:rFonts w:hint="eastAsia" w:ascii="宋体" w:hAnsi="宋体" w:eastAsia="宋体" w:cs="宋体"/>
                <w:color w:val="auto"/>
                <w:sz w:val="28"/>
                <w:szCs w:val="28"/>
              </w:rPr>
            </w:pPr>
            <w:r>
              <w:rPr>
                <w:rFonts w:hint="eastAsia" w:ascii="宋体" w:hAnsi="宋体" w:eastAsia="宋体" w:cs="宋体"/>
                <w:color w:val="auto"/>
                <w:sz w:val="28"/>
                <w:szCs w:val="28"/>
              </w:rPr>
              <w:t>员工总人数：</w:t>
            </w:r>
          </w:p>
        </w:tc>
      </w:tr>
      <w:tr w14:paraId="0B560B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E9D1C2A">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6170215">
            <w:pPr>
              <w:topLinePunct/>
              <w:spacing w:line="440" w:lineRule="exact"/>
              <w:jc w:val="center"/>
              <w:rPr>
                <w:rFonts w:hint="eastAsia" w:ascii="宋体" w:hAnsi="宋体" w:eastAsia="宋体" w:cs="宋体"/>
                <w:color w:val="auto"/>
                <w:sz w:val="28"/>
                <w:szCs w:val="28"/>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0B9E7DCE">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605E8706">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C3FB712">
            <w:pPr>
              <w:topLinePunct/>
              <w:spacing w:line="440" w:lineRule="exact"/>
              <w:jc w:val="center"/>
              <w:rPr>
                <w:rFonts w:hint="eastAsia" w:ascii="宋体" w:hAnsi="宋体" w:eastAsia="宋体" w:cs="宋体"/>
                <w:color w:val="auto"/>
                <w:sz w:val="28"/>
                <w:szCs w:val="28"/>
              </w:rPr>
            </w:pPr>
          </w:p>
        </w:tc>
      </w:tr>
      <w:tr w14:paraId="51D3F7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2E88D95">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9484EBD">
            <w:pPr>
              <w:topLinePunct/>
              <w:spacing w:line="440" w:lineRule="exact"/>
              <w:jc w:val="center"/>
              <w:rPr>
                <w:rFonts w:hint="eastAsia" w:ascii="宋体" w:hAnsi="宋体" w:eastAsia="宋体" w:cs="宋体"/>
                <w:color w:val="auto"/>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641AA811">
            <w:pPr>
              <w:topLinePunct/>
              <w:spacing w:line="440" w:lineRule="exact"/>
              <w:jc w:val="center"/>
              <w:rPr>
                <w:rFonts w:hint="eastAsia" w:ascii="宋体" w:hAnsi="宋体" w:eastAsia="宋体" w:cs="宋体"/>
                <w:color w:val="auto"/>
                <w:sz w:val="28"/>
                <w:szCs w:val="28"/>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3C7A77BD">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5F3B9C0C">
            <w:pPr>
              <w:topLinePunct/>
              <w:spacing w:line="440" w:lineRule="exact"/>
              <w:jc w:val="center"/>
              <w:rPr>
                <w:rFonts w:hint="eastAsia" w:ascii="宋体" w:hAnsi="宋体" w:eastAsia="宋体" w:cs="宋体"/>
                <w:color w:val="auto"/>
                <w:sz w:val="28"/>
                <w:szCs w:val="28"/>
              </w:rPr>
            </w:pPr>
          </w:p>
        </w:tc>
      </w:tr>
      <w:tr w14:paraId="6B0022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3D0D579">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5E0CB81B">
            <w:pPr>
              <w:topLinePunct/>
              <w:spacing w:line="440" w:lineRule="exact"/>
              <w:jc w:val="center"/>
              <w:rPr>
                <w:rFonts w:hint="eastAsia" w:ascii="宋体" w:hAnsi="宋体" w:eastAsia="宋体" w:cs="宋体"/>
                <w:color w:val="auto"/>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3A77D8D4">
            <w:pPr>
              <w:topLinePunct/>
              <w:spacing w:line="440" w:lineRule="exact"/>
              <w:jc w:val="center"/>
              <w:rPr>
                <w:rFonts w:hint="eastAsia" w:ascii="宋体" w:hAnsi="宋体" w:eastAsia="宋体" w:cs="宋体"/>
                <w:color w:val="auto"/>
                <w:sz w:val="28"/>
                <w:szCs w:val="28"/>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CA12253">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0525B683">
            <w:pPr>
              <w:topLinePunct/>
              <w:spacing w:line="440" w:lineRule="exact"/>
              <w:jc w:val="center"/>
              <w:rPr>
                <w:rFonts w:hint="eastAsia" w:ascii="宋体" w:hAnsi="宋体" w:eastAsia="宋体" w:cs="宋体"/>
                <w:color w:val="auto"/>
                <w:sz w:val="28"/>
                <w:szCs w:val="28"/>
              </w:rPr>
            </w:pPr>
          </w:p>
        </w:tc>
      </w:tr>
      <w:tr w14:paraId="4958A5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69D1C73A">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6F3A07C">
            <w:pPr>
              <w:topLinePunct/>
              <w:spacing w:line="440" w:lineRule="exact"/>
              <w:jc w:val="center"/>
              <w:rPr>
                <w:rFonts w:hint="eastAsia" w:ascii="宋体" w:hAnsi="宋体" w:eastAsia="宋体" w:cs="宋体"/>
                <w:color w:val="auto"/>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44F76930">
            <w:pPr>
              <w:topLinePunct/>
              <w:spacing w:line="440" w:lineRule="exact"/>
              <w:jc w:val="center"/>
              <w:rPr>
                <w:rFonts w:hint="eastAsia" w:ascii="宋体" w:hAnsi="宋体" w:eastAsia="宋体" w:cs="宋体"/>
                <w:color w:val="auto"/>
                <w:sz w:val="28"/>
                <w:szCs w:val="28"/>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07E0F3A1">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286EA474">
            <w:pPr>
              <w:topLinePunct/>
              <w:spacing w:line="440" w:lineRule="exact"/>
              <w:jc w:val="center"/>
              <w:rPr>
                <w:rFonts w:hint="eastAsia" w:ascii="宋体" w:hAnsi="宋体" w:eastAsia="宋体" w:cs="宋体"/>
                <w:color w:val="auto"/>
                <w:sz w:val="28"/>
                <w:szCs w:val="28"/>
              </w:rPr>
            </w:pPr>
          </w:p>
        </w:tc>
      </w:tr>
      <w:tr w14:paraId="1F0D1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8644D09">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B52503C">
            <w:pPr>
              <w:topLinePunct/>
              <w:spacing w:line="440" w:lineRule="exact"/>
              <w:jc w:val="center"/>
              <w:rPr>
                <w:rFonts w:hint="eastAsia" w:ascii="宋体" w:hAnsi="宋体" w:eastAsia="宋体" w:cs="宋体"/>
                <w:color w:val="auto"/>
                <w:sz w:val="28"/>
                <w:szCs w:val="28"/>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4C902E88">
            <w:pPr>
              <w:topLinePunct/>
              <w:spacing w:line="440" w:lineRule="exact"/>
              <w:jc w:val="center"/>
              <w:rPr>
                <w:rFonts w:hint="eastAsia" w:ascii="宋体" w:hAnsi="宋体" w:eastAsia="宋体" w:cs="宋体"/>
                <w:color w:val="auto"/>
                <w:sz w:val="28"/>
                <w:szCs w:val="28"/>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9D5CE2A">
            <w:pPr>
              <w:pStyle w:val="14"/>
              <w:jc w:val="center"/>
              <w:rPr>
                <w:rFonts w:hint="eastAsia" w:ascii="宋体" w:hAnsi="宋体" w:eastAsia="宋体" w:cs="宋体"/>
                <w:color w:val="auto"/>
                <w:sz w:val="28"/>
                <w:szCs w:val="28"/>
              </w:rPr>
            </w:pPr>
            <w:r>
              <w:rPr>
                <w:rFonts w:hint="eastAsia" w:ascii="宋体" w:hAnsi="宋体" w:eastAsia="宋体" w:cs="宋体"/>
                <w:b w:val="0"/>
                <w:color w:val="auto"/>
                <w:kern w:val="2"/>
                <w:sz w:val="28"/>
                <w:szCs w:val="28"/>
                <w:lang w:val="en-US" w:eastAsia="zh-CN" w:bidi="ar-SA"/>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BFF5867">
            <w:pPr>
              <w:topLinePunct/>
              <w:spacing w:line="440" w:lineRule="exact"/>
              <w:jc w:val="center"/>
              <w:rPr>
                <w:rFonts w:hint="eastAsia" w:ascii="宋体" w:hAnsi="宋体" w:eastAsia="宋体" w:cs="宋体"/>
                <w:color w:val="auto"/>
                <w:sz w:val="28"/>
                <w:szCs w:val="28"/>
              </w:rPr>
            </w:pPr>
          </w:p>
        </w:tc>
      </w:tr>
      <w:tr w14:paraId="4333C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1728" w:type="dxa"/>
            <w:tcBorders>
              <w:top w:val="single" w:color="auto" w:sz="4" w:space="0"/>
              <w:left w:val="single" w:color="auto" w:sz="4" w:space="0"/>
              <w:right w:val="single" w:color="auto" w:sz="4" w:space="0"/>
            </w:tcBorders>
            <w:noWrap w:val="0"/>
            <w:vAlign w:val="center"/>
          </w:tcPr>
          <w:p w14:paraId="5D2A1AB7">
            <w:pPr>
              <w:topLinePunct/>
              <w:spacing w:line="440" w:lineRule="exact"/>
              <w:ind w:firstLine="284" w:firstLineChars="100"/>
              <w:jc w:val="center"/>
              <w:rPr>
                <w:rFonts w:hint="eastAsia" w:ascii="宋体" w:hAnsi="宋体" w:eastAsia="宋体" w:cs="宋体"/>
                <w:color w:val="auto"/>
                <w:sz w:val="28"/>
                <w:szCs w:val="28"/>
              </w:rPr>
            </w:pPr>
            <w:r>
              <w:rPr>
                <w:rFonts w:hint="eastAsia" w:ascii="宋体" w:hAnsi="宋体" w:eastAsia="宋体" w:cs="宋体"/>
                <w:color w:val="auto"/>
                <w:sz w:val="28"/>
                <w:szCs w:val="28"/>
              </w:rPr>
              <w:t>经营范围</w:t>
            </w:r>
          </w:p>
        </w:tc>
        <w:tc>
          <w:tcPr>
            <w:tcW w:w="6840" w:type="dxa"/>
            <w:gridSpan w:val="9"/>
            <w:tcBorders>
              <w:top w:val="single" w:color="auto" w:sz="4" w:space="0"/>
              <w:left w:val="single" w:color="auto" w:sz="4" w:space="0"/>
              <w:right w:val="single" w:color="auto" w:sz="4" w:space="0"/>
            </w:tcBorders>
            <w:noWrap w:val="0"/>
            <w:vAlign w:val="center"/>
          </w:tcPr>
          <w:p w14:paraId="718C510E">
            <w:pPr>
              <w:topLinePunct/>
              <w:spacing w:line="440" w:lineRule="exact"/>
              <w:rPr>
                <w:rFonts w:hint="eastAsia" w:ascii="宋体" w:hAnsi="宋体" w:eastAsia="宋体" w:cs="宋体"/>
                <w:color w:val="auto"/>
                <w:sz w:val="28"/>
                <w:szCs w:val="28"/>
              </w:rPr>
            </w:pPr>
          </w:p>
        </w:tc>
      </w:tr>
      <w:tr w14:paraId="0E70B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F636D70">
            <w:pPr>
              <w:topLinePunct/>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64A7D95">
            <w:pPr>
              <w:topLinePunct/>
              <w:spacing w:line="440" w:lineRule="exact"/>
              <w:jc w:val="both"/>
              <w:rPr>
                <w:rFonts w:hint="eastAsia" w:ascii="宋体" w:hAnsi="宋体" w:eastAsia="宋体" w:cs="宋体"/>
                <w:color w:val="auto"/>
                <w:sz w:val="28"/>
                <w:szCs w:val="28"/>
              </w:rPr>
            </w:pPr>
          </w:p>
        </w:tc>
      </w:tr>
    </w:tbl>
    <w:p w14:paraId="39115231">
      <w:pPr>
        <w:widowControl/>
        <w:ind w:firstLine="568"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rPr>
        <w:t>备注：本表后应附企业营业执照、企业资质证书、安全生产许可证</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开户许可证</w:t>
      </w:r>
      <w:r>
        <w:rPr>
          <w:rFonts w:hint="eastAsia" w:ascii="宋体" w:hAnsi="宋体" w:eastAsia="宋体" w:cs="宋体"/>
          <w:color w:val="auto"/>
          <w:kern w:val="0"/>
          <w:sz w:val="28"/>
          <w:szCs w:val="28"/>
        </w:rPr>
        <w:t>等材料的复印件。</w:t>
      </w:r>
    </w:p>
    <w:p w14:paraId="2349469C">
      <w:pPr>
        <w:pStyle w:val="40"/>
        <w:numPr>
          <w:ilvl w:val="0"/>
          <w:numId w:val="20"/>
        </w:numPr>
        <w:ind w:left="0" w:leftChars="0" w:firstLine="420" w:firstLineChars="0"/>
        <w:rPr>
          <w:rFonts w:hint="eastAsia" w:ascii="宋体" w:hAnsi="宋体" w:eastAsia="宋体" w:cs="宋体"/>
          <w:color w:val="auto"/>
          <w:sz w:val="28"/>
          <w:szCs w:val="28"/>
          <w:lang w:eastAsia="zh-CN"/>
        </w:rPr>
      </w:pPr>
      <w:bookmarkStart w:id="520" w:name="_Toc23629"/>
      <w:bookmarkStart w:id="521" w:name="_Toc14944"/>
      <w:bookmarkStart w:id="522" w:name="_Toc5776"/>
      <w:bookmarkStart w:id="523" w:name="_Toc5209"/>
      <w:bookmarkStart w:id="524" w:name="_Toc7255"/>
      <w:bookmarkStart w:id="525" w:name="_Toc7725"/>
      <w:bookmarkStart w:id="526" w:name="_Toc22356"/>
      <w:r>
        <w:rPr>
          <w:rFonts w:hint="eastAsia" w:ascii="宋体" w:hAnsi="宋体" w:eastAsia="宋体" w:cs="宋体"/>
          <w:color w:val="auto"/>
          <w:sz w:val="28"/>
          <w:szCs w:val="28"/>
        </w:rPr>
        <w:t>投标人基本情况表</w:t>
      </w:r>
      <w:r>
        <w:rPr>
          <w:rFonts w:hint="eastAsia" w:ascii="宋体" w:hAnsi="宋体" w:eastAsia="宋体" w:cs="宋体"/>
          <w:color w:val="auto"/>
          <w:sz w:val="28"/>
          <w:szCs w:val="28"/>
          <w:lang w:eastAsia="zh-CN"/>
        </w:rPr>
        <w:t>（联合体成员）</w:t>
      </w:r>
      <w:bookmarkEnd w:id="520"/>
      <w:bookmarkEnd w:id="521"/>
      <w:bookmarkEnd w:id="522"/>
      <w:bookmarkEnd w:id="523"/>
      <w:bookmarkEnd w:id="524"/>
      <w:bookmarkEnd w:id="525"/>
      <w:bookmarkEnd w:id="526"/>
    </w:p>
    <w:p w14:paraId="373D103A">
      <w:pPr>
        <w:pStyle w:val="40"/>
        <w:numPr>
          <w:ilvl w:val="0"/>
          <w:numId w:val="0"/>
        </w:numPr>
        <w:ind w:leftChars="0"/>
        <w:outlineLvl w:val="9"/>
        <w:rPr>
          <w:rFonts w:hint="eastAsia" w:ascii="宋体" w:hAnsi="宋体" w:eastAsia="宋体" w:cs="宋体"/>
          <w:color w:val="auto"/>
          <w:sz w:val="28"/>
          <w:szCs w:val="28"/>
          <w:lang w:eastAsia="zh-CN"/>
        </w:rPr>
      </w:pPr>
    </w:p>
    <w:tbl>
      <w:tblPr>
        <w:tblStyle w:val="18"/>
        <w:tblW w:w="9171" w:type="dxa"/>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29"/>
        <w:gridCol w:w="1089"/>
        <w:gridCol w:w="836"/>
        <w:gridCol w:w="1268"/>
        <w:gridCol w:w="434"/>
        <w:gridCol w:w="871"/>
        <w:gridCol w:w="828"/>
        <w:gridCol w:w="286"/>
        <w:gridCol w:w="1230"/>
      </w:tblGrid>
      <w:tr w14:paraId="6FF56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329" w:type="dxa"/>
            <w:noWrap w:val="0"/>
            <w:vAlign w:val="center"/>
          </w:tcPr>
          <w:p w14:paraId="3F8E62E0">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投标人名称</w:t>
            </w:r>
          </w:p>
        </w:tc>
        <w:tc>
          <w:tcPr>
            <w:tcW w:w="6842" w:type="dxa"/>
            <w:gridSpan w:val="8"/>
            <w:noWrap w:val="0"/>
            <w:vAlign w:val="center"/>
          </w:tcPr>
          <w:p w14:paraId="58D31F4A">
            <w:pPr>
              <w:pStyle w:val="25"/>
              <w:jc w:val="center"/>
              <w:rPr>
                <w:rFonts w:hint="eastAsia" w:ascii="宋体" w:hAnsi="宋体" w:eastAsia="宋体" w:cs="宋体"/>
                <w:color w:val="auto"/>
                <w:sz w:val="28"/>
                <w:szCs w:val="28"/>
              </w:rPr>
            </w:pPr>
          </w:p>
        </w:tc>
      </w:tr>
      <w:tr w14:paraId="06FA3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2329" w:type="dxa"/>
            <w:noWrap w:val="0"/>
            <w:vAlign w:val="center"/>
          </w:tcPr>
          <w:p w14:paraId="019B9F66">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注册地址</w:t>
            </w:r>
          </w:p>
        </w:tc>
        <w:tc>
          <w:tcPr>
            <w:tcW w:w="3193" w:type="dxa"/>
            <w:gridSpan w:val="3"/>
            <w:noWrap w:val="0"/>
            <w:vAlign w:val="center"/>
          </w:tcPr>
          <w:p w14:paraId="22E829C7">
            <w:pPr>
              <w:pStyle w:val="25"/>
              <w:jc w:val="center"/>
              <w:rPr>
                <w:rFonts w:hint="eastAsia" w:ascii="宋体" w:hAnsi="宋体" w:eastAsia="宋体" w:cs="宋体"/>
                <w:color w:val="auto"/>
                <w:sz w:val="28"/>
                <w:szCs w:val="28"/>
              </w:rPr>
            </w:pPr>
          </w:p>
        </w:tc>
        <w:tc>
          <w:tcPr>
            <w:tcW w:w="1305" w:type="dxa"/>
            <w:gridSpan w:val="2"/>
            <w:noWrap w:val="0"/>
            <w:vAlign w:val="center"/>
          </w:tcPr>
          <w:p w14:paraId="0AAEDB45">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邮政编码</w:t>
            </w:r>
          </w:p>
        </w:tc>
        <w:tc>
          <w:tcPr>
            <w:tcW w:w="2344" w:type="dxa"/>
            <w:gridSpan w:val="3"/>
            <w:noWrap w:val="0"/>
            <w:vAlign w:val="center"/>
          </w:tcPr>
          <w:p w14:paraId="4ECDA785">
            <w:pPr>
              <w:pStyle w:val="25"/>
              <w:jc w:val="center"/>
              <w:rPr>
                <w:rFonts w:hint="eastAsia" w:ascii="宋体" w:hAnsi="宋体" w:eastAsia="宋体" w:cs="宋体"/>
                <w:color w:val="auto"/>
                <w:sz w:val="28"/>
                <w:szCs w:val="28"/>
              </w:rPr>
            </w:pPr>
          </w:p>
        </w:tc>
      </w:tr>
      <w:tr w14:paraId="20A54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329" w:type="dxa"/>
            <w:vMerge w:val="restart"/>
            <w:noWrap w:val="0"/>
            <w:vAlign w:val="center"/>
          </w:tcPr>
          <w:p w14:paraId="227964C4">
            <w:pPr>
              <w:pStyle w:val="25"/>
              <w:jc w:val="center"/>
              <w:rPr>
                <w:rFonts w:hint="eastAsia" w:ascii="宋体" w:hAnsi="宋体" w:eastAsia="宋体" w:cs="宋体"/>
                <w:color w:val="auto"/>
                <w:sz w:val="28"/>
                <w:szCs w:val="28"/>
              </w:rPr>
            </w:pPr>
            <w:r>
              <w:rPr>
                <w:rFonts w:hint="eastAsia" w:ascii="宋体" w:hAnsi="宋体" w:eastAsia="宋体" w:cs="宋体"/>
                <w:color w:val="auto"/>
                <w:sz w:val="28"/>
                <w:szCs w:val="28"/>
              </w:rPr>
              <w:t>联系方式</w:t>
            </w:r>
          </w:p>
        </w:tc>
        <w:tc>
          <w:tcPr>
            <w:tcW w:w="1089" w:type="dxa"/>
            <w:noWrap w:val="0"/>
            <w:vAlign w:val="center"/>
          </w:tcPr>
          <w:p w14:paraId="29D52AF1">
            <w:pPr>
              <w:pStyle w:val="25"/>
              <w:spacing w:before="77" w:line="343" w:lineRule="exact"/>
              <w:ind w:left="8"/>
              <w:jc w:val="center"/>
              <w:rPr>
                <w:rFonts w:hint="eastAsia" w:ascii="宋体" w:hAnsi="宋体" w:eastAsia="宋体" w:cs="宋体"/>
                <w:color w:val="auto"/>
                <w:sz w:val="28"/>
                <w:szCs w:val="28"/>
              </w:rPr>
            </w:pPr>
            <w:r>
              <w:rPr>
                <w:rFonts w:hint="eastAsia" w:ascii="宋体" w:hAnsi="宋体" w:eastAsia="宋体" w:cs="宋体"/>
                <w:color w:val="auto"/>
                <w:sz w:val="28"/>
                <w:szCs w:val="28"/>
              </w:rPr>
              <w:t>联系人</w:t>
            </w:r>
          </w:p>
        </w:tc>
        <w:tc>
          <w:tcPr>
            <w:tcW w:w="2104" w:type="dxa"/>
            <w:gridSpan w:val="2"/>
            <w:noWrap w:val="0"/>
            <w:vAlign w:val="center"/>
          </w:tcPr>
          <w:p w14:paraId="647AA6A7">
            <w:pPr>
              <w:pStyle w:val="25"/>
              <w:jc w:val="center"/>
              <w:rPr>
                <w:rFonts w:hint="eastAsia" w:ascii="宋体" w:hAnsi="宋体" w:eastAsia="宋体" w:cs="宋体"/>
                <w:color w:val="auto"/>
                <w:sz w:val="28"/>
                <w:szCs w:val="28"/>
              </w:rPr>
            </w:pPr>
          </w:p>
        </w:tc>
        <w:tc>
          <w:tcPr>
            <w:tcW w:w="1305" w:type="dxa"/>
            <w:gridSpan w:val="2"/>
            <w:noWrap w:val="0"/>
            <w:vAlign w:val="center"/>
          </w:tcPr>
          <w:p w14:paraId="47AA6C3D">
            <w:pPr>
              <w:pStyle w:val="25"/>
              <w:spacing w:before="77" w:line="343" w:lineRule="exact"/>
              <w:ind w:left="378"/>
              <w:jc w:val="center"/>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2344" w:type="dxa"/>
            <w:gridSpan w:val="3"/>
            <w:noWrap w:val="0"/>
            <w:vAlign w:val="center"/>
          </w:tcPr>
          <w:p w14:paraId="75D2C091">
            <w:pPr>
              <w:pStyle w:val="25"/>
              <w:jc w:val="center"/>
              <w:rPr>
                <w:rFonts w:hint="eastAsia" w:ascii="宋体" w:hAnsi="宋体" w:eastAsia="宋体" w:cs="宋体"/>
                <w:color w:val="auto"/>
                <w:sz w:val="28"/>
                <w:szCs w:val="28"/>
              </w:rPr>
            </w:pPr>
          </w:p>
        </w:tc>
      </w:tr>
      <w:tr w14:paraId="7E5AB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2329" w:type="dxa"/>
            <w:vMerge w:val="continue"/>
            <w:tcBorders>
              <w:top w:val="nil"/>
            </w:tcBorders>
            <w:noWrap w:val="0"/>
            <w:vAlign w:val="center"/>
          </w:tcPr>
          <w:p w14:paraId="02813973">
            <w:pPr>
              <w:jc w:val="center"/>
              <w:rPr>
                <w:rFonts w:hint="eastAsia" w:ascii="宋体" w:hAnsi="宋体" w:eastAsia="宋体" w:cs="宋体"/>
                <w:color w:val="auto"/>
                <w:sz w:val="28"/>
                <w:szCs w:val="28"/>
              </w:rPr>
            </w:pPr>
          </w:p>
        </w:tc>
        <w:tc>
          <w:tcPr>
            <w:tcW w:w="1089" w:type="dxa"/>
            <w:noWrap w:val="0"/>
            <w:vAlign w:val="center"/>
          </w:tcPr>
          <w:p w14:paraId="58B98F8D">
            <w:pPr>
              <w:pStyle w:val="25"/>
              <w:tabs>
                <w:tab w:val="left" w:pos="432"/>
              </w:tabs>
              <w:spacing w:before="78" w:line="341" w:lineRule="exact"/>
              <w:ind w:left="9"/>
              <w:jc w:val="center"/>
              <w:rPr>
                <w:rFonts w:hint="eastAsia" w:ascii="宋体" w:hAnsi="宋体" w:eastAsia="宋体" w:cs="宋体"/>
                <w:color w:val="auto"/>
                <w:sz w:val="28"/>
                <w:szCs w:val="28"/>
              </w:rPr>
            </w:pPr>
            <w:r>
              <w:rPr>
                <w:rFonts w:hint="eastAsia" w:ascii="宋体" w:hAnsi="宋体" w:eastAsia="宋体" w:cs="宋体"/>
                <w:color w:val="auto"/>
                <w:sz w:val="28"/>
                <w:szCs w:val="28"/>
              </w:rPr>
              <w:t>传</w:t>
            </w:r>
            <w:r>
              <w:rPr>
                <w:rFonts w:hint="eastAsia" w:ascii="宋体" w:hAnsi="宋体" w:eastAsia="宋体" w:cs="宋体"/>
                <w:color w:val="auto"/>
                <w:sz w:val="28"/>
                <w:szCs w:val="28"/>
              </w:rPr>
              <w:tab/>
            </w:r>
            <w:r>
              <w:rPr>
                <w:rFonts w:hint="eastAsia" w:ascii="宋体" w:hAnsi="宋体" w:eastAsia="宋体" w:cs="宋体"/>
                <w:color w:val="auto"/>
                <w:sz w:val="28"/>
                <w:szCs w:val="28"/>
              </w:rPr>
              <w:t>真</w:t>
            </w:r>
          </w:p>
        </w:tc>
        <w:tc>
          <w:tcPr>
            <w:tcW w:w="2104" w:type="dxa"/>
            <w:gridSpan w:val="2"/>
            <w:noWrap w:val="0"/>
            <w:vAlign w:val="center"/>
          </w:tcPr>
          <w:p w14:paraId="75A06FBB">
            <w:pPr>
              <w:pStyle w:val="25"/>
              <w:jc w:val="center"/>
              <w:rPr>
                <w:rFonts w:hint="eastAsia" w:ascii="宋体" w:hAnsi="宋体" w:eastAsia="宋体" w:cs="宋体"/>
                <w:color w:val="auto"/>
                <w:sz w:val="28"/>
                <w:szCs w:val="28"/>
              </w:rPr>
            </w:pPr>
          </w:p>
        </w:tc>
        <w:tc>
          <w:tcPr>
            <w:tcW w:w="1305" w:type="dxa"/>
            <w:gridSpan w:val="2"/>
            <w:noWrap w:val="0"/>
            <w:vAlign w:val="center"/>
          </w:tcPr>
          <w:p w14:paraId="392AF512">
            <w:pPr>
              <w:pStyle w:val="25"/>
              <w:spacing w:before="78" w:line="341" w:lineRule="exact"/>
              <w:ind w:left="378"/>
              <w:jc w:val="center"/>
              <w:rPr>
                <w:rFonts w:hint="eastAsia" w:ascii="宋体" w:hAnsi="宋体" w:eastAsia="宋体" w:cs="宋体"/>
                <w:color w:val="auto"/>
                <w:sz w:val="28"/>
                <w:szCs w:val="28"/>
              </w:rPr>
            </w:pPr>
            <w:r>
              <w:rPr>
                <w:rFonts w:hint="eastAsia" w:ascii="宋体" w:hAnsi="宋体" w:eastAsia="宋体" w:cs="宋体"/>
                <w:color w:val="auto"/>
                <w:sz w:val="28"/>
                <w:szCs w:val="28"/>
              </w:rPr>
              <w:t>网址</w:t>
            </w:r>
          </w:p>
        </w:tc>
        <w:tc>
          <w:tcPr>
            <w:tcW w:w="2344" w:type="dxa"/>
            <w:gridSpan w:val="3"/>
            <w:noWrap w:val="0"/>
            <w:vAlign w:val="center"/>
          </w:tcPr>
          <w:p w14:paraId="62DDB2CC">
            <w:pPr>
              <w:pStyle w:val="25"/>
              <w:jc w:val="center"/>
              <w:rPr>
                <w:rFonts w:hint="eastAsia" w:ascii="宋体" w:hAnsi="宋体" w:eastAsia="宋体" w:cs="宋体"/>
                <w:color w:val="auto"/>
                <w:sz w:val="28"/>
                <w:szCs w:val="28"/>
              </w:rPr>
            </w:pPr>
          </w:p>
        </w:tc>
      </w:tr>
      <w:tr w14:paraId="62701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329" w:type="dxa"/>
            <w:noWrap w:val="0"/>
            <w:vAlign w:val="center"/>
          </w:tcPr>
          <w:p w14:paraId="641F0CBA">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c>
          <w:tcPr>
            <w:tcW w:w="1089" w:type="dxa"/>
            <w:noWrap w:val="0"/>
            <w:vAlign w:val="center"/>
          </w:tcPr>
          <w:p w14:paraId="29C57257">
            <w:pPr>
              <w:pStyle w:val="25"/>
              <w:spacing w:before="77" w:line="343" w:lineRule="exact"/>
              <w:ind w:left="8"/>
              <w:jc w:val="center"/>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836" w:type="dxa"/>
            <w:noWrap w:val="0"/>
            <w:vAlign w:val="center"/>
          </w:tcPr>
          <w:p w14:paraId="606B74C1">
            <w:pPr>
              <w:pStyle w:val="25"/>
              <w:jc w:val="center"/>
              <w:rPr>
                <w:rFonts w:hint="eastAsia" w:ascii="宋体" w:hAnsi="宋体" w:eastAsia="宋体" w:cs="宋体"/>
                <w:color w:val="auto"/>
                <w:sz w:val="28"/>
                <w:szCs w:val="28"/>
              </w:rPr>
            </w:pPr>
          </w:p>
        </w:tc>
        <w:tc>
          <w:tcPr>
            <w:tcW w:w="1268" w:type="dxa"/>
            <w:noWrap w:val="0"/>
            <w:vAlign w:val="center"/>
          </w:tcPr>
          <w:p w14:paraId="0950A53D">
            <w:pPr>
              <w:pStyle w:val="25"/>
              <w:spacing w:before="77" w:line="343" w:lineRule="exact"/>
              <w:jc w:val="both"/>
              <w:rPr>
                <w:rFonts w:hint="eastAsia" w:ascii="宋体" w:hAnsi="宋体" w:eastAsia="宋体" w:cs="宋体"/>
                <w:color w:val="auto"/>
                <w:sz w:val="28"/>
                <w:szCs w:val="28"/>
              </w:rPr>
            </w:pPr>
            <w:r>
              <w:rPr>
                <w:rFonts w:hint="eastAsia" w:ascii="宋体" w:hAnsi="宋体" w:eastAsia="宋体" w:cs="宋体"/>
                <w:color w:val="auto"/>
                <w:sz w:val="28"/>
                <w:szCs w:val="28"/>
              </w:rPr>
              <w:t>技术职称</w:t>
            </w:r>
          </w:p>
        </w:tc>
        <w:tc>
          <w:tcPr>
            <w:tcW w:w="1305" w:type="dxa"/>
            <w:gridSpan w:val="2"/>
            <w:noWrap w:val="0"/>
            <w:vAlign w:val="center"/>
          </w:tcPr>
          <w:p w14:paraId="51872CD5">
            <w:pPr>
              <w:pStyle w:val="25"/>
              <w:jc w:val="center"/>
              <w:rPr>
                <w:rFonts w:hint="eastAsia" w:ascii="宋体" w:hAnsi="宋体" w:eastAsia="宋体" w:cs="宋体"/>
                <w:color w:val="auto"/>
                <w:sz w:val="28"/>
                <w:szCs w:val="28"/>
              </w:rPr>
            </w:pPr>
          </w:p>
        </w:tc>
        <w:tc>
          <w:tcPr>
            <w:tcW w:w="1114" w:type="dxa"/>
            <w:gridSpan w:val="2"/>
            <w:noWrap w:val="0"/>
            <w:vAlign w:val="center"/>
          </w:tcPr>
          <w:p w14:paraId="19260079">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1230" w:type="dxa"/>
            <w:noWrap w:val="0"/>
            <w:vAlign w:val="center"/>
          </w:tcPr>
          <w:p w14:paraId="54993629">
            <w:pPr>
              <w:pStyle w:val="25"/>
              <w:jc w:val="center"/>
              <w:rPr>
                <w:rFonts w:hint="eastAsia" w:ascii="宋体" w:hAnsi="宋体" w:eastAsia="宋体" w:cs="宋体"/>
                <w:color w:val="auto"/>
                <w:sz w:val="28"/>
                <w:szCs w:val="28"/>
              </w:rPr>
            </w:pPr>
          </w:p>
        </w:tc>
      </w:tr>
      <w:tr w14:paraId="6A0FD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2329" w:type="dxa"/>
            <w:noWrap w:val="0"/>
            <w:vAlign w:val="center"/>
          </w:tcPr>
          <w:p w14:paraId="21FAF0EA">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技术负责人</w:t>
            </w:r>
          </w:p>
        </w:tc>
        <w:tc>
          <w:tcPr>
            <w:tcW w:w="1089" w:type="dxa"/>
            <w:noWrap w:val="0"/>
            <w:vAlign w:val="center"/>
          </w:tcPr>
          <w:p w14:paraId="5C4773A2">
            <w:pPr>
              <w:pStyle w:val="25"/>
              <w:spacing w:before="77" w:line="341" w:lineRule="exact"/>
              <w:ind w:left="8"/>
              <w:jc w:val="center"/>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836" w:type="dxa"/>
            <w:noWrap w:val="0"/>
            <w:vAlign w:val="center"/>
          </w:tcPr>
          <w:p w14:paraId="7CAC4A82">
            <w:pPr>
              <w:pStyle w:val="25"/>
              <w:jc w:val="center"/>
              <w:rPr>
                <w:rFonts w:hint="eastAsia" w:ascii="宋体" w:hAnsi="宋体" w:eastAsia="宋体" w:cs="宋体"/>
                <w:color w:val="auto"/>
                <w:sz w:val="28"/>
                <w:szCs w:val="28"/>
              </w:rPr>
            </w:pPr>
          </w:p>
        </w:tc>
        <w:tc>
          <w:tcPr>
            <w:tcW w:w="1268" w:type="dxa"/>
            <w:noWrap w:val="0"/>
            <w:vAlign w:val="center"/>
          </w:tcPr>
          <w:p w14:paraId="5CB8C842">
            <w:pPr>
              <w:pStyle w:val="25"/>
              <w:spacing w:before="77" w:line="341" w:lineRule="exact"/>
              <w:jc w:val="both"/>
              <w:rPr>
                <w:rFonts w:hint="eastAsia" w:ascii="宋体" w:hAnsi="宋体" w:eastAsia="宋体" w:cs="宋体"/>
                <w:color w:val="auto"/>
                <w:sz w:val="28"/>
                <w:szCs w:val="28"/>
              </w:rPr>
            </w:pPr>
            <w:r>
              <w:rPr>
                <w:rFonts w:hint="eastAsia" w:ascii="宋体" w:hAnsi="宋体" w:eastAsia="宋体" w:cs="宋体"/>
                <w:color w:val="auto"/>
                <w:sz w:val="28"/>
                <w:szCs w:val="28"/>
              </w:rPr>
              <w:t>技术职称</w:t>
            </w:r>
          </w:p>
        </w:tc>
        <w:tc>
          <w:tcPr>
            <w:tcW w:w="1305" w:type="dxa"/>
            <w:gridSpan w:val="2"/>
            <w:noWrap w:val="0"/>
            <w:vAlign w:val="center"/>
          </w:tcPr>
          <w:p w14:paraId="58EE8902">
            <w:pPr>
              <w:pStyle w:val="25"/>
              <w:jc w:val="center"/>
              <w:rPr>
                <w:rFonts w:hint="eastAsia" w:ascii="宋体" w:hAnsi="宋体" w:eastAsia="宋体" w:cs="宋体"/>
                <w:color w:val="auto"/>
                <w:sz w:val="28"/>
                <w:szCs w:val="28"/>
              </w:rPr>
            </w:pPr>
          </w:p>
        </w:tc>
        <w:tc>
          <w:tcPr>
            <w:tcW w:w="1114" w:type="dxa"/>
            <w:gridSpan w:val="2"/>
            <w:noWrap w:val="0"/>
            <w:vAlign w:val="center"/>
          </w:tcPr>
          <w:p w14:paraId="2A34EDC9">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c>
          <w:tcPr>
            <w:tcW w:w="1230" w:type="dxa"/>
            <w:noWrap w:val="0"/>
            <w:vAlign w:val="center"/>
          </w:tcPr>
          <w:p w14:paraId="62B05F98">
            <w:pPr>
              <w:pStyle w:val="25"/>
              <w:jc w:val="center"/>
              <w:rPr>
                <w:rFonts w:hint="eastAsia" w:ascii="宋体" w:hAnsi="宋体" w:eastAsia="宋体" w:cs="宋体"/>
                <w:color w:val="auto"/>
                <w:sz w:val="28"/>
                <w:szCs w:val="28"/>
              </w:rPr>
            </w:pPr>
          </w:p>
        </w:tc>
      </w:tr>
      <w:tr w14:paraId="14CC8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329" w:type="dxa"/>
            <w:noWrap w:val="0"/>
            <w:vAlign w:val="center"/>
          </w:tcPr>
          <w:p w14:paraId="4A66719C">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企业设计资质证书</w:t>
            </w:r>
          </w:p>
        </w:tc>
        <w:tc>
          <w:tcPr>
            <w:tcW w:w="6842" w:type="dxa"/>
            <w:gridSpan w:val="8"/>
            <w:noWrap w:val="0"/>
            <w:vAlign w:val="center"/>
          </w:tcPr>
          <w:p w14:paraId="671D3489">
            <w:pPr>
              <w:pStyle w:val="25"/>
              <w:tabs>
                <w:tab w:val="left" w:pos="3790"/>
                <w:tab w:val="left" w:pos="5050"/>
              </w:tabs>
              <w:spacing w:before="77" w:line="343" w:lineRule="exact"/>
              <w:ind w:left="1058"/>
              <w:jc w:val="center"/>
              <w:rPr>
                <w:rFonts w:hint="eastAsia" w:ascii="宋体" w:hAnsi="宋体" w:eastAsia="宋体" w:cs="宋体"/>
                <w:color w:val="auto"/>
                <w:sz w:val="28"/>
                <w:szCs w:val="28"/>
              </w:rPr>
            </w:pPr>
            <w:r>
              <w:rPr>
                <w:rFonts w:hint="eastAsia" w:ascii="宋体" w:hAnsi="宋体" w:eastAsia="宋体" w:cs="宋体"/>
                <w:color w:val="auto"/>
                <w:sz w:val="28"/>
                <w:szCs w:val="28"/>
              </w:rPr>
              <w:t>类型：</w:t>
            </w:r>
            <w:r>
              <w:rPr>
                <w:rFonts w:hint="eastAsia" w:ascii="宋体" w:hAnsi="宋体" w:eastAsia="宋体" w:cs="宋体"/>
                <w:color w:val="auto"/>
                <w:sz w:val="28"/>
                <w:szCs w:val="28"/>
              </w:rPr>
              <w:tab/>
            </w:r>
            <w:r>
              <w:rPr>
                <w:rFonts w:hint="eastAsia" w:ascii="宋体" w:hAnsi="宋体" w:eastAsia="宋体" w:cs="宋体"/>
                <w:color w:val="auto"/>
                <w:spacing w:val="-3"/>
                <w:sz w:val="28"/>
                <w:szCs w:val="28"/>
              </w:rPr>
              <w:t>等</w:t>
            </w:r>
            <w:r>
              <w:rPr>
                <w:rFonts w:hint="eastAsia" w:ascii="宋体" w:hAnsi="宋体" w:eastAsia="宋体" w:cs="宋体"/>
                <w:color w:val="auto"/>
                <w:sz w:val="28"/>
                <w:szCs w:val="28"/>
              </w:rPr>
              <w:t>级：</w:t>
            </w:r>
            <w:r>
              <w:rPr>
                <w:rFonts w:hint="eastAsia" w:ascii="宋体" w:hAnsi="宋体" w:eastAsia="宋体" w:cs="宋体"/>
                <w:color w:val="auto"/>
                <w:sz w:val="28"/>
                <w:szCs w:val="28"/>
              </w:rPr>
              <w:tab/>
            </w:r>
            <w:r>
              <w:rPr>
                <w:rFonts w:hint="eastAsia" w:ascii="宋体" w:hAnsi="宋体" w:eastAsia="宋体" w:cs="宋体"/>
                <w:color w:val="auto"/>
                <w:spacing w:val="-3"/>
                <w:sz w:val="28"/>
                <w:szCs w:val="28"/>
              </w:rPr>
              <w:t>证</w:t>
            </w:r>
            <w:r>
              <w:rPr>
                <w:rFonts w:hint="eastAsia" w:ascii="宋体" w:hAnsi="宋体" w:eastAsia="宋体" w:cs="宋体"/>
                <w:color w:val="auto"/>
                <w:sz w:val="28"/>
                <w:szCs w:val="28"/>
              </w:rPr>
              <w:t>书</w:t>
            </w:r>
            <w:r>
              <w:rPr>
                <w:rFonts w:hint="eastAsia" w:ascii="宋体" w:hAnsi="宋体" w:eastAsia="宋体" w:cs="宋体"/>
                <w:color w:val="auto"/>
                <w:spacing w:val="-3"/>
                <w:sz w:val="28"/>
                <w:szCs w:val="28"/>
              </w:rPr>
              <w:t>号</w:t>
            </w:r>
            <w:r>
              <w:rPr>
                <w:rFonts w:hint="eastAsia" w:ascii="宋体" w:hAnsi="宋体" w:eastAsia="宋体" w:cs="宋体"/>
                <w:color w:val="auto"/>
                <w:sz w:val="28"/>
                <w:szCs w:val="28"/>
              </w:rPr>
              <w:t>：</w:t>
            </w:r>
          </w:p>
        </w:tc>
      </w:tr>
      <w:tr w14:paraId="3FD28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2329" w:type="dxa"/>
            <w:noWrap w:val="0"/>
            <w:vAlign w:val="center"/>
          </w:tcPr>
          <w:p w14:paraId="0AE99D89">
            <w:pPr>
              <w:pStyle w:val="25"/>
              <w:spacing w:before="77"/>
              <w:ind w:right="151"/>
              <w:jc w:val="center"/>
              <w:rPr>
                <w:rFonts w:hint="eastAsia" w:ascii="宋体" w:hAnsi="宋体" w:eastAsia="宋体" w:cs="宋体"/>
                <w:color w:val="auto"/>
                <w:sz w:val="28"/>
                <w:szCs w:val="28"/>
              </w:rPr>
            </w:pPr>
            <w:r>
              <w:rPr>
                <w:rFonts w:hint="eastAsia" w:ascii="宋体" w:hAnsi="宋体" w:eastAsia="宋体" w:cs="宋体"/>
                <w:color w:val="auto"/>
                <w:sz w:val="28"/>
                <w:szCs w:val="28"/>
              </w:rPr>
              <w:t>质量管理体系证书（如有）</w:t>
            </w:r>
          </w:p>
        </w:tc>
        <w:tc>
          <w:tcPr>
            <w:tcW w:w="6842" w:type="dxa"/>
            <w:gridSpan w:val="8"/>
            <w:noWrap w:val="0"/>
            <w:vAlign w:val="center"/>
          </w:tcPr>
          <w:p w14:paraId="0FB704F7">
            <w:pPr>
              <w:pStyle w:val="25"/>
              <w:tabs>
                <w:tab w:val="left" w:pos="3790"/>
                <w:tab w:val="left" w:pos="5050"/>
              </w:tabs>
              <w:ind w:left="1058"/>
              <w:jc w:val="center"/>
              <w:rPr>
                <w:rFonts w:hint="eastAsia" w:ascii="宋体" w:hAnsi="宋体" w:eastAsia="宋体" w:cs="宋体"/>
                <w:color w:val="auto"/>
                <w:sz w:val="28"/>
                <w:szCs w:val="28"/>
              </w:rPr>
            </w:pPr>
            <w:r>
              <w:rPr>
                <w:rFonts w:hint="eastAsia" w:ascii="宋体" w:hAnsi="宋体" w:eastAsia="宋体" w:cs="宋体"/>
                <w:color w:val="auto"/>
                <w:sz w:val="28"/>
                <w:szCs w:val="28"/>
              </w:rPr>
              <w:t>类型：</w:t>
            </w:r>
            <w:r>
              <w:rPr>
                <w:rFonts w:hint="eastAsia" w:ascii="宋体" w:hAnsi="宋体" w:eastAsia="宋体" w:cs="宋体"/>
                <w:color w:val="auto"/>
                <w:sz w:val="28"/>
                <w:szCs w:val="28"/>
              </w:rPr>
              <w:tab/>
            </w:r>
            <w:r>
              <w:rPr>
                <w:rFonts w:hint="eastAsia" w:ascii="宋体" w:hAnsi="宋体" w:eastAsia="宋体" w:cs="宋体"/>
                <w:color w:val="auto"/>
                <w:spacing w:val="-3"/>
                <w:sz w:val="28"/>
                <w:szCs w:val="28"/>
              </w:rPr>
              <w:t>等</w:t>
            </w:r>
            <w:r>
              <w:rPr>
                <w:rFonts w:hint="eastAsia" w:ascii="宋体" w:hAnsi="宋体" w:eastAsia="宋体" w:cs="宋体"/>
                <w:color w:val="auto"/>
                <w:sz w:val="28"/>
                <w:szCs w:val="28"/>
              </w:rPr>
              <w:t>级：</w:t>
            </w:r>
            <w:r>
              <w:rPr>
                <w:rFonts w:hint="eastAsia" w:ascii="宋体" w:hAnsi="宋体" w:eastAsia="宋体" w:cs="宋体"/>
                <w:color w:val="auto"/>
                <w:sz w:val="28"/>
                <w:szCs w:val="28"/>
              </w:rPr>
              <w:tab/>
            </w:r>
            <w:r>
              <w:rPr>
                <w:rFonts w:hint="eastAsia" w:ascii="宋体" w:hAnsi="宋体" w:eastAsia="宋体" w:cs="宋体"/>
                <w:color w:val="auto"/>
                <w:spacing w:val="-3"/>
                <w:sz w:val="28"/>
                <w:szCs w:val="28"/>
              </w:rPr>
              <w:t>证</w:t>
            </w:r>
            <w:r>
              <w:rPr>
                <w:rFonts w:hint="eastAsia" w:ascii="宋体" w:hAnsi="宋体" w:eastAsia="宋体" w:cs="宋体"/>
                <w:color w:val="auto"/>
                <w:sz w:val="28"/>
                <w:szCs w:val="28"/>
              </w:rPr>
              <w:t>书</w:t>
            </w:r>
            <w:r>
              <w:rPr>
                <w:rFonts w:hint="eastAsia" w:ascii="宋体" w:hAnsi="宋体" w:eastAsia="宋体" w:cs="宋体"/>
                <w:color w:val="auto"/>
                <w:spacing w:val="-3"/>
                <w:sz w:val="28"/>
                <w:szCs w:val="28"/>
              </w:rPr>
              <w:t>号</w:t>
            </w:r>
            <w:r>
              <w:rPr>
                <w:rFonts w:hint="eastAsia" w:ascii="宋体" w:hAnsi="宋体" w:eastAsia="宋体" w:cs="宋体"/>
                <w:color w:val="auto"/>
                <w:sz w:val="28"/>
                <w:szCs w:val="28"/>
              </w:rPr>
              <w:t>：</w:t>
            </w:r>
          </w:p>
        </w:tc>
      </w:tr>
      <w:tr w14:paraId="08EBE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2329" w:type="dxa"/>
            <w:noWrap w:val="0"/>
            <w:vAlign w:val="center"/>
          </w:tcPr>
          <w:p w14:paraId="1AC63964">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营业执照号</w:t>
            </w:r>
          </w:p>
        </w:tc>
        <w:tc>
          <w:tcPr>
            <w:tcW w:w="3193" w:type="dxa"/>
            <w:gridSpan w:val="3"/>
            <w:noWrap w:val="0"/>
            <w:vAlign w:val="center"/>
          </w:tcPr>
          <w:p w14:paraId="2531A60E">
            <w:pPr>
              <w:pStyle w:val="25"/>
              <w:jc w:val="center"/>
              <w:rPr>
                <w:rFonts w:hint="eastAsia" w:ascii="宋体" w:hAnsi="宋体" w:eastAsia="宋体" w:cs="宋体"/>
                <w:color w:val="auto"/>
                <w:sz w:val="28"/>
                <w:szCs w:val="28"/>
              </w:rPr>
            </w:pPr>
          </w:p>
        </w:tc>
        <w:tc>
          <w:tcPr>
            <w:tcW w:w="3649" w:type="dxa"/>
            <w:gridSpan w:val="5"/>
            <w:noWrap w:val="0"/>
            <w:vAlign w:val="center"/>
          </w:tcPr>
          <w:p w14:paraId="493B72F8">
            <w:pPr>
              <w:pStyle w:val="25"/>
              <w:spacing w:before="77" w:line="341" w:lineRule="exact"/>
              <w:ind w:left="1182"/>
              <w:jc w:val="center"/>
              <w:rPr>
                <w:rFonts w:hint="eastAsia" w:ascii="宋体" w:hAnsi="宋体" w:eastAsia="宋体" w:cs="宋体"/>
                <w:color w:val="auto"/>
                <w:sz w:val="28"/>
                <w:szCs w:val="28"/>
              </w:rPr>
            </w:pPr>
            <w:r>
              <w:rPr>
                <w:rFonts w:hint="eastAsia" w:ascii="宋体" w:hAnsi="宋体" w:eastAsia="宋体" w:cs="宋体"/>
                <w:color w:val="auto"/>
                <w:sz w:val="28"/>
                <w:szCs w:val="28"/>
              </w:rPr>
              <w:t>员工总人数：</w:t>
            </w:r>
          </w:p>
        </w:tc>
      </w:tr>
      <w:tr w14:paraId="077FF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329" w:type="dxa"/>
            <w:noWrap w:val="0"/>
            <w:vAlign w:val="center"/>
          </w:tcPr>
          <w:p w14:paraId="0EFC403A">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注册资本</w:t>
            </w:r>
          </w:p>
        </w:tc>
        <w:tc>
          <w:tcPr>
            <w:tcW w:w="3193" w:type="dxa"/>
            <w:gridSpan w:val="3"/>
            <w:noWrap w:val="0"/>
            <w:vAlign w:val="center"/>
          </w:tcPr>
          <w:p w14:paraId="27E60F20">
            <w:pPr>
              <w:pStyle w:val="25"/>
              <w:jc w:val="center"/>
              <w:rPr>
                <w:rFonts w:hint="eastAsia" w:ascii="宋体" w:hAnsi="宋体" w:eastAsia="宋体" w:cs="宋体"/>
                <w:color w:val="auto"/>
                <w:sz w:val="28"/>
                <w:szCs w:val="28"/>
              </w:rPr>
            </w:pPr>
          </w:p>
        </w:tc>
        <w:tc>
          <w:tcPr>
            <w:tcW w:w="434" w:type="dxa"/>
            <w:vMerge w:val="restart"/>
            <w:noWrap w:val="0"/>
            <w:vAlign w:val="center"/>
          </w:tcPr>
          <w:p w14:paraId="4DB17B04">
            <w:pPr>
              <w:pStyle w:val="25"/>
              <w:jc w:val="center"/>
              <w:rPr>
                <w:rFonts w:hint="eastAsia" w:ascii="宋体" w:hAnsi="宋体" w:eastAsia="宋体" w:cs="宋体"/>
                <w:color w:val="auto"/>
                <w:sz w:val="28"/>
                <w:szCs w:val="28"/>
              </w:rPr>
            </w:pPr>
          </w:p>
          <w:p w14:paraId="035356CE">
            <w:pPr>
              <w:pStyle w:val="25"/>
              <w:spacing w:line="273" w:lineRule="auto"/>
              <w:ind w:left="107" w:right="84"/>
              <w:jc w:val="center"/>
              <w:rPr>
                <w:rFonts w:hint="eastAsia" w:ascii="宋体" w:hAnsi="宋体" w:eastAsia="宋体" w:cs="宋体"/>
                <w:color w:val="auto"/>
                <w:sz w:val="28"/>
                <w:szCs w:val="28"/>
              </w:rPr>
            </w:pPr>
            <w:r>
              <w:rPr>
                <w:rFonts w:hint="eastAsia" w:ascii="宋体" w:hAnsi="宋体" w:eastAsia="宋体" w:cs="宋体"/>
                <w:color w:val="auto"/>
                <w:sz w:val="28"/>
                <w:szCs w:val="28"/>
              </w:rPr>
              <w:t>其中</w:t>
            </w:r>
          </w:p>
        </w:tc>
        <w:tc>
          <w:tcPr>
            <w:tcW w:w="1699" w:type="dxa"/>
            <w:gridSpan w:val="2"/>
            <w:noWrap w:val="0"/>
            <w:vAlign w:val="center"/>
          </w:tcPr>
          <w:p w14:paraId="010A56E9">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高级职称人员</w:t>
            </w:r>
          </w:p>
        </w:tc>
        <w:tc>
          <w:tcPr>
            <w:tcW w:w="1516" w:type="dxa"/>
            <w:gridSpan w:val="2"/>
            <w:noWrap w:val="0"/>
            <w:vAlign w:val="center"/>
          </w:tcPr>
          <w:p w14:paraId="4DFF6130">
            <w:pPr>
              <w:pStyle w:val="25"/>
              <w:jc w:val="center"/>
              <w:rPr>
                <w:rFonts w:hint="eastAsia" w:ascii="宋体" w:hAnsi="宋体" w:eastAsia="宋体" w:cs="宋体"/>
                <w:color w:val="auto"/>
                <w:sz w:val="28"/>
                <w:szCs w:val="28"/>
              </w:rPr>
            </w:pPr>
          </w:p>
        </w:tc>
      </w:tr>
      <w:tr w14:paraId="6CBCF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2329" w:type="dxa"/>
            <w:noWrap w:val="0"/>
            <w:vAlign w:val="center"/>
          </w:tcPr>
          <w:p w14:paraId="196A0C9C">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成立日期</w:t>
            </w:r>
          </w:p>
        </w:tc>
        <w:tc>
          <w:tcPr>
            <w:tcW w:w="3193" w:type="dxa"/>
            <w:gridSpan w:val="3"/>
            <w:noWrap w:val="0"/>
            <w:vAlign w:val="center"/>
          </w:tcPr>
          <w:p w14:paraId="511776DE">
            <w:pPr>
              <w:pStyle w:val="25"/>
              <w:jc w:val="center"/>
              <w:rPr>
                <w:rFonts w:hint="eastAsia" w:ascii="宋体" w:hAnsi="宋体" w:eastAsia="宋体" w:cs="宋体"/>
                <w:color w:val="auto"/>
                <w:sz w:val="28"/>
                <w:szCs w:val="28"/>
              </w:rPr>
            </w:pPr>
          </w:p>
        </w:tc>
        <w:tc>
          <w:tcPr>
            <w:tcW w:w="434" w:type="dxa"/>
            <w:vMerge w:val="continue"/>
            <w:tcBorders>
              <w:top w:val="nil"/>
            </w:tcBorders>
            <w:noWrap w:val="0"/>
            <w:vAlign w:val="center"/>
          </w:tcPr>
          <w:p w14:paraId="4771FB89">
            <w:pPr>
              <w:jc w:val="center"/>
              <w:rPr>
                <w:rFonts w:hint="eastAsia" w:ascii="宋体" w:hAnsi="宋体" w:eastAsia="宋体" w:cs="宋体"/>
                <w:color w:val="auto"/>
                <w:sz w:val="28"/>
                <w:szCs w:val="28"/>
              </w:rPr>
            </w:pPr>
          </w:p>
        </w:tc>
        <w:tc>
          <w:tcPr>
            <w:tcW w:w="1699" w:type="dxa"/>
            <w:gridSpan w:val="2"/>
            <w:noWrap w:val="0"/>
            <w:vAlign w:val="center"/>
          </w:tcPr>
          <w:p w14:paraId="0FA0385B">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中级职称人员</w:t>
            </w:r>
          </w:p>
        </w:tc>
        <w:tc>
          <w:tcPr>
            <w:tcW w:w="1516" w:type="dxa"/>
            <w:gridSpan w:val="2"/>
            <w:noWrap w:val="0"/>
            <w:vAlign w:val="center"/>
          </w:tcPr>
          <w:p w14:paraId="220E45EA">
            <w:pPr>
              <w:pStyle w:val="25"/>
              <w:jc w:val="center"/>
              <w:rPr>
                <w:rFonts w:hint="eastAsia" w:ascii="宋体" w:hAnsi="宋体" w:eastAsia="宋体" w:cs="宋体"/>
                <w:color w:val="auto"/>
                <w:sz w:val="28"/>
                <w:szCs w:val="28"/>
              </w:rPr>
            </w:pPr>
          </w:p>
        </w:tc>
      </w:tr>
      <w:tr w14:paraId="6DF8D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2329" w:type="dxa"/>
            <w:noWrap w:val="0"/>
            <w:vAlign w:val="center"/>
          </w:tcPr>
          <w:p w14:paraId="1005D604">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基本账户开户银行</w:t>
            </w:r>
          </w:p>
        </w:tc>
        <w:tc>
          <w:tcPr>
            <w:tcW w:w="3193" w:type="dxa"/>
            <w:gridSpan w:val="3"/>
            <w:noWrap w:val="0"/>
            <w:vAlign w:val="center"/>
          </w:tcPr>
          <w:p w14:paraId="6E02C615">
            <w:pPr>
              <w:pStyle w:val="25"/>
              <w:jc w:val="center"/>
              <w:rPr>
                <w:rFonts w:hint="eastAsia" w:ascii="宋体" w:hAnsi="宋体" w:eastAsia="宋体" w:cs="宋体"/>
                <w:color w:val="auto"/>
                <w:sz w:val="28"/>
                <w:szCs w:val="28"/>
              </w:rPr>
            </w:pPr>
          </w:p>
        </w:tc>
        <w:tc>
          <w:tcPr>
            <w:tcW w:w="434" w:type="dxa"/>
            <w:vMerge w:val="continue"/>
            <w:tcBorders>
              <w:top w:val="nil"/>
            </w:tcBorders>
            <w:noWrap w:val="0"/>
            <w:vAlign w:val="center"/>
          </w:tcPr>
          <w:p w14:paraId="2B8D222B">
            <w:pPr>
              <w:jc w:val="center"/>
              <w:rPr>
                <w:rFonts w:hint="eastAsia" w:ascii="宋体" w:hAnsi="宋体" w:eastAsia="宋体" w:cs="宋体"/>
                <w:color w:val="auto"/>
                <w:sz w:val="28"/>
                <w:szCs w:val="28"/>
              </w:rPr>
            </w:pPr>
          </w:p>
        </w:tc>
        <w:tc>
          <w:tcPr>
            <w:tcW w:w="1699" w:type="dxa"/>
            <w:gridSpan w:val="2"/>
            <w:noWrap w:val="0"/>
            <w:vAlign w:val="center"/>
          </w:tcPr>
          <w:p w14:paraId="30264307">
            <w:pPr>
              <w:pStyle w:val="25"/>
              <w:spacing w:before="77" w:line="343"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技术人员数量</w:t>
            </w:r>
          </w:p>
        </w:tc>
        <w:tc>
          <w:tcPr>
            <w:tcW w:w="1516" w:type="dxa"/>
            <w:gridSpan w:val="2"/>
            <w:noWrap w:val="0"/>
            <w:vAlign w:val="center"/>
          </w:tcPr>
          <w:p w14:paraId="26E4D211">
            <w:pPr>
              <w:pStyle w:val="25"/>
              <w:jc w:val="center"/>
              <w:rPr>
                <w:rFonts w:hint="eastAsia" w:ascii="宋体" w:hAnsi="宋体" w:eastAsia="宋体" w:cs="宋体"/>
                <w:color w:val="auto"/>
                <w:sz w:val="28"/>
                <w:szCs w:val="28"/>
              </w:rPr>
            </w:pPr>
          </w:p>
        </w:tc>
      </w:tr>
      <w:tr w14:paraId="0CF93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2329" w:type="dxa"/>
            <w:noWrap w:val="0"/>
            <w:vAlign w:val="center"/>
          </w:tcPr>
          <w:p w14:paraId="3E7FD5DA">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基本账户银行账号</w:t>
            </w:r>
          </w:p>
        </w:tc>
        <w:tc>
          <w:tcPr>
            <w:tcW w:w="3193" w:type="dxa"/>
            <w:gridSpan w:val="3"/>
            <w:noWrap w:val="0"/>
            <w:vAlign w:val="center"/>
          </w:tcPr>
          <w:p w14:paraId="695100DD">
            <w:pPr>
              <w:pStyle w:val="25"/>
              <w:jc w:val="center"/>
              <w:rPr>
                <w:rFonts w:hint="eastAsia" w:ascii="宋体" w:hAnsi="宋体" w:eastAsia="宋体" w:cs="宋体"/>
                <w:color w:val="auto"/>
                <w:sz w:val="28"/>
                <w:szCs w:val="28"/>
              </w:rPr>
            </w:pPr>
          </w:p>
        </w:tc>
        <w:tc>
          <w:tcPr>
            <w:tcW w:w="434" w:type="dxa"/>
            <w:vMerge w:val="continue"/>
            <w:tcBorders>
              <w:top w:val="nil"/>
            </w:tcBorders>
            <w:noWrap w:val="0"/>
            <w:vAlign w:val="center"/>
          </w:tcPr>
          <w:p w14:paraId="7895ADD7">
            <w:pPr>
              <w:jc w:val="center"/>
              <w:rPr>
                <w:rFonts w:hint="eastAsia" w:ascii="宋体" w:hAnsi="宋体" w:eastAsia="宋体" w:cs="宋体"/>
                <w:color w:val="auto"/>
                <w:sz w:val="28"/>
                <w:szCs w:val="28"/>
              </w:rPr>
            </w:pPr>
          </w:p>
        </w:tc>
        <w:tc>
          <w:tcPr>
            <w:tcW w:w="1699" w:type="dxa"/>
            <w:gridSpan w:val="2"/>
            <w:noWrap w:val="0"/>
            <w:vAlign w:val="center"/>
          </w:tcPr>
          <w:p w14:paraId="286A8140">
            <w:pPr>
              <w:pStyle w:val="25"/>
              <w:spacing w:before="77" w:line="341"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各类注册人员</w:t>
            </w:r>
          </w:p>
        </w:tc>
        <w:tc>
          <w:tcPr>
            <w:tcW w:w="1516" w:type="dxa"/>
            <w:gridSpan w:val="2"/>
            <w:noWrap w:val="0"/>
            <w:vAlign w:val="center"/>
          </w:tcPr>
          <w:p w14:paraId="24EB986C">
            <w:pPr>
              <w:pStyle w:val="25"/>
              <w:jc w:val="center"/>
              <w:rPr>
                <w:rFonts w:hint="eastAsia" w:ascii="宋体" w:hAnsi="宋体" w:eastAsia="宋体" w:cs="宋体"/>
                <w:color w:val="auto"/>
                <w:sz w:val="28"/>
                <w:szCs w:val="28"/>
              </w:rPr>
            </w:pPr>
          </w:p>
        </w:tc>
      </w:tr>
      <w:tr w14:paraId="577A7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3" w:hRule="atLeast"/>
        </w:trPr>
        <w:tc>
          <w:tcPr>
            <w:tcW w:w="2329" w:type="dxa"/>
            <w:noWrap w:val="0"/>
            <w:vAlign w:val="center"/>
          </w:tcPr>
          <w:p w14:paraId="2C33EACB">
            <w:pPr>
              <w:pStyle w:val="25"/>
              <w:spacing w:line="340" w:lineRule="exact"/>
              <w:jc w:val="both"/>
              <w:rPr>
                <w:rFonts w:hint="eastAsia" w:ascii="宋体" w:hAnsi="宋体" w:eastAsia="宋体" w:cs="宋体"/>
                <w:color w:val="auto"/>
                <w:spacing w:val="-3"/>
                <w:sz w:val="28"/>
                <w:szCs w:val="28"/>
                <w:lang w:eastAsia="zh-CN"/>
              </w:rPr>
            </w:pPr>
          </w:p>
          <w:p w14:paraId="1F3F796F">
            <w:pPr>
              <w:pStyle w:val="25"/>
              <w:spacing w:line="340" w:lineRule="exact"/>
              <w:jc w:val="center"/>
              <w:rPr>
                <w:rFonts w:hint="eastAsia" w:ascii="宋体" w:hAnsi="宋体" w:eastAsia="宋体" w:cs="宋体"/>
                <w:color w:val="auto"/>
                <w:sz w:val="28"/>
                <w:szCs w:val="28"/>
                <w:lang w:eastAsia="zh-CN"/>
              </w:rPr>
            </w:pPr>
            <w:r>
              <w:rPr>
                <w:rFonts w:hint="eastAsia" w:ascii="宋体" w:hAnsi="宋体" w:eastAsia="宋体" w:cs="宋体"/>
                <w:color w:val="auto"/>
                <w:spacing w:val="-3"/>
                <w:sz w:val="28"/>
                <w:szCs w:val="28"/>
                <w:lang w:eastAsia="zh-CN"/>
              </w:rPr>
              <w:t>经营范围</w:t>
            </w:r>
          </w:p>
        </w:tc>
        <w:tc>
          <w:tcPr>
            <w:tcW w:w="6842" w:type="dxa"/>
            <w:gridSpan w:val="8"/>
            <w:noWrap w:val="0"/>
            <w:vAlign w:val="center"/>
          </w:tcPr>
          <w:p w14:paraId="5D06849F">
            <w:pPr>
              <w:pStyle w:val="25"/>
              <w:jc w:val="both"/>
              <w:rPr>
                <w:rFonts w:hint="eastAsia" w:ascii="宋体" w:hAnsi="宋体" w:eastAsia="宋体" w:cs="宋体"/>
                <w:color w:val="auto"/>
                <w:sz w:val="28"/>
                <w:szCs w:val="28"/>
              </w:rPr>
            </w:pPr>
          </w:p>
        </w:tc>
      </w:tr>
      <w:tr w14:paraId="79D5D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2329" w:type="dxa"/>
            <w:noWrap w:val="0"/>
            <w:vAlign w:val="center"/>
          </w:tcPr>
          <w:p w14:paraId="6E1182BC">
            <w:pPr>
              <w:pStyle w:val="25"/>
              <w:spacing w:before="77" w:line="341" w:lineRule="exact"/>
              <w:ind w:left="163" w:right="149"/>
              <w:jc w:val="center"/>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6842" w:type="dxa"/>
            <w:gridSpan w:val="8"/>
            <w:noWrap w:val="0"/>
            <w:vAlign w:val="center"/>
          </w:tcPr>
          <w:p w14:paraId="6ED77A75">
            <w:pPr>
              <w:pStyle w:val="25"/>
              <w:jc w:val="center"/>
              <w:rPr>
                <w:rFonts w:hint="eastAsia" w:ascii="宋体" w:hAnsi="宋体" w:eastAsia="宋体" w:cs="宋体"/>
                <w:color w:val="auto"/>
                <w:sz w:val="28"/>
                <w:szCs w:val="28"/>
              </w:rPr>
            </w:pPr>
          </w:p>
        </w:tc>
      </w:tr>
    </w:tbl>
    <w:p w14:paraId="4D9F0FFF">
      <w:pPr>
        <w:widowControl/>
        <w:ind w:firstLine="568" w:firstLineChars="20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备注：本表后应附企业营业执照、企业资质证书</w:t>
      </w:r>
      <w:r>
        <w:rPr>
          <w:rFonts w:hint="eastAsia" w:ascii="宋体" w:hAnsi="宋体" w:eastAsia="宋体" w:cs="宋体"/>
          <w:color w:val="auto"/>
          <w:kern w:val="0"/>
          <w:sz w:val="28"/>
          <w:szCs w:val="28"/>
          <w:lang w:val="en-US" w:eastAsia="zh-CN"/>
        </w:rPr>
        <w:t>开户许可证</w:t>
      </w:r>
      <w:r>
        <w:rPr>
          <w:rFonts w:hint="eastAsia" w:ascii="宋体" w:hAnsi="宋体" w:eastAsia="宋体" w:cs="宋体"/>
          <w:color w:val="auto"/>
          <w:kern w:val="0"/>
          <w:sz w:val="28"/>
          <w:szCs w:val="28"/>
        </w:rPr>
        <w:t>等材料的复印件。</w:t>
      </w:r>
    </w:p>
    <w:p w14:paraId="369304B8">
      <w:pPr>
        <w:widowControl/>
        <w:ind w:firstLine="568" w:firstLineChars="200"/>
        <w:jc w:val="left"/>
        <w:rPr>
          <w:rFonts w:hint="eastAsia" w:ascii="宋体" w:hAnsi="宋体" w:eastAsia="宋体" w:cs="宋体"/>
          <w:color w:val="auto"/>
          <w:kern w:val="0"/>
          <w:sz w:val="28"/>
          <w:szCs w:val="28"/>
          <w:lang w:eastAsia="zh-CN"/>
        </w:rPr>
      </w:pPr>
    </w:p>
    <w:p w14:paraId="3DC680F6">
      <w:pPr>
        <w:pStyle w:val="40"/>
        <w:numPr>
          <w:ilvl w:val="0"/>
          <w:numId w:val="20"/>
        </w:numPr>
        <w:ind w:left="0" w:leftChars="0" w:firstLine="420" w:firstLineChars="0"/>
        <w:rPr>
          <w:rFonts w:hint="eastAsia" w:ascii="宋体" w:hAnsi="宋体" w:eastAsia="宋体" w:cs="宋体"/>
          <w:b w:val="0"/>
          <w:bCs w:val="0"/>
          <w:color w:val="auto"/>
          <w:kern w:val="2"/>
          <w:sz w:val="28"/>
          <w:szCs w:val="21"/>
          <w:lang w:val="en-US" w:eastAsia="zh-CN" w:bidi="ar-SA"/>
        </w:rPr>
      </w:pPr>
      <w:r>
        <w:rPr>
          <w:rFonts w:hint="eastAsia" w:ascii="宋体" w:hAnsi="宋体" w:eastAsia="宋体" w:cs="宋体"/>
          <w:b w:val="0"/>
          <w:bCs w:val="0"/>
          <w:color w:val="auto"/>
          <w:kern w:val="2"/>
          <w:sz w:val="28"/>
          <w:szCs w:val="21"/>
          <w:lang w:val="en-US" w:eastAsia="zh-CN" w:bidi="ar-SA"/>
        </w:rPr>
        <w:t>近年财务状况表</w:t>
      </w:r>
    </w:p>
    <w:p w14:paraId="3A3CEAD3">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E5F2795">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7EA67E68">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8066961">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1BEE4458">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7D12CF8">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CCE0527">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3B0CA7A9">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50A6BFCE">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0033CEA9">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02B120C0">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7ECB7DE6">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72EEE768">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1083B4CE">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6EDD9D90">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77E9EDDF">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15F9EDE0">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630F813E">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0F329F7E">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4EE06211">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1B0300F">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3FADC35">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38729B09">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1CD644FA">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15C6D7F">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591F20B1">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0ABCBF80">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F9F4A97">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5963216F">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435DD36F">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0ECED022">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69BAA4CF">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1017FAB2">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21E0241E">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5AA1266E">
      <w:pPr>
        <w:pStyle w:val="40"/>
        <w:keepNext/>
        <w:keepLines/>
        <w:widowControl w:val="0"/>
        <w:numPr>
          <w:ilvl w:val="0"/>
          <w:numId w:val="0"/>
        </w:numPr>
        <w:spacing w:before="0" w:after="0" w:line="400" w:lineRule="exact"/>
        <w:jc w:val="both"/>
        <w:outlineLvl w:val="2"/>
        <w:rPr>
          <w:rFonts w:hint="eastAsia" w:ascii="宋体" w:hAnsi="宋体" w:eastAsia="宋体" w:cs="宋体"/>
          <w:b w:val="0"/>
          <w:bCs w:val="0"/>
          <w:color w:val="auto"/>
          <w:kern w:val="2"/>
          <w:sz w:val="28"/>
          <w:szCs w:val="21"/>
          <w:lang w:val="en-US" w:eastAsia="zh-CN" w:bidi="ar-SA"/>
        </w:rPr>
      </w:pPr>
    </w:p>
    <w:p w14:paraId="5F15C3A4">
      <w:pPr>
        <w:pStyle w:val="40"/>
        <w:numPr>
          <w:ilvl w:val="0"/>
          <w:numId w:val="20"/>
        </w:numPr>
        <w:ind w:left="0" w:leftChars="0" w:firstLine="420" w:firstLineChars="0"/>
        <w:rPr>
          <w:rFonts w:hint="eastAsia" w:ascii="宋体" w:hAnsi="宋体" w:eastAsia="宋体" w:cs="宋体"/>
          <w:color w:val="auto"/>
          <w:sz w:val="28"/>
          <w:szCs w:val="28"/>
        </w:rPr>
      </w:pPr>
      <w:bookmarkStart w:id="527" w:name="_Toc179632830"/>
      <w:r>
        <w:rPr>
          <w:rFonts w:hint="eastAsia" w:ascii="宋体" w:hAnsi="宋体" w:eastAsia="宋体" w:cs="宋体"/>
          <w:b w:val="0"/>
          <w:bCs w:val="0"/>
          <w:color w:val="auto"/>
          <w:kern w:val="2"/>
          <w:sz w:val="28"/>
          <w:szCs w:val="28"/>
          <w:lang w:val="en-US" w:eastAsia="zh-CN" w:bidi="ar-SA"/>
        </w:rPr>
        <w:t>近年完成的类似项目情况表</w:t>
      </w:r>
      <w:bookmarkEnd w:id="527"/>
    </w:p>
    <w:p w14:paraId="7E76A8BC">
      <w:pPr>
        <w:spacing w:line="440" w:lineRule="exact"/>
        <w:jc w:val="center"/>
        <w:rPr>
          <w:rFonts w:hint="eastAsia" w:ascii="宋体" w:hAnsi="宋体" w:eastAsia="宋体" w:cs="宋体"/>
          <w:color w:val="auto"/>
          <w:sz w:val="28"/>
          <w:szCs w:val="2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6237"/>
      </w:tblGrid>
      <w:tr w14:paraId="4952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2263" w:type="dxa"/>
            <w:noWrap w:val="0"/>
            <w:vAlign w:val="center"/>
          </w:tcPr>
          <w:p w14:paraId="5226C904">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项目名称</w:t>
            </w:r>
          </w:p>
        </w:tc>
        <w:tc>
          <w:tcPr>
            <w:tcW w:w="6237" w:type="dxa"/>
            <w:noWrap w:val="0"/>
            <w:vAlign w:val="top"/>
          </w:tcPr>
          <w:p w14:paraId="37ED1806">
            <w:pPr>
              <w:topLinePunct/>
              <w:adjustRightInd w:val="0"/>
              <w:spacing w:line="440" w:lineRule="exact"/>
              <w:textAlignment w:val="baseline"/>
              <w:rPr>
                <w:rFonts w:hint="eastAsia" w:ascii="宋体" w:hAnsi="宋体" w:eastAsia="宋体" w:cs="宋体"/>
                <w:color w:val="auto"/>
                <w:sz w:val="28"/>
                <w:szCs w:val="28"/>
              </w:rPr>
            </w:pPr>
          </w:p>
        </w:tc>
      </w:tr>
      <w:tr w14:paraId="2EA5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263" w:type="dxa"/>
            <w:noWrap w:val="0"/>
            <w:vAlign w:val="center"/>
          </w:tcPr>
          <w:p w14:paraId="0FEC2DA1">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项目所在地</w:t>
            </w:r>
          </w:p>
        </w:tc>
        <w:tc>
          <w:tcPr>
            <w:tcW w:w="6237" w:type="dxa"/>
            <w:noWrap w:val="0"/>
            <w:vAlign w:val="top"/>
          </w:tcPr>
          <w:p w14:paraId="6030601E">
            <w:pPr>
              <w:topLinePunct/>
              <w:adjustRightInd w:val="0"/>
              <w:spacing w:line="440" w:lineRule="exact"/>
              <w:textAlignment w:val="baseline"/>
              <w:rPr>
                <w:rFonts w:hint="eastAsia" w:ascii="宋体" w:hAnsi="宋体" w:eastAsia="宋体" w:cs="宋体"/>
                <w:color w:val="auto"/>
                <w:sz w:val="28"/>
                <w:szCs w:val="28"/>
              </w:rPr>
            </w:pPr>
          </w:p>
        </w:tc>
      </w:tr>
      <w:tr w14:paraId="4E6A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63" w:type="dxa"/>
            <w:noWrap w:val="0"/>
            <w:vAlign w:val="center"/>
          </w:tcPr>
          <w:p w14:paraId="3ED0FE9B">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发包人名称</w:t>
            </w:r>
          </w:p>
        </w:tc>
        <w:tc>
          <w:tcPr>
            <w:tcW w:w="6237" w:type="dxa"/>
            <w:noWrap w:val="0"/>
            <w:vAlign w:val="top"/>
          </w:tcPr>
          <w:p w14:paraId="233E9ED1">
            <w:pPr>
              <w:topLinePunct/>
              <w:adjustRightInd w:val="0"/>
              <w:spacing w:line="440" w:lineRule="exact"/>
              <w:textAlignment w:val="baseline"/>
              <w:rPr>
                <w:rFonts w:hint="eastAsia" w:ascii="宋体" w:hAnsi="宋体" w:eastAsia="宋体" w:cs="宋体"/>
                <w:color w:val="auto"/>
                <w:sz w:val="28"/>
                <w:szCs w:val="28"/>
              </w:rPr>
            </w:pPr>
          </w:p>
        </w:tc>
      </w:tr>
      <w:tr w14:paraId="3426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263" w:type="dxa"/>
            <w:noWrap w:val="0"/>
            <w:vAlign w:val="center"/>
          </w:tcPr>
          <w:p w14:paraId="6EAE285A">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发包人地址</w:t>
            </w:r>
          </w:p>
        </w:tc>
        <w:tc>
          <w:tcPr>
            <w:tcW w:w="6237" w:type="dxa"/>
            <w:noWrap w:val="0"/>
            <w:vAlign w:val="top"/>
          </w:tcPr>
          <w:p w14:paraId="70D66CEC">
            <w:pPr>
              <w:topLinePunct/>
              <w:adjustRightInd w:val="0"/>
              <w:spacing w:line="440" w:lineRule="exact"/>
              <w:textAlignment w:val="baseline"/>
              <w:rPr>
                <w:rFonts w:hint="eastAsia" w:ascii="宋体" w:hAnsi="宋体" w:eastAsia="宋体" w:cs="宋体"/>
                <w:color w:val="auto"/>
                <w:sz w:val="28"/>
                <w:szCs w:val="28"/>
              </w:rPr>
            </w:pPr>
          </w:p>
        </w:tc>
      </w:tr>
      <w:tr w14:paraId="24404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263" w:type="dxa"/>
            <w:noWrap w:val="0"/>
            <w:vAlign w:val="center"/>
          </w:tcPr>
          <w:p w14:paraId="493B70BB">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发包人电话</w:t>
            </w:r>
          </w:p>
        </w:tc>
        <w:tc>
          <w:tcPr>
            <w:tcW w:w="6237" w:type="dxa"/>
            <w:noWrap w:val="0"/>
            <w:vAlign w:val="top"/>
          </w:tcPr>
          <w:p w14:paraId="59112C4D">
            <w:pPr>
              <w:topLinePunct/>
              <w:adjustRightInd w:val="0"/>
              <w:spacing w:line="440" w:lineRule="exact"/>
              <w:textAlignment w:val="baseline"/>
              <w:rPr>
                <w:rFonts w:hint="eastAsia" w:ascii="宋体" w:hAnsi="宋体" w:eastAsia="宋体" w:cs="宋体"/>
                <w:color w:val="auto"/>
                <w:sz w:val="28"/>
                <w:szCs w:val="28"/>
              </w:rPr>
            </w:pPr>
          </w:p>
        </w:tc>
      </w:tr>
      <w:tr w14:paraId="7D0E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263" w:type="dxa"/>
            <w:noWrap w:val="0"/>
            <w:vAlign w:val="center"/>
          </w:tcPr>
          <w:p w14:paraId="27041829">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合同价格</w:t>
            </w:r>
          </w:p>
        </w:tc>
        <w:tc>
          <w:tcPr>
            <w:tcW w:w="6237" w:type="dxa"/>
            <w:noWrap w:val="0"/>
            <w:vAlign w:val="top"/>
          </w:tcPr>
          <w:p w14:paraId="719AFD00">
            <w:pPr>
              <w:topLinePunct/>
              <w:adjustRightInd w:val="0"/>
              <w:spacing w:line="440" w:lineRule="exact"/>
              <w:textAlignment w:val="baseline"/>
              <w:rPr>
                <w:rFonts w:hint="eastAsia" w:ascii="宋体" w:hAnsi="宋体" w:eastAsia="宋体" w:cs="宋体"/>
                <w:color w:val="auto"/>
                <w:sz w:val="28"/>
                <w:szCs w:val="28"/>
              </w:rPr>
            </w:pPr>
          </w:p>
        </w:tc>
      </w:tr>
      <w:tr w14:paraId="6CED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2263" w:type="dxa"/>
            <w:noWrap w:val="0"/>
            <w:vAlign w:val="center"/>
          </w:tcPr>
          <w:p w14:paraId="3EB43A28">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开工日期</w:t>
            </w:r>
          </w:p>
        </w:tc>
        <w:tc>
          <w:tcPr>
            <w:tcW w:w="6237" w:type="dxa"/>
            <w:noWrap w:val="0"/>
            <w:vAlign w:val="top"/>
          </w:tcPr>
          <w:p w14:paraId="7A21F8F0">
            <w:pPr>
              <w:topLinePunct/>
              <w:adjustRightInd w:val="0"/>
              <w:spacing w:line="440" w:lineRule="exact"/>
              <w:textAlignment w:val="baseline"/>
              <w:rPr>
                <w:rFonts w:hint="eastAsia" w:ascii="宋体" w:hAnsi="宋体" w:eastAsia="宋体" w:cs="宋体"/>
                <w:color w:val="auto"/>
                <w:sz w:val="28"/>
                <w:szCs w:val="28"/>
              </w:rPr>
            </w:pPr>
          </w:p>
        </w:tc>
      </w:tr>
      <w:tr w14:paraId="1097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63" w:type="dxa"/>
            <w:noWrap w:val="0"/>
            <w:vAlign w:val="center"/>
          </w:tcPr>
          <w:p w14:paraId="26A461B7">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竣工日期</w:t>
            </w:r>
          </w:p>
        </w:tc>
        <w:tc>
          <w:tcPr>
            <w:tcW w:w="6237" w:type="dxa"/>
            <w:noWrap w:val="0"/>
            <w:vAlign w:val="top"/>
          </w:tcPr>
          <w:p w14:paraId="5936F11C">
            <w:pPr>
              <w:topLinePunct/>
              <w:adjustRightInd w:val="0"/>
              <w:spacing w:line="440" w:lineRule="exact"/>
              <w:textAlignment w:val="baseline"/>
              <w:rPr>
                <w:rFonts w:hint="eastAsia" w:ascii="宋体" w:hAnsi="宋体" w:eastAsia="宋体" w:cs="宋体"/>
                <w:color w:val="auto"/>
                <w:sz w:val="28"/>
                <w:szCs w:val="28"/>
              </w:rPr>
            </w:pPr>
          </w:p>
        </w:tc>
      </w:tr>
      <w:tr w14:paraId="2773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263" w:type="dxa"/>
            <w:noWrap w:val="0"/>
            <w:vAlign w:val="center"/>
          </w:tcPr>
          <w:p w14:paraId="46E367C5">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承担的工作</w:t>
            </w:r>
          </w:p>
        </w:tc>
        <w:tc>
          <w:tcPr>
            <w:tcW w:w="6237" w:type="dxa"/>
            <w:noWrap w:val="0"/>
            <w:vAlign w:val="top"/>
          </w:tcPr>
          <w:p w14:paraId="0AFC73CA">
            <w:pPr>
              <w:topLinePunct/>
              <w:adjustRightInd w:val="0"/>
              <w:spacing w:line="440" w:lineRule="exact"/>
              <w:textAlignment w:val="baseline"/>
              <w:rPr>
                <w:rFonts w:hint="eastAsia" w:ascii="宋体" w:hAnsi="宋体" w:eastAsia="宋体" w:cs="宋体"/>
                <w:color w:val="auto"/>
                <w:sz w:val="28"/>
                <w:szCs w:val="28"/>
              </w:rPr>
            </w:pPr>
          </w:p>
        </w:tc>
      </w:tr>
      <w:tr w14:paraId="5D9C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263" w:type="dxa"/>
            <w:noWrap w:val="0"/>
            <w:vAlign w:val="center"/>
          </w:tcPr>
          <w:p w14:paraId="1EB01BFB">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工程质量</w:t>
            </w:r>
          </w:p>
        </w:tc>
        <w:tc>
          <w:tcPr>
            <w:tcW w:w="6237" w:type="dxa"/>
            <w:noWrap w:val="0"/>
            <w:vAlign w:val="top"/>
          </w:tcPr>
          <w:p w14:paraId="74C2827B">
            <w:pPr>
              <w:topLinePunct/>
              <w:adjustRightInd w:val="0"/>
              <w:spacing w:line="440" w:lineRule="exact"/>
              <w:textAlignment w:val="baseline"/>
              <w:rPr>
                <w:rFonts w:hint="eastAsia" w:ascii="宋体" w:hAnsi="宋体" w:eastAsia="宋体" w:cs="宋体"/>
                <w:color w:val="auto"/>
                <w:sz w:val="28"/>
                <w:szCs w:val="28"/>
              </w:rPr>
            </w:pPr>
          </w:p>
        </w:tc>
      </w:tr>
      <w:tr w14:paraId="109FB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263" w:type="dxa"/>
            <w:noWrap w:val="0"/>
            <w:vAlign w:val="center"/>
          </w:tcPr>
          <w:p w14:paraId="6A425023">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项目经理</w:t>
            </w:r>
          </w:p>
        </w:tc>
        <w:tc>
          <w:tcPr>
            <w:tcW w:w="6237" w:type="dxa"/>
            <w:noWrap w:val="0"/>
            <w:vAlign w:val="top"/>
          </w:tcPr>
          <w:p w14:paraId="2E163D45">
            <w:pPr>
              <w:topLinePunct/>
              <w:adjustRightInd w:val="0"/>
              <w:spacing w:line="440" w:lineRule="exact"/>
              <w:textAlignment w:val="baseline"/>
              <w:rPr>
                <w:rFonts w:hint="eastAsia" w:ascii="宋体" w:hAnsi="宋体" w:eastAsia="宋体" w:cs="宋体"/>
                <w:color w:val="auto"/>
                <w:sz w:val="28"/>
                <w:szCs w:val="28"/>
              </w:rPr>
            </w:pPr>
          </w:p>
        </w:tc>
      </w:tr>
      <w:tr w14:paraId="144A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2263" w:type="dxa"/>
            <w:noWrap w:val="0"/>
            <w:vAlign w:val="center"/>
          </w:tcPr>
          <w:p w14:paraId="3666A2F9">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技术负责人</w:t>
            </w:r>
          </w:p>
        </w:tc>
        <w:tc>
          <w:tcPr>
            <w:tcW w:w="6237" w:type="dxa"/>
            <w:noWrap w:val="0"/>
            <w:vAlign w:val="top"/>
          </w:tcPr>
          <w:p w14:paraId="100DDCAE">
            <w:pPr>
              <w:topLinePunct/>
              <w:adjustRightInd w:val="0"/>
              <w:spacing w:line="440" w:lineRule="exact"/>
              <w:textAlignment w:val="baseline"/>
              <w:rPr>
                <w:rFonts w:hint="eastAsia" w:ascii="宋体" w:hAnsi="宋体" w:eastAsia="宋体" w:cs="宋体"/>
                <w:color w:val="auto"/>
                <w:sz w:val="28"/>
                <w:szCs w:val="28"/>
              </w:rPr>
            </w:pPr>
          </w:p>
        </w:tc>
      </w:tr>
      <w:tr w14:paraId="577C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263" w:type="dxa"/>
            <w:noWrap w:val="0"/>
            <w:vAlign w:val="center"/>
          </w:tcPr>
          <w:p w14:paraId="05733C13">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总监理工程师及电话</w:t>
            </w:r>
          </w:p>
        </w:tc>
        <w:tc>
          <w:tcPr>
            <w:tcW w:w="6237" w:type="dxa"/>
            <w:noWrap w:val="0"/>
            <w:vAlign w:val="top"/>
          </w:tcPr>
          <w:p w14:paraId="6A620891">
            <w:pPr>
              <w:topLinePunct/>
              <w:adjustRightInd w:val="0"/>
              <w:spacing w:line="440" w:lineRule="exact"/>
              <w:textAlignment w:val="baseline"/>
              <w:rPr>
                <w:rFonts w:hint="eastAsia" w:ascii="宋体" w:hAnsi="宋体" w:eastAsia="宋体" w:cs="宋体"/>
                <w:color w:val="auto"/>
                <w:sz w:val="28"/>
                <w:szCs w:val="28"/>
              </w:rPr>
            </w:pPr>
          </w:p>
        </w:tc>
      </w:tr>
      <w:tr w14:paraId="2EA1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trPr>
        <w:tc>
          <w:tcPr>
            <w:tcW w:w="2263" w:type="dxa"/>
            <w:noWrap w:val="0"/>
            <w:vAlign w:val="center"/>
          </w:tcPr>
          <w:p w14:paraId="67410C41">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项目描述</w:t>
            </w:r>
          </w:p>
        </w:tc>
        <w:tc>
          <w:tcPr>
            <w:tcW w:w="6237" w:type="dxa"/>
            <w:noWrap w:val="0"/>
            <w:vAlign w:val="top"/>
          </w:tcPr>
          <w:p w14:paraId="337295DA">
            <w:pPr>
              <w:topLinePunct/>
              <w:adjustRightInd w:val="0"/>
              <w:spacing w:line="440" w:lineRule="exact"/>
              <w:textAlignment w:val="baseline"/>
              <w:rPr>
                <w:rFonts w:hint="eastAsia" w:ascii="宋体" w:hAnsi="宋体" w:eastAsia="宋体" w:cs="宋体"/>
                <w:color w:val="auto"/>
                <w:sz w:val="28"/>
                <w:szCs w:val="28"/>
              </w:rPr>
            </w:pPr>
          </w:p>
          <w:p w14:paraId="6FC319AB">
            <w:pPr>
              <w:topLinePunct/>
              <w:adjustRightInd w:val="0"/>
              <w:spacing w:line="440" w:lineRule="exact"/>
              <w:textAlignment w:val="baseline"/>
              <w:rPr>
                <w:rFonts w:hint="eastAsia" w:ascii="宋体" w:hAnsi="宋体" w:eastAsia="宋体" w:cs="宋体"/>
                <w:color w:val="auto"/>
                <w:sz w:val="28"/>
                <w:szCs w:val="28"/>
              </w:rPr>
            </w:pPr>
          </w:p>
          <w:p w14:paraId="155D4C04">
            <w:pPr>
              <w:topLinePunct/>
              <w:adjustRightInd w:val="0"/>
              <w:spacing w:line="440" w:lineRule="exact"/>
              <w:textAlignment w:val="baseline"/>
              <w:rPr>
                <w:rFonts w:hint="eastAsia" w:ascii="宋体" w:hAnsi="宋体" w:eastAsia="宋体" w:cs="宋体"/>
                <w:color w:val="auto"/>
                <w:sz w:val="28"/>
                <w:szCs w:val="28"/>
              </w:rPr>
            </w:pPr>
          </w:p>
          <w:p w14:paraId="52061083">
            <w:pPr>
              <w:topLinePunct/>
              <w:adjustRightInd w:val="0"/>
              <w:spacing w:line="440" w:lineRule="exact"/>
              <w:textAlignment w:val="baseline"/>
              <w:rPr>
                <w:rFonts w:hint="eastAsia" w:ascii="宋体" w:hAnsi="宋体" w:eastAsia="宋体" w:cs="宋体"/>
                <w:color w:val="auto"/>
                <w:sz w:val="28"/>
                <w:szCs w:val="28"/>
              </w:rPr>
            </w:pPr>
          </w:p>
        </w:tc>
      </w:tr>
      <w:tr w14:paraId="2634F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63" w:type="dxa"/>
            <w:noWrap w:val="0"/>
            <w:vAlign w:val="center"/>
          </w:tcPr>
          <w:p w14:paraId="5F5EF985">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6237" w:type="dxa"/>
            <w:noWrap w:val="0"/>
            <w:vAlign w:val="top"/>
          </w:tcPr>
          <w:p w14:paraId="0CAFF8F3">
            <w:pPr>
              <w:topLinePunct/>
              <w:adjustRightInd w:val="0"/>
              <w:spacing w:line="440" w:lineRule="exact"/>
              <w:textAlignment w:val="baseline"/>
              <w:rPr>
                <w:rFonts w:hint="eastAsia" w:ascii="宋体" w:hAnsi="宋体" w:eastAsia="宋体" w:cs="宋体"/>
                <w:color w:val="auto"/>
                <w:sz w:val="28"/>
                <w:szCs w:val="28"/>
              </w:rPr>
            </w:pPr>
          </w:p>
        </w:tc>
      </w:tr>
    </w:tbl>
    <w:p w14:paraId="1F9053D0">
      <w:pPr>
        <w:pStyle w:val="40"/>
        <w:numPr>
          <w:ilvl w:val="0"/>
          <w:numId w:val="0"/>
        </w:numPr>
        <w:ind w:left="420" w:leftChars="0"/>
        <w:rPr>
          <w:rFonts w:hint="eastAsia" w:ascii="宋体" w:hAnsi="宋体" w:eastAsia="宋体" w:cs="宋体"/>
          <w:color w:val="auto"/>
          <w:sz w:val="28"/>
          <w:szCs w:val="28"/>
        </w:rPr>
      </w:pPr>
      <w:bookmarkStart w:id="528" w:name="_Toc179632831"/>
      <w:bookmarkStart w:id="529" w:name="_Toc16085"/>
      <w:bookmarkStart w:id="530" w:name="_Toc1180"/>
      <w:bookmarkStart w:id="531" w:name="_Toc7668"/>
      <w:bookmarkStart w:id="532" w:name="_Toc15838"/>
      <w:bookmarkStart w:id="533" w:name="_Toc4277"/>
      <w:bookmarkStart w:id="534" w:name="_Toc32549"/>
      <w:bookmarkStart w:id="535" w:name="_Toc20507"/>
    </w:p>
    <w:p w14:paraId="0A34C4AD">
      <w:pPr>
        <w:bidi w:val="0"/>
        <w:rPr>
          <w:rFonts w:hint="eastAsia"/>
          <w:color w:val="auto"/>
        </w:rPr>
      </w:pPr>
    </w:p>
    <w:p w14:paraId="0810B59F">
      <w:pPr>
        <w:bidi w:val="0"/>
        <w:rPr>
          <w:rFonts w:hint="eastAsia"/>
          <w:color w:val="auto"/>
        </w:rPr>
      </w:pPr>
    </w:p>
    <w:p w14:paraId="5506A881">
      <w:pPr>
        <w:bidi w:val="0"/>
        <w:rPr>
          <w:rFonts w:hint="eastAsia"/>
          <w:color w:val="auto"/>
        </w:rPr>
      </w:pPr>
    </w:p>
    <w:p w14:paraId="0D5C40D9">
      <w:pPr>
        <w:bidi w:val="0"/>
        <w:rPr>
          <w:rFonts w:hint="eastAsia"/>
          <w:color w:val="auto"/>
        </w:rPr>
      </w:pPr>
    </w:p>
    <w:p w14:paraId="15EDF45B">
      <w:pPr>
        <w:bidi w:val="0"/>
        <w:rPr>
          <w:rFonts w:hint="eastAsia"/>
          <w:color w:val="auto"/>
        </w:rPr>
      </w:pPr>
    </w:p>
    <w:p w14:paraId="0D5ACD3A">
      <w:pPr>
        <w:bidi w:val="0"/>
        <w:rPr>
          <w:rFonts w:hint="eastAsia"/>
          <w:color w:val="auto"/>
        </w:rPr>
      </w:pPr>
    </w:p>
    <w:p w14:paraId="1A7C9617">
      <w:pPr>
        <w:pStyle w:val="40"/>
        <w:numPr>
          <w:ilvl w:val="0"/>
          <w:numId w:val="20"/>
        </w:numPr>
        <w:ind w:left="0" w:leftChars="0" w:firstLine="420" w:firstLineChars="0"/>
        <w:rPr>
          <w:rFonts w:hint="eastAsia" w:ascii="宋体" w:hAnsi="宋体" w:eastAsia="宋体" w:cs="宋体"/>
          <w:color w:val="auto"/>
          <w:sz w:val="28"/>
          <w:szCs w:val="28"/>
        </w:rPr>
      </w:pPr>
      <w:r>
        <w:rPr>
          <w:rFonts w:hint="eastAsia" w:ascii="宋体" w:hAnsi="宋体" w:eastAsia="宋体" w:cs="宋体"/>
          <w:color w:val="auto"/>
          <w:sz w:val="28"/>
          <w:szCs w:val="28"/>
        </w:rPr>
        <w:t>正在施工的和新承接的项目情况表</w:t>
      </w:r>
      <w:bookmarkEnd w:id="528"/>
      <w:bookmarkEnd w:id="529"/>
      <w:bookmarkEnd w:id="530"/>
      <w:bookmarkEnd w:id="531"/>
      <w:bookmarkEnd w:id="532"/>
      <w:bookmarkEnd w:id="533"/>
      <w:bookmarkEnd w:id="534"/>
      <w:bookmarkEnd w:id="535"/>
    </w:p>
    <w:p w14:paraId="3A374F7E">
      <w:pPr>
        <w:spacing w:line="440" w:lineRule="exact"/>
        <w:rPr>
          <w:rFonts w:hint="eastAsia" w:ascii="宋体" w:hAnsi="宋体" w:eastAsia="宋体" w:cs="宋体"/>
          <w:color w:val="auto"/>
          <w:sz w:val="28"/>
          <w:szCs w:val="2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403"/>
      </w:tblGrid>
      <w:tr w14:paraId="7D5E5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noWrap w:val="0"/>
            <w:vAlign w:val="center"/>
          </w:tcPr>
          <w:p w14:paraId="5E7DD0C6">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项目名称</w:t>
            </w:r>
          </w:p>
        </w:tc>
        <w:tc>
          <w:tcPr>
            <w:tcW w:w="6403" w:type="dxa"/>
            <w:noWrap w:val="0"/>
            <w:vAlign w:val="top"/>
          </w:tcPr>
          <w:p w14:paraId="5B6D1077">
            <w:pPr>
              <w:topLinePunct/>
              <w:adjustRightInd w:val="0"/>
              <w:spacing w:line="440" w:lineRule="exact"/>
              <w:textAlignment w:val="baseline"/>
              <w:rPr>
                <w:rFonts w:hint="eastAsia" w:ascii="宋体" w:hAnsi="宋体" w:eastAsia="宋体" w:cs="宋体"/>
                <w:color w:val="auto"/>
                <w:sz w:val="28"/>
                <w:szCs w:val="28"/>
              </w:rPr>
            </w:pPr>
          </w:p>
        </w:tc>
      </w:tr>
      <w:tr w14:paraId="0E26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noWrap w:val="0"/>
            <w:vAlign w:val="center"/>
          </w:tcPr>
          <w:p w14:paraId="63DEA174">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项目所在地</w:t>
            </w:r>
          </w:p>
        </w:tc>
        <w:tc>
          <w:tcPr>
            <w:tcW w:w="6403" w:type="dxa"/>
            <w:noWrap w:val="0"/>
            <w:vAlign w:val="top"/>
          </w:tcPr>
          <w:p w14:paraId="7F738702">
            <w:pPr>
              <w:topLinePunct/>
              <w:adjustRightInd w:val="0"/>
              <w:spacing w:line="440" w:lineRule="exact"/>
              <w:textAlignment w:val="baseline"/>
              <w:rPr>
                <w:rFonts w:hint="eastAsia" w:ascii="宋体" w:hAnsi="宋体" w:eastAsia="宋体" w:cs="宋体"/>
                <w:color w:val="auto"/>
                <w:sz w:val="28"/>
                <w:szCs w:val="28"/>
              </w:rPr>
            </w:pPr>
          </w:p>
        </w:tc>
      </w:tr>
      <w:tr w14:paraId="67E6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noWrap w:val="0"/>
            <w:vAlign w:val="center"/>
          </w:tcPr>
          <w:p w14:paraId="5BF3E943">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发包人名称</w:t>
            </w:r>
          </w:p>
        </w:tc>
        <w:tc>
          <w:tcPr>
            <w:tcW w:w="6403" w:type="dxa"/>
            <w:noWrap w:val="0"/>
            <w:vAlign w:val="top"/>
          </w:tcPr>
          <w:p w14:paraId="4F951AF6">
            <w:pPr>
              <w:topLinePunct/>
              <w:adjustRightInd w:val="0"/>
              <w:spacing w:line="440" w:lineRule="exact"/>
              <w:textAlignment w:val="baseline"/>
              <w:rPr>
                <w:rFonts w:hint="eastAsia" w:ascii="宋体" w:hAnsi="宋体" w:eastAsia="宋体" w:cs="宋体"/>
                <w:color w:val="auto"/>
                <w:sz w:val="28"/>
                <w:szCs w:val="28"/>
              </w:rPr>
            </w:pPr>
          </w:p>
        </w:tc>
      </w:tr>
      <w:tr w14:paraId="19F2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noWrap w:val="0"/>
            <w:vAlign w:val="center"/>
          </w:tcPr>
          <w:p w14:paraId="41F2C455">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发包人地址</w:t>
            </w:r>
          </w:p>
        </w:tc>
        <w:tc>
          <w:tcPr>
            <w:tcW w:w="6403" w:type="dxa"/>
            <w:noWrap w:val="0"/>
            <w:vAlign w:val="top"/>
          </w:tcPr>
          <w:p w14:paraId="4C28BB3E">
            <w:pPr>
              <w:topLinePunct/>
              <w:adjustRightInd w:val="0"/>
              <w:spacing w:line="440" w:lineRule="exact"/>
              <w:textAlignment w:val="baseline"/>
              <w:rPr>
                <w:rFonts w:hint="eastAsia" w:ascii="宋体" w:hAnsi="宋体" w:eastAsia="宋体" w:cs="宋体"/>
                <w:color w:val="auto"/>
                <w:sz w:val="28"/>
                <w:szCs w:val="28"/>
              </w:rPr>
            </w:pPr>
          </w:p>
        </w:tc>
      </w:tr>
      <w:tr w14:paraId="21E79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noWrap w:val="0"/>
            <w:vAlign w:val="center"/>
          </w:tcPr>
          <w:p w14:paraId="27D5E4DC">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发包人电话</w:t>
            </w:r>
          </w:p>
        </w:tc>
        <w:tc>
          <w:tcPr>
            <w:tcW w:w="6403" w:type="dxa"/>
            <w:noWrap w:val="0"/>
            <w:vAlign w:val="top"/>
          </w:tcPr>
          <w:p w14:paraId="6746797F">
            <w:pPr>
              <w:topLinePunct/>
              <w:adjustRightInd w:val="0"/>
              <w:spacing w:line="440" w:lineRule="exact"/>
              <w:textAlignment w:val="baseline"/>
              <w:rPr>
                <w:rFonts w:hint="eastAsia" w:ascii="宋体" w:hAnsi="宋体" w:eastAsia="宋体" w:cs="宋体"/>
                <w:color w:val="auto"/>
                <w:sz w:val="28"/>
                <w:szCs w:val="28"/>
              </w:rPr>
            </w:pPr>
          </w:p>
        </w:tc>
      </w:tr>
      <w:tr w14:paraId="61922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noWrap w:val="0"/>
            <w:vAlign w:val="center"/>
          </w:tcPr>
          <w:p w14:paraId="77BEA0B6">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签约合同价</w:t>
            </w:r>
          </w:p>
        </w:tc>
        <w:tc>
          <w:tcPr>
            <w:tcW w:w="6403" w:type="dxa"/>
            <w:noWrap w:val="0"/>
            <w:vAlign w:val="top"/>
          </w:tcPr>
          <w:p w14:paraId="1B3B6283">
            <w:pPr>
              <w:topLinePunct/>
              <w:adjustRightInd w:val="0"/>
              <w:spacing w:line="440" w:lineRule="exact"/>
              <w:textAlignment w:val="baseline"/>
              <w:rPr>
                <w:rFonts w:hint="eastAsia" w:ascii="宋体" w:hAnsi="宋体" w:eastAsia="宋体" w:cs="宋体"/>
                <w:color w:val="auto"/>
                <w:sz w:val="28"/>
                <w:szCs w:val="28"/>
              </w:rPr>
            </w:pPr>
          </w:p>
        </w:tc>
      </w:tr>
      <w:tr w14:paraId="4D29A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9" w:type="dxa"/>
            <w:noWrap w:val="0"/>
            <w:vAlign w:val="center"/>
          </w:tcPr>
          <w:p w14:paraId="3DA97CB1">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开工日期</w:t>
            </w:r>
          </w:p>
        </w:tc>
        <w:tc>
          <w:tcPr>
            <w:tcW w:w="6403" w:type="dxa"/>
            <w:noWrap w:val="0"/>
            <w:vAlign w:val="top"/>
          </w:tcPr>
          <w:p w14:paraId="2F0C1ACB">
            <w:pPr>
              <w:topLinePunct/>
              <w:adjustRightInd w:val="0"/>
              <w:spacing w:line="440" w:lineRule="exact"/>
              <w:textAlignment w:val="baseline"/>
              <w:rPr>
                <w:rFonts w:hint="eastAsia" w:ascii="宋体" w:hAnsi="宋体" w:eastAsia="宋体" w:cs="宋体"/>
                <w:color w:val="auto"/>
                <w:sz w:val="28"/>
                <w:szCs w:val="28"/>
              </w:rPr>
            </w:pPr>
          </w:p>
        </w:tc>
      </w:tr>
      <w:tr w14:paraId="7268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9" w:type="dxa"/>
            <w:noWrap w:val="0"/>
            <w:vAlign w:val="center"/>
          </w:tcPr>
          <w:p w14:paraId="23F552C9">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计划竣工日期</w:t>
            </w:r>
          </w:p>
        </w:tc>
        <w:tc>
          <w:tcPr>
            <w:tcW w:w="6403" w:type="dxa"/>
            <w:noWrap w:val="0"/>
            <w:vAlign w:val="top"/>
          </w:tcPr>
          <w:p w14:paraId="32850256">
            <w:pPr>
              <w:topLinePunct/>
              <w:adjustRightInd w:val="0"/>
              <w:spacing w:line="440" w:lineRule="exact"/>
              <w:textAlignment w:val="baseline"/>
              <w:rPr>
                <w:rFonts w:hint="eastAsia" w:ascii="宋体" w:hAnsi="宋体" w:eastAsia="宋体" w:cs="宋体"/>
                <w:color w:val="auto"/>
                <w:sz w:val="28"/>
                <w:szCs w:val="28"/>
              </w:rPr>
            </w:pPr>
          </w:p>
        </w:tc>
      </w:tr>
      <w:tr w14:paraId="3CB1E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119" w:type="dxa"/>
            <w:noWrap w:val="0"/>
            <w:vAlign w:val="center"/>
          </w:tcPr>
          <w:p w14:paraId="2DEF8AAF">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承担的工作</w:t>
            </w:r>
          </w:p>
        </w:tc>
        <w:tc>
          <w:tcPr>
            <w:tcW w:w="6403" w:type="dxa"/>
            <w:noWrap w:val="0"/>
            <w:vAlign w:val="top"/>
          </w:tcPr>
          <w:p w14:paraId="25AD0719">
            <w:pPr>
              <w:topLinePunct/>
              <w:adjustRightInd w:val="0"/>
              <w:spacing w:line="440" w:lineRule="exact"/>
              <w:textAlignment w:val="baseline"/>
              <w:rPr>
                <w:rFonts w:hint="eastAsia" w:ascii="宋体" w:hAnsi="宋体" w:eastAsia="宋体" w:cs="宋体"/>
                <w:color w:val="auto"/>
                <w:sz w:val="28"/>
                <w:szCs w:val="28"/>
              </w:rPr>
            </w:pPr>
          </w:p>
        </w:tc>
      </w:tr>
      <w:tr w14:paraId="38D3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119" w:type="dxa"/>
            <w:noWrap w:val="0"/>
            <w:vAlign w:val="center"/>
          </w:tcPr>
          <w:p w14:paraId="56AF852E">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工程质量</w:t>
            </w:r>
          </w:p>
        </w:tc>
        <w:tc>
          <w:tcPr>
            <w:tcW w:w="6403" w:type="dxa"/>
            <w:noWrap w:val="0"/>
            <w:vAlign w:val="top"/>
          </w:tcPr>
          <w:p w14:paraId="192EC2B6">
            <w:pPr>
              <w:topLinePunct/>
              <w:adjustRightInd w:val="0"/>
              <w:spacing w:line="440" w:lineRule="exact"/>
              <w:textAlignment w:val="baseline"/>
              <w:rPr>
                <w:rFonts w:hint="eastAsia" w:ascii="宋体" w:hAnsi="宋体" w:eastAsia="宋体" w:cs="宋体"/>
                <w:color w:val="auto"/>
                <w:sz w:val="28"/>
                <w:szCs w:val="28"/>
              </w:rPr>
            </w:pPr>
          </w:p>
        </w:tc>
      </w:tr>
      <w:tr w14:paraId="25C02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119" w:type="dxa"/>
            <w:noWrap w:val="0"/>
            <w:vAlign w:val="center"/>
          </w:tcPr>
          <w:p w14:paraId="76991393">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项目经理</w:t>
            </w:r>
          </w:p>
        </w:tc>
        <w:tc>
          <w:tcPr>
            <w:tcW w:w="6403" w:type="dxa"/>
            <w:noWrap w:val="0"/>
            <w:vAlign w:val="top"/>
          </w:tcPr>
          <w:p w14:paraId="36AF9C7D">
            <w:pPr>
              <w:topLinePunct/>
              <w:adjustRightInd w:val="0"/>
              <w:spacing w:line="440" w:lineRule="exact"/>
              <w:textAlignment w:val="baseline"/>
              <w:rPr>
                <w:rFonts w:hint="eastAsia" w:ascii="宋体" w:hAnsi="宋体" w:eastAsia="宋体" w:cs="宋体"/>
                <w:color w:val="auto"/>
                <w:sz w:val="28"/>
                <w:szCs w:val="28"/>
              </w:rPr>
            </w:pPr>
          </w:p>
        </w:tc>
      </w:tr>
      <w:tr w14:paraId="29931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9" w:type="dxa"/>
            <w:noWrap w:val="0"/>
            <w:vAlign w:val="center"/>
          </w:tcPr>
          <w:p w14:paraId="67B9E795">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技术负责人</w:t>
            </w:r>
          </w:p>
        </w:tc>
        <w:tc>
          <w:tcPr>
            <w:tcW w:w="6403" w:type="dxa"/>
            <w:noWrap w:val="0"/>
            <w:vAlign w:val="top"/>
          </w:tcPr>
          <w:p w14:paraId="7BBBC96D">
            <w:pPr>
              <w:topLinePunct/>
              <w:adjustRightInd w:val="0"/>
              <w:spacing w:line="440" w:lineRule="exact"/>
              <w:textAlignment w:val="baseline"/>
              <w:rPr>
                <w:rFonts w:hint="eastAsia" w:ascii="宋体" w:hAnsi="宋体" w:eastAsia="宋体" w:cs="宋体"/>
                <w:color w:val="auto"/>
                <w:sz w:val="28"/>
                <w:szCs w:val="28"/>
              </w:rPr>
            </w:pPr>
          </w:p>
        </w:tc>
      </w:tr>
      <w:tr w14:paraId="503FB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119" w:type="dxa"/>
            <w:noWrap w:val="0"/>
            <w:vAlign w:val="center"/>
          </w:tcPr>
          <w:p w14:paraId="161C367B">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总监理工程师及电话</w:t>
            </w:r>
          </w:p>
        </w:tc>
        <w:tc>
          <w:tcPr>
            <w:tcW w:w="6403" w:type="dxa"/>
            <w:noWrap w:val="0"/>
            <w:vAlign w:val="top"/>
          </w:tcPr>
          <w:p w14:paraId="237BFAD4">
            <w:pPr>
              <w:topLinePunct/>
              <w:adjustRightInd w:val="0"/>
              <w:spacing w:line="440" w:lineRule="exact"/>
              <w:textAlignment w:val="baseline"/>
              <w:rPr>
                <w:rFonts w:hint="eastAsia" w:ascii="宋体" w:hAnsi="宋体" w:eastAsia="宋体" w:cs="宋体"/>
                <w:color w:val="auto"/>
                <w:sz w:val="28"/>
                <w:szCs w:val="28"/>
              </w:rPr>
            </w:pPr>
          </w:p>
        </w:tc>
      </w:tr>
      <w:tr w14:paraId="36D4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noWrap w:val="0"/>
            <w:vAlign w:val="center"/>
          </w:tcPr>
          <w:p w14:paraId="277AD4F6">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项目描述</w:t>
            </w:r>
          </w:p>
        </w:tc>
        <w:tc>
          <w:tcPr>
            <w:tcW w:w="6403" w:type="dxa"/>
            <w:noWrap w:val="0"/>
            <w:vAlign w:val="top"/>
          </w:tcPr>
          <w:p w14:paraId="054FC9D3">
            <w:pPr>
              <w:topLinePunct/>
              <w:adjustRightInd w:val="0"/>
              <w:spacing w:line="440" w:lineRule="exact"/>
              <w:textAlignment w:val="baseline"/>
              <w:rPr>
                <w:rFonts w:hint="eastAsia" w:ascii="宋体" w:hAnsi="宋体" w:eastAsia="宋体" w:cs="宋体"/>
                <w:color w:val="auto"/>
                <w:sz w:val="28"/>
                <w:szCs w:val="28"/>
              </w:rPr>
            </w:pPr>
          </w:p>
          <w:p w14:paraId="3F9EA5B5">
            <w:pPr>
              <w:topLinePunct/>
              <w:adjustRightInd w:val="0"/>
              <w:spacing w:line="440" w:lineRule="exact"/>
              <w:textAlignment w:val="baseline"/>
              <w:rPr>
                <w:rFonts w:hint="eastAsia" w:ascii="宋体" w:hAnsi="宋体" w:eastAsia="宋体" w:cs="宋体"/>
                <w:color w:val="auto"/>
                <w:sz w:val="28"/>
                <w:szCs w:val="28"/>
              </w:rPr>
            </w:pPr>
          </w:p>
          <w:p w14:paraId="151C1D07">
            <w:pPr>
              <w:topLinePunct/>
              <w:adjustRightInd w:val="0"/>
              <w:spacing w:line="440" w:lineRule="exact"/>
              <w:textAlignment w:val="baseline"/>
              <w:rPr>
                <w:rFonts w:hint="eastAsia" w:ascii="宋体" w:hAnsi="宋体" w:eastAsia="宋体" w:cs="宋体"/>
                <w:color w:val="auto"/>
                <w:sz w:val="28"/>
                <w:szCs w:val="28"/>
              </w:rPr>
            </w:pPr>
          </w:p>
          <w:p w14:paraId="04480CD6">
            <w:pPr>
              <w:topLinePunct/>
              <w:adjustRightInd w:val="0"/>
              <w:spacing w:line="440" w:lineRule="exact"/>
              <w:textAlignment w:val="baseline"/>
              <w:rPr>
                <w:rFonts w:hint="eastAsia" w:ascii="宋体" w:hAnsi="宋体" w:eastAsia="宋体" w:cs="宋体"/>
                <w:color w:val="auto"/>
                <w:sz w:val="28"/>
                <w:szCs w:val="28"/>
              </w:rPr>
            </w:pPr>
          </w:p>
          <w:p w14:paraId="2E1AD9F2">
            <w:pPr>
              <w:topLinePunct/>
              <w:adjustRightInd w:val="0"/>
              <w:spacing w:line="440" w:lineRule="exact"/>
              <w:textAlignment w:val="baseline"/>
              <w:rPr>
                <w:rFonts w:hint="eastAsia" w:ascii="宋体" w:hAnsi="宋体" w:eastAsia="宋体" w:cs="宋体"/>
                <w:color w:val="auto"/>
                <w:sz w:val="28"/>
                <w:szCs w:val="28"/>
              </w:rPr>
            </w:pPr>
          </w:p>
        </w:tc>
      </w:tr>
      <w:tr w14:paraId="072C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noWrap w:val="0"/>
            <w:vAlign w:val="center"/>
          </w:tcPr>
          <w:p w14:paraId="18985118">
            <w:pPr>
              <w:topLinePunct/>
              <w:adjustRightInd w:val="0"/>
              <w:spacing w:line="440" w:lineRule="exact"/>
              <w:jc w:val="center"/>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6403" w:type="dxa"/>
            <w:noWrap w:val="0"/>
            <w:vAlign w:val="top"/>
          </w:tcPr>
          <w:p w14:paraId="5CF60EAE">
            <w:pPr>
              <w:topLinePunct/>
              <w:adjustRightInd w:val="0"/>
              <w:spacing w:line="440" w:lineRule="exact"/>
              <w:textAlignment w:val="baseline"/>
              <w:rPr>
                <w:rFonts w:hint="eastAsia" w:ascii="宋体" w:hAnsi="宋体" w:eastAsia="宋体" w:cs="宋体"/>
                <w:color w:val="auto"/>
                <w:sz w:val="28"/>
                <w:szCs w:val="28"/>
              </w:rPr>
            </w:pPr>
          </w:p>
        </w:tc>
      </w:tr>
    </w:tbl>
    <w:p w14:paraId="4ABB8FDB">
      <w:pPr>
        <w:rPr>
          <w:rFonts w:hint="eastAsia" w:ascii="宋体" w:hAnsi="宋体" w:eastAsia="宋体" w:cs="宋体"/>
          <w:b/>
          <w:bCs/>
          <w:color w:val="auto"/>
          <w:sz w:val="32"/>
          <w:szCs w:val="32"/>
          <w:lang w:val="en-US" w:eastAsia="zh-CN"/>
        </w:rPr>
      </w:pPr>
      <w:bookmarkStart w:id="536" w:name="_Toc26945"/>
      <w:bookmarkStart w:id="537" w:name="_Toc25142"/>
      <w:bookmarkStart w:id="538" w:name="_Toc31735"/>
      <w:bookmarkStart w:id="539" w:name="_Toc29978"/>
      <w:bookmarkStart w:id="540" w:name="_Toc14978"/>
      <w:r>
        <w:rPr>
          <w:rFonts w:hint="eastAsia" w:ascii="宋体" w:hAnsi="宋体" w:eastAsia="宋体" w:cs="宋体"/>
          <w:b/>
          <w:bCs/>
          <w:color w:val="auto"/>
          <w:sz w:val="32"/>
          <w:szCs w:val="32"/>
          <w:lang w:val="en-US" w:eastAsia="zh-CN"/>
        </w:rPr>
        <w:br w:type="page"/>
      </w:r>
    </w:p>
    <w:bookmarkEnd w:id="536"/>
    <w:bookmarkEnd w:id="537"/>
    <w:bookmarkEnd w:id="538"/>
    <w:bookmarkEnd w:id="539"/>
    <w:bookmarkEnd w:id="540"/>
    <w:p w14:paraId="1CA125E7">
      <w:pPr>
        <w:numPr>
          <w:ilvl w:val="0"/>
          <w:numId w:val="0"/>
        </w:numPr>
        <w:spacing w:line="240" w:lineRule="auto"/>
        <w:jc w:val="center"/>
        <w:outlineLvl w:val="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九、设计及施工方案</w:t>
      </w:r>
    </w:p>
    <w:p w14:paraId="353CD033">
      <w:pPr>
        <w:numPr>
          <w:ilvl w:val="0"/>
          <w:numId w:val="21"/>
        </w:numPr>
        <w:spacing w:line="360" w:lineRule="auto"/>
        <w:rPr>
          <w:rFonts w:hint="eastAsia" w:ascii="宋体" w:hAnsi="宋体" w:eastAsia="宋体" w:cs="宋体"/>
          <w:b/>
          <w:bCs/>
          <w:color w:val="auto"/>
          <w:spacing w:val="0"/>
          <w:kern w:val="0"/>
          <w:position w:val="0"/>
          <w:sz w:val="28"/>
          <w:szCs w:val="28"/>
          <w:highlight w:val="none"/>
        </w:rPr>
      </w:pPr>
      <w:r>
        <w:rPr>
          <w:rFonts w:hint="eastAsia" w:ascii="宋体" w:hAnsi="宋体" w:eastAsia="宋体" w:cs="宋体"/>
          <w:b/>
          <w:bCs/>
          <w:color w:val="auto"/>
          <w:spacing w:val="0"/>
          <w:kern w:val="0"/>
          <w:position w:val="0"/>
          <w:sz w:val="28"/>
          <w:szCs w:val="28"/>
          <w:highlight w:val="none"/>
        </w:rPr>
        <w:t xml:space="preserve">暗标封皮内容为：设计及施工方案 </w:t>
      </w:r>
    </w:p>
    <w:p w14:paraId="6A6AFF70">
      <w:pPr>
        <w:numPr>
          <w:ilvl w:val="0"/>
          <w:numId w:val="21"/>
        </w:numPr>
        <w:spacing w:line="360" w:lineRule="auto"/>
        <w:rPr>
          <w:rFonts w:hint="eastAsia" w:ascii="宋体" w:hAnsi="宋体" w:eastAsia="宋体" w:cs="宋体"/>
          <w:b/>
          <w:bCs/>
          <w:color w:val="auto"/>
          <w:spacing w:val="0"/>
          <w:kern w:val="0"/>
          <w:position w:val="0"/>
          <w:sz w:val="28"/>
          <w:szCs w:val="28"/>
          <w:highlight w:val="none"/>
          <w:lang w:eastAsia="zh-CN"/>
        </w:rPr>
      </w:pPr>
      <w:r>
        <w:rPr>
          <w:rFonts w:hint="eastAsia" w:ascii="宋体" w:hAnsi="宋体" w:eastAsia="宋体" w:cs="宋体"/>
          <w:b/>
          <w:bCs/>
          <w:color w:val="auto"/>
          <w:spacing w:val="0"/>
          <w:kern w:val="0"/>
          <w:position w:val="0"/>
          <w:sz w:val="28"/>
          <w:szCs w:val="28"/>
          <w:highlight w:val="none"/>
        </w:rPr>
        <w:t>编制要求详见前附表须知10.</w:t>
      </w:r>
      <w:r>
        <w:rPr>
          <w:rFonts w:hint="eastAsia" w:ascii="宋体" w:hAnsi="宋体" w:eastAsia="宋体" w:cs="宋体"/>
          <w:b/>
          <w:bCs/>
          <w:color w:val="auto"/>
          <w:spacing w:val="0"/>
          <w:kern w:val="0"/>
          <w:position w:val="0"/>
          <w:sz w:val="28"/>
          <w:szCs w:val="28"/>
          <w:highlight w:val="none"/>
          <w:lang w:val="en-US" w:eastAsia="zh-CN"/>
        </w:rPr>
        <w:t>11</w:t>
      </w:r>
      <w:r>
        <w:rPr>
          <w:rFonts w:hint="eastAsia" w:ascii="宋体" w:hAnsi="宋体" w:cs="宋体"/>
          <w:b/>
          <w:bCs/>
          <w:color w:val="auto"/>
          <w:spacing w:val="0"/>
          <w:kern w:val="0"/>
          <w:position w:val="0"/>
          <w:sz w:val="28"/>
          <w:szCs w:val="28"/>
          <w:highlight w:val="none"/>
          <w:lang w:eastAsia="zh-CN"/>
        </w:rPr>
        <w:t>。</w:t>
      </w:r>
    </w:p>
    <w:p w14:paraId="6D1987A8">
      <w:pPr>
        <w:spacing w:before="78" w:line="360" w:lineRule="auto"/>
        <w:ind w:right="264" w:firstLine="568" w:firstLineChars="200"/>
        <w:rPr>
          <w:rFonts w:hint="eastAsia" w:cs="宋体"/>
          <w:b/>
          <w:bCs/>
          <w:color w:val="auto"/>
          <w:sz w:val="28"/>
          <w:szCs w:val="28"/>
          <w:lang w:eastAsia="zh-CN"/>
        </w:rPr>
      </w:pPr>
    </w:p>
    <w:p w14:paraId="22868802">
      <w:pPr>
        <w:spacing w:before="78" w:line="360" w:lineRule="auto"/>
        <w:ind w:right="264" w:firstLine="488" w:firstLineChars="200"/>
        <w:rPr>
          <w:rFonts w:hint="eastAsia" w:cs="宋体"/>
          <w:b/>
          <w:bCs/>
          <w:color w:val="auto"/>
          <w:sz w:val="24"/>
          <w:szCs w:val="24"/>
          <w:lang w:eastAsia="zh-CN"/>
        </w:rPr>
      </w:pPr>
    </w:p>
    <w:p w14:paraId="19B74F78">
      <w:pPr>
        <w:spacing w:before="78" w:line="360" w:lineRule="auto"/>
        <w:ind w:right="264" w:firstLine="488" w:firstLineChars="200"/>
        <w:rPr>
          <w:rFonts w:hint="eastAsia" w:cs="宋体"/>
          <w:b/>
          <w:bCs/>
          <w:color w:val="auto"/>
          <w:sz w:val="24"/>
          <w:szCs w:val="24"/>
          <w:lang w:eastAsia="zh-CN"/>
        </w:rPr>
      </w:pPr>
    </w:p>
    <w:p w14:paraId="65E4715C">
      <w:pPr>
        <w:spacing w:before="78" w:line="360" w:lineRule="auto"/>
        <w:ind w:right="264" w:firstLine="488" w:firstLineChars="200"/>
        <w:rPr>
          <w:rFonts w:hint="eastAsia" w:cs="宋体"/>
          <w:b/>
          <w:bCs/>
          <w:color w:val="auto"/>
          <w:sz w:val="24"/>
          <w:szCs w:val="24"/>
          <w:lang w:eastAsia="zh-CN"/>
        </w:rPr>
      </w:pPr>
    </w:p>
    <w:p w14:paraId="1B922AA0">
      <w:pPr>
        <w:spacing w:before="78" w:line="360" w:lineRule="auto"/>
        <w:ind w:right="264" w:firstLine="488" w:firstLineChars="200"/>
        <w:rPr>
          <w:rFonts w:hint="eastAsia" w:cs="宋体"/>
          <w:b/>
          <w:bCs/>
          <w:color w:val="auto"/>
          <w:sz w:val="24"/>
          <w:szCs w:val="24"/>
          <w:lang w:eastAsia="zh-CN"/>
        </w:rPr>
      </w:pPr>
    </w:p>
    <w:p w14:paraId="29B51EB5">
      <w:pPr>
        <w:spacing w:before="78" w:line="360" w:lineRule="auto"/>
        <w:ind w:right="264" w:firstLine="488" w:firstLineChars="200"/>
        <w:rPr>
          <w:rFonts w:hint="eastAsia" w:cs="宋体"/>
          <w:b/>
          <w:bCs/>
          <w:color w:val="auto"/>
          <w:sz w:val="24"/>
          <w:szCs w:val="24"/>
          <w:lang w:eastAsia="zh-CN"/>
        </w:rPr>
      </w:pPr>
    </w:p>
    <w:p w14:paraId="09600740">
      <w:pPr>
        <w:spacing w:before="78" w:line="360" w:lineRule="auto"/>
        <w:ind w:right="264" w:firstLine="488" w:firstLineChars="200"/>
        <w:rPr>
          <w:rFonts w:hint="eastAsia" w:cs="宋体"/>
          <w:b/>
          <w:bCs/>
          <w:color w:val="auto"/>
          <w:sz w:val="24"/>
          <w:szCs w:val="24"/>
          <w:lang w:eastAsia="zh-CN"/>
        </w:rPr>
      </w:pPr>
    </w:p>
    <w:p w14:paraId="721F8086">
      <w:pPr>
        <w:spacing w:before="78" w:line="360" w:lineRule="auto"/>
        <w:ind w:right="264" w:firstLine="488" w:firstLineChars="200"/>
        <w:rPr>
          <w:rFonts w:hint="eastAsia" w:cs="宋体"/>
          <w:b/>
          <w:bCs/>
          <w:color w:val="auto"/>
          <w:sz w:val="24"/>
          <w:szCs w:val="24"/>
          <w:lang w:eastAsia="zh-CN"/>
        </w:rPr>
      </w:pPr>
    </w:p>
    <w:p w14:paraId="2029C07D">
      <w:pPr>
        <w:spacing w:before="78" w:line="360" w:lineRule="auto"/>
        <w:ind w:right="264" w:firstLine="488" w:firstLineChars="200"/>
        <w:rPr>
          <w:rFonts w:hint="eastAsia" w:cs="宋体"/>
          <w:b/>
          <w:bCs/>
          <w:color w:val="auto"/>
          <w:sz w:val="24"/>
          <w:szCs w:val="24"/>
          <w:lang w:eastAsia="zh-CN"/>
        </w:rPr>
      </w:pPr>
    </w:p>
    <w:p w14:paraId="57BA35E6">
      <w:pPr>
        <w:spacing w:before="78" w:line="360" w:lineRule="auto"/>
        <w:ind w:right="264" w:firstLine="488" w:firstLineChars="200"/>
        <w:rPr>
          <w:rFonts w:hint="eastAsia" w:cs="宋体"/>
          <w:b/>
          <w:bCs/>
          <w:color w:val="auto"/>
          <w:sz w:val="24"/>
          <w:szCs w:val="24"/>
          <w:lang w:eastAsia="zh-CN"/>
        </w:rPr>
      </w:pPr>
    </w:p>
    <w:p w14:paraId="11E75279">
      <w:pPr>
        <w:spacing w:before="78" w:line="360" w:lineRule="auto"/>
        <w:ind w:right="264" w:firstLine="488" w:firstLineChars="200"/>
        <w:rPr>
          <w:rFonts w:hint="eastAsia" w:cs="宋体"/>
          <w:b/>
          <w:bCs/>
          <w:color w:val="auto"/>
          <w:sz w:val="24"/>
          <w:szCs w:val="24"/>
          <w:lang w:eastAsia="zh-CN"/>
        </w:rPr>
      </w:pPr>
    </w:p>
    <w:p w14:paraId="1F0494CB">
      <w:pPr>
        <w:spacing w:before="78" w:line="360" w:lineRule="auto"/>
        <w:ind w:right="264" w:firstLine="488" w:firstLineChars="200"/>
        <w:rPr>
          <w:rFonts w:hint="eastAsia" w:cs="宋体"/>
          <w:b/>
          <w:bCs/>
          <w:color w:val="auto"/>
          <w:sz w:val="24"/>
          <w:szCs w:val="24"/>
          <w:lang w:eastAsia="zh-CN"/>
        </w:rPr>
      </w:pPr>
    </w:p>
    <w:p w14:paraId="7C758D38">
      <w:pPr>
        <w:spacing w:before="78" w:line="360" w:lineRule="auto"/>
        <w:ind w:right="264" w:firstLine="488" w:firstLineChars="200"/>
        <w:rPr>
          <w:rFonts w:hint="eastAsia" w:cs="宋体"/>
          <w:b/>
          <w:bCs/>
          <w:color w:val="auto"/>
          <w:sz w:val="24"/>
          <w:szCs w:val="24"/>
          <w:lang w:eastAsia="zh-CN"/>
        </w:rPr>
      </w:pPr>
    </w:p>
    <w:p w14:paraId="7358CB89">
      <w:pPr>
        <w:spacing w:before="78" w:line="360" w:lineRule="auto"/>
        <w:ind w:right="264" w:firstLine="488" w:firstLineChars="200"/>
        <w:rPr>
          <w:rFonts w:hint="eastAsia" w:cs="宋体"/>
          <w:b/>
          <w:bCs/>
          <w:color w:val="auto"/>
          <w:sz w:val="24"/>
          <w:szCs w:val="24"/>
          <w:lang w:eastAsia="zh-CN"/>
        </w:rPr>
      </w:pPr>
    </w:p>
    <w:p w14:paraId="337AD984">
      <w:pPr>
        <w:rPr>
          <w:rFonts w:hint="eastAsia" w:ascii="宋体" w:hAnsi="宋体" w:eastAsia="宋体" w:cs="宋体"/>
          <w:b/>
          <w:bCs/>
          <w:color w:val="auto"/>
          <w:sz w:val="32"/>
          <w:szCs w:val="32"/>
          <w:lang w:val="en-US" w:eastAsia="zh-CN"/>
        </w:rPr>
      </w:pPr>
      <w:bookmarkStart w:id="541" w:name="_Toc23657"/>
      <w:bookmarkStart w:id="542" w:name="_Toc9477"/>
      <w:bookmarkStart w:id="543" w:name="_Toc13155"/>
      <w:bookmarkStart w:id="544" w:name="_Toc21535"/>
      <w:bookmarkStart w:id="545" w:name="_Toc290"/>
      <w:r>
        <w:rPr>
          <w:rFonts w:hint="eastAsia" w:ascii="宋体" w:hAnsi="宋体" w:eastAsia="宋体" w:cs="宋体"/>
          <w:b/>
          <w:bCs/>
          <w:color w:val="auto"/>
          <w:sz w:val="32"/>
          <w:szCs w:val="32"/>
          <w:lang w:val="en-US" w:eastAsia="zh-CN"/>
        </w:rPr>
        <w:br w:type="page"/>
      </w:r>
    </w:p>
    <w:p w14:paraId="003A97FD">
      <w:pPr>
        <w:numPr>
          <w:ilvl w:val="0"/>
          <w:numId w:val="0"/>
        </w:numPr>
        <w:spacing w:line="240" w:lineRule="auto"/>
        <w:jc w:val="center"/>
        <w:outlineLvl w:val="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十、投标文件其他内容</w:t>
      </w:r>
      <w:bookmarkEnd w:id="541"/>
      <w:bookmarkEnd w:id="542"/>
      <w:bookmarkEnd w:id="543"/>
      <w:bookmarkEnd w:id="544"/>
      <w:bookmarkEnd w:id="545"/>
    </w:p>
    <w:p w14:paraId="4D6D5B5D">
      <w:pPr>
        <w:bidi w:val="0"/>
        <w:rPr>
          <w:rFonts w:hint="eastAsia" w:ascii="宋体" w:hAnsi="宋体" w:eastAsia="宋体" w:cs="宋体"/>
          <w:color w:val="auto"/>
          <w:sz w:val="28"/>
          <w:szCs w:val="36"/>
          <w:lang w:val="en-US" w:eastAsia="zh-CN"/>
        </w:rPr>
      </w:pPr>
      <w:r>
        <w:rPr>
          <w:rFonts w:hint="eastAsia" w:ascii="宋体" w:hAnsi="宋体" w:eastAsia="宋体" w:cs="宋体"/>
          <w:color w:val="auto"/>
          <w:sz w:val="28"/>
          <w:szCs w:val="36"/>
          <w:lang w:val="en-US" w:eastAsia="zh-CN"/>
        </w:rPr>
        <w:t>招标文件要求的其他材料</w:t>
      </w:r>
    </w:p>
    <w:p w14:paraId="53AB6EEE">
      <w:pPr>
        <w:pStyle w:val="16"/>
        <w:numPr>
          <w:ilvl w:val="0"/>
          <w:numId w:val="0"/>
        </w:numPr>
        <w:rPr>
          <w:rFonts w:hint="eastAsia" w:ascii="宋体" w:hAnsi="宋体" w:eastAsia="宋体" w:cs="宋体"/>
          <w:color w:val="auto"/>
          <w:lang w:val="en-US" w:eastAsia="zh-CN"/>
        </w:rPr>
      </w:pPr>
    </w:p>
    <w:p w14:paraId="658425AC">
      <w:pPr>
        <w:rPr>
          <w:rFonts w:hint="eastAsia" w:ascii="宋体" w:hAnsi="宋体" w:eastAsia="宋体" w:cs="宋体"/>
          <w:color w:val="auto"/>
          <w:lang w:val="en-US" w:eastAsia="zh-CN"/>
        </w:rPr>
      </w:pPr>
    </w:p>
    <w:p w14:paraId="19939D0C">
      <w:pPr>
        <w:pStyle w:val="17"/>
        <w:rPr>
          <w:rFonts w:hint="eastAsia" w:ascii="宋体" w:hAnsi="宋体" w:eastAsia="宋体" w:cs="宋体"/>
          <w:color w:val="auto"/>
          <w:lang w:val="en-US" w:eastAsia="zh-CN"/>
        </w:rPr>
      </w:pPr>
    </w:p>
    <w:p w14:paraId="2A44E893">
      <w:pPr>
        <w:pStyle w:val="17"/>
        <w:rPr>
          <w:rFonts w:hint="eastAsia" w:ascii="宋体" w:hAnsi="宋体" w:eastAsia="宋体" w:cs="宋体"/>
          <w:color w:val="auto"/>
          <w:lang w:val="en-US" w:eastAsia="zh-CN"/>
        </w:rPr>
      </w:pPr>
    </w:p>
    <w:p w14:paraId="05347B11">
      <w:pPr>
        <w:pStyle w:val="17"/>
        <w:rPr>
          <w:rFonts w:hint="eastAsia" w:ascii="宋体" w:hAnsi="宋体" w:eastAsia="宋体" w:cs="宋体"/>
          <w:color w:val="auto"/>
          <w:lang w:val="en-US" w:eastAsia="zh-CN"/>
        </w:rPr>
      </w:pPr>
    </w:p>
    <w:p w14:paraId="5299ABEA">
      <w:pPr>
        <w:pStyle w:val="17"/>
        <w:rPr>
          <w:rFonts w:hint="eastAsia" w:ascii="宋体" w:hAnsi="宋体" w:eastAsia="宋体" w:cs="宋体"/>
          <w:color w:val="auto"/>
          <w:lang w:val="en-US" w:eastAsia="zh-CN"/>
        </w:rPr>
      </w:pPr>
    </w:p>
    <w:p w14:paraId="070B2889">
      <w:pPr>
        <w:pStyle w:val="17"/>
        <w:rPr>
          <w:rFonts w:hint="eastAsia" w:ascii="宋体" w:hAnsi="宋体" w:eastAsia="宋体" w:cs="宋体"/>
          <w:color w:val="auto"/>
          <w:lang w:val="en-US" w:eastAsia="zh-CN"/>
        </w:rPr>
      </w:pPr>
    </w:p>
    <w:p w14:paraId="454C574E">
      <w:pPr>
        <w:pStyle w:val="16"/>
        <w:rPr>
          <w:rFonts w:hint="eastAsia"/>
          <w:color w:val="auto"/>
          <w:lang w:val="en-US" w:eastAsia="zh-CN"/>
        </w:rPr>
      </w:pPr>
    </w:p>
    <w:p w14:paraId="5F8D89C7">
      <w:pPr>
        <w:pStyle w:val="17"/>
        <w:rPr>
          <w:rFonts w:hint="eastAsia" w:ascii="宋体" w:hAnsi="宋体" w:eastAsia="宋体" w:cs="宋体"/>
          <w:color w:val="auto"/>
          <w:lang w:val="en-US" w:eastAsia="zh-CN"/>
        </w:rPr>
      </w:pPr>
    </w:p>
    <w:p w14:paraId="0EF78378">
      <w:pPr>
        <w:pStyle w:val="17"/>
        <w:rPr>
          <w:rFonts w:hint="eastAsia" w:ascii="宋体" w:hAnsi="宋体" w:eastAsia="宋体" w:cs="宋体"/>
          <w:color w:val="auto"/>
          <w:lang w:val="en-US" w:eastAsia="zh-CN"/>
        </w:rPr>
      </w:pPr>
    </w:p>
    <w:p w14:paraId="0BCC6217">
      <w:pPr>
        <w:pStyle w:val="17"/>
        <w:rPr>
          <w:rFonts w:hint="eastAsia" w:ascii="宋体" w:hAnsi="宋体" w:eastAsia="宋体" w:cs="宋体"/>
          <w:color w:val="auto"/>
          <w:lang w:val="en-US" w:eastAsia="zh-CN"/>
        </w:rPr>
      </w:pPr>
    </w:p>
    <w:p w14:paraId="105CCD48">
      <w:pPr>
        <w:pStyle w:val="17"/>
        <w:rPr>
          <w:rFonts w:hint="eastAsia" w:ascii="宋体" w:hAnsi="宋体" w:eastAsia="宋体" w:cs="宋体"/>
          <w:color w:val="auto"/>
          <w:lang w:val="en-US" w:eastAsia="zh-CN"/>
        </w:rPr>
      </w:pPr>
    </w:p>
    <w:p w14:paraId="0EC0657F">
      <w:pPr>
        <w:pStyle w:val="17"/>
        <w:rPr>
          <w:rFonts w:hint="eastAsia" w:ascii="宋体" w:hAnsi="宋体" w:eastAsia="宋体" w:cs="宋体"/>
          <w:color w:val="auto"/>
          <w:lang w:val="en-US" w:eastAsia="zh-CN"/>
        </w:rPr>
      </w:pPr>
    </w:p>
    <w:p w14:paraId="014D23ED">
      <w:pPr>
        <w:pStyle w:val="17"/>
        <w:rPr>
          <w:rFonts w:hint="eastAsia" w:ascii="宋体" w:hAnsi="宋体" w:eastAsia="宋体" w:cs="宋体"/>
          <w:color w:val="auto"/>
          <w:lang w:val="en-US" w:eastAsia="zh-CN"/>
        </w:rPr>
      </w:pPr>
    </w:p>
    <w:p w14:paraId="6F2F54C4">
      <w:pPr>
        <w:pStyle w:val="17"/>
        <w:rPr>
          <w:rFonts w:hint="eastAsia" w:ascii="宋体" w:hAnsi="宋体" w:eastAsia="宋体" w:cs="宋体"/>
          <w:color w:val="auto"/>
          <w:lang w:val="en-US" w:eastAsia="zh-CN"/>
        </w:rPr>
      </w:pPr>
    </w:p>
    <w:p w14:paraId="5C602795">
      <w:pPr>
        <w:pStyle w:val="17"/>
        <w:rPr>
          <w:rFonts w:hint="eastAsia" w:ascii="宋体" w:hAnsi="宋体" w:eastAsia="宋体" w:cs="宋体"/>
          <w:color w:val="auto"/>
          <w:lang w:val="en-US" w:eastAsia="zh-CN"/>
        </w:rPr>
      </w:pPr>
    </w:p>
    <w:p w14:paraId="3827B43D">
      <w:pPr>
        <w:pStyle w:val="17"/>
        <w:rPr>
          <w:rFonts w:hint="eastAsia" w:ascii="宋体" w:hAnsi="宋体" w:eastAsia="宋体" w:cs="宋体"/>
          <w:color w:val="auto"/>
          <w:lang w:val="en-US" w:eastAsia="zh-CN"/>
        </w:rPr>
      </w:pPr>
    </w:p>
    <w:p w14:paraId="3546C2D5">
      <w:pPr>
        <w:pStyle w:val="17"/>
        <w:rPr>
          <w:rFonts w:hint="eastAsia" w:ascii="宋体" w:hAnsi="宋体" w:eastAsia="宋体" w:cs="宋体"/>
          <w:color w:val="auto"/>
          <w:lang w:val="en-US" w:eastAsia="zh-CN"/>
        </w:rPr>
      </w:pPr>
    </w:p>
    <w:p w14:paraId="6CBD5A4B">
      <w:pPr>
        <w:pStyle w:val="17"/>
        <w:rPr>
          <w:rFonts w:hint="eastAsia" w:ascii="宋体" w:hAnsi="宋体" w:eastAsia="宋体" w:cs="宋体"/>
          <w:color w:val="auto"/>
          <w:lang w:val="en-US" w:eastAsia="zh-CN"/>
        </w:rPr>
      </w:pPr>
    </w:p>
    <w:p w14:paraId="4B3A0634">
      <w:pPr>
        <w:pStyle w:val="17"/>
        <w:rPr>
          <w:rFonts w:hint="eastAsia" w:ascii="宋体" w:hAnsi="宋体" w:eastAsia="宋体" w:cs="宋体"/>
          <w:color w:val="auto"/>
          <w:lang w:val="en-US" w:eastAsia="zh-CN"/>
        </w:rPr>
      </w:pPr>
    </w:p>
    <w:p w14:paraId="15C5D9E6">
      <w:pPr>
        <w:pStyle w:val="17"/>
        <w:rPr>
          <w:rFonts w:hint="eastAsia" w:ascii="宋体" w:hAnsi="宋体" w:eastAsia="宋体" w:cs="宋体"/>
          <w:color w:val="auto"/>
          <w:lang w:val="en-US" w:eastAsia="zh-CN"/>
        </w:rPr>
      </w:pPr>
    </w:p>
    <w:p w14:paraId="6440D17A">
      <w:pPr>
        <w:pStyle w:val="17"/>
        <w:rPr>
          <w:rFonts w:hint="eastAsia" w:ascii="宋体" w:hAnsi="宋体" w:eastAsia="宋体" w:cs="宋体"/>
          <w:color w:val="auto"/>
          <w:lang w:val="en-US" w:eastAsia="zh-CN"/>
        </w:rPr>
      </w:pPr>
    </w:p>
    <w:p w14:paraId="5F007DE5">
      <w:pPr>
        <w:pStyle w:val="17"/>
        <w:rPr>
          <w:rFonts w:hint="eastAsia" w:ascii="宋体" w:hAnsi="宋体" w:eastAsia="宋体" w:cs="宋体"/>
          <w:color w:val="auto"/>
          <w:lang w:val="en-US" w:eastAsia="zh-CN"/>
        </w:rPr>
      </w:pPr>
    </w:p>
    <w:p w14:paraId="5D5731CD">
      <w:pPr>
        <w:pStyle w:val="17"/>
        <w:rPr>
          <w:rFonts w:hint="eastAsia" w:ascii="宋体" w:hAnsi="宋体" w:eastAsia="宋体" w:cs="宋体"/>
          <w:color w:val="auto"/>
          <w:lang w:val="en-US" w:eastAsia="zh-CN"/>
        </w:rPr>
      </w:pPr>
    </w:p>
    <w:p w14:paraId="1E31746E">
      <w:pPr>
        <w:pStyle w:val="17"/>
        <w:rPr>
          <w:rFonts w:hint="eastAsia" w:ascii="宋体" w:hAnsi="宋体" w:eastAsia="宋体" w:cs="宋体"/>
          <w:color w:val="auto"/>
          <w:lang w:val="en-US" w:eastAsia="zh-CN"/>
        </w:rPr>
      </w:pPr>
    </w:p>
    <w:p w14:paraId="646B83F9">
      <w:pPr>
        <w:pStyle w:val="17"/>
        <w:rPr>
          <w:rFonts w:hint="eastAsia" w:ascii="宋体" w:hAnsi="宋体" w:eastAsia="宋体" w:cs="宋体"/>
          <w:color w:val="auto"/>
          <w:lang w:val="en-US" w:eastAsia="zh-CN"/>
        </w:rPr>
      </w:pPr>
    </w:p>
    <w:p w14:paraId="1D1721A6">
      <w:pPr>
        <w:pStyle w:val="17"/>
        <w:rPr>
          <w:rFonts w:hint="eastAsia" w:ascii="宋体" w:hAnsi="宋体" w:eastAsia="宋体" w:cs="宋体"/>
          <w:color w:val="auto"/>
          <w:lang w:val="en-US" w:eastAsia="zh-CN"/>
        </w:rPr>
      </w:pPr>
    </w:p>
    <w:p w14:paraId="761FFFD1">
      <w:pPr>
        <w:pStyle w:val="2"/>
        <w:bidi w:val="0"/>
        <w:spacing w:before="0" w:after="0" w:line="240" w:lineRule="auto"/>
        <w:jc w:val="center"/>
        <w:rPr>
          <w:rFonts w:hint="eastAsia" w:ascii="宋体" w:hAnsi="宋体" w:eastAsia="宋体" w:cs="宋体"/>
          <w:color w:val="auto"/>
          <w:highlight w:val="none"/>
          <w:lang w:val="en-US" w:eastAsia="zh-CN"/>
        </w:rPr>
      </w:pPr>
    </w:p>
    <w:bookmarkEnd w:id="356"/>
    <w:bookmarkEnd w:id="357"/>
    <w:bookmarkEnd w:id="358"/>
    <w:bookmarkEnd w:id="359"/>
    <w:bookmarkEnd w:id="360"/>
    <w:bookmarkEnd w:id="361"/>
    <w:bookmarkEnd w:id="362"/>
    <w:bookmarkEnd w:id="363"/>
    <w:bookmarkEnd w:id="364"/>
    <w:bookmarkEnd w:id="365"/>
    <w:p w14:paraId="74579B1D">
      <w:pPr>
        <w:rPr>
          <w:color w:val="auto"/>
        </w:rPr>
      </w:pPr>
    </w:p>
    <w:sectPr>
      <w:headerReference r:id="rId18" w:type="default"/>
      <w:footerReference r:id="rId19" w:type="default"/>
      <w:pgSz w:w="11906" w:h="16838"/>
      <w:pgMar w:top="1191" w:right="1191" w:bottom="1191" w:left="1191" w:header="851" w:footer="992" w:gutter="397"/>
      <w:pgNumType w:fmt="numberInDash"/>
      <w:cols w:space="720" w:num="1"/>
      <w:rtlGutter w:val="0"/>
      <w:docGrid w:type="linesAndChars" w:linePitch="319" w:charSpace="8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Times">
    <w:altName w:val="Segoe UI"/>
    <w:panose1 w:val="02020603050405020304"/>
    <w:charset w:val="00"/>
    <w:family w:val="roman"/>
    <w:pitch w:val="default"/>
    <w:sig w:usb0="00000000" w:usb1="00000000" w:usb2="00000009" w:usb3="00000000" w:csb0="0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757E8">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7A8B5">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D1449B">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AD1449B">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88F64">
    <w:r>
      <w:fldChar w:fldCharType="begin"/>
    </w:r>
    <w:r>
      <w:instrText xml:space="preserve"> PAGE   \* MERGEFORMAT </w:instrText>
    </w:r>
    <w:r>
      <w:fldChar w:fldCharType="separate"/>
    </w:r>
    <w:r>
      <w:rPr>
        <w:rFonts w:eastAsia="Times New Roman"/>
        <w:sz w:val="18"/>
      </w:rPr>
      <w:t>1</w:t>
    </w:r>
    <w:r>
      <w:rPr>
        <w:rFonts w:eastAsia="Times New Roman"/>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79CB1">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7B41">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7F7B41">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D22F0">
    <w:pPr>
      <w:pStyle w:val="12"/>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A913F">
                          <w:pPr>
                            <w:pStyle w:val="12"/>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57A913F">
                    <w:pPr>
                      <w:pStyle w:val="12"/>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6F99E">
    <w:pPr>
      <w:pStyle w:val="1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43FF88">
                          <w:pPr>
                            <w:pStyle w:val="12"/>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243FF88">
                    <w:pPr>
                      <w:pStyle w:val="12"/>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95E42">
    <w:pPr>
      <w:pStyle w:val="12"/>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20739">
                          <w:pPr>
                            <w:pStyle w:val="12"/>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6420739">
                    <w:pPr>
                      <w:pStyle w:val="12"/>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FA040">
    <w:pPr>
      <w:pStyle w:val="12"/>
      <w:rPr>
        <w:rFonts w:hint="eastAsia" w:cs="宋体"/>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04E665">
                          <w:pPr>
                            <w:pStyle w:val="12"/>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hint="eastAsia" w:cs="宋体"/>
                            </w:rPr>
                            <w:t>154</w:t>
                          </w:r>
                          <w:r>
                            <w:rPr>
                              <w:rFonts w:hint="eastAsia"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04E665">
                    <w:pPr>
                      <w:pStyle w:val="12"/>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hint="eastAsia" w:cs="宋体"/>
                      </w:rPr>
                      <w:t>154</w:t>
                    </w:r>
                    <w:r>
                      <w:rPr>
                        <w:rFonts w:hint="eastAsia" w:cs="宋体"/>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3B254">
    <w:pPr>
      <w:pStyle w:val="12"/>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7B122">
                          <w:pPr>
                            <w:pStyle w:val="12"/>
                          </w:pPr>
                          <w:r>
                            <w:fldChar w:fldCharType="begin"/>
                          </w:r>
                          <w:r>
                            <w:instrText xml:space="preserve"> PAGE  \* MERGEFORMAT </w:instrText>
                          </w:r>
                          <w:r>
                            <w:fldChar w:fldCharType="separate"/>
                          </w:r>
                          <w:r>
                            <w:t>194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F27B122">
                    <w:pPr>
                      <w:pStyle w:val="12"/>
                    </w:pPr>
                    <w:r>
                      <w:fldChar w:fldCharType="begin"/>
                    </w:r>
                    <w:r>
                      <w:instrText xml:space="preserve"> PAGE  \* MERGEFORMAT </w:instrText>
                    </w:r>
                    <w:r>
                      <w:fldChar w:fldCharType="separate"/>
                    </w:r>
                    <w:r>
                      <w:t>194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05A0D">
    <w:pPr>
      <w:pStyle w:val="1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0207BF">
                          <w:pPr>
                            <w:pStyle w:val="12"/>
                            <w:rPr>
                              <w:rStyle w:val="21"/>
                            </w:rPr>
                          </w:pPr>
                          <w:r>
                            <w:fldChar w:fldCharType="begin"/>
                          </w:r>
                          <w:r>
                            <w:rPr>
                              <w:rStyle w:val="21"/>
                            </w:rPr>
                            <w:instrText xml:space="preserve">PAGE  </w:instrText>
                          </w:r>
                          <w:r>
                            <w:fldChar w:fldCharType="separate"/>
                          </w:r>
                          <w:r>
                            <w:rPr>
                              <w:rStyle w:val="21"/>
                            </w:rPr>
                            <w:t>32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300207BF">
                    <w:pPr>
                      <w:pStyle w:val="12"/>
                      <w:rPr>
                        <w:rStyle w:val="21"/>
                      </w:rPr>
                    </w:pPr>
                    <w:r>
                      <w:fldChar w:fldCharType="begin"/>
                    </w:r>
                    <w:r>
                      <w:rPr>
                        <w:rStyle w:val="21"/>
                      </w:rPr>
                      <w:instrText xml:space="preserve">PAGE  </w:instrText>
                    </w:r>
                    <w:r>
                      <w:fldChar w:fldCharType="separate"/>
                    </w:r>
                    <w:r>
                      <w:rPr>
                        <w:rStyle w:val="21"/>
                      </w:rPr>
                      <w:t>32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33642">
    <w:pPr>
      <w:pStyle w:val="12"/>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66B9BA">
                          <w:pPr>
                            <w:pStyle w:val="12"/>
                          </w:pPr>
                          <w:r>
                            <w:fldChar w:fldCharType="begin"/>
                          </w:r>
                          <w:r>
                            <w:instrText xml:space="preserve"> PAGE  \* MERGEFORMAT </w:instrText>
                          </w:r>
                          <w:r>
                            <w:fldChar w:fldCharType="separate"/>
                          </w:r>
                          <w:r>
                            <w:t>193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66B9BA">
                    <w:pPr>
                      <w:pStyle w:val="12"/>
                    </w:pPr>
                    <w:r>
                      <w:fldChar w:fldCharType="begin"/>
                    </w:r>
                    <w:r>
                      <w:instrText xml:space="preserve"> PAGE  \* MERGEFORMAT </w:instrText>
                    </w:r>
                    <w:r>
                      <w:fldChar w:fldCharType="separate"/>
                    </w:r>
                    <w:r>
                      <w:t>193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49E9">
    <w:pPr>
      <w:pStyle w:val="12"/>
      <w:rPr>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2601F">
                          <w:pPr>
                            <w:pStyle w:val="12"/>
                          </w:pPr>
                          <w:r>
                            <w:fldChar w:fldCharType="begin"/>
                          </w:r>
                          <w:r>
                            <w:instrText xml:space="preserve"> PAGE  \* MERGEFORMAT </w:instrText>
                          </w:r>
                          <w:r>
                            <w:fldChar w:fldCharType="separate"/>
                          </w:r>
                          <w:r>
                            <w:t>215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8A2601F">
                    <w:pPr>
                      <w:pStyle w:val="12"/>
                    </w:pPr>
                    <w:r>
                      <w:fldChar w:fldCharType="begin"/>
                    </w:r>
                    <w:r>
                      <w:instrText xml:space="preserve"> PAGE  \* MERGEFORMAT </w:instrText>
                    </w:r>
                    <w:r>
                      <w:fldChar w:fldCharType="separate"/>
                    </w:r>
                    <w:r>
                      <w:t>215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A713A">
    <w:pPr>
      <w:pStyle w:val="13"/>
      <w:pBdr>
        <w:bottom w:val="none" w:color="auto" w:sz="0" w:space="1"/>
      </w:pBdr>
    </w:pPr>
    <w:r>
      <w:rPr>
        <w:sz w:val="18"/>
      </w:rPr>
      <w:pict>
        <v:shape id="_x0000_s2050" o:spid="_x0000_s2050" o:spt="136" type="#_x0000_t136" style="position:absolute;left:0pt;height:36.2pt;width:49.3pt;mso-position-horizontal:center;mso-position-horizontal-relative:margin;mso-position-vertical:center;mso-position-vertical-relative:margin;z-index:-251657216;mso-width-relative:page;mso-height-relative:page;" fillcolor="#DBEEF4" filled="t" stroked="f" coordsize="21600,21600" adj="10800">
          <v:path/>
          <v:fill on="t" opacity="2621f" focussize="0,0"/>
          <v:stroke on="f"/>
          <v:imagedata o:title=""/>
          <o:lock v:ext="edit" aspectratio="t"/>
          <v:textpath on="t" fitshape="t" fitpath="t" trim="t" xscale="f" string="ling" style="font-family:微软雅黑;font-size:36pt;v-same-letter-heights:f;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FD58E">
    <w:pPr>
      <w:pStyle w:val="13"/>
      <w:pBdr>
        <w:bottom w:val="none" w:color="auto" w:sz="0" w:space="1"/>
      </w:pBdr>
    </w:pPr>
    <w:r>
      <w:rPr>
        <w:sz w:val="18"/>
      </w:rPr>
      <w:pict>
        <v:shape id="_x0000_s2049" o:spid="_x0000_s2049" o:spt="136" type="#_x0000_t136" style="position:absolute;left:0pt;height:36.2pt;width:49.3pt;mso-position-horizontal:center;mso-position-horizontal-relative:margin;mso-position-vertical:center;mso-position-vertical-relative:margin;z-index:-251656192;mso-width-relative:page;mso-height-relative:page;" fillcolor="#DBEEF4" filled="t" stroked="f" coordsize="21600,21600" adj="10800">
          <v:path/>
          <v:fill on="t" opacity="2621f" focussize="0,0"/>
          <v:stroke on="f"/>
          <v:imagedata o:title=""/>
          <o:lock v:ext="edit" aspectratio="t"/>
          <v:textpath on="t" fitshape="t" fitpath="t" trim="t" xscale="f" string="ling" style="font-family:微软雅黑;font-size:36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B6FE2">
    <w:pPr>
      <w:pStyle w:val="1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C52F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ADE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AE583"/>
    <w:multiLevelType w:val="singleLevel"/>
    <w:tmpl w:val="886AE583"/>
    <w:lvl w:ilvl="0" w:tentative="0">
      <w:start w:val="1"/>
      <w:numFmt w:val="chineseCounting"/>
      <w:suff w:val="nothing"/>
      <w:lvlText w:val="（%1）"/>
      <w:lvlJc w:val="left"/>
      <w:pPr>
        <w:ind w:left="0" w:firstLine="420"/>
      </w:pPr>
      <w:rPr>
        <w:rFonts w:hint="eastAsia"/>
        <w:b/>
        <w:bCs/>
      </w:rPr>
    </w:lvl>
  </w:abstractNum>
  <w:abstractNum w:abstractNumId="1">
    <w:nsid w:val="A60E287B"/>
    <w:multiLevelType w:val="singleLevel"/>
    <w:tmpl w:val="A60E287B"/>
    <w:lvl w:ilvl="0" w:tentative="0">
      <w:start w:val="4"/>
      <w:numFmt w:val="decimal"/>
      <w:suff w:val="space"/>
      <w:lvlText w:val="%1."/>
      <w:lvlJc w:val="left"/>
    </w:lvl>
  </w:abstractNum>
  <w:abstractNum w:abstractNumId="2">
    <w:nsid w:val="B185C4AB"/>
    <w:multiLevelType w:val="singleLevel"/>
    <w:tmpl w:val="B185C4AB"/>
    <w:lvl w:ilvl="0" w:tentative="0">
      <w:start w:val="1"/>
      <w:numFmt w:val="decimal"/>
      <w:lvlText w:val="(%1)"/>
      <w:lvlJc w:val="left"/>
      <w:pPr>
        <w:ind w:left="425" w:hanging="425"/>
      </w:pPr>
      <w:rPr>
        <w:rFonts w:hint="default"/>
      </w:rPr>
    </w:lvl>
  </w:abstractNum>
  <w:abstractNum w:abstractNumId="3">
    <w:nsid w:val="BDFF3276"/>
    <w:multiLevelType w:val="singleLevel"/>
    <w:tmpl w:val="BDFF3276"/>
    <w:lvl w:ilvl="0" w:tentative="0">
      <w:start w:val="1"/>
      <w:numFmt w:val="decimal"/>
      <w:suff w:val="nothing"/>
      <w:lvlText w:val="(%1)"/>
      <w:lvlJc w:val="left"/>
      <w:pPr>
        <w:ind w:left="0" w:leftChars="0" w:firstLine="0" w:firstLineChars="0"/>
      </w:pPr>
      <w:rPr>
        <w:rFonts w:hint="default"/>
      </w:rPr>
    </w:lvl>
  </w:abstractNum>
  <w:abstractNum w:abstractNumId="4">
    <w:nsid w:val="C47CAB0F"/>
    <w:multiLevelType w:val="singleLevel"/>
    <w:tmpl w:val="C47CAB0F"/>
    <w:lvl w:ilvl="0" w:tentative="0">
      <w:start w:val="1"/>
      <w:numFmt w:val="chineseCounting"/>
      <w:suff w:val="nothing"/>
      <w:lvlText w:val="（%1）"/>
      <w:lvlJc w:val="left"/>
      <w:rPr>
        <w:rFonts w:hint="eastAsia"/>
      </w:rPr>
    </w:lvl>
  </w:abstractNum>
  <w:abstractNum w:abstractNumId="5">
    <w:nsid w:val="CDC411F9"/>
    <w:multiLevelType w:val="singleLevel"/>
    <w:tmpl w:val="CDC411F9"/>
    <w:lvl w:ilvl="0" w:tentative="0">
      <w:start w:val="1"/>
      <w:numFmt w:val="chineseCounting"/>
      <w:suff w:val="nothing"/>
      <w:lvlText w:val="（%1）"/>
      <w:lvlJc w:val="left"/>
      <w:pPr>
        <w:ind w:left="0" w:firstLine="420"/>
      </w:pPr>
      <w:rPr>
        <w:rFonts w:hint="eastAsia"/>
      </w:rPr>
    </w:lvl>
  </w:abstractNum>
  <w:abstractNum w:abstractNumId="6">
    <w:nsid w:val="DCB5CDB3"/>
    <w:multiLevelType w:val="singleLevel"/>
    <w:tmpl w:val="DCB5CDB3"/>
    <w:lvl w:ilvl="0" w:tentative="0">
      <w:start w:val="1"/>
      <w:numFmt w:val="decimal"/>
      <w:suff w:val="nothing"/>
      <w:lvlText w:val="(%1)"/>
      <w:lvlJc w:val="left"/>
      <w:pPr>
        <w:ind w:left="0" w:leftChars="0" w:firstLine="0" w:firstLineChars="0"/>
      </w:pPr>
      <w:rPr>
        <w:rFonts w:hint="default"/>
      </w:rPr>
    </w:lvl>
  </w:abstractNum>
  <w:abstractNum w:abstractNumId="7">
    <w:nsid w:val="DE41E01F"/>
    <w:multiLevelType w:val="singleLevel"/>
    <w:tmpl w:val="DE41E01F"/>
    <w:lvl w:ilvl="0" w:tentative="0">
      <w:start w:val="1"/>
      <w:numFmt w:val="decimal"/>
      <w:suff w:val="nothing"/>
      <w:lvlText w:val="%1．"/>
      <w:lvlJc w:val="left"/>
    </w:lvl>
  </w:abstractNum>
  <w:abstractNum w:abstractNumId="8">
    <w:nsid w:val="FD7F9660"/>
    <w:multiLevelType w:val="singleLevel"/>
    <w:tmpl w:val="FD7F9660"/>
    <w:lvl w:ilvl="0" w:tentative="0">
      <w:start w:val="1"/>
      <w:numFmt w:val="decimal"/>
      <w:suff w:val="nothing"/>
      <w:lvlText w:val="%1、"/>
      <w:lvlJc w:val="left"/>
    </w:lvl>
  </w:abstractNum>
  <w:abstractNum w:abstractNumId="9">
    <w:nsid w:val="01E967D5"/>
    <w:multiLevelType w:val="multilevel"/>
    <w:tmpl w:val="01E967D5"/>
    <w:lvl w:ilvl="0" w:tentative="0">
      <w:start w:val="1"/>
      <w:numFmt w:val="chineseCountingThousand"/>
      <w:pStyle w:val="29"/>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6FCF44"/>
    <w:multiLevelType w:val="singleLevel"/>
    <w:tmpl w:val="0E6FCF44"/>
    <w:lvl w:ilvl="0" w:tentative="0">
      <w:start w:val="1"/>
      <w:numFmt w:val="decimal"/>
      <w:suff w:val="nothing"/>
      <w:lvlText w:val="%1."/>
      <w:lvlJc w:val="left"/>
      <w:pPr>
        <w:tabs>
          <w:tab w:val="left" w:pos="312"/>
        </w:tabs>
      </w:pPr>
      <w:rPr>
        <w:rFonts w:hint="default" w:ascii="宋体" w:hAnsi="宋体" w:eastAsia="宋体" w:cs="宋体"/>
        <w:sz w:val="24"/>
        <w:szCs w:val="24"/>
      </w:rPr>
    </w:lvl>
  </w:abstractNum>
  <w:abstractNum w:abstractNumId="11">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2">
    <w:nsid w:val="3AA800C6"/>
    <w:multiLevelType w:val="multilevel"/>
    <w:tmpl w:val="3AA800C6"/>
    <w:lvl w:ilvl="0" w:tentative="0">
      <w:start w:val="1"/>
      <w:numFmt w:val="decimal"/>
      <w:pStyle w:val="33"/>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3">
    <w:nsid w:val="420B6B54"/>
    <w:multiLevelType w:val="singleLevel"/>
    <w:tmpl w:val="420B6B54"/>
    <w:lvl w:ilvl="0" w:tentative="0">
      <w:start w:val="1"/>
      <w:numFmt w:val="decimal"/>
      <w:suff w:val="nothing"/>
      <w:lvlText w:val="(%1)"/>
      <w:lvlJc w:val="left"/>
      <w:pPr>
        <w:ind w:left="0" w:leftChars="0" w:firstLine="0" w:firstLineChars="0"/>
      </w:pPr>
      <w:rPr>
        <w:rFonts w:hint="default"/>
      </w:rPr>
    </w:lvl>
  </w:abstractNum>
  <w:abstractNum w:abstractNumId="14">
    <w:nsid w:val="58E74820"/>
    <w:multiLevelType w:val="singleLevel"/>
    <w:tmpl w:val="58E74820"/>
    <w:lvl w:ilvl="0" w:tentative="0">
      <w:start w:val="1"/>
      <w:numFmt w:val="decimal"/>
      <w:suff w:val="nothing"/>
      <w:lvlText w:val="（%1）"/>
      <w:lvlJc w:val="left"/>
    </w:lvl>
  </w:abstractNum>
  <w:abstractNum w:abstractNumId="15">
    <w:nsid w:val="58F2E653"/>
    <w:multiLevelType w:val="singleLevel"/>
    <w:tmpl w:val="58F2E653"/>
    <w:lvl w:ilvl="0" w:tentative="0">
      <w:start w:val="1"/>
      <w:numFmt w:val="decimal"/>
      <w:suff w:val="nothing"/>
      <w:lvlText w:val="（%1）"/>
      <w:lvlJc w:val="left"/>
    </w:lvl>
  </w:abstractNum>
  <w:abstractNum w:abstractNumId="16">
    <w:nsid w:val="58F2F28A"/>
    <w:multiLevelType w:val="singleLevel"/>
    <w:tmpl w:val="58F2F28A"/>
    <w:lvl w:ilvl="0" w:tentative="0">
      <w:start w:val="1"/>
      <w:numFmt w:val="chineseCounting"/>
      <w:suff w:val="nothing"/>
      <w:lvlText w:val="（%1）"/>
      <w:lvlJc w:val="left"/>
    </w:lvl>
  </w:abstractNum>
  <w:abstractNum w:abstractNumId="17">
    <w:nsid w:val="62687BB6"/>
    <w:multiLevelType w:val="multilevel"/>
    <w:tmpl w:val="62687BB6"/>
    <w:lvl w:ilvl="0" w:tentative="0">
      <w:start w:val="1"/>
      <w:numFmt w:val="decimal"/>
      <w:pStyle w:val="39"/>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8">
    <w:nsid w:val="6E87019F"/>
    <w:multiLevelType w:val="multilevel"/>
    <w:tmpl w:val="6E87019F"/>
    <w:lvl w:ilvl="0" w:tentative="0">
      <w:start w:val="1"/>
      <w:numFmt w:val="chineseCountingThousand"/>
      <w:pStyle w:val="31"/>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9">
    <w:nsid w:val="73C38474"/>
    <w:multiLevelType w:val="singleLevel"/>
    <w:tmpl w:val="73C38474"/>
    <w:lvl w:ilvl="0" w:tentative="0">
      <w:start w:val="5"/>
      <w:numFmt w:val="chineseCounting"/>
      <w:suff w:val="space"/>
      <w:lvlText w:val="第%1章"/>
      <w:lvlJc w:val="left"/>
      <w:rPr>
        <w:rFonts w:hint="eastAsia"/>
      </w:rPr>
    </w:lvl>
  </w:abstractNum>
  <w:num w:numId="1">
    <w:abstractNumId w:val="9"/>
  </w:num>
  <w:num w:numId="2">
    <w:abstractNumId w:val="18"/>
  </w:num>
  <w:num w:numId="3">
    <w:abstractNumId w:val="12"/>
  </w:num>
  <w:num w:numId="4">
    <w:abstractNumId w:val="11"/>
    <w:lvlOverride w:ilvl="0">
      <w:lvl w:ilvl="0" w:tentative="1">
        <w:start w:val="1"/>
        <w:numFmt w:val="decimal"/>
        <w:lvlText w:val="第%1条"/>
        <w:lvlJc w:val="left"/>
        <w:pPr>
          <w:ind w:left="0" w:firstLine="0"/>
        </w:pPr>
      </w:lvl>
    </w:lvlOverride>
    <w:lvlOverride w:ilvl="1">
      <w:lvl w:ilvl="1" w:tentative="1">
        <w:start w:val="1"/>
        <w:numFmt w:val="decimal"/>
        <w:pStyle w:val="34"/>
        <w:lvlText w:val="%1.%2"/>
        <w:lvlJc w:val="left"/>
        <w:pPr>
          <w:ind w:left="1843" w:firstLine="0"/>
        </w:pPr>
      </w:lvl>
    </w:lvlOverride>
    <w:lvlOverride w:ilvl="2">
      <w:lvl w:ilvl="2" w:tentative="1">
        <w:start w:val="1"/>
        <w:numFmt w:val="decimal"/>
        <w:pStyle w:val="35"/>
        <w:lvlText w:val="%1.%2.%3"/>
        <w:lvlJc w:val="left"/>
        <w:pPr>
          <w:ind w:left="2126" w:firstLine="0"/>
        </w:pPr>
      </w:lvl>
    </w:lvlOverride>
    <w:lvlOverride w:ilvl="3">
      <w:lvl w:ilvl="3" w:tentative="1">
        <w:start w:val="1"/>
        <w:numFmt w:val="decimal"/>
        <w:pStyle w:val="36"/>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5">
    <w:abstractNumId w:val="11"/>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37"/>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6">
    <w:abstractNumId w:val="17"/>
  </w:num>
  <w:num w:numId="7">
    <w:abstractNumId w:val="0"/>
  </w:num>
  <w:num w:numId="8">
    <w:abstractNumId w:val="4"/>
  </w:num>
  <w:num w:numId="9">
    <w:abstractNumId w:val="10"/>
  </w:num>
  <w:num w:numId="10">
    <w:abstractNumId w:val="13"/>
  </w:num>
  <w:num w:numId="11">
    <w:abstractNumId w:val="3"/>
  </w:num>
  <w:num w:numId="12">
    <w:abstractNumId w:val="6"/>
  </w:num>
  <w:num w:numId="13">
    <w:abstractNumId w:val="2"/>
  </w:num>
  <w:num w:numId="14">
    <w:abstractNumId w:val="1"/>
  </w:num>
  <w:num w:numId="15">
    <w:abstractNumId w:val="14"/>
  </w:num>
  <w:num w:numId="16">
    <w:abstractNumId w:val="15"/>
  </w:num>
  <w:num w:numId="17">
    <w:abstractNumId w:val="19"/>
  </w:num>
  <w:num w:numId="18">
    <w:abstractNumId w:val="7"/>
  </w:num>
  <w:num w:numId="19">
    <w:abstractNumId w:val="16"/>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DF410D"/>
    <w:rsid w:val="004672B9"/>
    <w:rsid w:val="03747A3A"/>
    <w:rsid w:val="071D689A"/>
    <w:rsid w:val="07930B56"/>
    <w:rsid w:val="07E04497"/>
    <w:rsid w:val="0B185E28"/>
    <w:rsid w:val="0BAA0EE8"/>
    <w:rsid w:val="0C175FAD"/>
    <w:rsid w:val="0D0504FC"/>
    <w:rsid w:val="0ED50098"/>
    <w:rsid w:val="0F6C03BE"/>
    <w:rsid w:val="13EF5940"/>
    <w:rsid w:val="14220F2F"/>
    <w:rsid w:val="15363948"/>
    <w:rsid w:val="15D73C01"/>
    <w:rsid w:val="16E8641F"/>
    <w:rsid w:val="1A0934D0"/>
    <w:rsid w:val="1D0B56BA"/>
    <w:rsid w:val="1EBD253D"/>
    <w:rsid w:val="20F16975"/>
    <w:rsid w:val="29EE33C5"/>
    <w:rsid w:val="2B015E2A"/>
    <w:rsid w:val="2B2D5634"/>
    <w:rsid w:val="2B34402E"/>
    <w:rsid w:val="2B3D345D"/>
    <w:rsid w:val="2ED577F4"/>
    <w:rsid w:val="2EF84CC9"/>
    <w:rsid w:val="2F987A75"/>
    <w:rsid w:val="328C29A2"/>
    <w:rsid w:val="34621C0C"/>
    <w:rsid w:val="349E1EE2"/>
    <w:rsid w:val="3AE64165"/>
    <w:rsid w:val="3BE64ED1"/>
    <w:rsid w:val="3D5151F3"/>
    <w:rsid w:val="3E525794"/>
    <w:rsid w:val="3EE36C4C"/>
    <w:rsid w:val="403F72A5"/>
    <w:rsid w:val="44B87F07"/>
    <w:rsid w:val="451032BA"/>
    <w:rsid w:val="45A33E32"/>
    <w:rsid w:val="468A0DE6"/>
    <w:rsid w:val="49F62026"/>
    <w:rsid w:val="4A132CBF"/>
    <w:rsid w:val="4A5D4F3A"/>
    <w:rsid w:val="4AA653A4"/>
    <w:rsid w:val="4B08477A"/>
    <w:rsid w:val="4B7411BA"/>
    <w:rsid w:val="4DC0791F"/>
    <w:rsid w:val="4F585C8E"/>
    <w:rsid w:val="4FB13B8D"/>
    <w:rsid w:val="4FFE3011"/>
    <w:rsid w:val="50753CCC"/>
    <w:rsid w:val="51D421DB"/>
    <w:rsid w:val="52CC7C72"/>
    <w:rsid w:val="534E4FF2"/>
    <w:rsid w:val="545B2D6A"/>
    <w:rsid w:val="55DF410D"/>
    <w:rsid w:val="56F24C1A"/>
    <w:rsid w:val="57EC7845"/>
    <w:rsid w:val="57F56B37"/>
    <w:rsid w:val="581F1375"/>
    <w:rsid w:val="58DF11CE"/>
    <w:rsid w:val="58E10F36"/>
    <w:rsid w:val="5AED3963"/>
    <w:rsid w:val="5B0373F5"/>
    <w:rsid w:val="5BB24978"/>
    <w:rsid w:val="5BC56459"/>
    <w:rsid w:val="5BE952F0"/>
    <w:rsid w:val="5EFA5BBE"/>
    <w:rsid w:val="5FD0569B"/>
    <w:rsid w:val="60B82C28"/>
    <w:rsid w:val="61B03707"/>
    <w:rsid w:val="62B64350"/>
    <w:rsid w:val="62DE6D72"/>
    <w:rsid w:val="655A40B6"/>
    <w:rsid w:val="668F5FE1"/>
    <w:rsid w:val="6D0D7C60"/>
    <w:rsid w:val="6F140658"/>
    <w:rsid w:val="71561CE5"/>
    <w:rsid w:val="723B0DCB"/>
    <w:rsid w:val="76AB703F"/>
    <w:rsid w:val="76FD0D45"/>
    <w:rsid w:val="799E27B4"/>
    <w:rsid w:val="79B25C79"/>
    <w:rsid w:val="7B09015B"/>
    <w:rsid w:val="7D4821C7"/>
    <w:rsid w:val="7D580CF2"/>
    <w:rsid w:val="7E461224"/>
    <w:rsid w:val="7E4E7747"/>
    <w:rsid w:val="7F2552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qFormat/>
    <w:uiPriority w:val="0"/>
    <w:pPr>
      <w:keepNext/>
      <w:keepLines/>
      <w:adjustRightInd w:val="0"/>
      <w:spacing w:before="240" w:beforeLines="0" w:after="64" w:afterLines="0" w:line="320" w:lineRule="auto"/>
      <w:ind w:left="2550" w:hanging="425"/>
      <w:textAlignment w:val="baseline"/>
      <w:outlineLvl w:val="5"/>
    </w:pPr>
    <w:rPr>
      <w:rFonts w:ascii="Arial" w:hAnsi="Arial" w:eastAsia="黑体"/>
      <w:b/>
      <w:kern w:val="2"/>
      <w:sz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annotation text"/>
    <w:basedOn w:val="1"/>
    <w:qFormat/>
    <w:uiPriority w:val="0"/>
    <w:pPr>
      <w:jc w:val="left"/>
    </w:pPr>
  </w:style>
  <w:style w:type="paragraph" w:styleId="9">
    <w:name w:val="Body Text"/>
    <w:basedOn w:val="1"/>
    <w:next w:val="10"/>
    <w:qFormat/>
    <w:uiPriority w:val="0"/>
    <w:pPr>
      <w:spacing w:after="120"/>
    </w:pPr>
  </w:style>
  <w:style w:type="paragraph" w:styleId="10">
    <w:name w:val="toc 2"/>
    <w:basedOn w:val="1"/>
    <w:next w:val="1"/>
    <w:semiHidden/>
    <w:qFormat/>
    <w:uiPriority w:val="0"/>
    <w:pPr>
      <w:tabs>
        <w:tab w:val="right" w:leader="middleDot" w:pos="9000"/>
      </w:tabs>
      <w:snapToGrid w:val="0"/>
      <w:spacing w:line="440" w:lineRule="exact"/>
      <w:ind w:left="210"/>
      <w:jc w:val="left"/>
    </w:pPr>
    <w:rPr>
      <w:rFonts w:eastAsia="方正仿宋简体"/>
      <w:smallCaps/>
      <w:color w:val="000000"/>
      <w:sz w:val="24"/>
    </w:rPr>
  </w:style>
  <w:style w:type="paragraph" w:styleId="11">
    <w:name w:val="Body Text Indent"/>
    <w:basedOn w:val="1"/>
    <w:qFormat/>
    <w:uiPriority w:val="0"/>
    <w:pPr>
      <w:spacing w:after="120"/>
      <w:ind w:left="420" w:leftChars="200"/>
    </w:pPr>
    <w:rPr>
      <w:rFonts w:ascii="Times New Roman" w:hAnsi="Times New Roman" w:eastAsia="宋体" w:cs="Times New Roman"/>
      <w:szCs w:val="24"/>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semiHidden/>
    <w:qFormat/>
    <w:uiPriority w:val="0"/>
    <w:pPr>
      <w:tabs>
        <w:tab w:val="right" w:leader="dot" w:pos="8551"/>
      </w:tabs>
      <w:spacing w:before="120" w:after="120"/>
      <w:ind w:left="360" w:leftChars="1" w:hanging="358" w:hangingChars="179"/>
      <w:jc w:val="left"/>
    </w:pPr>
    <w:rPr>
      <w:rFonts w:eastAsia="方正仿宋简体"/>
      <w:b/>
      <w:sz w:val="24"/>
    </w:rPr>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6">
    <w:name w:val="Body Text First Indent"/>
    <w:basedOn w:val="9"/>
    <w:qFormat/>
    <w:uiPriority w:val="0"/>
    <w:pPr>
      <w:spacing w:after="120"/>
      <w:ind w:firstLine="420" w:firstLineChars="100"/>
    </w:pPr>
  </w:style>
  <w:style w:type="paragraph" w:styleId="17">
    <w:name w:val="Body Text First Indent 2"/>
    <w:basedOn w:val="11"/>
    <w:qFormat/>
    <w:uiPriority w:val="0"/>
    <w:pPr>
      <w:ind w:firstLine="42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qFormat/>
    <w:uiPriority w:val="0"/>
    <w:rPr>
      <w:color w:val="0000FF"/>
      <w:u w:val="single"/>
    </w:rPr>
  </w:style>
  <w:style w:type="paragraph" w:customStyle="1" w:styleId="23">
    <w:name w:val="列出段落1"/>
    <w:basedOn w:val="1"/>
    <w:qFormat/>
    <w:uiPriority w:val="0"/>
    <w:pPr>
      <w:spacing w:line="480" w:lineRule="atLeast"/>
      <w:ind w:firstLine="420" w:firstLineChars="200"/>
    </w:pPr>
    <w:rPr>
      <w:rFonts w:ascii="Calibri" w:hAnsi="Calibri"/>
    </w:rPr>
  </w:style>
  <w:style w:type="paragraph" w:customStyle="1" w:styleId="24">
    <w:name w:val="正文文本 31"/>
    <w:basedOn w:val="1"/>
    <w:qFormat/>
    <w:uiPriority w:val="0"/>
    <w:rPr>
      <w:rFonts w:ascii="宋体"/>
      <w:sz w:val="24"/>
    </w:rPr>
  </w:style>
  <w:style w:type="paragraph" w:customStyle="1" w:styleId="25">
    <w:name w:val="Table Paragraph"/>
    <w:basedOn w:val="1"/>
    <w:qFormat/>
    <w:uiPriority w:val="1"/>
    <w:rPr>
      <w:rFonts w:ascii="宋体" w:hAnsi="宋体" w:eastAsia="宋体" w:cs="宋体"/>
      <w:lang w:val="zh-CN" w:eastAsia="zh-CN" w:bidi="zh-CN"/>
    </w:rPr>
  </w:style>
  <w:style w:type="paragraph" w:customStyle="1" w:styleId="26">
    <w:name w:val="Table Text"/>
    <w:basedOn w:val="1"/>
    <w:semiHidden/>
    <w:qFormat/>
    <w:uiPriority w:val="0"/>
    <w:rPr>
      <w:rFonts w:ascii="宋体" w:hAnsi="宋体" w:eastAsia="宋体" w:cs="宋体"/>
      <w:sz w:val="19"/>
      <w:szCs w:val="19"/>
      <w:lang w:val="en-US" w:eastAsia="en-US" w:bidi="ar-SA"/>
    </w:rPr>
  </w:style>
  <w:style w:type="table" w:customStyle="1" w:styleId="27">
    <w:name w:val="Table Normal"/>
    <w:unhideWhenUsed/>
    <w:qFormat/>
    <w:uiPriority w:val="0"/>
    <w:tblPr>
      <w:tblCellMar>
        <w:top w:w="0" w:type="dxa"/>
        <w:left w:w="0" w:type="dxa"/>
        <w:bottom w:w="0" w:type="dxa"/>
        <w:right w:w="0" w:type="dxa"/>
      </w:tblCellMar>
    </w:tblPr>
  </w:style>
  <w:style w:type="paragraph" w:customStyle="1" w:styleId="28">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29">
    <w:name w:val="附件标题1"/>
    <w:next w:val="1"/>
    <w:qFormat/>
    <w:uiPriority w:val="0"/>
    <w:pPr>
      <w:numPr>
        <w:ilvl w:val="0"/>
        <w:numId w:val="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30">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sz w:val="36"/>
      <w:szCs w:val="44"/>
      <w:lang w:val="zh-CN"/>
    </w:rPr>
  </w:style>
  <w:style w:type="paragraph" w:customStyle="1" w:styleId="31">
    <w:name w:val="协议书标题2"/>
    <w:basedOn w:val="3"/>
    <w:next w:val="1"/>
    <w:qFormat/>
    <w:uiPriority w:val="0"/>
    <w:pPr>
      <w:keepNext w:val="0"/>
      <w:keepLines w:val="0"/>
      <w:numPr>
        <w:ilvl w:val="0"/>
        <w:numId w:val="2"/>
      </w:numPr>
      <w:tabs>
        <w:tab w:val="left" w:pos="567"/>
      </w:tabs>
      <w:spacing w:line="360" w:lineRule="auto"/>
      <w:ind w:firstLine="0" w:firstLineChars="0"/>
      <w:jc w:val="left"/>
    </w:pPr>
    <w:rPr>
      <w:rFonts w:ascii="宋体" w:hAnsi="宋体" w:eastAsia="宋体"/>
      <w:sz w:val="24"/>
    </w:rPr>
  </w:style>
  <w:style w:type="paragraph" w:customStyle="1" w:styleId="32">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33">
    <w:name w:val="通用标题2"/>
    <w:basedOn w:val="3"/>
    <w:next w:val="1"/>
    <w:qFormat/>
    <w:uiPriority w:val="0"/>
    <w:pPr>
      <w:keepNext w:val="0"/>
      <w:keepLines w:val="0"/>
      <w:numPr>
        <w:ilvl w:val="0"/>
        <w:numId w:val="3"/>
      </w:numPr>
      <w:tabs>
        <w:tab w:val="left" w:pos="993"/>
      </w:tabs>
      <w:spacing w:line="360" w:lineRule="auto"/>
      <w:ind w:firstLineChars="0"/>
    </w:pPr>
    <w:rPr>
      <w:rFonts w:ascii="黑体" w:hAnsi="黑体"/>
    </w:rPr>
  </w:style>
  <w:style w:type="paragraph" w:customStyle="1" w:styleId="34">
    <w:name w:val="通用标题3"/>
    <w:next w:val="1"/>
    <w:qFormat/>
    <w:uiPriority w:val="0"/>
    <w:pPr>
      <w:widowControl w:val="0"/>
      <w:numPr>
        <w:ilvl w:val="1"/>
        <w:numId w:val="4"/>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35">
    <w:name w:val="通用标题4"/>
    <w:next w:val="1"/>
    <w:qFormat/>
    <w:uiPriority w:val="0"/>
    <w:pPr>
      <w:numPr>
        <w:ilvl w:val="2"/>
        <w:numId w:val="4"/>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36">
    <w:name w:val="通用标题5"/>
    <w:qFormat/>
    <w:uiPriority w:val="0"/>
    <w:pPr>
      <w:widowControl w:val="0"/>
      <w:numPr>
        <w:ilvl w:val="3"/>
        <w:numId w:val="4"/>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37">
    <w:name w:val="通用标题6"/>
    <w:basedOn w:val="1"/>
    <w:qFormat/>
    <w:uiPriority w:val="0"/>
    <w:pPr>
      <w:numPr>
        <w:ilvl w:val="4"/>
        <w:numId w:val="5"/>
      </w:numPr>
      <w:tabs>
        <w:tab w:val="left" w:pos="993"/>
      </w:tabs>
      <w:wordWrap/>
      <w:topLinePunct w:val="0"/>
      <w:ind w:firstLine="0" w:firstLineChars="0"/>
    </w:pPr>
  </w:style>
  <w:style w:type="paragraph" w:customStyle="1" w:styleId="38">
    <w:name w:val="专用标题2"/>
    <w:basedOn w:val="3"/>
    <w:next w:val="1"/>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 w:type="paragraph" w:customStyle="1" w:styleId="39">
    <w:name w:val="附件标题"/>
    <w:basedOn w:val="3"/>
    <w:next w:val="1"/>
    <w:qFormat/>
    <w:uiPriority w:val="0"/>
    <w:pPr>
      <w:numPr>
        <w:ilvl w:val="0"/>
        <w:numId w:val="6"/>
      </w:numPr>
      <w:tabs>
        <w:tab w:val="left" w:pos="1134"/>
      </w:tabs>
      <w:spacing w:line="360" w:lineRule="auto"/>
      <w:ind w:firstLine="0" w:firstLineChars="0"/>
      <w:jc w:val="center"/>
    </w:pPr>
    <w:rPr>
      <w:rFonts w:ascii="黑体" w:hAnsi="黑体"/>
      <w:sz w:val="30"/>
      <w:szCs w:val="30"/>
    </w:rPr>
  </w:style>
  <w:style w:type="paragraph" w:customStyle="1" w:styleId="40">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0"/>
    </w:rPr>
  </w:style>
  <w:style w:type="paragraph" w:customStyle="1" w:styleId="41">
    <w:name w:val="1 首行缩进:  2 字符 + 首行缩进:  2 字符"/>
    <w:basedOn w:val="1"/>
    <w:qFormat/>
    <w:uiPriority w:val="0"/>
    <w:rPr>
      <w:rFonts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0" textRotate="1"/>
    <customShpInfo spid="_x0000_s204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205</Pages>
  <Words>32236</Words>
  <Characters>34868</Characters>
  <Lines>0</Lines>
  <Paragraphs>0</Paragraphs>
  <TotalTime>2</TotalTime>
  <ScaleCrop>false</ScaleCrop>
  <LinksUpToDate>false</LinksUpToDate>
  <CharactersWithSpaces>36314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2025-10-21T07:29:00Z</dcterms:created>
  <dc:creator>Administrator</dc:creator>
  <cp:lastModifiedBy>Administrator</cp:lastModifiedBy>
  <cp:lastPrinted>2025-11-03T00:22:00Z</cp:lastPrinted>
  <dcterms:modified xsi:type="dcterms:W3CDTF">2026-05-06T10:31:22Z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B0EA1DA93C1440A497EE618BF8524621_13</vt:lpwstr>
  </property>
  <property fmtid="{D5CDD505-2E9C-101B-9397-08002B2CF9AE}" pid="4" name="KSOTemplateDocerSaveRecord">
    <vt:lpwstr>eyJoZGlkIjoiNmIyNGY3NzQ5ZjNlMTFmYzM2OGM2MDYxMmM4YmFhNjgiLCJ1c2VySWQiOiIzNjQyMDgyODAifQ==</vt:lpwstr>
  </property>
</Properties>
</file>