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巴彦淖尔市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公共资源交易中心（政府采购中心）党支部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组织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生活会征求意见表</w:t>
      </w:r>
    </w:p>
    <w:tbl>
      <w:tblPr>
        <w:tblStyle w:val="2"/>
        <w:tblpPr w:leftFromText="180" w:rightFromText="180" w:vertAnchor="page" w:horzAnchor="page" w:tblpX="1575" w:tblpY="3942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1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sz w:val="36"/>
                <w:szCs w:val="36"/>
              </w:rPr>
              <w:t>内  容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sz w:val="36"/>
                <w:szCs w:val="36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51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执行上级党组织决定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51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严格党的组织生活制度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51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加强党员教育监督管理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1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教育引领和联系服务群众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51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加强自身建设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注：请在相应栏填写意见建议，如内容较多，可另附页。</w:t>
      </w:r>
    </w:p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巴彦淖尔市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公共资源交易中心（政府采购中心）党支部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组织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生活会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党员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征求意见表</w:t>
      </w:r>
    </w:p>
    <w:p/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4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3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4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44"/>
                <w:lang w:eastAsia="zh-CN"/>
              </w:rPr>
              <w:t>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44"/>
                <w:lang w:eastAsia="zh-CN"/>
              </w:rPr>
              <w:t>员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44"/>
              </w:rPr>
              <w:t>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44"/>
              </w:rPr>
              <w:t>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382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val="en" w:eastAsia="zh-CN"/>
              </w:rPr>
              <w:t>胡剑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3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  <w:t>杨亮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3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  <w:t>刘小磊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仿宋_GB2312" w:hAnsi="仿宋" w:eastAsia="仿宋_GB2312" w:cs="仿宋"/>
          <w:sz w:val="32"/>
          <w:szCs w:val="32"/>
        </w:rPr>
        <w:t>注：请在相应栏填写意见建议，如内容较多，可另附页。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2023-03-24T09:31:18Z</dcterms:created>
  <dc:creator>Administrator</dc:creator>
  <cp:lastModifiedBy>BeHappy LEE </cp:lastModifiedBy>
  <dcterms:modified xsi:type="dcterms:W3CDTF">2023-03-24T09:32:14Z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