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3F2D9" w:themeColor="accent4" w:themeTint="33"/>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Style w:val="6"/>
          <w:rFonts w:hint="eastAsia" w:ascii="方正小标宋简体" w:hAnsi="方正小标宋简体" w:eastAsia="方正小标宋简体" w:cs="方正小标宋简体"/>
          <w:b w:val="0"/>
          <w:bCs/>
          <w:i w:val="0"/>
          <w:iCs w:val="0"/>
          <w:caps w:val="0"/>
          <w:color w:val="000000" w:themeColor="text1"/>
          <w:spacing w:val="0"/>
          <w:sz w:val="44"/>
          <w:szCs w:val="44"/>
          <w:shd w:val="clear" w:color="auto" w:fill="FFFFFF"/>
          <w14:textFill>
            <w14:solidFill>
              <w14:schemeClr w14:val="tx1"/>
            </w14:solidFill>
          </w14:textFill>
        </w:rPr>
      </w:pPr>
      <w:bookmarkStart w:id="0" w:name="_GoBack"/>
      <w:bookmarkEnd w:id="0"/>
      <w:r>
        <w:rPr>
          <w:rStyle w:val="6"/>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t>内蒙古自治区公共资源交易管理办法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20"/>
        <w:jc w:val="center"/>
        <w:textAlignment w:val="auto"/>
        <w:rPr>
          <w:rStyle w:val="6"/>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20"/>
        <w:jc w:val="center"/>
        <w:textAlignment w:val="auto"/>
        <w:rPr>
          <w:rFonts w:hint="eastAsia" w:ascii="方正黑体简体" w:hAnsi="方正黑体简体" w:eastAsia="方正黑体简体" w:cs="方正黑体简体"/>
          <w:b w:val="0"/>
          <w:bCs/>
          <w:color w:val="000000" w:themeColor="text1"/>
          <w:sz w:val="36"/>
          <w:szCs w:val="36"/>
          <w:lang w:val="en-US" w:eastAsia="zh-CN"/>
          <w14:textFill>
            <w14:solidFill>
              <w14:schemeClr w14:val="tx1"/>
            </w14:solidFill>
          </w14:textFill>
        </w:rPr>
      </w:pP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第一章</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lang w:val="en-US" w:eastAsia="zh-CN"/>
          <w14:textFill>
            <w14:solidFill>
              <w14:schemeClr w14:val="tx1"/>
            </w14:solidFill>
          </w14:textFill>
        </w:rPr>
        <w:t xml:space="preserve">  </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总</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lang w:val="en-US" w:eastAsia="zh-CN"/>
          <w14:textFill>
            <w14:solidFill>
              <w14:schemeClr w14:val="tx1"/>
            </w14:solidFill>
          </w14:textFill>
        </w:rPr>
        <w:t xml:space="preserve">  </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color w:val="000000" w:themeColor="text1"/>
          <w:sz w:val="36"/>
          <w:szCs w:val="36"/>
          <w:lang w:eastAsia="zh-CN"/>
          <w14:textFill>
            <w14:solidFill>
              <w14:schemeClr w14:val="tx1"/>
            </w14:solidFill>
          </w14:textFill>
        </w:rPr>
      </w:pPr>
      <w:r>
        <w:rPr>
          <w:rStyle w:val="6"/>
          <w:rFonts w:hint="eastAsia" w:ascii="方正仿宋简体" w:hAnsi="方正仿宋简体" w:eastAsia="方正仿宋简体" w:cs="方正仿宋简体"/>
          <w:b/>
          <w:bCs w:val="0"/>
          <w:i w:val="0"/>
          <w:iCs w:val="0"/>
          <w:caps w:val="0"/>
          <w:color w:val="000000" w:themeColor="text1"/>
          <w:spacing w:val="0"/>
          <w:sz w:val="36"/>
          <w:szCs w:val="36"/>
          <w:shd w:val="clear" w:color="auto" w:fill="FFFFFF"/>
          <w14:textFill>
            <w14:solidFill>
              <w14:schemeClr w14:val="tx1"/>
            </w14:solidFill>
          </w14:textFill>
        </w:rPr>
        <w:t>第一条</w:t>
      </w:r>
      <w:r>
        <w:rPr>
          <w:rFonts w:hint="eastAsia" w:ascii="方正仿宋简体" w:hAnsi="方正仿宋简体" w:eastAsia="方正仿宋简体" w:cs="方正仿宋简体"/>
          <w:b/>
          <w:bCs w:val="0"/>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b/>
          <w:bCs w:val="0"/>
          <w:i w:val="0"/>
          <w:iCs w:val="0"/>
          <w:caps w:val="0"/>
          <w:color w:val="000000" w:themeColor="text1"/>
          <w:spacing w:val="0"/>
          <w:sz w:val="36"/>
          <w:szCs w:val="36"/>
          <w:shd w:val="clear" w:color="auto" w:fill="FFFFFF"/>
          <w:lang w:val="en-US" w:eastAsia="zh-CN"/>
          <w14:textFill>
            <w14:solidFill>
              <w14:schemeClr w14:val="tx1"/>
            </w14:solidFill>
          </w14:textFill>
        </w:rPr>
        <w:t>立法宗旨和依据</w:t>
      </w:r>
      <w:r>
        <w:rPr>
          <w:rFonts w:hint="eastAsia" w:ascii="方正仿宋简体" w:hAnsi="方正仿宋简体" w:eastAsia="方正仿宋简体" w:cs="方正仿宋简体"/>
          <w:b/>
          <w:bCs w:val="0"/>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为规范公共资源交易活动，构建统一开放、竞争有序、服务高效、监管有力的公共资源交易市场体系，提升公共资源配置效率和效益，维护国家利益、社会公共利益和交易当事人的合法权益，根据</w:t>
      </w:r>
      <w:r>
        <w:rPr>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14:textFill>
            <w14:solidFill>
              <w14:schemeClr w14:val="tx1"/>
            </w14:solidFill>
          </w14:textFill>
        </w:rPr>
        <w:t>《中华人民共和国招标投标法》《中华人民共和国政府采购法》等法律、法规以及国家关于公共资源交易平台整合共享的规定</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，结合自治区实际，制定本办法。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color w:val="000000" w:themeColor="text1"/>
          <w:sz w:val="36"/>
          <w:szCs w:val="36"/>
          <w:highlight w:val="none"/>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第二条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适用范围</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本办法适用于自治区行政区域内公共资源交易活动的监督管理及</w:t>
      </w:r>
      <w:r>
        <w:rPr>
          <w:rFonts w:hint="eastAsia" w:ascii="方正仿宋简体" w:hAnsi="方正仿宋简体" w:eastAsia="方正仿宋简体" w:cs="方正仿宋简体"/>
          <w:i w:val="0"/>
          <w:iCs w:val="0"/>
          <w:caps w:val="0"/>
          <w:color w:val="000000" w:themeColor="text1"/>
          <w:spacing w:val="0"/>
          <w:sz w:val="36"/>
          <w:szCs w:val="36"/>
          <w:highlight w:val="none"/>
          <w:shd w:val="clear" w:color="auto" w:fill="FFFFFF"/>
          <w14:textFill>
            <w14:solidFill>
              <w14:schemeClr w14:val="tx1"/>
            </w14:solidFill>
          </w14:textFill>
        </w:rPr>
        <w:t>公共资源交易平台的建设、运行、服务和管理。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200"/>
        <w:textAlignment w:val="auto"/>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本办法所称公共资源交易，是指涉及公共利益、公众安全的具有公有性、公益性的资源交易活动。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本办法所称公共资源交易平台，是指实施统一的制度和标准、具备开放共享的公共资源交易电子服务系统和规范透明的运行机制，为</w:t>
      </w:r>
      <w:r>
        <w:rPr>
          <w:rFonts w:hint="eastAsia" w:ascii="方正仿宋简体" w:hAnsi="方正仿宋简体" w:eastAsia="方正仿宋简体" w:cs="方正仿宋简体"/>
          <w:i w:val="0"/>
          <w:iCs w:val="0"/>
          <w:caps w:val="0"/>
          <w:color w:val="000000" w:themeColor="text1"/>
          <w:spacing w:val="0"/>
          <w:sz w:val="36"/>
          <w:szCs w:val="36"/>
          <w:highlight w:val="none"/>
          <w:shd w:val="clear" w:color="auto" w:fill="FFFFFF"/>
          <w:lang w:val="en-US" w:eastAsia="zh-CN"/>
          <w14:textFill>
            <w14:solidFill>
              <w14:schemeClr w14:val="tx1"/>
            </w14:solidFill>
          </w14:textFill>
        </w:rPr>
        <w:t>市场</w:t>
      </w:r>
      <w:r>
        <w:rPr>
          <w:rFonts w:hint="eastAsia" w:ascii="方正仿宋简体" w:hAnsi="方正仿宋简体" w:eastAsia="方正仿宋简体" w:cs="方正仿宋简体"/>
          <w:i w:val="0"/>
          <w:iCs w:val="0"/>
          <w:caps w:val="0"/>
          <w:color w:val="000000" w:themeColor="text1"/>
          <w:spacing w:val="0"/>
          <w:sz w:val="36"/>
          <w:szCs w:val="36"/>
          <w:highlight w:val="none"/>
          <w:shd w:val="clear" w:color="auto" w:fill="FFFFFF"/>
          <w14:textFill>
            <w14:solidFill>
              <w14:schemeClr w14:val="tx1"/>
            </w14:solidFill>
          </w14:textFill>
        </w:rPr>
        <w:t>主体</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、社会公众、</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等提供公共资源交易综合服务的体系。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3"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Fonts w:hint="eastAsia" w:ascii="方正仿宋简体" w:hAnsi="方正仿宋简体" w:eastAsia="方正仿宋简体" w:cs="方正仿宋简体"/>
          <w:b/>
          <w:bCs/>
          <w:i w:val="0"/>
          <w:iCs w:val="0"/>
          <w:caps w:val="0"/>
          <w:color w:val="000000" w:themeColor="text1"/>
          <w:spacing w:val="0"/>
          <w:sz w:val="36"/>
          <w:szCs w:val="36"/>
          <w:shd w:val="clear" w:color="auto" w:fill="FFFFFF"/>
          <w:lang w:val="en-US" w:eastAsia="zh-CN"/>
          <w14:textFill>
            <w14:solidFill>
              <w14:schemeClr w14:val="tx1"/>
            </w14:solidFill>
          </w14:textFill>
        </w:rPr>
        <w:t>第三条</w:t>
      </w:r>
      <w:r>
        <w:rPr>
          <w:rStyle w:val="6"/>
          <w:rFonts w:hint="eastAsia" w:ascii="方正仿宋简体" w:hAnsi="方正仿宋简体" w:eastAsia="方正仿宋简体" w:cs="方正仿宋简体"/>
          <w:b/>
          <w:bCs/>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b/>
          <w:bCs/>
          <w:i w:val="0"/>
          <w:iCs w:val="0"/>
          <w:caps w:val="0"/>
          <w:color w:val="000000" w:themeColor="text1"/>
          <w:spacing w:val="0"/>
          <w:sz w:val="36"/>
          <w:szCs w:val="36"/>
          <w:shd w:val="clear" w:color="auto" w:fill="FFFFFF"/>
          <w:lang w:val="en-US" w:eastAsia="zh-CN"/>
          <w14:textFill>
            <w14:solidFill>
              <w14:schemeClr w14:val="tx1"/>
            </w14:solidFill>
          </w14:textFill>
        </w:rPr>
        <w:t>立法原则</w:t>
      </w:r>
      <w:r>
        <w:rPr>
          <w:rStyle w:val="6"/>
          <w:rFonts w:hint="eastAsia" w:ascii="方正仿宋简体" w:hAnsi="方正仿宋简体" w:eastAsia="方正仿宋简体" w:cs="方正仿宋简体"/>
          <w:b/>
          <w:bCs/>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公共资源交易活动应当遵循</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公开、公平、公正和诚实信用</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公共资源交易平台</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整合共享</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应当坚持</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应进必进、统一规范、公开透明、服务高效的原则</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，遵循数字化驱动、智慧化发展方向，</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持续推动</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统一平台运行、统一信息公开、统一交易规则、</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统一技术标准</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、统一服务标准、</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统一监督标准</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40" w:lineRule="auto"/>
        <w:ind w:left="0" w:right="0" w:firstLine="420"/>
        <w:jc w:val="center"/>
        <w:textAlignment w:val="auto"/>
        <w:rPr>
          <w:rFonts w:hint="eastAsia" w:ascii="方正黑体简体" w:hAnsi="方正黑体简体" w:eastAsia="方正黑体简体" w:cs="方正黑体简体"/>
          <w:b w:val="0"/>
          <w:bCs/>
          <w:color w:val="000000" w:themeColor="text1"/>
          <w:sz w:val="36"/>
          <w:szCs w:val="36"/>
          <w14:textFill>
            <w14:solidFill>
              <w14:schemeClr w14:val="tx1"/>
            </w14:solidFill>
          </w14:textFill>
        </w:rPr>
      </w:pP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第二章</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lang w:val="en-US" w:eastAsia="zh-CN"/>
          <w14:textFill>
            <w14:solidFill>
              <w14:schemeClr w14:val="tx1"/>
            </w14:solidFill>
          </w14:textFill>
        </w:rPr>
        <w:t xml:space="preserve">  </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组织管理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3"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第四条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组织领导</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建立自治区、盟市两级公共资源交易管理工作联席会议制度，成员单位由各</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、履行公共资源交易综合管理职责的机构和平台运行服务机构组成。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自治区公共资源交易管理工作联席会议总召集人由自治区人民政府常务副主席担任，办公室</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职责由</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自治区人民政府</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指定部门承担</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。各盟市公共资源交易管理工作联席会议总召集人由各</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盟市人民政府</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分管领导担任，办公室职责由各盟行政公署、市人民政府指定部门承担。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200"/>
        <w:textAlignment w:val="auto"/>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公共资源交易管理工作联席会议负责指导和协调解决本行政区域公共资源交易管理服务、监督工作的重大问题和重要事项，研究公共资源交易工作重大政策措施，统筹推进公共资源交易平台</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整合共享</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工作。日常工作由联席会议办公室承担。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3" w:firstLineChars="200"/>
        <w:textAlignment w:val="auto"/>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pPr>
      <w:r>
        <w:rPr>
          <w:rFonts w:hint="eastAsia" w:ascii="方正仿宋简体" w:hAnsi="方正仿宋简体" w:eastAsia="方正仿宋简体" w:cs="方正仿宋简体"/>
          <w:b/>
          <w:bCs/>
          <w:i w:val="0"/>
          <w:iCs w:val="0"/>
          <w:caps w:val="0"/>
          <w:color w:val="000000" w:themeColor="text1"/>
          <w:spacing w:val="0"/>
          <w:sz w:val="36"/>
          <w:szCs w:val="36"/>
          <w:shd w:val="clear" w:color="auto" w:fill="FFFFFF"/>
          <w:lang w:val="en-US" w:eastAsia="zh-CN"/>
          <w14:textFill>
            <w14:solidFill>
              <w14:schemeClr w14:val="tx1"/>
            </w14:solidFill>
          </w14:textFill>
        </w:rPr>
        <w:t>第五条（交易监督部门及职责）</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各级发展改革部门指导和协调招标投标工作，各级工业和信息化、财政、自然资源、生态环境、住房城乡建设、交通运输、水利、农牧、商务、卫生健康、国资、能源、林草、医疗保障、</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供销合作联社</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等部门按照职责分工，履行本行业交易活动的监督</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管理</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职责，查处</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交易活动中</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的违法违规行为。各有关部门履行联席会议成员单位职责，完成联席会议办公室交办的各项工作。</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探索推进公共资源交易综合监管。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各</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负责落实本行业公共资源项目进入平台交易，参与建设全区统一的公共资源交易电子系统，制定完善本行业交易规则和监督标准。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公共资源交易项目</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不明确或没有</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的，由项目所在地旗县级以上人民政府按照执行权、监督权相分离的原则明确其</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旗县级以上人民政府对所属部门有关公共资源交易活动的监督职责分工另有规定的，从其规定。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3"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第六条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机构职责</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自治区</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和各盟市应当设立</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公共资源交易综合管理</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和平台运行服务</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机构</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综合管理的</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主要职责</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是</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：贯彻落实国家和自治区关于公共资源交易工作的法律法规和政策规定，研究拟定配套的公共资源交易制度规则和措施；协调推动各级各类公共资源交易平台整合共享工作；协助</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依法对各类交易活动进行规范化管理；管理本级公共资源交易</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平台</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平台运行服务</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的主要职责是：完善</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平台服务制度和流程，负责运行和维护本级公共资源交易平台</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为公共资源交易活动提供政策法规咨询、场所管理、信息发布、专家抽取、交易见证、档案管理等公共服务。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黑体简体" w:hAnsi="方正黑体简体" w:eastAsia="方正黑体简体" w:cs="方正黑体简体"/>
          <w:b w:val="0"/>
          <w:bCs/>
          <w:color w:val="000000" w:themeColor="text1"/>
          <w:sz w:val="36"/>
          <w:szCs w:val="36"/>
          <w14:textFill>
            <w14:solidFill>
              <w14:schemeClr w14:val="tx1"/>
            </w14:solidFill>
          </w14:textFill>
        </w:rPr>
      </w:pP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第三章</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lang w:val="en-US" w:eastAsia="zh-CN"/>
          <w14:textFill>
            <w14:solidFill>
              <w14:schemeClr w14:val="tx1"/>
            </w14:solidFill>
          </w14:textFill>
        </w:rPr>
        <w:t xml:space="preserve">  </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目录管理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七</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交易目录管理</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公共资源交易实行全区统一目录管理，按照应进必进的原则逐步扩大到适合以市场化方式配置的各类公共资源交易。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Fonts w:hint="eastAsia" w:ascii="方正仿宋简体" w:hAnsi="方正仿宋简体" w:eastAsia="方正仿宋简体" w:cs="方正仿宋简体"/>
          <w:b/>
          <w:bCs/>
          <w:i w:val="0"/>
          <w:iCs w:val="0"/>
          <w:caps w:val="0"/>
          <w:color w:val="000000" w:themeColor="text1"/>
          <w:spacing w:val="0"/>
          <w:sz w:val="36"/>
          <w:szCs w:val="36"/>
          <w:shd w:val="clear" w:color="auto" w:fill="FFFFFF"/>
          <w14:textFill>
            <w14:solidFill>
              <w14:schemeClr w14:val="tx1"/>
            </w14:solidFill>
          </w14:textFill>
        </w:rPr>
        <w:t>第</w:t>
      </w:r>
      <w:r>
        <w:rPr>
          <w:rFonts w:hint="eastAsia" w:ascii="方正仿宋简体" w:hAnsi="方正仿宋简体" w:eastAsia="方正仿宋简体" w:cs="方正仿宋简体"/>
          <w:b/>
          <w:bCs/>
          <w:i w:val="0"/>
          <w:iCs w:val="0"/>
          <w:caps w:val="0"/>
          <w:color w:val="000000" w:themeColor="text1"/>
          <w:spacing w:val="0"/>
          <w:sz w:val="36"/>
          <w:szCs w:val="36"/>
          <w:shd w:val="clear" w:color="auto" w:fill="FFFFFF"/>
          <w:lang w:val="en-US" w:eastAsia="zh-CN"/>
          <w14:textFill>
            <w14:solidFill>
              <w14:schemeClr w14:val="tx1"/>
            </w14:solidFill>
          </w14:textFill>
        </w:rPr>
        <w:t>八</w:t>
      </w:r>
      <w:r>
        <w:rPr>
          <w:rFonts w:hint="eastAsia" w:ascii="方正仿宋简体" w:hAnsi="方正仿宋简体" w:eastAsia="方正仿宋简体" w:cs="方正仿宋简体"/>
          <w:b/>
          <w:bCs/>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交易目录制订</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自治区公共资源交易</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综合管理机构</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会同本级</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制订交易目录，由自治区人民政府办公厅发布实施。目录实行动态管理，不定期修订。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color w:val="000000" w:themeColor="text1"/>
          <w:sz w:val="36"/>
          <w:szCs w:val="36"/>
          <w:lang w:val="en-US" w:eastAsia="zh-CN"/>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九</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 xml:space="preserve">(应进必进) </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列入交易目录的公共资源交易项目应当按照有关规定进入公共资源交易平台进行交易。鼓励未列入公共资源交易目录的项目纳入平台交易。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第十条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平台目录管理</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 xml:space="preserve"> 各级各类公共资源交易平台应当纳入平台目录管理，</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未列入平台目录的场所和机构不得开展公共资源交易活动。</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各盟市人民政府应当推动建立本行政区域内统一的公共资源交易平台体系，平台设立应当严格遵守国家关于平台整合共享的相关规定。</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全区统一的平台目录</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由自治区公共资源交易</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综合管理机构</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编制，报自治区人民政府批准后发布。目录实行动态管理。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3" w:firstLineChars="200"/>
        <w:textAlignment w:val="auto"/>
        <w:rPr>
          <w:rStyle w:val="6"/>
          <w:rFonts w:hint="eastAsia" w:ascii="方正仿宋简体" w:hAnsi="方正仿宋简体" w:eastAsia="方正仿宋简体" w:cs="方正仿宋简体"/>
          <w:b/>
          <w:bCs w:val="0"/>
          <w:i w:val="0"/>
          <w:iCs w:val="0"/>
          <w:caps w:val="0"/>
          <w:color w:val="000000" w:themeColor="text1"/>
          <w:spacing w:val="0"/>
          <w:sz w:val="36"/>
          <w:szCs w:val="36"/>
          <w:shd w:val="clear" w:color="auto" w:fill="FFFFFF"/>
          <w14:textFill>
            <w14:solidFill>
              <w14:schemeClr w14:val="tx1"/>
            </w14:solidFill>
          </w14:textFill>
        </w:rPr>
      </w:pPr>
      <w:r>
        <w:rPr>
          <w:rStyle w:val="6"/>
          <w:rFonts w:hint="eastAsia" w:ascii="方正仿宋简体" w:hAnsi="方正仿宋简体" w:eastAsia="方正仿宋简体" w:cs="方正仿宋简体"/>
          <w:b/>
          <w:bCs w:val="0"/>
          <w:i w:val="0"/>
          <w:iCs w:val="0"/>
          <w:caps w:val="0"/>
          <w:color w:val="000000" w:themeColor="text1"/>
          <w:spacing w:val="0"/>
          <w:sz w:val="36"/>
          <w:szCs w:val="36"/>
          <w:shd w:val="clear" w:color="auto" w:fill="FFFFFF"/>
          <w14:textFill>
            <w14:solidFill>
              <w14:schemeClr w14:val="tx1"/>
            </w14:solidFill>
          </w14:textFill>
        </w:rPr>
        <w:t>第十</w:t>
      </w:r>
      <w:r>
        <w:rPr>
          <w:rStyle w:val="6"/>
          <w:rFonts w:hint="eastAsia" w:ascii="方正仿宋简体" w:hAnsi="方正仿宋简体" w:eastAsia="方正仿宋简体" w:cs="方正仿宋简体"/>
          <w:b/>
          <w:bCs w:val="0"/>
          <w:i w:val="0"/>
          <w:iCs w:val="0"/>
          <w:caps w:val="0"/>
          <w:color w:val="000000" w:themeColor="text1"/>
          <w:spacing w:val="0"/>
          <w:sz w:val="36"/>
          <w:szCs w:val="36"/>
          <w:shd w:val="clear" w:color="auto" w:fill="FFFFFF"/>
          <w:lang w:val="en-US" w:eastAsia="zh-CN"/>
          <w14:textFill>
            <w14:solidFill>
              <w14:schemeClr w14:val="tx1"/>
            </w14:solidFill>
          </w14:textFill>
        </w:rPr>
        <w:t>一</w:t>
      </w:r>
      <w:r>
        <w:rPr>
          <w:rStyle w:val="6"/>
          <w:rFonts w:hint="eastAsia" w:ascii="方正仿宋简体" w:hAnsi="方正仿宋简体" w:eastAsia="方正仿宋简体" w:cs="方正仿宋简体"/>
          <w:b/>
          <w:bCs w:val="0"/>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方正仿宋简体" w:hAnsi="方正仿宋简体" w:eastAsia="方正仿宋简体" w:cs="方正仿宋简体"/>
          <w:b/>
          <w:bCs w:val="0"/>
          <w:i w:val="0"/>
          <w:iCs w:val="0"/>
          <w:caps w:val="0"/>
          <w:color w:val="000000" w:themeColor="text1"/>
          <w:spacing w:val="0"/>
          <w:sz w:val="36"/>
          <w:szCs w:val="36"/>
          <w:shd w:val="clear" w:color="auto" w:fill="FFFFFF"/>
          <w:lang w:eastAsia="zh-CN"/>
          <w14:textFill>
            <w14:solidFill>
              <w14:schemeClr w14:val="tx1"/>
            </w14:solidFill>
          </w14:textFill>
        </w:rPr>
        <w:t>（信息公开目录管理）</w:t>
      </w:r>
      <w:r>
        <w:rPr>
          <w:rStyle w:val="6"/>
          <w:rFonts w:hint="eastAsia" w:ascii="方正仿宋简体" w:hAnsi="方正仿宋简体" w:eastAsia="方正仿宋简体" w:cs="方正仿宋简体"/>
          <w:b w:val="0"/>
          <w:bCs/>
          <w:i w:val="0"/>
          <w:iCs w:val="0"/>
          <w:caps w:val="0"/>
          <w:color w:val="000000" w:themeColor="text1"/>
          <w:spacing w:val="0"/>
          <w:sz w:val="36"/>
          <w:szCs w:val="36"/>
          <w:shd w:val="clear" w:color="auto" w:fill="FFFFFF"/>
          <w14:textFill>
            <w14:solidFill>
              <w14:schemeClr w14:val="tx1"/>
            </w14:solidFill>
          </w14:textFill>
        </w:rPr>
        <w:t xml:space="preserve">  公共资源交易领域基层政务公开信息实行目录管理，</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由自治区各有关</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会同自治区公共资源交易</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综合管理机构</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制订</w:t>
      </w:r>
      <w:r>
        <w:rPr>
          <w:rStyle w:val="6"/>
          <w:rFonts w:hint="eastAsia" w:ascii="方正仿宋简体" w:hAnsi="方正仿宋简体" w:eastAsia="方正仿宋简体" w:cs="方正仿宋简体"/>
          <w:b w:val="0"/>
          <w:bCs/>
          <w:i w:val="0"/>
          <w:iCs w:val="0"/>
          <w:caps w:val="0"/>
          <w:color w:val="000000" w:themeColor="text1"/>
          <w:spacing w:val="0"/>
          <w:sz w:val="36"/>
          <w:szCs w:val="36"/>
          <w:shd w:val="clear" w:color="auto"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20"/>
        <w:jc w:val="center"/>
        <w:textAlignment w:val="auto"/>
        <w:rPr>
          <w:rFonts w:hint="eastAsia" w:ascii="方正黑体简体" w:hAnsi="方正黑体简体" w:eastAsia="方正黑体简体" w:cs="方正黑体简体"/>
          <w:b w:val="0"/>
          <w:bCs/>
          <w:color w:val="000000" w:themeColor="text1"/>
          <w:sz w:val="36"/>
          <w:szCs w:val="36"/>
          <w14:textFill>
            <w14:solidFill>
              <w14:schemeClr w14:val="tx1"/>
            </w14:solidFill>
          </w14:textFill>
        </w:rPr>
      </w:pP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第四章</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lang w:val="en-US" w:eastAsia="zh-CN"/>
          <w14:textFill>
            <w14:solidFill>
              <w14:schemeClr w14:val="tx1"/>
            </w14:solidFill>
          </w14:textFill>
        </w:rPr>
        <w:t xml:space="preserve">  </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交易运行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color w:val="000000" w:themeColor="text1"/>
          <w:sz w:val="36"/>
          <w:szCs w:val="36"/>
          <w:shd w:val="clear" w:color="auto" w:fill="FFFFFF"/>
          <w:lang w:val="en-US" w:eastAsia="zh-CN"/>
          <w14:textFill>
            <w14:solidFill>
              <w14:schemeClr w14:val="tx1"/>
            </w14:solidFill>
          </w14:textFill>
        </w:rPr>
      </w:pPr>
      <w:r>
        <w:rPr>
          <w:rStyle w:val="6"/>
          <w:rFonts w:hint="eastAsia" w:ascii="方正仿宋简体" w:hAnsi="方正仿宋简体" w:eastAsia="方正仿宋简体" w:cs="方正仿宋简体"/>
          <w:b/>
          <w:bCs w:val="0"/>
          <w:i w:val="0"/>
          <w:iCs w:val="0"/>
          <w:caps w:val="0"/>
          <w:color w:val="000000" w:themeColor="text1"/>
          <w:spacing w:val="0"/>
          <w:sz w:val="36"/>
          <w:szCs w:val="36"/>
          <w:shd w:val="clear" w:color="auto" w:fill="FFFFFF"/>
          <w14:textFill>
            <w14:solidFill>
              <w14:schemeClr w14:val="tx1"/>
            </w14:solidFill>
          </w14:textFill>
        </w:rPr>
        <w:t>第十</w:t>
      </w:r>
      <w:r>
        <w:rPr>
          <w:rStyle w:val="6"/>
          <w:rFonts w:hint="eastAsia" w:ascii="方正仿宋简体" w:hAnsi="方正仿宋简体" w:eastAsia="方正仿宋简体" w:cs="方正仿宋简体"/>
          <w:b/>
          <w:bCs w:val="0"/>
          <w:i w:val="0"/>
          <w:iCs w:val="0"/>
          <w:caps w:val="0"/>
          <w:color w:val="000000" w:themeColor="text1"/>
          <w:spacing w:val="0"/>
          <w:sz w:val="36"/>
          <w:szCs w:val="36"/>
          <w:shd w:val="clear" w:color="auto" w:fill="FFFFFF"/>
          <w:lang w:val="en-US" w:eastAsia="zh-CN"/>
          <w14:textFill>
            <w14:solidFill>
              <w14:schemeClr w14:val="tx1"/>
            </w14:solidFill>
          </w14:textFill>
        </w:rPr>
        <w:t>二</w:t>
      </w:r>
      <w:r>
        <w:rPr>
          <w:rStyle w:val="6"/>
          <w:rFonts w:hint="eastAsia" w:ascii="方正仿宋简体" w:hAnsi="方正仿宋简体" w:eastAsia="方正仿宋简体" w:cs="方正仿宋简体"/>
          <w:b/>
          <w:bCs w:val="0"/>
          <w:i w:val="0"/>
          <w:iCs w:val="0"/>
          <w:caps w:val="0"/>
          <w:color w:val="000000" w:themeColor="text1"/>
          <w:spacing w:val="0"/>
          <w:sz w:val="36"/>
          <w:szCs w:val="36"/>
          <w:shd w:val="clear" w:color="auto" w:fill="FFFFFF"/>
          <w14:textFill>
            <w14:solidFill>
              <w14:schemeClr w14:val="tx1"/>
            </w14:solidFill>
          </w14:textFill>
        </w:rPr>
        <w:t>条</w:t>
      </w:r>
      <w:r>
        <w:rPr>
          <w:rFonts w:hint="eastAsia" w:ascii="方正仿宋简体" w:hAnsi="方正仿宋简体" w:eastAsia="方正仿宋简体" w:cs="方正仿宋简体"/>
          <w:b/>
          <w:bCs w:val="0"/>
          <w:color w:val="000000" w:themeColor="text1"/>
          <w:sz w:val="36"/>
          <w:szCs w:val="36"/>
          <w:shd w:val="clear" w:color="auto" w:fill="FFFFFF"/>
          <w14:textFill>
            <w14:solidFill>
              <w14:schemeClr w14:val="tx1"/>
            </w14:solidFill>
          </w14:textFill>
        </w:rPr>
        <w:t>（全流程电子化要求）</w:t>
      </w:r>
      <w:r>
        <w:rPr>
          <w:rFonts w:hint="eastAsia" w:ascii="方正仿宋简体" w:hAnsi="方正仿宋简体" w:eastAsia="方正仿宋简体" w:cs="方正仿宋简体"/>
          <w:color w:val="000000" w:themeColor="text1"/>
          <w:sz w:val="36"/>
          <w:szCs w:val="36"/>
          <w:shd w:val="clear" w:color="auto" w:fill="FFFFFF"/>
          <w:lang w:val="en-US" w:eastAsia="zh-CN"/>
          <w14:textFill>
            <w14:solidFill>
              <w14:schemeClr w14:val="tx1"/>
            </w14:solidFill>
          </w14:textFill>
        </w:rPr>
        <w:t>各级</w:t>
      </w:r>
      <w:r>
        <w:rPr>
          <w:rFonts w:hint="eastAsia" w:ascii="方正黑体简体" w:hAnsi="方正黑体简体" w:eastAsia="方正黑体简体" w:cs="方正黑体简体"/>
          <w:color w:val="000000" w:themeColor="text1"/>
          <w:sz w:val="36"/>
          <w:szCs w:val="36"/>
          <w:shd w:val="clear" w:color="auto" w:fill="FFFFFF"/>
          <w:lang w:val="en-US" w:eastAsia="zh-CN"/>
          <w14:textFill>
            <w14:solidFill>
              <w14:schemeClr w14:val="tx1"/>
            </w14:solidFill>
          </w14:textFill>
        </w:rPr>
        <w:t>各类</w:t>
      </w:r>
      <w:r>
        <w:rPr>
          <w:rFonts w:hint="eastAsia" w:ascii="方正仿宋简体" w:hAnsi="方正仿宋简体" w:eastAsia="方正仿宋简体" w:cs="方正仿宋简体"/>
          <w:color w:val="000000" w:themeColor="text1"/>
          <w:sz w:val="36"/>
          <w:szCs w:val="36"/>
          <w:shd w:val="clear" w:color="auto" w:fill="FFFFFF"/>
          <w:lang w:val="en-US" w:eastAsia="zh-CN"/>
          <w14:textFill>
            <w14:solidFill>
              <w14:schemeClr w14:val="tx1"/>
            </w14:solidFill>
          </w14:textFill>
        </w:rPr>
        <w:t xml:space="preserve">公共资源交易平台应当具备满足公共资源交易全流程电子化所必需的场地和设施设备条件，评标评审专家等候区和评标评审区域应与其他区域隔离。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方正仿宋简体" w:hAnsi="方正仿宋简体" w:eastAsia="方正仿宋简体" w:cs="方正仿宋简体"/>
          <w:color w:val="000000" w:themeColor="text1"/>
          <w:sz w:val="36"/>
          <w:szCs w:val="36"/>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6"/>
          <w:szCs w:val="36"/>
          <w:shd w:val="clear" w:color="auto" w:fill="FFFFFF"/>
          <w:lang w:val="en-US" w:eastAsia="zh-CN"/>
          <w14:textFill>
            <w14:solidFill>
              <w14:schemeClr w14:val="tx1"/>
            </w14:solidFill>
          </w14:textFill>
        </w:rPr>
        <w:t>进入公共资源交易平台的项目实行全流程电子化交易</w:t>
      </w:r>
      <w:r>
        <w:rPr>
          <w:rFonts w:hint="eastAsia" w:ascii="方正仿宋简体" w:hAnsi="方正仿宋简体" w:eastAsia="方正仿宋简体" w:cs="方正仿宋简体"/>
          <w:color w:val="000000" w:themeColor="text1"/>
          <w:sz w:val="36"/>
          <w:szCs w:val="36"/>
          <w:shd w:val="clear" w:color="auto"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pPr>
      <w:r>
        <w:rPr>
          <w:rStyle w:val="6"/>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第十</w:t>
      </w:r>
      <w:r>
        <w:rPr>
          <w:rStyle w:val="6"/>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三</w:t>
      </w:r>
      <w:r>
        <w:rPr>
          <w:rStyle w:val="6"/>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方正黑体简体" w:hAnsi="方正黑体简体" w:eastAsia="方正黑体简体" w:cs="方正黑体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兼容互认</w:t>
      </w:r>
      <w:r>
        <w:rPr>
          <w:rStyle w:val="6"/>
          <w:rFonts w:hint="eastAsia" w:ascii="方正黑体简体" w:hAnsi="方正黑体简体" w:eastAsia="方正黑体简体" w:cs="方正黑体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黑体简体" w:hAnsi="方正黑体简体" w:eastAsia="方正黑体简体" w:cs="方正黑体简体"/>
          <w:color w:val="000000" w:themeColor="text1"/>
          <w:sz w:val="36"/>
          <w:szCs w:val="36"/>
          <w:shd w:val="clear" w:color="auto" w:fill="FFFFFF"/>
          <w14:textFill>
            <w14:solidFill>
              <w14:schemeClr w14:val="tx1"/>
            </w14:solidFill>
          </w14:textFill>
        </w:rPr>
        <w:t>公共资源交易通过电子证照、数字证书等方式，对交易主体、中介机构以及评标评审专家实行统一数字身份认证</w:t>
      </w:r>
      <w:r>
        <w:rPr>
          <w:rFonts w:hint="eastAsia" w:ascii="方正黑体简体" w:hAnsi="方正黑体简体" w:eastAsia="方正黑体简体" w:cs="方正黑体简体"/>
          <w:color w:val="000000" w:themeColor="text1"/>
          <w:sz w:val="36"/>
          <w:szCs w:val="36"/>
          <w:shd w:val="clear" w:color="auto" w:fill="FFFFFF"/>
          <w:lang w:eastAsia="zh-CN"/>
          <w14:textFill>
            <w14:solidFill>
              <w14:schemeClr w14:val="tx1"/>
            </w14:solidFill>
          </w14:textFill>
        </w:rPr>
        <w:t>，</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推动</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数字证书</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跨平台、跨区域</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兼容互认。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第十</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四</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项目登记</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项目发起方需通过公共资源交易平台进行项目登记、场地预约，项目交易条件应当符合相关法律、法规、规章要求，项目发起方应当对其内容的真实性、准确性和合法性负责。各级公共资源交易平台</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应当</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在线受理、分类管理。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第十</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五</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信息发布</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内蒙古自治区公共资源交易网（http://ggzyjy.nmg.gov.cn/）为全区公共资源交易信息主要发布媒介，</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负责发布和归集全区各类公共资源交易信息</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项目发起方依据国家和自治区规定，在各媒介发布的交易公告、交易文件、变更或澄清信息、其他公告和结果公示等交易信息应当与内蒙古自治区公共资源交易网发布的信息保持一致。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第十</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六</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交易响应要求</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项目响应方应当通过公共资源交易平台履行响应程序。响应文件的编制、加密、递交、传输、接收确认等行为，应当符合法律、法规等规定，并满足项目发起方的要求。项目响应方对其响应文件的真实性和合法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color w:val="000000" w:themeColor="text1"/>
          <w:sz w:val="36"/>
          <w:szCs w:val="36"/>
          <w:shd w:val="clear" w:color="auto" w:fill="FFFFFF"/>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第十</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七</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保证金缴纳</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6"/>
          <w:szCs w:val="36"/>
          <w:shd w:val="clear" w:color="auto" w:fill="FFFFFF"/>
          <w14:textFill>
            <w14:solidFill>
              <w14:schemeClr w14:val="tx1"/>
            </w14:solidFill>
          </w14:textFill>
        </w:rPr>
        <w:t xml:space="preserve"> 项目发起方要求缴纳保证金的，应当在交易文件中依法依规</w:t>
      </w:r>
      <w:r>
        <w:rPr>
          <w:rFonts w:hint="eastAsia" w:ascii="方正黑体简体" w:hAnsi="方正黑体简体" w:eastAsia="方正黑体简体" w:cs="方正黑体简体"/>
          <w:color w:val="000000" w:themeColor="text1"/>
          <w:sz w:val="36"/>
          <w:szCs w:val="36"/>
          <w:shd w:val="clear" w:color="auto" w:fill="FFFFFF"/>
          <w14:textFill>
            <w14:solidFill>
              <w14:schemeClr w14:val="tx1"/>
            </w14:solidFill>
          </w14:textFill>
        </w:rPr>
        <w:t>约定交易担保形式、金额或比例、收退时间等</w:t>
      </w:r>
      <w:r>
        <w:rPr>
          <w:rFonts w:hint="eastAsia" w:ascii="方正仿宋简体" w:hAnsi="方正仿宋简体" w:eastAsia="方正仿宋简体" w:cs="方正仿宋简体"/>
          <w:color w:val="000000" w:themeColor="text1"/>
          <w:sz w:val="36"/>
          <w:szCs w:val="36"/>
          <w:shd w:val="clear" w:color="auto" w:fill="FFFFFF"/>
          <w14:textFill>
            <w14:solidFill>
              <w14:schemeClr w14:val="tx1"/>
            </w14:solidFill>
          </w14:textFill>
        </w:rPr>
        <w:t xml:space="preserve">。以现金形式缴纳保证金的，应当选择从项目响应方的基本账户转出。鼓励以电子保函的方式缴纳保证金。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方正仿宋简体" w:hAnsi="方正仿宋简体" w:eastAsia="方正仿宋简体" w:cs="方正仿宋简体"/>
          <w:color w:val="000000" w:themeColor="text1"/>
          <w:sz w:val="36"/>
          <w:szCs w:val="36"/>
          <w:shd w:val="clear" w:color="auto" w:fill="FFFFFF"/>
          <w14:textFill>
            <w14:solidFill>
              <w14:schemeClr w14:val="tx1"/>
            </w14:solidFill>
          </w14:textFill>
        </w:rPr>
      </w:pPr>
      <w:r>
        <w:rPr>
          <w:rFonts w:hint="eastAsia" w:ascii="方正黑体简体" w:hAnsi="方正黑体简体" w:eastAsia="方正黑体简体" w:cs="方正黑体简体"/>
          <w:color w:val="000000" w:themeColor="text1"/>
          <w:sz w:val="36"/>
          <w:szCs w:val="36"/>
          <w:shd w:val="clear" w:color="auto" w:fill="FFFFFF"/>
          <w14:textFill>
            <w14:solidFill>
              <w14:schemeClr w14:val="tx1"/>
            </w14:solidFill>
          </w14:textFill>
        </w:rPr>
        <w:t>鼓励项目发起方根据项目特点和项目响应方诚信状况，给予减免保证金的优惠待遇。</w:t>
      </w:r>
      <w:r>
        <w:rPr>
          <w:rFonts w:hint="eastAsia" w:ascii="方正仿宋简体" w:hAnsi="方正仿宋简体" w:eastAsia="方正仿宋简体" w:cs="方正仿宋简体"/>
          <w:color w:val="000000" w:themeColor="text1"/>
          <w:sz w:val="36"/>
          <w:szCs w:val="36"/>
          <w:shd w:val="clear" w:color="auto" w:fill="FFFFFF"/>
          <w14:textFill>
            <w14:solidFill>
              <w14:schemeClr w14:val="tx1"/>
            </w14:solidFill>
          </w14:textFill>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方正仿宋简体" w:hAnsi="方正仿宋简体" w:eastAsia="方正仿宋简体" w:cs="方正仿宋简体"/>
          <w:color w:val="000000" w:themeColor="text1"/>
          <w:sz w:val="36"/>
          <w:szCs w:val="36"/>
          <w:shd w:val="clear" w:color="auto" w:fill="FFFFFF"/>
          <w14:textFill>
            <w14:solidFill>
              <w14:schemeClr w14:val="tx1"/>
            </w14:solidFill>
          </w14:textFill>
        </w:rPr>
        <w:t>各级公共资源交易平台运行服务机构可根据工作需要提供保证金代收代管服务。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第十</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八</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专家抽取</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交易项目需要评标评审的，由项目发起方从自治区综合评标评审专家库中随机抽取所需专家。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法律法规规章对专家抽取另有规定的从其规定。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十九</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开标方式</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项目开标一般采用不见面电子开标方式，按照交易文件确定的时间，在各级公共资源交易平台在线进行，涉及国家公共利益、公共安全等特殊要求的项目除外。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第二十条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评标评审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 xml:space="preserve"> 评标评审专家通过各级公共资源交易平台评标评审，依法依规独立提出意见，任何单位或者个人不得干预专家独立评标评审。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评标评审委员会应当向项目发起方提交评标评审报告，推荐中标（成交）候选人名单或确定中标（成交）人。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pP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各级公共资源交易平台应当常态化开展远程异地评标，共享专家资源。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第二十</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一</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结果确认</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项目发起方应当在法定期限内对交易结果进行确认，并发布公示或公告信息。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第二十</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二</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合同签订</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交易双方应当在法定期限内通过公共资源交易平台签订合同，或上传已签订的合同，不得私下签订背离合同实质性内容的其他协议。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对合同备案另有规定的从其规定。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第二十</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三</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交易见证</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各级公共资源交易平台运行服务机构应当对项目交易全过程实时见证，填写见证记录。</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鼓励采用现代信息技术进行数据存证和见证。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对违反现场管理制度的行为应当及时记录、制止和纠正；对发现的违法违规行为，应当及时提醒、记录、保存证据，并立即通知有关</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第二十</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四</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档案管理</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各级公共资源交易平台运行服务机构及项目发起方</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依托全区统一的电子档案管理系统</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对交易全过程产生的电子文件、元数据、音视频分类整理归档存储，存储期限应当符合相关法律法规规定。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各级公共资源交易平台运行服务机构应当配合行政监督管理部门、审计和纪检监察部门以及司法、仲裁机关，依法调取相关档案资料。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第二十</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五</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val="en-US" w:eastAsia="zh-CN"/>
          <w14:textFill>
            <w14:solidFill>
              <w14:schemeClr w14:val="tx1"/>
            </w14:solidFill>
          </w14:textFill>
        </w:rPr>
        <w:t>异议投诉</w:t>
      </w:r>
      <w:r>
        <w:rPr>
          <w:rStyle w:val="6"/>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项目响应方及其他利害关系人认为交易文件、交易过程、交易结果侵害其合法权益的，可以依法向项目发起方、代理机构、</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提出异议、质疑或投诉。项目发起方或其授权委托的代理机构依法对异议、质疑作出答复，</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 xml:space="preserve">依法对投诉事项作出处理。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pP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各级各类公共资源交易平台应当支持在线提出异议、质疑或投诉，</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应当畅通投诉在线办理渠道。</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投诉处理结果反馈当事人的同时按规定向社会公开，并同步归集至本级公共资源交易平台，</w:t>
      </w:r>
      <w:r>
        <w:rPr>
          <w:rFonts w:hint="eastAsia" w:ascii="方正仿宋简体" w:hAnsi="方正仿宋简体" w:eastAsia="方正仿宋简体" w:cs="方正仿宋简体"/>
          <w:i w:val="0"/>
          <w:iCs w:val="0"/>
          <w:caps w:val="0"/>
          <w:color w:val="000000" w:themeColor="text1"/>
          <w:spacing w:val="0"/>
          <w:sz w:val="36"/>
          <w:szCs w:val="36"/>
          <w:shd w:val="clear" w:color="auto" w:fill="FFFFFF"/>
          <w14:textFill>
            <w14:solidFill>
              <w14:schemeClr w14:val="tx1"/>
            </w14:solidFill>
          </w14:textFill>
        </w:rPr>
        <w:t>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20"/>
        <w:jc w:val="center"/>
        <w:textAlignment w:val="auto"/>
        <w:rPr>
          <w:rFonts w:hint="eastAsia" w:ascii="方正黑体简体" w:hAnsi="方正黑体简体" w:eastAsia="方正黑体简体" w:cs="方正黑体简体"/>
          <w:b w:val="0"/>
          <w:bCs/>
          <w:color w:val="000000" w:themeColor="text1"/>
          <w:sz w:val="36"/>
          <w:szCs w:val="36"/>
          <w14:textFill>
            <w14:solidFill>
              <w14:schemeClr w14:val="tx1"/>
            </w14:solidFill>
          </w14:textFill>
        </w:rPr>
      </w:pP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第五章</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lang w:val="en-US" w:eastAsia="zh-CN"/>
          <w14:textFill>
            <w14:solidFill>
              <w14:schemeClr w14:val="tx1"/>
            </w14:solidFill>
          </w14:textFill>
        </w:rPr>
        <w:t xml:space="preserve">  </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交易保障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pP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第二十</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六</w:t>
      </w: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（平台功能）</w:t>
      </w:r>
      <w:r>
        <w:rPr>
          <w:rStyle w:val="6"/>
          <w:rFonts w:hint="eastAsia" w:ascii="仿宋" w:hAnsi="仿宋" w:eastAsia="仿宋" w:cs="仿宋"/>
          <w:b w:val="0"/>
          <w:bCs/>
          <w:i w:val="0"/>
          <w:iCs w:val="0"/>
          <w:caps w:val="0"/>
          <w:color w:val="000000" w:themeColor="text1"/>
          <w:spacing w:val="0"/>
          <w:sz w:val="36"/>
          <w:szCs w:val="36"/>
          <w:shd w:val="clear" w:color="auto" w:fill="FFFFFF"/>
          <w14:textFill>
            <w14:solidFill>
              <w14:schemeClr w14:val="tx1"/>
            </w14:solidFill>
          </w14:textFill>
        </w:rPr>
        <w:t>全区各级各类公共资源交易平台共同组成自治区公共资源交易平台体系。公共资源交易平台应创新运用5G、人工智能、大数据、区块链、云计算等信息技术手段，全面推行电子化交易和数字化转型，提供相关领域公共资源交易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Style w:val="6"/>
          <w:rFonts w:hint="eastAsia" w:ascii="仿宋" w:hAnsi="仿宋" w:eastAsia="仿宋" w:cs="仿宋"/>
          <w:b w:val="0"/>
          <w:bCs/>
          <w:i w:val="0"/>
          <w:iCs w:val="0"/>
          <w:caps w:val="0"/>
          <w:color w:val="000000" w:themeColor="text1"/>
          <w:spacing w:val="0"/>
          <w:sz w:val="36"/>
          <w:szCs w:val="36"/>
          <w:shd w:val="clear" w:color="auto" w:fill="FFFFFF"/>
          <w:lang w:val="en-US" w:eastAsia="zh-CN"/>
          <w14:textFill>
            <w14:solidFill>
              <w14:schemeClr w14:val="tx1"/>
            </w14:solidFill>
          </w14:textFill>
        </w:rPr>
      </w:pP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第二十七条（平台架构）</w:t>
      </w:r>
      <w:r>
        <w:rPr>
          <w:rStyle w:val="6"/>
          <w:rFonts w:hint="eastAsia" w:ascii="仿宋" w:hAnsi="仿宋" w:eastAsia="仿宋" w:cs="仿宋"/>
          <w:b w:val="0"/>
          <w:bCs/>
          <w:i w:val="0"/>
          <w:iCs w:val="0"/>
          <w:caps w:val="0"/>
          <w:color w:val="000000" w:themeColor="text1"/>
          <w:spacing w:val="0"/>
          <w:sz w:val="36"/>
          <w:szCs w:val="36"/>
          <w:shd w:val="clear" w:color="auto" w:fill="FFFFFF"/>
          <w:lang w:val="en-US" w:eastAsia="zh-CN"/>
          <w14:textFill>
            <w14:solidFill>
              <w14:schemeClr w14:val="tx1"/>
            </w14:solidFill>
          </w14:textFill>
        </w:rPr>
        <w:t xml:space="preserve">自治区人民政府推动建立全区统一、互联互通的公共资源交易基础平台，承担公共资源交易“全区一张网”门户网站和综合服务、综合交易、综合监管等功能，负责整合共享全区各地区、各行业平台资源，依法公开交易规则、流程、结果、监管和信用等信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仿宋" w:hAnsi="仿宋" w:eastAsia="仿宋" w:cs="仿宋"/>
          <w:color w:val="000000" w:themeColor="text1"/>
          <w:sz w:val="36"/>
          <w:szCs w:val="36"/>
          <w14:textFill>
            <w14:solidFill>
              <w14:schemeClr w14:val="tx1"/>
            </w14:solidFill>
          </w14:textFill>
        </w:rPr>
      </w:pPr>
      <w:r>
        <w:rPr>
          <w:rStyle w:val="6"/>
          <w:rFonts w:hint="eastAsia" w:ascii="仿宋" w:hAnsi="仿宋" w:eastAsia="仿宋" w:cs="仿宋"/>
          <w:b w:val="0"/>
          <w:bCs/>
          <w:i w:val="0"/>
          <w:iCs w:val="0"/>
          <w:caps w:val="0"/>
          <w:color w:val="000000" w:themeColor="text1"/>
          <w:spacing w:val="0"/>
          <w:sz w:val="36"/>
          <w:szCs w:val="36"/>
          <w:shd w:val="clear" w:color="auto" w:fill="FFFFFF"/>
          <w:lang w:val="en-US" w:eastAsia="zh-CN"/>
          <w14:textFill>
            <w14:solidFill>
              <w14:schemeClr w14:val="tx1"/>
            </w14:solidFill>
          </w14:textFill>
        </w:rPr>
        <w:t>交易平台包括公共资源交易电子服务系统、电子交易系统和电子监管系统，为“一平台三系统”架构，实现全过程规范化服务、全流程电子化交易、全方位智慧化监管。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仿宋" w:hAnsi="仿宋" w:eastAsia="仿宋" w:cs="仿宋"/>
          <w:color w:val="000000" w:themeColor="text1"/>
          <w:sz w:val="36"/>
          <w:szCs w:val="36"/>
          <w14:textFill>
            <w14:solidFill>
              <w14:schemeClr w14:val="tx1"/>
            </w14:solidFill>
          </w14:textFill>
        </w:rPr>
      </w:pP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第二十</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八</w:t>
      </w: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第三方平台接入</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自治区公共资源交易系统开发应用综合考虑信创项目技术序列的适配性，向第三方交易系统开放数据接口、公布接口要求。通过国家认证检测机构认证的第三方交易系统可</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申请</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接入公共资源交易平台。第三方交易系统及其运营机构应当遵守公共资源交易相关法律法规规章和各行业监管要求。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仿宋" w:hAnsi="仿宋" w:eastAsia="仿宋" w:cs="仿宋"/>
          <w:color w:val="000000" w:themeColor="text1"/>
          <w:sz w:val="36"/>
          <w:szCs w:val="36"/>
          <w14:textFill>
            <w14:solidFill>
              <w14:schemeClr w14:val="tx1"/>
            </w14:solidFill>
          </w14:textFill>
        </w:rPr>
      </w:pP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第</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二十九</w:t>
      </w: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信息互联互通</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投资项目在线审批监管平台、公共信用信息共享平台、行政监督平台等各类政务服务平台应当与公共资源交易平台互联互通，实现市场主体信息、交易信息、信用信息、行政监督等信息全区同步共享、动态更新。</w:t>
      </w:r>
    </w:p>
    <w:p>
      <w:pPr>
        <w:keepNext w:val="0"/>
        <w:keepLines w:val="0"/>
        <w:pageBreakBefore w:val="0"/>
        <w:kinsoku/>
        <w:wordWrap/>
        <w:overflowPunct/>
        <w:topLinePunct w:val="0"/>
        <w:autoSpaceDE/>
        <w:autoSpaceDN/>
        <w:bidi w:val="0"/>
        <w:adjustRightInd/>
        <w:snapToGrid/>
        <w:spacing w:line="240" w:lineRule="auto"/>
        <w:ind w:firstLine="723" w:firstLineChars="200"/>
        <w:textAlignment w:val="auto"/>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pP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第三十条</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数据对接</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仿宋" w:hAnsi="仿宋" w:eastAsia="仿宋" w:cs="仿宋"/>
          <w:b w:val="0"/>
          <w:bCs w:val="0"/>
          <w:i w:val="0"/>
          <w:iCs w:val="0"/>
          <w:caps w:val="0"/>
          <w:color w:val="000000" w:themeColor="text1"/>
          <w:spacing w:val="0"/>
          <w:sz w:val="36"/>
          <w:szCs w:val="36"/>
          <w:shd w:val="clear" w:color="auto" w:fill="FFFFFF"/>
          <w14:textFill>
            <w14:solidFill>
              <w14:schemeClr w14:val="tx1"/>
            </w14:solidFill>
          </w14:textFill>
        </w:rPr>
        <w:t>自治区</w:t>
      </w:r>
      <w:r>
        <w:rPr>
          <w:rStyle w:val="6"/>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14:textFill>
            <w14:solidFill>
              <w14:schemeClr w14:val="tx1"/>
            </w14:solidFill>
          </w14:textFill>
        </w:rPr>
        <w:t>建立统一的公共资源交易数据共享中心，</w:t>
      </w:r>
      <w:r>
        <w:rPr>
          <w:rStyle w:val="6"/>
          <w:rFonts w:hint="eastAsia" w:ascii="仿宋" w:hAnsi="仿宋" w:eastAsia="仿宋" w:cs="仿宋"/>
          <w:b w:val="0"/>
          <w:bCs w:val="0"/>
          <w:i w:val="0"/>
          <w:iCs w:val="0"/>
          <w:caps w:val="0"/>
          <w:color w:val="000000" w:themeColor="text1"/>
          <w:spacing w:val="0"/>
          <w:sz w:val="36"/>
          <w:szCs w:val="36"/>
          <w:shd w:val="clear" w:color="auto" w:fill="FFFFFF"/>
          <w14:textFill>
            <w14:solidFill>
              <w14:schemeClr w14:val="tx1"/>
            </w14:solidFill>
          </w14:textFill>
        </w:rPr>
        <w:t>与各电子交易系统实现标准统一的数据对接。各级公共资源交易平台负责本行政区域公共资源交易数据的归集、整理分析和上报等工作，为宏观经济决策、优化营商环境、规范交易市场提供参考和支持。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方正黑体简体" w:hAnsi="方正黑体简体" w:eastAsia="方正黑体简体" w:cs="方正黑体简体"/>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第三十一条（专家库管理）</w:t>
      </w:r>
      <w:r>
        <w:rPr>
          <w:rFonts w:hint="eastAsia" w:ascii="方正黑体简体" w:hAnsi="方正黑体简体" w:eastAsia="方正黑体简体" w:cs="方正黑体简体"/>
          <w:color w:val="000000" w:themeColor="text1"/>
          <w:sz w:val="36"/>
          <w:szCs w:val="36"/>
          <w:lang w:val="en-US" w:eastAsia="zh-CN"/>
          <w14:textFill>
            <w14:solidFill>
              <w14:schemeClr w14:val="tx1"/>
            </w14:solidFill>
          </w14:textFill>
        </w:rPr>
        <w:t>自治区公共资源交易</w:t>
      </w:r>
      <w:r>
        <w:rPr>
          <w:rFonts w:hint="eastAsia" w:ascii="方正黑体简体" w:hAnsi="方正黑体简体" w:eastAsia="方正黑体简体" w:cs="方正黑体简体"/>
          <w:color w:val="000000" w:themeColor="text1"/>
          <w:sz w:val="36"/>
          <w:szCs w:val="36"/>
          <w:highlight w:val="none"/>
          <w:lang w:val="en-US" w:eastAsia="zh-CN"/>
          <w14:textFill>
            <w14:solidFill>
              <w14:schemeClr w14:val="tx1"/>
            </w14:solidFill>
          </w14:textFill>
        </w:rPr>
        <w:t>综合管理机构</w:t>
      </w:r>
      <w:r>
        <w:rPr>
          <w:rFonts w:hint="eastAsia" w:ascii="方正黑体简体" w:hAnsi="方正黑体简体" w:eastAsia="方正黑体简体" w:cs="方正黑体简体"/>
          <w:color w:val="000000" w:themeColor="text1"/>
          <w:sz w:val="36"/>
          <w:szCs w:val="36"/>
          <w:lang w:val="en-US" w:eastAsia="zh-CN"/>
          <w14:textFill>
            <w14:solidFill>
              <w14:schemeClr w14:val="tx1"/>
            </w14:solidFill>
          </w14:textFill>
        </w:rPr>
        <w:t>组建、管理</w:t>
      </w:r>
      <w:r>
        <w:rPr>
          <w:rFonts w:hint="eastAsia" w:ascii="仿宋" w:hAnsi="仿宋" w:eastAsia="仿宋" w:cs="仿宋"/>
          <w:color w:val="000000" w:themeColor="text1"/>
          <w:sz w:val="36"/>
          <w:szCs w:val="36"/>
          <w:lang w:val="en-US" w:eastAsia="zh-CN"/>
          <w14:textFill>
            <w14:solidFill>
              <w14:schemeClr w14:val="tx1"/>
            </w14:solidFill>
          </w14:textFill>
        </w:rPr>
        <w:t>全区统一的综合评标评审专家库。</w:t>
      </w:r>
      <w:r>
        <w:rPr>
          <w:rFonts w:hint="eastAsia" w:ascii="方正黑体简体" w:hAnsi="方正黑体简体" w:eastAsia="方正黑体简体" w:cs="方正黑体简体"/>
          <w:color w:val="000000" w:themeColor="text1"/>
          <w:sz w:val="36"/>
          <w:szCs w:val="36"/>
          <w:lang w:val="en-US" w:eastAsia="zh-CN"/>
          <w14:textFill>
            <w14:solidFill>
              <w14:schemeClr w14:val="tx1"/>
            </w14:solidFill>
          </w14:textFill>
        </w:rPr>
        <w:t>各级行政监督管理部门</w:t>
      </w:r>
      <w:r>
        <w:rPr>
          <w:rFonts w:hint="eastAsia" w:ascii="仿宋" w:hAnsi="仿宋" w:eastAsia="仿宋" w:cs="仿宋"/>
          <w:color w:val="000000" w:themeColor="text1"/>
          <w:sz w:val="36"/>
          <w:szCs w:val="36"/>
          <w:lang w:val="en-US" w:eastAsia="zh-CN"/>
          <w14:textFill>
            <w14:solidFill>
              <w14:schemeClr w14:val="tx1"/>
            </w14:solidFill>
          </w14:textFill>
        </w:rPr>
        <w:t>面向社会公开征集专家，实现全区专家资源共享和统一管理。</w:t>
      </w:r>
      <w:r>
        <w:rPr>
          <w:rFonts w:hint="eastAsia" w:ascii="方正黑体简体" w:hAnsi="方正黑体简体" w:eastAsia="方正黑体简体" w:cs="方正黑体简体"/>
          <w:color w:val="000000" w:themeColor="text1"/>
          <w:sz w:val="36"/>
          <w:szCs w:val="36"/>
          <w:lang w:val="en-US" w:eastAsia="zh-CN"/>
          <w14:textFill>
            <w14:solidFill>
              <w14:schemeClr w14:val="tx1"/>
            </w14:solidFill>
          </w14:textFill>
        </w:rPr>
        <w:t>自治区公共资源交易平台运行服务机构负责专家库系统的运行、维护等工作。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仿宋" w:hAnsi="仿宋" w:eastAsia="仿宋" w:cs="仿宋"/>
          <w:color w:val="000000" w:themeColor="text1"/>
          <w:sz w:val="36"/>
          <w:szCs w:val="36"/>
          <w14:textFill>
            <w14:solidFill>
              <w14:schemeClr w14:val="tx1"/>
            </w14:solidFill>
          </w14:textFill>
        </w:rPr>
      </w:pP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第三十</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二</w:t>
      </w: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数据安全</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公共资源交易平台应当依照法律、法规规定和强制性国家标准，采取技术和其他必要措施，保障平台安全稳定运行，有效应对安全事件，防范违法犯罪活动，维护平台数据的完整性、保密性和可用性。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仿宋" w:hAnsi="仿宋" w:eastAsia="仿宋" w:cs="仿宋"/>
          <w:color w:val="000000" w:themeColor="text1"/>
          <w:sz w:val="36"/>
          <w:szCs w:val="36"/>
          <w14:textFill>
            <w14:solidFill>
              <w14:schemeClr w14:val="tx1"/>
            </w14:solidFill>
          </w14:textFill>
        </w:rPr>
      </w:pP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第三十</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三</w:t>
      </w: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应急处置</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公共资源交易平台</w:t>
      </w:r>
      <w:r>
        <w:rPr>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应当</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建立健全公共资源交易应急处</w:t>
      </w:r>
      <w:r>
        <w:rPr>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理</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预案，明确责任主体、处置措施、组织保障，确保公共资源交易活动有序开展。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color w:val="000000" w:themeColor="text1"/>
          <w:sz w:val="36"/>
          <w:szCs w:val="36"/>
          <w14:textFill>
            <w14:solidFill>
              <w14:schemeClr w14:val="tx1"/>
            </w14:solidFill>
          </w14:textFill>
        </w:rPr>
      </w:pP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第三十</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四</w:t>
      </w: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工作保障</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各级机构编制、人力资源社会保障、财政等部门</w:t>
      </w:r>
      <w:r>
        <w:rPr>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应当</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做好公共资源交易所需的相关工作保障。</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20"/>
        <w:jc w:val="center"/>
        <w:textAlignment w:val="auto"/>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pP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lang w:val="en-US" w:eastAsia="zh-CN"/>
          <w14:textFill>
            <w14:solidFill>
              <w14:schemeClr w14:val="tx1"/>
            </w14:solidFill>
          </w14:textFill>
        </w:rPr>
        <w:t xml:space="preserve"> </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交易监管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3" w:firstLineChars="200"/>
        <w:jc w:val="left"/>
        <w:textAlignment w:val="auto"/>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pPr>
      <w:r>
        <w:rPr>
          <w:rStyle w:val="6"/>
          <w:rFonts w:hint="eastAsia" w:ascii="仿宋" w:hAnsi="仿宋" w:eastAsia="仿宋" w:cs="仿宋"/>
          <w:b/>
          <w:bCs w:val="0"/>
          <w:i w:val="0"/>
          <w:iCs w:val="0"/>
          <w:caps w:val="0"/>
          <w:color w:val="000000" w:themeColor="text1"/>
          <w:spacing w:val="0"/>
          <w:sz w:val="36"/>
          <w:szCs w:val="36"/>
          <w:shd w:val="clear" w:color="auto" w:fill="FFFFFF"/>
          <w14:textFill>
            <w14:solidFill>
              <w14:schemeClr w14:val="tx1"/>
            </w14:solidFill>
          </w14:textFill>
        </w:rPr>
        <w:t>第三十</w:t>
      </w:r>
      <w:r>
        <w:rPr>
          <w:rStyle w:val="6"/>
          <w:rFonts w:hint="eastAsia" w:ascii="仿宋" w:hAnsi="仿宋" w:eastAsia="仿宋" w:cs="仿宋"/>
          <w:b/>
          <w:bCs w:val="0"/>
          <w:i w:val="0"/>
          <w:iCs w:val="0"/>
          <w:caps w:val="0"/>
          <w:color w:val="000000" w:themeColor="text1"/>
          <w:spacing w:val="0"/>
          <w:sz w:val="36"/>
          <w:szCs w:val="36"/>
          <w:shd w:val="clear" w:color="auto" w:fill="FFFFFF"/>
          <w:lang w:val="en-US" w:eastAsia="zh-CN"/>
          <w14:textFill>
            <w14:solidFill>
              <w14:schemeClr w14:val="tx1"/>
            </w14:solidFill>
          </w14:textFill>
        </w:rPr>
        <w:t>五</w:t>
      </w:r>
      <w:r>
        <w:rPr>
          <w:rStyle w:val="6"/>
          <w:rFonts w:hint="eastAsia" w:ascii="仿宋" w:hAnsi="仿宋" w:eastAsia="仿宋" w:cs="仿宋"/>
          <w:b/>
          <w:bCs w:val="0"/>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仿宋" w:hAnsi="仿宋" w:eastAsia="仿宋" w:cs="仿宋"/>
          <w:b/>
          <w:bCs w:val="0"/>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监管和服务清单</w:t>
      </w:r>
      <w:r>
        <w:rPr>
          <w:rStyle w:val="6"/>
          <w:rFonts w:hint="eastAsia" w:ascii="仿宋" w:hAnsi="仿宋" w:eastAsia="仿宋" w:cs="仿宋"/>
          <w:b/>
          <w:bCs w:val="0"/>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自治区及各盟市公共资源交易管理工作联席会议办公室应当会同有关</w:t>
      </w:r>
      <w:r>
        <w:rPr>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按照各司其职、互相协调、密切配合的要求，形成监管权力和责任清单，</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自治区各级公共资源交易</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平台运行服务机构</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应当形成</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服务事项清单，监管权力和责任清单、服务事项清单</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应当</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200"/>
        <w:jc w:val="left"/>
        <w:textAlignment w:val="auto"/>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监管权力和责任清单应当明确监督事项、监督依据、衔接配合事项等。服务事项清单应当明确服务事项、服务时限、服务对象和衔接配合事项等。各部门、单位严格按照清单行使权力、提供服务、承担责任，实现行政监督、交易见证、电子监管多效合力的监管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3" w:firstLineChars="200"/>
        <w:textAlignment w:val="auto"/>
        <w:rPr>
          <w:rFonts w:hint="eastAsia" w:ascii="仿宋" w:hAnsi="仿宋" w:eastAsia="仿宋" w:cs="仿宋"/>
          <w:color w:val="000000" w:themeColor="text1"/>
          <w:sz w:val="36"/>
          <w:szCs w:val="36"/>
          <w:u w:val="single"/>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6"/>
          <w:szCs w:val="36"/>
          <w:shd w:val="clear" w:color="auto" w:fill="FFFFFF"/>
          <w14:textFill>
            <w14:solidFill>
              <w14:schemeClr w14:val="tx1"/>
            </w14:solidFill>
          </w14:textFill>
        </w:rPr>
        <w:t>第三十</w:t>
      </w:r>
      <w:r>
        <w:rPr>
          <w:rFonts w:hint="eastAsia" w:ascii="仿宋" w:hAnsi="仿宋" w:eastAsia="仿宋" w:cs="仿宋"/>
          <w:b/>
          <w:bCs/>
          <w:i w:val="0"/>
          <w:iCs w:val="0"/>
          <w:caps w:val="0"/>
          <w:color w:val="000000" w:themeColor="text1"/>
          <w:spacing w:val="0"/>
          <w:sz w:val="36"/>
          <w:szCs w:val="36"/>
          <w:shd w:val="clear" w:color="auto" w:fill="FFFFFF"/>
          <w:lang w:val="en-US" w:eastAsia="zh-CN"/>
          <w14:textFill>
            <w14:solidFill>
              <w14:schemeClr w14:val="tx1"/>
            </w14:solidFill>
          </w14:textFill>
        </w:rPr>
        <w:t>六</w:t>
      </w:r>
      <w:r>
        <w:rPr>
          <w:rFonts w:hint="eastAsia" w:ascii="仿宋" w:hAnsi="仿宋" w:eastAsia="仿宋" w:cs="仿宋"/>
          <w:b/>
          <w:bCs/>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监管信息公开</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6"/>
          <w:szCs w:val="36"/>
          <w:shd w:val="clear" w:color="auto" w:fill="FFFFFF"/>
          <w14:textFill>
            <w14:solidFill>
              <w14:schemeClr w14:val="tx1"/>
            </w14:solidFill>
          </w14:textFill>
        </w:rPr>
        <w:t>各</w:t>
      </w:r>
      <w:r>
        <w:rPr>
          <w:rFonts w:hint="eastAsia" w:ascii="仿宋" w:hAnsi="仿宋" w:eastAsia="仿宋" w:cs="仿宋"/>
          <w:b w:val="0"/>
          <w:bCs w:val="0"/>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仿宋" w:hAnsi="仿宋" w:eastAsia="仿宋" w:cs="仿宋"/>
          <w:b w:val="0"/>
          <w:bCs w:val="0"/>
          <w:i w:val="0"/>
          <w:iCs w:val="0"/>
          <w:caps w:val="0"/>
          <w:color w:val="000000" w:themeColor="text1"/>
          <w:spacing w:val="0"/>
          <w:sz w:val="36"/>
          <w:szCs w:val="36"/>
          <w:shd w:val="clear" w:color="auto" w:fill="FFFFFF"/>
          <w14:textFill>
            <w14:solidFill>
              <w14:schemeClr w14:val="tx1"/>
            </w14:solidFill>
          </w14:textFill>
        </w:rPr>
        <w:t>要按照部门职责加强对本行业公共资源交易过程和履约行为的监督，采用“双随机、一公开”工作模式对交易项目进行抽查检查，发现问题及时处理。</w:t>
      </w:r>
      <w:r>
        <w:rPr>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14:textFill>
            <w14:solidFill>
              <w14:schemeClr w14:val="tx1"/>
            </w14:solidFill>
          </w14:textFill>
        </w:rPr>
        <w:t>抽查检查结果通过有关</w:t>
      </w:r>
      <w:r>
        <w:rPr>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14:textFill>
            <w14:solidFill>
              <w14:schemeClr w14:val="tx1"/>
            </w14:solidFill>
          </w14:textFill>
        </w:rPr>
        <w:t>网站及时向社会公开，接受社会监督，并同步归集至本级公共资源交易平台。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3" w:firstLineChars="200"/>
        <w:textAlignment w:val="auto"/>
        <w:rPr>
          <w:rFonts w:hint="eastAsia" w:ascii="仿宋" w:hAnsi="仿宋" w:eastAsia="仿宋" w:cs="仿宋"/>
          <w:b w:val="0"/>
          <w:bCs w:val="0"/>
          <w:i w:val="0"/>
          <w:iCs w:val="0"/>
          <w:caps w:val="0"/>
          <w:color w:val="000000" w:themeColor="text1"/>
          <w:spacing w:val="0"/>
          <w:sz w:val="36"/>
          <w:szCs w:val="36"/>
          <w:shd w:val="clear" w:color="auto" w:fill="FFFFFF"/>
          <w14:textFill>
            <w14:solidFill>
              <w14:schemeClr w14:val="tx1"/>
            </w14:solidFill>
          </w14:textFill>
        </w:rPr>
      </w:pP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第三十</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七</w:t>
      </w: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协同管理</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6"/>
          <w:szCs w:val="36"/>
          <w:shd w:val="clear" w:color="auto" w:fill="FFFFFF"/>
          <w14:textFill>
            <w14:solidFill>
              <w14:schemeClr w14:val="tx1"/>
            </w14:solidFill>
          </w14:textFill>
        </w:rPr>
        <w:t xml:space="preserve"> 自治区公共资源交易实行行业监督和场内管理相结合的协同管理模式，各级公共资源交易平台运行服务机构做好现场记录、组织见证、违法违规报告、调查协助等场内管理工作。各行政监督管理部门应当及时查办报告事项并反馈处理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3" w:firstLineChars="200"/>
        <w:textAlignment w:val="auto"/>
        <w:rPr>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14:textFill>
            <w14:solidFill>
              <w14:schemeClr w14:val="tx1"/>
            </w14:solidFill>
          </w14:textFill>
        </w:rPr>
      </w:pPr>
      <w:r>
        <w:rPr>
          <w:rFonts w:hint="eastAsia" w:ascii="仿宋" w:hAnsi="仿宋" w:eastAsia="仿宋" w:cs="仿宋"/>
          <w:b/>
          <w:bCs/>
          <w:i w:val="0"/>
          <w:iCs w:val="0"/>
          <w:caps w:val="0"/>
          <w:color w:val="000000" w:themeColor="text1"/>
          <w:spacing w:val="0"/>
          <w:sz w:val="36"/>
          <w:szCs w:val="36"/>
          <w:shd w:val="clear" w:color="auto" w:fill="FFFFFF"/>
          <w14:textFill>
            <w14:solidFill>
              <w14:schemeClr w14:val="tx1"/>
            </w14:solidFill>
          </w14:textFill>
        </w:rPr>
        <w:t>第三十</w:t>
      </w:r>
      <w:r>
        <w:rPr>
          <w:rFonts w:hint="eastAsia" w:ascii="仿宋" w:hAnsi="仿宋" w:eastAsia="仿宋" w:cs="仿宋"/>
          <w:b/>
          <w:bCs/>
          <w:i w:val="0"/>
          <w:iCs w:val="0"/>
          <w:caps w:val="0"/>
          <w:color w:val="000000" w:themeColor="text1"/>
          <w:spacing w:val="0"/>
          <w:sz w:val="36"/>
          <w:szCs w:val="36"/>
          <w:shd w:val="clear" w:color="auto" w:fill="FFFFFF"/>
          <w:lang w:val="en-US" w:eastAsia="zh-CN"/>
          <w14:textFill>
            <w14:solidFill>
              <w14:schemeClr w14:val="tx1"/>
            </w14:solidFill>
          </w14:textFill>
        </w:rPr>
        <w:t>八</w:t>
      </w:r>
      <w:r>
        <w:rPr>
          <w:rFonts w:hint="eastAsia" w:ascii="仿宋" w:hAnsi="仿宋" w:eastAsia="仿宋" w:cs="仿宋"/>
          <w:b/>
          <w:bCs/>
          <w:i w:val="0"/>
          <w:iCs w:val="0"/>
          <w:caps w:val="0"/>
          <w:color w:val="000000" w:themeColor="text1"/>
          <w:spacing w:val="0"/>
          <w:sz w:val="36"/>
          <w:szCs w:val="36"/>
          <w:shd w:val="clear" w:color="auto" w:fill="FFFFFF"/>
          <w14:textFill>
            <w14:solidFill>
              <w14:schemeClr w14:val="tx1"/>
            </w14:solidFill>
          </w14:textFill>
        </w:rPr>
        <w:t>条</w:t>
      </w:r>
      <w:r>
        <w:rPr>
          <w:rFonts w:hint="eastAsia" w:ascii="仿宋" w:hAnsi="仿宋" w:eastAsia="仿宋" w:cs="仿宋"/>
          <w:b/>
          <w:bCs/>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36"/>
          <w:szCs w:val="36"/>
          <w:shd w:val="clear" w:color="auto" w:fill="FFFFFF"/>
          <w:lang w:val="en-US" w:eastAsia="zh-CN"/>
          <w14:textFill>
            <w14:solidFill>
              <w14:schemeClr w14:val="tx1"/>
            </w14:solidFill>
          </w14:textFill>
        </w:rPr>
        <w:t>专家管理）</w:t>
      </w:r>
      <w:r>
        <w:rPr>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14:textFill>
            <w14:solidFill>
              <w14:schemeClr w14:val="tx1"/>
            </w14:solidFill>
          </w14:textFill>
        </w:rPr>
        <w:t>自治区公共资源交易管理工作联席会议办公室协调督促各</w:t>
      </w:r>
      <w:r>
        <w:rPr>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14:textFill>
            <w14:solidFill>
              <w14:schemeClr w14:val="tx1"/>
            </w14:solidFill>
          </w14:textFill>
        </w:rPr>
        <w:t>做好专家监督管理工作。</w:t>
      </w:r>
      <w:r>
        <w:rPr>
          <w:rFonts w:hint="eastAsia" w:ascii="仿宋" w:hAnsi="仿宋" w:eastAsia="仿宋" w:cs="仿宋"/>
          <w:b w:val="0"/>
          <w:bCs w:val="0"/>
          <w:i w:val="0"/>
          <w:iCs w:val="0"/>
          <w:caps w:val="0"/>
          <w:color w:val="000000" w:themeColor="text1"/>
          <w:spacing w:val="0"/>
          <w:sz w:val="36"/>
          <w:szCs w:val="36"/>
          <w:shd w:val="clear" w:color="auto" w:fill="FFFFFF"/>
          <w14:textFill>
            <w14:solidFill>
              <w14:schemeClr w14:val="tx1"/>
            </w14:solidFill>
          </w14:textFill>
        </w:rPr>
        <w:t>各行政监督管理部门负责</w:t>
      </w:r>
      <w:r>
        <w:rPr>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14:textFill>
            <w14:solidFill>
              <w14:schemeClr w14:val="tx1"/>
            </w14:solidFill>
          </w14:textFill>
        </w:rPr>
        <w:t>组织各自分管行业专家的公开征集、入库资格审查、岗前培训、继续教育、考核评价和廉洁教育等监督管理工作，并对本行业专家进行动态管理，建立专家动态考核机制，及时清退不合格专家。</w:t>
      </w:r>
      <w:r>
        <w:rPr>
          <w:rFonts w:hint="eastAsia" w:ascii="仿宋" w:hAnsi="仿宋" w:eastAsia="仿宋" w:cs="仿宋"/>
          <w:b w:val="0"/>
          <w:bCs w:val="0"/>
          <w:i w:val="0"/>
          <w:iCs w:val="0"/>
          <w:caps w:val="0"/>
          <w:color w:val="000000" w:themeColor="text1"/>
          <w:spacing w:val="0"/>
          <w:sz w:val="36"/>
          <w:szCs w:val="36"/>
          <w:shd w:val="clear" w:color="auto" w:fill="FFFFFF"/>
          <w14:textFill>
            <w14:solidFill>
              <w14:schemeClr w14:val="tx1"/>
            </w14:solidFill>
          </w14:textFill>
        </w:rPr>
        <w:t>各级公共资源交易平台运行服务机构应当配合各行业监督管理部门对评标评审专家履行职责情况进行记录评价，并将记录评价结果定期反馈各行政监督管理部门</w:t>
      </w:r>
      <w:r>
        <w:rPr>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14:textFill>
            <w14:solidFill>
              <w14:schemeClr w14:val="tx1"/>
            </w14:solidFill>
          </w14:textFill>
        </w:rPr>
        <w:t>；负责收集和记录本场所内参加评标评审活动专家的不良行为和违法违规行为，及时报送有关</w:t>
      </w:r>
      <w:r>
        <w:rPr>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14:textFill>
            <w14:solidFill>
              <w14:schemeClr w14:val="tx1"/>
            </w14:solidFill>
          </w14:textFill>
        </w:rPr>
        <w:t>认定、处理，配合做好调查处理工作。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default"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pP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第</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三十九</w:t>
      </w: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仿宋" w:hAnsi="仿宋" w:eastAsia="仿宋" w:cs="仿宋"/>
          <w:i w:val="0"/>
          <w:iCs w:val="0"/>
          <w:caps w:val="0"/>
          <w:color w:val="000000" w:themeColor="text1"/>
          <w:spacing w:val="0"/>
          <w:sz w:val="36"/>
          <w:szCs w:val="36"/>
          <w:u w:val="none"/>
          <w:shd w:val="clear" w:color="auto" w:fill="FFFFFF"/>
          <w:lang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36"/>
          <w:szCs w:val="36"/>
          <w:u w:val="none"/>
          <w:shd w:val="clear" w:color="auto" w:fill="FFFFFF"/>
          <w:lang w:val="en-US" w:eastAsia="zh-CN"/>
          <w14:textFill>
            <w14:solidFill>
              <w14:schemeClr w14:val="tx1"/>
            </w14:solidFill>
          </w14:textFill>
        </w:rPr>
        <w:t>中介机构监管</w:t>
      </w:r>
      <w:r>
        <w:rPr>
          <w:rStyle w:val="6"/>
          <w:rFonts w:hint="eastAsia" w:ascii="仿宋" w:hAnsi="仿宋" w:eastAsia="仿宋" w:cs="仿宋"/>
          <w:i w:val="0"/>
          <w:iCs w:val="0"/>
          <w:caps w:val="0"/>
          <w:color w:val="000000" w:themeColor="text1"/>
          <w:spacing w:val="0"/>
          <w:sz w:val="36"/>
          <w:szCs w:val="36"/>
          <w:u w:val="none"/>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各</w:t>
      </w:r>
      <w:r>
        <w:rPr>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应当完善中介机构管理制度，规范代理行为，</w:t>
      </w:r>
      <w:r>
        <w:rPr>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14:textFill>
            <w14:solidFill>
              <w14:schemeClr w14:val="tx1"/>
            </w14:solidFill>
          </w14:textFill>
        </w:rPr>
        <w:t>健全考核、培训、检查和惩戒机制，</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监督本行业项目的中介机构依法执业。各级公共资源交易</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平台运行服务机构</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应当配合各行业监督部门对中介机构进场服务情况组织评价，并将评价结果定期反馈各</w:t>
      </w:r>
      <w:r>
        <w:rPr>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仿宋" w:hAnsi="仿宋" w:eastAsia="仿宋" w:cs="仿宋"/>
          <w:color w:val="000000" w:themeColor="text1"/>
          <w:sz w:val="36"/>
          <w:szCs w:val="36"/>
          <w14:textFill>
            <w14:solidFill>
              <w14:schemeClr w14:val="tx1"/>
            </w14:solidFill>
          </w14:textFill>
        </w:rPr>
      </w:pP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第</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四十</w:t>
      </w: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智慧监管</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自治区公共资源交易</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综合管理</w:t>
      </w:r>
      <w:r>
        <w:rPr>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14:textFill>
            <w14:solidFill>
              <w14:schemeClr w14:val="tx1"/>
            </w14:solidFill>
          </w14:textFill>
        </w:rPr>
        <w:t>机构</w:t>
      </w:r>
      <w:r>
        <w:rPr>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应当会同相关行政监督管理部门建立全区统一的公共资源交易电子监管系统，</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各级行政监督管理部门运用全区统一的公共资源交易电子监管系统，</w:t>
      </w:r>
      <w:r>
        <w:rPr>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 xml:space="preserve">按分级属地管理原则实现交易全过程在线动态监督。通过电子监管系统全面记录交易主体、评标评审专家、中介服务机构、行政监督管理部门等信息，综合运用信息系统控制、大数据分析、预警研判等方式，形成完整信息链条，构建交易智慧监管场景。           </w:t>
      </w:r>
    </w:p>
    <w:p>
      <w:pPr>
        <w:keepNext w:val="0"/>
        <w:keepLines w:val="0"/>
        <w:pageBreakBefore w:val="0"/>
        <w:kinsoku/>
        <w:wordWrap/>
        <w:overflowPunct/>
        <w:topLinePunct w:val="0"/>
        <w:autoSpaceDE/>
        <w:autoSpaceDN/>
        <w:bidi w:val="0"/>
        <w:adjustRightInd/>
        <w:snapToGrid/>
        <w:spacing w:line="240" w:lineRule="auto"/>
        <w:ind w:firstLine="723" w:firstLineChars="200"/>
        <w:textAlignment w:val="auto"/>
        <w:rPr>
          <w:rFonts w:hint="eastAsia" w:ascii="方正黑体简体" w:hAnsi="方正黑体简体" w:eastAsia="方正黑体简体" w:cs="方正黑体简体"/>
          <w:i w:val="0"/>
          <w:iCs w:val="0"/>
          <w:caps w:val="0"/>
          <w:color w:val="000000" w:themeColor="text1"/>
          <w:spacing w:val="0"/>
          <w:kern w:val="0"/>
          <w:sz w:val="36"/>
          <w:szCs w:val="36"/>
          <w:shd w:val="clear" w:color="auto" w:fill="FFFFFF"/>
          <w:lang w:val="en-US" w:eastAsia="zh-CN" w:bidi="ar"/>
          <w14:textFill>
            <w14:solidFill>
              <w14:schemeClr w14:val="tx1"/>
            </w14:solidFill>
          </w14:textFill>
        </w:rPr>
      </w:pP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第</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四十一</w:t>
      </w: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信用监管</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方正黑体简体" w:hAnsi="方正黑体简体" w:eastAsia="方正黑体简体" w:cs="方正黑体简体"/>
          <w:i w:val="0"/>
          <w:iCs w:val="0"/>
          <w:caps w:val="0"/>
          <w:color w:val="000000" w:themeColor="text1"/>
          <w:spacing w:val="0"/>
          <w:kern w:val="0"/>
          <w:sz w:val="36"/>
          <w:szCs w:val="36"/>
          <w:shd w:val="clear" w:color="auto" w:fill="FFFFFF"/>
          <w:lang w:val="en-US" w:eastAsia="zh-CN" w:bidi="ar"/>
          <w14:textFill>
            <w14:solidFill>
              <w14:schemeClr w14:val="tx1"/>
            </w14:solidFill>
          </w14:textFill>
        </w:rPr>
        <w:t>各行政监督管理部门加强公共资源交易领域信用监管，对交易主体、中介机构以及评标评审专家依法给予信用激励或者惩戒措施。</w:t>
      </w:r>
    </w:p>
    <w:p>
      <w:pPr>
        <w:keepNext w:val="0"/>
        <w:keepLines w:val="0"/>
        <w:pageBreakBefore w:val="0"/>
        <w:kinsoku/>
        <w:wordWrap/>
        <w:overflowPunct/>
        <w:topLinePunct w:val="0"/>
        <w:autoSpaceDE/>
        <w:autoSpaceDN/>
        <w:bidi w:val="0"/>
        <w:adjustRightInd/>
        <w:snapToGrid/>
        <w:spacing w:line="240" w:lineRule="auto"/>
        <w:ind w:firstLine="723" w:firstLineChars="200"/>
        <w:textAlignment w:val="auto"/>
        <w:rPr>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kern w:val="0"/>
          <w:sz w:val="36"/>
          <w:szCs w:val="36"/>
          <w:shd w:val="clear" w:color="auto" w:fill="FFFFFF"/>
          <w:lang w:val="en-US" w:eastAsia="zh-CN" w:bidi="ar"/>
          <w14:textFill>
            <w14:solidFill>
              <w14:schemeClr w14:val="tx1"/>
            </w14:solidFill>
          </w14:textFill>
        </w:rPr>
        <w:t>第四十二条（社会监督）</w:t>
      </w:r>
      <w:r>
        <w:rPr>
          <w:rFonts w:hint="eastAsia" w:ascii="方正黑体简体" w:hAnsi="方正黑体简体" w:eastAsia="方正黑体简体" w:cs="方正黑体简体"/>
          <w:b w:val="0"/>
          <w:bCs w:val="0"/>
          <w:i w:val="0"/>
          <w:iCs w:val="0"/>
          <w:caps w:val="0"/>
          <w:color w:val="000000" w:themeColor="text1"/>
          <w:spacing w:val="0"/>
          <w:kern w:val="0"/>
          <w:sz w:val="36"/>
          <w:szCs w:val="36"/>
          <w:shd w:val="clear" w:color="auto" w:fill="FFFFFF"/>
          <w:lang w:val="en-US" w:eastAsia="zh-CN" w:bidi="ar"/>
          <w14:textFill>
            <w14:solidFill>
              <w14:schemeClr w14:val="tx1"/>
            </w14:solidFill>
          </w14:textFill>
        </w:rPr>
        <w:t>公共资源交易活动</w:t>
      </w:r>
      <w:r>
        <w:rPr>
          <w:rFonts w:hint="eastAsia" w:ascii="方正黑体简体" w:hAnsi="方正黑体简体" w:eastAsia="方正黑体简体" w:cs="方正黑体简体"/>
          <w:b w:val="0"/>
          <w:bCs w:val="0"/>
          <w:i w:val="0"/>
          <w:iCs w:val="0"/>
          <w:caps w:val="0"/>
          <w:color w:val="000000" w:themeColor="text1"/>
          <w:spacing w:val="0"/>
          <w:sz w:val="36"/>
          <w:szCs w:val="36"/>
          <w:shd w:val="clear" w:color="auto" w:fill="FFFFFF"/>
          <w:lang w:val="en-US" w:eastAsia="zh-CN"/>
          <w14:textFill>
            <w14:solidFill>
              <w14:schemeClr w14:val="tx1"/>
            </w14:solidFill>
          </w14:textFill>
        </w:rPr>
        <w:t>坚持依法平等对待各类所有制和不同地区的市场主体，不得设置不合理或者歧视性的准入和退出条件。</w:t>
      </w:r>
    </w:p>
    <w:p>
      <w:pPr>
        <w:keepNext w:val="0"/>
        <w:keepLines w:val="0"/>
        <w:pageBreakBefore w:val="0"/>
        <w:kinsoku/>
        <w:wordWrap/>
        <w:overflowPunct/>
        <w:topLinePunct w:val="0"/>
        <w:autoSpaceDE/>
        <w:autoSpaceDN/>
        <w:bidi w:val="0"/>
        <w:adjustRightInd/>
        <w:snapToGrid/>
        <w:spacing w:line="240" w:lineRule="auto"/>
        <w:ind w:firstLine="720" w:firstLineChars="200"/>
        <w:textAlignment w:val="auto"/>
        <w:rPr>
          <w:rFonts w:hint="eastAsia" w:ascii="仿宋" w:hAnsi="仿宋" w:eastAsia="仿宋" w:cs="仿宋"/>
          <w:i w:val="0"/>
          <w:iCs w:val="0"/>
          <w:caps w:val="0"/>
          <w:color w:val="000000" w:themeColor="text1"/>
          <w:spacing w:val="0"/>
          <w:kern w:val="0"/>
          <w:sz w:val="36"/>
          <w:szCs w:val="36"/>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6"/>
          <w:szCs w:val="36"/>
          <w:shd w:val="clear" w:color="auto" w:fill="FFFFFF"/>
          <w:lang w:val="en-US" w:eastAsia="zh-CN" w:bidi="ar"/>
          <w14:textFill>
            <w14:solidFill>
              <w14:schemeClr w14:val="tx1"/>
            </w14:solidFill>
          </w14:textFill>
        </w:rPr>
        <w:t>鼓励人大代表、政协委员、社会公众、新闻媒体、第三方机构对公共资源交易活动进行监督，并向相关部门反馈监督意见。</w:t>
      </w:r>
    </w:p>
    <w:p>
      <w:pPr>
        <w:keepNext w:val="0"/>
        <w:keepLines w:val="0"/>
        <w:pageBreakBefore w:val="0"/>
        <w:kinsoku/>
        <w:wordWrap/>
        <w:overflowPunct/>
        <w:topLinePunct w:val="0"/>
        <w:autoSpaceDE/>
        <w:autoSpaceDN/>
        <w:bidi w:val="0"/>
        <w:adjustRightInd/>
        <w:snapToGrid/>
        <w:spacing w:line="240" w:lineRule="auto"/>
        <w:ind w:firstLine="723" w:firstLineChars="200"/>
        <w:textAlignment w:val="auto"/>
        <w:rPr>
          <w:rFonts w:hint="eastAsia" w:ascii="仿宋" w:hAnsi="仿宋" w:eastAsia="仿宋" w:cs="仿宋"/>
          <w:i w:val="0"/>
          <w:iCs w:val="0"/>
          <w:caps w:val="0"/>
          <w:color w:val="000000" w:themeColor="text1"/>
          <w:spacing w:val="0"/>
          <w:kern w:val="0"/>
          <w:sz w:val="36"/>
          <w:szCs w:val="36"/>
          <w:shd w:val="clear" w:color="auto" w:fill="FFFFFF"/>
          <w:lang w:val="en-US" w:eastAsia="zh-CN" w:bidi="ar"/>
          <w14:textFill>
            <w14:solidFill>
              <w14:schemeClr w14:val="tx1"/>
            </w14:solidFill>
          </w14:textFill>
        </w:rPr>
      </w:pPr>
      <w:r>
        <w:rPr>
          <w:rFonts w:hint="eastAsia" w:ascii="仿宋" w:hAnsi="仿宋" w:eastAsia="仿宋" w:cs="仿宋"/>
          <w:b/>
          <w:bCs/>
          <w:i w:val="0"/>
          <w:iCs w:val="0"/>
          <w:caps w:val="0"/>
          <w:color w:val="000000" w:themeColor="text1"/>
          <w:spacing w:val="0"/>
          <w:kern w:val="0"/>
          <w:sz w:val="36"/>
          <w:szCs w:val="36"/>
          <w:shd w:val="clear" w:color="auto" w:fill="FFFFFF"/>
          <w:lang w:val="en-US" w:eastAsia="zh-CN" w:bidi="ar"/>
          <w14:textFill>
            <w14:solidFill>
              <w14:schemeClr w14:val="tx1"/>
            </w14:solidFill>
          </w14:textFill>
        </w:rPr>
        <w:t>第四十三条（行业自律）</w:t>
      </w:r>
      <w:r>
        <w:rPr>
          <w:rFonts w:hint="eastAsia" w:ascii="仿宋" w:hAnsi="仿宋" w:eastAsia="仿宋" w:cs="仿宋"/>
          <w:i w:val="0"/>
          <w:iCs w:val="0"/>
          <w:caps w:val="0"/>
          <w:color w:val="000000" w:themeColor="text1"/>
          <w:spacing w:val="0"/>
          <w:kern w:val="0"/>
          <w:sz w:val="36"/>
          <w:szCs w:val="36"/>
          <w:shd w:val="clear" w:color="auto" w:fill="FFFFFF"/>
          <w:lang w:val="en-US" w:eastAsia="zh-CN" w:bidi="ar"/>
          <w14:textFill>
            <w14:solidFill>
              <w14:schemeClr w14:val="tx1"/>
            </w14:solidFill>
          </w14:textFill>
        </w:rPr>
        <w:t>充分发挥行业协会自律作用，引导成员单位提升执业水平，遵守法律法规制度、行规行约、职业道德，促进公平竞争和诚信经营。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pPr>
      <w:r>
        <w:rPr>
          <w:rFonts w:hint="eastAsia" w:ascii="仿宋" w:hAnsi="仿宋" w:eastAsia="仿宋" w:cs="仿宋"/>
          <w:b/>
          <w:bCs/>
          <w:i w:val="0"/>
          <w:iCs w:val="0"/>
          <w:caps w:val="0"/>
          <w:color w:val="000000" w:themeColor="text1"/>
          <w:spacing w:val="0"/>
          <w:sz w:val="36"/>
          <w:szCs w:val="36"/>
          <w:shd w:val="clear" w:color="auto" w:fill="FFFFFF"/>
          <w14:textFill>
            <w14:solidFill>
              <w14:schemeClr w14:val="tx1"/>
            </w14:solidFill>
          </w14:textFill>
        </w:rPr>
        <w:t>第四十</w:t>
      </w:r>
      <w:r>
        <w:rPr>
          <w:rFonts w:hint="eastAsia" w:ascii="仿宋" w:hAnsi="仿宋" w:eastAsia="仿宋" w:cs="仿宋"/>
          <w:b/>
          <w:bCs/>
          <w:i w:val="0"/>
          <w:iCs w:val="0"/>
          <w:caps w:val="0"/>
          <w:color w:val="000000" w:themeColor="text1"/>
          <w:spacing w:val="0"/>
          <w:sz w:val="36"/>
          <w:szCs w:val="36"/>
          <w:shd w:val="clear" w:color="auto" w:fill="FFFFFF"/>
          <w:lang w:val="en-US" w:eastAsia="zh-CN"/>
          <w14:textFill>
            <w14:solidFill>
              <w14:schemeClr w14:val="tx1"/>
            </w14:solidFill>
          </w14:textFill>
        </w:rPr>
        <w:t>四</w:t>
      </w:r>
      <w:r>
        <w:rPr>
          <w:rFonts w:hint="eastAsia" w:ascii="仿宋" w:hAnsi="仿宋" w:eastAsia="仿宋" w:cs="仿宋"/>
          <w:b/>
          <w:bCs/>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评价机制</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 xml:space="preserve">  各级人民政府应当建立公共资源交易市场主体、第三方参与的公共资源交易评议机制，对公共资源交易领域提供公共服务、履行行政监督和市场规范职责等工作情况进行评价，并向社会公开评价结果。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pP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各级</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公共资源交易</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lang w:val="en-US" w:eastAsia="zh-CN"/>
          <w14:textFill>
            <w14:solidFill>
              <w14:schemeClr w14:val="tx1"/>
            </w14:solidFill>
          </w14:textFill>
        </w:rPr>
        <w:t>综合管理</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机构，要强化对本行政区域内各级各类公共资源交易平台提供公共服务情况进行业务指导和评价。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textAlignment w:val="auto"/>
        <w:rPr>
          <w:rFonts w:hint="eastAsia" w:ascii="仿宋" w:hAnsi="仿宋" w:eastAsia="仿宋" w:cs="仿宋"/>
          <w:color w:val="000000" w:themeColor="text1"/>
          <w:sz w:val="36"/>
          <w:szCs w:val="36"/>
          <w14:textFill>
            <w14:solidFill>
              <w14:schemeClr w14:val="tx1"/>
            </w14:solidFill>
          </w14:textFill>
        </w:rPr>
      </w:pP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各级</w:t>
      </w:r>
      <w:r>
        <w:rPr>
          <w:rFonts w:hint="eastAsia" w:ascii="方正黑体简体" w:hAnsi="方正黑体简体" w:eastAsia="方正黑体简体" w:cs="方正黑体简体"/>
          <w:i w:val="0"/>
          <w:iCs w:val="0"/>
          <w:caps w:val="0"/>
          <w:color w:val="000000" w:themeColor="text1"/>
          <w:spacing w:val="0"/>
          <w:sz w:val="36"/>
          <w:szCs w:val="36"/>
          <w:shd w:val="clear" w:color="auto" w:fill="FFFFFF"/>
          <w14:textFill>
            <w14:solidFill>
              <w14:schemeClr w14:val="tx1"/>
            </w14:solidFill>
          </w14:textFill>
        </w:rPr>
        <w:t>各类</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公共资源交易平台应当构建平台综合服务能力评价机制，采用自评价和外部评价相互结合的方式开展平台服务质量综合评价和服务满意度调查，评价结果向社会公开。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40" w:lineRule="auto"/>
        <w:ind w:left="0" w:right="0" w:firstLine="420"/>
        <w:jc w:val="center"/>
        <w:textAlignment w:val="auto"/>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pP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第七章</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lang w:val="en-US" w:eastAsia="zh-CN"/>
          <w14:textFill>
            <w14:solidFill>
              <w14:schemeClr w14:val="tx1"/>
            </w14:solidFill>
          </w14:textFill>
        </w:rPr>
        <w:t xml:space="preserve">  </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bCs w:val="0"/>
          <w:color w:val="000000" w:themeColor="text1"/>
          <w:sz w:val="36"/>
          <w:szCs w:val="36"/>
          <w:shd w:val="clear" w:color="auto" w:fill="FFFFFF"/>
          <w14:textFill>
            <w14:solidFill>
              <w14:schemeClr w14:val="tx1"/>
            </w14:solidFill>
          </w14:textFill>
        </w:rPr>
        <w:t>第四十</w:t>
      </w:r>
      <w:r>
        <w:rPr>
          <w:rStyle w:val="6"/>
          <w:rFonts w:hint="eastAsia" w:ascii="仿宋" w:hAnsi="仿宋" w:eastAsia="仿宋" w:cs="仿宋"/>
          <w:b/>
          <w:bCs w:val="0"/>
          <w:color w:val="000000" w:themeColor="text1"/>
          <w:sz w:val="36"/>
          <w:szCs w:val="36"/>
          <w:shd w:val="clear" w:color="auto" w:fill="FFFFFF"/>
          <w:lang w:val="en-US" w:eastAsia="zh-CN"/>
          <w14:textFill>
            <w14:solidFill>
              <w14:schemeClr w14:val="tx1"/>
            </w14:solidFill>
          </w14:textFill>
        </w:rPr>
        <w:t>五</w:t>
      </w:r>
      <w:r>
        <w:rPr>
          <w:rStyle w:val="6"/>
          <w:rFonts w:hint="eastAsia" w:ascii="仿宋" w:hAnsi="仿宋" w:eastAsia="仿宋" w:cs="仿宋"/>
          <w:b/>
          <w:bCs w:val="0"/>
          <w:color w:val="000000" w:themeColor="text1"/>
          <w:sz w:val="36"/>
          <w:szCs w:val="36"/>
          <w:shd w:val="clear" w:color="auto" w:fill="FFFFFF"/>
          <w14:textFill>
            <w14:solidFill>
              <w14:schemeClr w14:val="tx1"/>
            </w14:solidFill>
          </w14:textFill>
        </w:rPr>
        <w:t>条</w:t>
      </w:r>
      <w:r>
        <w:rPr>
          <w:rStyle w:val="6"/>
          <w:rFonts w:hint="eastAsia" w:ascii="仿宋" w:hAnsi="仿宋" w:eastAsia="仿宋" w:cs="仿宋"/>
          <w:b/>
          <w:bCs w:val="0"/>
          <w:color w:val="000000" w:themeColor="text1"/>
          <w:sz w:val="36"/>
          <w:szCs w:val="36"/>
          <w:shd w:val="clear" w:color="auto" w:fill="FFFFFF"/>
          <w:lang w:eastAsia="zh-CN"/>
          <w14:textFill>
            <w14:solidFill>
              <w14:schemeClr w14:val="tx1"/>
            </w14:solidFill>
          </w14:textFill>
        </w:rPr>
        <w:t>（</w:t>
      </w:r>
      <w:r>
        <w:rPr>
          <w:rStyle w:val="6"/>
          <w:rFonts w:hint="eastAsia" w:ascii="仿宋" w:hAnsi="仿宋" w:eastAsia="仿宋" w:cs="仿宋"/>
          <w:b/>
          <w:bCs w:val="0"/>
          <w:color w:val="000000" w:themeColor="text1"/>
          <w:sz w:val="36"/>
          <w:szCs w:val="36"/>
          <w:shd w:val="clear" w:color="auto" w:fill="FFFFFF"/>
          <w:lang w:val="en-US" w:eastAsia="zh-CN"/>
          <w14:textFill>
            <w14:solidFill>
              <w14:schemeClr w14:val="tx1"/>
            </w14:solidFill>
          </w14:textFill>
        </w:rPr>
        <w:t>行政监督管理部门人员法律责任）</w:t>
      </w: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行政监督管理部门及其工作人员不得有以下行为：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（一）不依法依规对交易活动进行业务指导、监督与管理；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（二）对本行业管理职责范围内的公共资源交易活动存在失管失察;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（三）对本行业违纪违法交易行为未及时进行调查处理或未及时反馈处理结果;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（四）利用职务便利为他人在公共资源交易项目上谋取利益;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（五）泄露依法依规应保密的交易信息；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（六）其他违反法律、法规的行为。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jc w:val="left"/>
        <w:textAlignment w:val="auto"/>
        <w:rPr>
          <w:rStyle w:val="6"/>
          <w:rFonts w:hint="eastAsia" w:ascii="黑体" w:hAnsi="黑体" w:eastAsia="黑体" w:cs="黑体"/>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bCs w:val="0"/>
          <w:color w:val="000000" w:themeColor="text1"/>
          <w:sz w:val="36"/>
          <w:szCs w:val="36"/>
          <w:shd w:val="clear" w:color="auto" w:fill="FFFFFF"/>
          <w:lang w:val="en-US" w:eastAsia="zh-CN"/>
          <w14:textFill>
            <w14:solidFill>
              <w14:schemeClr w14:val="tx1"/>
            </w14:solidFill>
          </w14:textFill>
        </w:rPr>
        <w:t>第四十六条（综合管理机构人员法律责任）</w:t>
      </w:r>
      <w:r>
        <w:rPr>
          <w:rStyle w:val="6"/>
          <w:rFonts w:hint="eastAsia" w:ascii="黑体" w:hAnsi="黑体" w:eastAsia="黑体" w:cs="黑体"/>
          <w:b w:val="0"/>
          <w:bCs/>
          <w:color w:val="000000" w:themeColor="text1"/>
          <w:sz w:val="36"/>
          <w:szCs w:val="36"/>
          <w:shd w:val="clear" w:color="auto" w:fill="FFFFFF"/>
          <w:lang w:val="en-US" w:eastAsia="zh-CN"/>
          <w14:textFill>
            <w14:solidFill>
              <w14:schemeClr w14:val="tx1"/>
            </w14:solidFill>
          </w14:textFill>
        </w:rPr>
        <w:t>综合管理机构</w:t>
      </w:r>
      <w:r>
        <w:rPr>
          <w:rStyle w:val="6"/>
          <w:rFonts w:hint="eastAsia" w:ascii="黑体" w:hAnsi="黑体" w:eastAsia="黑体" w:cs="黑体"/>
          <w:b w:val="0"/>
          <w:bCs/>
          <w:color w:val="000000" w:themeColor="text1"/>
          <w:sz w:val="36"/>
          <w:szCs w:val="36"/>
          <w:shd w:val="clear" w:color="auto" w:fill="FFFFFF"/>
          <w14:textFill>
            <w14:solidFill>
              <w14:schemeClr w14:val="tx1"/>
            </w14:solidFill>
          </w14:textFill>
        </w:rPr>
        <w:t>及其工作人员不得有以下行为：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Fonts w:hint="eastAsia" w:ascii="黑体" w:hAnsi="黑体" w:eastAsia="黑体" w:cs="黑体"/>
          <w:i w:val="0"/>
          <w:iCs w:val="0"/>
          <w:caps w:val="0"/>
          <w:color w:val="000000" w:themeColor="text1"/>
          <w:spacing w:val="0"/>
          <w:sz w:val="36"/>
          <w:szCs w:val="36"/>
          <w:shd w:val="clear" w:color="auto" w:fill="FFFFFF"/>
          <w:lang w:val="en-US" w:eastAsia="zh-CN"/>
          <w14:textFill>
            <w14:solidFill>
              <w14:schemeClr w14:val="tx1"/>
            </w14:solidFill>
          </w14:textFill>
        </w:rPr>
      </w:pPr>
      <w:r>
        <w:rPr>
          <w:rStyle w:val="6"/>
          <w:rFonts w:hint="eastAsia" w:ascii="黑体" w:hAnsi="黑体" w:eastAsia="黑体" w:cs="黑体"/>
          <w:b w:val="0"/>
          <w:bCs/>
          <w:color w:val="000000" w:themeColor="text1"/>
          <w:sz w:val="36"/>
          <w:szCs w:val="36"/>
          <w:shd w:val="clear" w:color="auto" w:fill="FFFFFF"/>
          <w14:textFill>
            <w14:solidFill>
              <w14:schemeClr w14:val="tx1"/>
            </w14:solidFill>
          </w14:textFill>
        </w:rPr>
        <w:t>（一）</w:t>
      </w:r>
      <w:r>
        <w:rPr>
          <w:rStyle w:val="6"/>
          <w:rFonts w:hint="eastAsia" w:ascii="黑体" w:hAnsi="黑体" w:eastAsia="黑体" w:cs="黑体"/>
          <w:b w:val="0"/>
          <w:bCs/>
          <w:color w:val="000000" w:themeColor="text1"/>
          <w:sz w:val="36"/>
          <w:szCs w:val="36"/>
          <w:shd w:val="clear" w:color="auto" w:fill="FFFFFF"/>
          <w:lang w:val="en-US" w:eastAsia="zh-CN"/>
          <w14:textFill>
            <w14:solidFill>
              <w14:schemeClr w14:val="tx1"/>
            </w14:solidFill>
          </w14:textFill>
        </w:rPr>
        <w:t>未</w:t>
      </w:r>
      <w:r>
        <w:rPr>
          <w:rFonts w:hint="eastAsia" w:ascii="黑体" w:hAnsi="黑体" w:eastAsia="黑体" w:cs="黑体"/>
          <w:i w:val="0"/>
          <w:iCs w:val="0"/>
          <w:caps w:val="0"/>
          <w:color w:val="000000" w:themeColor="text1"/>
          <w:spacing w:val="0"/>
          <w:sz w:val="36"/>
          <w:szCs w:val="36"/>
          <w:shd w:val="clear" w:color="auto" w:fill="FFFFFF"/>
          <w:lang w:val="en-US" w:eastAsia="zh-CN"/>
          <w14:textFill>
            <w14:solidFill>
              <w14:schemeClr w14:val="tx1"/>
            </w14:solidFill>
          </w14:textFill>
        </w:rPr>
        <w:t>对</w:t>
      </w:r>
      <w:r>
        <w:rPr>
          <w:rFonts w:hint="eastAsia" w:ascii="黑体" w:hAnsi="黑体" w:eastAsia="黑体" w:cs="黑体"/>
          <w:i w:val="0"/>
          <w:iCs w:val="0"/>
          <w:caps w:val="0"/>
          <w:color w:val="000000" w:themeColor="text1"/>
          <w:spacing w:val="0"/>
          <w:sz w:val="36"/>
          <w:szCs w:val="36"/>
          <w:shd w:val="clear" w:color="auto" w:fill="FFFFFF"/>
          <w14:textFill>
            <w14:solidFill>
              <w14:schemeClr w14:val="tx1"/>
            </w14:solidFill>
          </w14:textFill>
        </w:rPr>
        <w:t>本级公共资源交易</w:t>
      </w:r>
      <w:r>
        <w:rPr>
          <w:rFonts w:hint="eastAsia" w:ascii="黑体" w:hAnsi="黑体" w:eastAsia="黑体" w:cs="黑体"/>
          <w:i w:val="0"/>
          <w:iCs w:val="0"/>
          <w:caps w:val="0"/>
          <w:color w:val="000000" w:themeColor="text1"/>
          <w:spacing w:val="0"/>
          <w:sz w:val="36"/>
          <w:szCs w:val="36"/>
          <w:shd w:val="clear" w:color="auto" w:fill="FFFFFF"/>
          <w:lang w:val="en-US" w:eastAsia="zh-CN"/>
          <w14:textFill>
            <w14:solidFill>
              <w14:schemeClr w14:val="tx1"/>
            </w14:solidFill>
          </w14:textFill>
        </w:rPr>
        <w:t>平台提供公共服务情况进行业务指导与评价；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Fonts w:hint="eastAsia" w:ascii="黑体" w:hAnsi="黑体" w:eastAsia="黑体" w:cs="黑体"/>
          <w:i w:val="0"/>
          <w:iCs w:val="0"/>
          <w:caps w:val="0"/>
          <w:color w:val="000000" w:themeColor="text1"/>
          <w:spacing w:val="0"/>
          <w:sz w:val="36"/>
          <w:szCs w:val="36"/>
          <w:shd w:val="clear" w:color="auto" w:fill="FFFFFF"/>
          <w14:textFill>
            <w14:solidFill>
              <w14:schemeClr w14:val="tx1"/>
            </w14:solidFill>
          </w14:textFill>
        </w:rPr>
      </w:pPr>
      <w:r>
        <w:rPr>
          <w:rStyle w:val="6"/>
          <w:rFonts w:hint="eastAsia" w:ascii="黑体" w:hAnsi="黑体" w:eastAsia="黑体" w:cs="黑体"/>
          <w:b w:val="0"/>
          <w:bCs/>
          <w:color w:val="000000" w:themeColor="text1"/>
          <w:sz w:val="36"/>
          <w:szCs w:val="36"/>
          <w:shd w:val="clear" w:color="auto" w:fill="FFFFFF"/>
          <w14:textFill>
            <w14:solidFill>
              <w14:schemeClr w14:val="tx1"/>
            </w14:solidFill>
          </w14:textFill>
        </w:rPr>
        <w:t>（</w:t>
      </w:r>
      <w:r>
        <w:rPr>
          <w:rStyle w:val="6"/>
          <w:rFonts w:hint="eastAsia" w:ascii="黑体" w:hAnsi="黑体" w:eastAsia="黑体" w:cs="黑体"/>
          <w:b w:val="0"/>
          <w:bCs/>
          <w:color w:val="000000" w:themeColor="text1"/>
          <w:sz w:val="36"/>
          <w:szCs w:val="36"/>
          <w:shd w:val="clear" w:color="auto" w:fill="FFFFFF"/>
          <w:lang w:val="en-US" w:eastAsia="zh-CN"/>
          <w14:textFill>
            <w14:solidFill>
              <w14:schemeClr w14:val="tx1"/>
            </w14:solidFill>
          </w14:textFill>
        </w:rPr>
        <w:t>二</w:t>
      </w:r>
      <w:r>
        <w:rPr>
          <w:rStyle w:val="6"/>
          <w:rFonts w:hint="eastAsia" w:ascii="黑体" w:hAnsi="黑体" w:eastAsia="黑体" w:cs="黑体"/>
          <w:b w:val="0"/>
          <w:bCs/>
          <w:color w:val="000000" w:themeColor="text1"/>
          <w:sz w:val="36"/>
          <w:szCs w:val="36"/>
          <w:shd w:val="clear" w:color="auto" w:fill="FFFFFF"/>
          <w14:textFill>
            <w14:solidFill>
              <w14:schemeClr w14:val="tx1"/>
            </w14:solidFill>
          </w14:textFill>
        </w:rPr>
        <w:t>）</w:t>
      </w:r>
      <w:r>
        <w:rPr>
          <w:rFonts w:hint="eastAsia" w:ascii="黑体" w:hAnsi="黑体" w:eastAsia="黑体" w:cs="黑体"/>
          <w:i w:val="0"/>
          <w:iCs w:val="0"/>
          <w:caps w:val="0"/>
          <w:color w:val="000000" w:themeColor="text1"/>
          <w:spacing w:val="0"/>
          <w:sz w:val="36"/>
          <w:szCs w:val="36"/>
          <w:shd w:val="clear" w:color="auto" w:fill="FFFFFF"/>
          <w:lang w:val="en-US" w:eastAsia="zh-CN"/>
          <w14:textFill>
            <w14:solidFill>
              <w14:schemeClr w14:val="tx1"/>
            </w14:solidFill>
          </w14:textFill>
        </w:rPr>
        <w:t>不配合</w:t>
      </w:r>
      <w:r>
        <w:rPr>
          <w:rFonts w:hint="eastAsia" w:ascii="黑体" w:hAnsi="黑体" w:eastAsia="黑体" w:cs="黑体"/>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黑体" w:hAnsi="黑体" w:eastAsia="黑体" w:cs="黑体"/>
          <w:i w:val="0"/>
          <w:iCs w:val="0"/>
          <w:caps w:val="0"/>
          <w:color w:val="000000" w:themeColor="text1"/>
          <w:spacing w:val="0"/>
          <w:sz w:val="36"/>
          <w:szCs w:val="36"/>
          <w:shd w:val="clear" w:color="auto" w:fill="FFFFFF"/>
          <w14:textFill>
            <w14:solidFill>
              <w14:schemeClr w14:val="tx1"/>
            </w14:solidFill>
          </w14:textFill>
        </w:rPr>
        <w:t>依法对各类交易活动进行规范化管理；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黑体" w:hAnsi="黑体" w:eastAsia="黑体" w:cs="黑体"/>
          <w:b w:val="0"/>
          <w:bCs/>
          <w:color w:val="000000" w:themeColor="text1"/>
          <w:sz w:val="36"/>
          <w:szCs w:val="36"/>
          <w:shd w:val="clear" w:color="auto" w:fill="FFFFFF"/>
          <w14:textFill>
            <w14:solidFill>
              <w14:schemeClr w14:val="tx1"/>
            </w14:solidFill>
          </w14:textFill>
        </w:rPr>
      </w:pPr>
      <w:r>
        <w:rPr>
          <w:rStyle w:val="6"/>
          <w:rFonts w:hint="eastAsia" w:ascii="黑体" w:hAnsi="黑体" w:eastAsia="黑体" w:cs="黑体"/>
          <w:b w:val="0"/>
          <w:bCs/>
          <w:color w:val="000000" w:themeColor="text1"/>
          <w:sz w:val="36"/>
          <w:szCs w:val="36"/>
          <w:shd w:val="clear" w:color="auto" w:fill="FFFFFF"/>
          <w14:textFill>
            <w14:solidFill>
              <w14:schemeClr w14:val="tx1"/>
            </w14:solidFill>
          </w14:textFill>
        </w:rPr>
        <w:t>（</w:t>
      </w:r>
      <w:r>
        <w:rPr>
          <w:rStyle w:val="6"/>
          <w:rFonts w:hint="eastAsia" w:ascii="黑体" w:hAnsi="黑体" w:eastAsia="黑体" w:cs="黑体"/>
          <w:b w:val="0"/>
          <w:bCs/>
          <w:color w:val="000000" w:themeColor="text1"/>
          <w:sz w:val="36"/>
          <w:szCs w:val="36"/>
          <w:shd w:val="clear" w:color="auto" w:fill="FFFFFF"/>
          <w:lang w:val="en-US" w:eastAsia="zh-CN"/>
          <w14:textFill>
            <w14:solidFill>
              <w14:schemeClr w14:val="tx1"/>
            </w14:solidFill>
          </w14:textFill>
        </w:rPr>
        <w:t>三</w:t>
      </w:r>
      <w:r>
        <w:rPr>
          <w:rStyle w:val="6"/>
          <w:rFonts w:hint="eastAsia" w:ascii="黑体" w:hAnsi="黑体" w:eastAsia="黑体" w:cs="黑体"/>
          <w:b w:val="0"/>
          <w:bCs/>
          <w:color w:val="000000" w:themeColor="text1"/>
          <w:sz w:val="36"/>
          <w:szCs w:val="36"/>
          <w:shd w:val="clear" w:color="auto" w:fill="FFFFFF"/>
          <w14:textFill>
            <w14:solidFill>
              <w14:schemeClr w14:val="tx1"/>
            </w14:solidFill>
          </w14:textFill>
        </w:rPr>
        <w:t>）利用职务便利为他人在公共资源交易项目上谋取利益;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黑体" w:hAnsi="黑体" w:eastAsia="黑体" w:cs="黑体"/>
          <w:b w:val="0"/>
          <w:bCs/>
          <w:color w:val="000000" w:themeColor="text1"/>
          <w:sz w:val="36"/>
          <w:szCs w:val="36"/>
          <w:shd w:val="clear" w:color="auto" w:fill="FFFFFF"/>
          <w14:textFill>
            <w14:solidFill>
              <w14:schemeClr w14:val="tx1"/>
            </w14:solidFill>
          </w14:textFill>
        </w:rPr>
      </w:pPr>
      <w:r>
        <w:rPr>
          <w:rStyle w:val="6"/>
          <w:rFonts w:hint="eastAsia" w:ascii="黑体" w:hAnsi="黑体" w:eastAsia="黑体" w:cs="黑体"/>
          <w:b w:val="0"/>
          <w:bCs/>
          <w:color w:val="000000" w:themeColor="text1"/>
          <w:sz w:val="36"/>
          <w:szCs w:val="36"/>
          <w:shd w:val="clear" w:color="auto" w:fill="FFFFFF"/>
          <w14:textFill>
            <w14:solidFill>
              <w14:schemeClr w14:val="tx1"/>
            </w14:solidFill>
          </w14:textFill>
        </w:rPr>
        <w:t>（</w:t>
      </w:r>
      <w:r>
        <w:rPr>
          <w:rStyle w:val="6"/>
          <w:rFonts w:hint="eastAsia" w:ascii="黑体" w:hAnsi="黑体" w:eastAsia="黑体" w:cs="黑体"/>
          <w:b w:val="0"/>
          <w:bCs/>
          <w:color w:val="000000" w:themeColor="text1"/>
          <w:sz w:val="36"/>
          <w:szCs w:val="36"/>
          <w:shd w:val="clear" w:color="auto" w:fill="FFFFFF"/>
          <w:lang w:val="en-US" w:eastAsia="zh-CN"/>
          <w14:textFill>
            <w14:solidFill>
              <w14:schemeClr w14:val="tx1"/>
            </w14:solidFill>
          </w14:textFill>
        </w:rPr>
        <w:t>四</w:t>
      </w:r>
      <w:r>
        <w:rPr>
          <w:rStyle w:val="6"/>
          <w:rFonts w:hint="eastAsia" w:ascii="黑体" w:hAnsi="黑体" w:eastAsia="黑体" w:cs="黑体"/>
          <w:b w:val="0"/>
          <w:bCs/>
          <w:color w:val="000000" w:themeColor="text1"/>
          <w:sz w:val="36"/>
          <w:szCs w:val="36"/>
          <w:shd w:val="clear" w:color="auto" w:fill="FFFFFF"/>
          <w14:textFill>
            <w14:solidFill>
              <w14:schemeClr w14:val="tx1"/>
            </w14:solidFill>
          </w14:textFill>
        </w:rPr>
        <w:t>）泄露依法依规应保密的交易信息；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黑体" w:hAnsi="黑体" w:eastAsia="黑体" w:cs="黑体"/>
          <w:b w:val="0"/>
          <w:bCs/>
          <w:color w:val="000000" w:themeColor="text1"/>
          <w:sz w:val="36"/>
          <w:szCs w:val="36"/>
          <w:shd w:val="clear" w:color="auto" w:fill="FFFFFF"/>
          <w:lang w:val="en-US" w:eastAsia="zh-CN"/>
          <w14:textFill>
            <w14:solidFill>
              <w14:schemeClr w14:val="tx1"/>
            </w14:solidFill>
          </w14:textFill>
        </w:rPr>
      </w:pPr>
      <w:r>
        <w:rPr>
          <w:rStyle w:val="6"/>
          <w:rFonts w:hint="eastAsia" w:ascii="黑体" w:hAnsi="黑体" w:eastAsia="黑体" w:cs="黑体"/>
          <w:b w:val="0"/>
          <w:bCs/>
          <w:color w:val="000000" w:themeColor="text1"/>
          <w:sz w:val="36"/>
          <w:szCs w:val="36"/>
          <w:shd w:val="clear" w:color="auto" w:fill="FFFFFF"/>
          <w14:textFill>
            <w14:solidFill>
              <w14:schemeClr w14:val="tx1"/>
            </w14:solidFill>
          </w14:textFill>
        </w:rPr>
        <w:t>（</w:t>
      </w:r>
      <w:r>
        <w:rPr>
          <w:rStyle w:val="6"/>
          <w:rFonts w:hint="eastAsia" w:ascii="黑体" w:hAnsi="黑体" w:eastAsia="黑体" w:cs="黑体"/>
          <w:b w:val="0"/>
          <w:bCs/>
          <w:color w:val="000000" w:themeColor="text1"/>
          <w:sz w:val="36"/>
          <w:szCs w:val="36"/>
          <w:shd w:val="clear" w:color="auto" w:fill="FFFFFF"/>
          <w:lang w:val="en-US" w:eastAsia="zh-CN"/>
          <w14:textFill>
            <w14:solidFill>
              <w14:schemeClr w14:val="tx1"/>
            </w14:solidFill>
          </w14:textFill>
        </w:rPr>
        <w:t>五</w:t>
      </w:r>
      <w:r>
        <w:rPr>
          <w:rStyle w:val="6"/>
          <w:rFonts w:hint="eastAsia" w:ascii="黑体" w:hAnsi="黑体" w:eastAsia="黑体" w:cs="黑体"/>
          <w:b w:val="0"/>
          <w:bCs/>
          <w:color w:val="000000" w:themeColor="text1"/>
          <w:sz w:val="36"/>
          <w:szCs w:val="36"/>
          <w:shd w:val="clear" w:color="auto" w:fill="FFFFFF"/>
          <w14:textFill>
            <w14:solidFill>
              <w14:schemeClr w14:val="tx1"/>
            </w14:solidFill>
          </w14:textFill>
        </w:rPr>
        <w:t>）其他违反法律、法规的行为。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bCs w:val="0"/>
          <w:color w:val="000000" w:themeColor="text1"/>
          <w:sz w:val="36"/>
          <w:szCs w:val="36"/>
          <w:shd w:val="clear" w:color="auto" w:fill="FFFFFF"/>
          <w14:textFill>
            <w14:solidFill>
              <w14:schemeClr w14:val="tx1"/>
            </w14:solidFill>
          </w14:textFill>
        </w:rPr>
        <w:t>第四十七条</w:t>
      </w:r>
      <w:r>
        <w:rPr>
          <w:rStyle w:val="6"/>
          <w:rFonts w:hint="eastAsia" w:ascii="仿宋" w:hAnsi="仿宋" w:eastAsia="仿宋" w:cs="仿宋"/>
          <w:b/>
          <w:bCs w:val="0"/>
          <w:color w:val="000000" w:themeColor="text1"/>
          <w:sz w:val="36"/>
          <w:szCs w:val="36"/>
          <w:shd w:val="clear" w:color="auto" w:fill="FFFFFF"/>
          <w:lang w:eastAsia="zh-CN"/>
          <w14:textFill>
            <w14:solidFill>
              <w14:schemeClr w14:val="tx1"/>
            </w14:solidFill>
          </w14:textFill>
        </w:rPr>
        <w:t>（</w:t>
      </w:r>
      <w:r>
        <w:rPr>
          <w:rStyle w:val="6"/>
          <w:rFonts w:hint="eastAsia" w:ascii="仿宋" w:hAnsi="仿宋" w:eastAsia="仿宋" w:cs="仿宋"/>
          <w:b/>
          <w:bCs w:val="0"/>
          <w:color w:val="000000" w:themeColor="text1"/>
          <w:sz w:val="36"/>
          <w:szCs w:val="36"/>
          <w:shd w:val="clear" w:color="auto" w:fill="FFFFFF"/>
          <w14:textFill>
            <w14:solidFill>
              <w14:schemeClr w14:val="tx1"/>
            </w14:solidFill>
          </w14:textFill>
        </w:rPr>
        <w:t>平台运行服务机构</w:t>
      </w:r>
      <w:r>
        <w:rPr>
          <w:rStyle w:val="6"/>
          <w:rFonts w:hint="eastAsia" w:ascii="仿宋" w:hAnsi="仿宋" w:eastAsia="仿宋" w:cs="仿宋"/>
          <w:b/>
          <w:bCs w:val="0"/>
          <w:color w:val="000000" w:themeColor="text1"/>
          <w:sz w:val="36"/>
          <w:szCs w:val="36"/>
          <w:shd w:val="clear" w:color="auto" w:fill="FFFFFF"/>
          <w:lang w:val="en-US" w:eastAsia="zh-CN"/>
          <w14:textFill>
            <w14:solidFill>
              <w14:schemeClr w14:val="tx1"/>
            </w14:solidFill>
          </w14:textFill>
        </w:rPr>
        <w:t>人员法律责任）</w:t>
      </w: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公共资源交易平台运行服务机构及其工作人员不得有以下行为：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（一）行使任何审批、备案、监督、处罚等行政监督职能；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（二）违法从事或强制指定招标、拍卖、政府采购代理、工程造价等中介服务；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（三）以不合理条件排斥、限制交易主体；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（四）排斥、限制市场主体依法建设运营的电子交易系统；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（五）违规扣押、挪用、收缴和退还交易保证金或干预选择交易保证金形式；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（六）泄露依法依规应保密的交易信息；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（七）利用工作便利在交易项目上谋取利益；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（八）其他违反法律、法规的行为。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bCs w:val="0"/>
          <w:color w:val="000000" w:themeColor="text1"/>
          <w:sz w:val="36"/>
          <w:szCs w:val="36"/>
          <w:shd w:val="clear" w:color="auto" w:fill="FFFFFF"/>
          <w14:textFill>
            <w14:solidFill>
              <w14:schemeClr w14:val="tx1"/>
            </w14:solidFill>
          </w14:textFill>
        </w:rPr>
        <w:t>第四十八条</w:t>
      </w:r>
      <w:r>
        <w:rPr>
          <w:rStyle w:val="6"/>
          <w:rFonts w:hint="eastAsia" w:ascii="仿宋" w:hAnsi="仿宋" w:eastAsia="仿宋" w:cs="仿宋"/>
          <w:b/>
          <w:bCs w:val="0"/>
          <w:color w:val="000000" w:themeColor="text1"/>
          <w:sz w:val="36"/>
          <w:szCs w:val="36"/>
          <w:shd w:val="clear" w:color="auto" w:fill="FFFFFF"/>
          <w:lang w:eastAsia="zh-CN"/>
          <w14:textFill>
            <w14:solidFill>
              <w14:schemeClr w14:val="tx1"/>
            </w14:solidFill>
          </w14:textFill>
        </w:rPr>
        <w:t>（</w:t>
      </w:r>
      <w:r>
        <w:rPr>
          <w:rStyle w:val="6"/>
          <w:rFonts w:hint="eastAsia" w:ascii="仿宋" w:hAnsi="仿宋" w:eastAsia="仿宋" w:cs="仿宋"/>
          <w:b/>
          <w:bCs w:val="0"/>
          <w:color w:val="000000" w:themeColor="text1"/>
          <w:sz w:val="36"/>
          <w:szCs w:val="36"/>
          <w:shd w:val="clear" w:color="auto" w:fill="FFFFFF"/>
          <w:lang w:val="en-US" w:eastAsia="zh-CN"/>
          <w14:textFill>
            <w14:solidFill>
              <w14:schemeClr w14:val="tx1"/>
            </w14:solidFill>
          </w14:textFill>
        </w:rPr>
        <w:t>项目发起方法律责任）</w:t>
      </w: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项目发起方不得有以下行为：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（一）将公共资源交易目录内项目采取化整为零或其他方式规避进入公共资源交易平台交易；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（二）设置不合理的条件排斥、歧视潜在项目响应方；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（三）违规中止、终止项目交易；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（四）无正当理由拒绝签订交易合同或提出附加条件；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（五）与项目响应方或评标评审委员会成员串通交易；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（六）泄露依法依规应保密的交易信息；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（七）其他违反法律、法规的行为。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bCs w:val="0"/>
          <w:color w:val="000000" w:themeColor="text1"/>
          <w:sz w:val="36"/>
          <w:szCs w:val="36"/>
          <w:shd w:val="clear" w:color="auto" w:fill="FFFFFF"/>
          <w14:textFill>
            <w14:solidFill>
              <w14:schemeClr w14:val="tx1"/>
            </w14:solidFill>
          </w14:textFill>
        </w:rPr>
        <w:t>第四十九条</w:t>
      </w:r>
      <w:r>
        <w:rPr>
          <w:rStyle w:val="6"/>
          <w:rFonts w:hint="eastAsia" w:ascii="仿宋" w:hAnsi="仿宋" w:eastAsia="仿宋" w:cs="仿宋"/>
          <w:b/>
          <w:bCs w:val="0"/>
          <w:color w:val="000000" w:themeColor="text1"/>
          <w:sz w:val="36"/>
          <w:szCs w:val="36"/>
          <w:shd w:val="clear" w:color="auto" w:fill="FFFFFF"/>
          <w:lang w:eastAsia="zh-CN"/>
          <w14:textFill>
            <w14:solidFill>
              <w14:schemeClr w14:val="tx1"/>
            </w14:solidFill>
          </w14:textFill>
        </w:rPr>
        <w:t>（</w:t>
      </w:r>
      <w:r>
        <w:rPr>
          <w:rStyle w:val="6"/>
          <w:rFonts w:hint="eastAsia" w:ascii="仿宋" w:hAnsi="仿宋" w:eastAsia="仿宋" w:cs="仿宋"/>
          <w:b/>
          <w:bCs w:val="0"/>
          <w:color w:val="000000" w:themeColor="text1"/>
          <w:sz w:val="36"/>
          <w:szCs w:val="36"/>
          <w:shd w:val="clear" w:color="auto" w:fill="FFFFFF"/>
          <w:lang w:val="en-US" w:eastAsia="zh-CN"/>
          <w14:textFill>
            <w14:solidFill>
              <w14:schemeClr w14:val="tx1"/>
            </w14:solidFill>
          </w14:textFill>
        </w:rPr>
        <w:t>项目响应方法律责任）</w:t>
      </w: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项目响应方不得有以下行为：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（一）以他人、其他单位名义谋取中标、成交；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（二）围标、串标、行贿或以其他违法违规方式谋取中标、成交；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（三）捏造事实、伪造材料、以不正当手段获取证明材料，提出质疑、异议、投诉；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（四）擅自放弃交易项目中标资格、不签订交易合同、不提交履约保证金等担保、在项目实施中降低技术标准、以次充好等不按合同履约行为；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（五）其他违反法律、法规的行为。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bCs w:val="0"/>
          <w:color w:val="000000" w:themeColor="text1"/>
          <w:sz w:val="36"/>
          <w:szCs w:val="36"/>
          <w:shd w:val="clear" w:color="auto" w:fill="FFFFFF"/>
          <w14:textFill>
            <w14:solidFill>
              <w14:schemeClr w14:val="tx1"/>
            </w14:solidFill>
          </w14:textFill>
        </w:rPr>
        <w:t>第五十条</w:t>
      </w:r>
      <w:r>
        <w:rPr>
          <w:rStyle w:val="6"/>
          <w:rFonts w:hint="eastAsia" w:ascii="仿宋" w:hAnsi="仿宋" w:eastAsia="仿宋" w:cs="仿宋"/>
          <w:b/>
          <w:bCs w:val="0"/>
          <w:color w:val="000000" w:themeColor="text1"/>
          <w:sz w:val="36"/>
          <w:szCs w:val="36"/>
          <w:shd w:val="clear" w:color="auto" w:fill="FFFFFF"/>
          <w:lang w:eastAsia="zh-CN"/>
          <w14:textFill>
            <w14:solidFill>
              <w14:schemeClr w14:val="tx1"/>
            </w14:solidFill>
          </w14:textFill>
        </w:rPr>
        <w:t>（</w:t>
      </w:r>
      <w:r>
        <w:rPr>
          <w:rStyle w:val="6"/>
          <w:rFonts w:hint="eastAsia" w:ascii="仿宋" w:hAnsi="仿宋" w:eastAsia="仿宋" w:cs="仿宋"/>
          <w:b/>
          <w:bCs w:val="0"/>
          <w:color w:val="000000" w:themeColor="text1"/>
          <w:sz w:val="36"/>
          <w:szCs w:val="36"/>
          <w:shd w:val="clear" w:color="auto" w:fill="FFFFFF"/>
          <w:lang w:val="en-US" w:eastAsia="zh-CN"/>
          <w14:textFill>
            <w14:solidFill>
              <w14:schemeClr w14:val="tx1"/>
            </w14:solidFill>
          </w14:textFill>
        </w:rPr>
        <w:t>中介服务机构法律责任）</w:t>
      </w: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中介服务机构及其工作人员不得有下列行为：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（一）与交易主体串通损害国家利益、社会公共利益或者他人合法权益；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（二）不按照国家、自治区及行业标准和规定编制交易文件；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（三）未在指定媒介发布交易信息，或不同媒介发布信息内容不一致；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（四）在有关部门依法实施的监督检查中提供虚假情况；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（五）隐匿、销毁应当保存的交易文件或者伪造、变造交易文件；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（六）在交易服务过程中出现重大过错；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（七）对提供的电子交易文件及附件违规收取费用；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（八）在委托合同中约定由中介服务机构承担相关工作，中介服务机构有本办法项目发起方禁止行为情形；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（九）中介服务人员同时在多个中介服务机构从业或参与项目服务；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（十）其他违反法律、法规的行为。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bCs w:val="0"/>
          <w:color w:val="000000" w:themeColor="text1"/>
          <w:sz w:val="36"/>
          <w:szCs w:val="36"/>
          <w:shd w:val="clear" w:color="auto" w:fill="FFFFFF"/>
          <w14:textFill>
            <w14:solidFill>
              <w14:schemeClr w14:val="tx1"/>
            </w14:solidFill>
          </w14:textFill>
        </w:rPr>
        <w:t>第五十一条</w:t>
      </w:r>
      <w:r>
        <w:rPr>
          <w:rStyle w:val="6"/>
          <w:rFonts w:hint="eastAsia" w:ascii="仿宋" w:hAnsi="仿宋" w:eastAsia="仿宋" w:cs="仿宋"/>
          <w:b/>
          <w:bCs w:val="0"/>
          <w:color w:val="000000" w:themeColor="text1"/>
          <w:sz w:val="36"/>
          <w:szCs w:val="36"/>
          <w:shd w:val="clear" w:color="auto" w:fill="FFFFFF"/>
          <w:lang w:eastAsia="zh-CN"/>
          <w14:textFill>
            <w14:solidFill>
              <w14:schemeClr w14:val="tx1"/>
            </w14:solidFill>
          </w14:textFill>
        </w:rPr>
        <w:t>（</w:t>
      </w:r>
      <w:r>
        <w:rPr>
          <w:rStyle w:val="6"/>
          <w:rFonts w:hint="eastAsia" w:ascii="仿宋" w:hAnsi="仿宋" w:eastAsia="仿宋" w:cs="仿宋"/>
          <w:b/>
          <w:bCs w:val="0"/>
          <w:color w:val="000000" w:themeColor="text1"/>
          <w:sz w:val="36"/>
          <w:szCs w:val="36"/>
          <w:shd w:val="clear" w:color="auto" w:fill="FFFFFF"/>
          <w:lang w:val="en-US" w:eastAsia="zh-CN"/>
          <w14:textFill>
            <w14:solidFill>
              <w14:schemeClr w14:val="tx1"/>
            </w14:solidFill>
          </w14:textFill>
        </w:rPr>
        <w:t>专家法律责任）</w:t>
      </w: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评标评审专家不得有下列行为：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（一）以提供虚假材料等方式骗取进入评标评审专家库；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（二）未按要求参加培训或考核不合格；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（三）携带通讯工具进入评标区域；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（四）未经允许离开评标区域或进入其他评标室；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（五）无正当理由，中途退出评标活动；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（六）评标评审结论被要求复审，评标评审专家不配合复审或复审证明评标评审专家有重大过错影响评标结果；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（七）超出标准索要评标评审劳务费；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（八）向其他公共资源交易主体征询竞得者意向；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（九）接受任何单位或个人倾向性意见；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（十）暗示或者诱导投标人对投标文件作出澄清、说明，影响评标评审公正性；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（十一）拒绝在评标评审报告上签字又不书面说明不同意见和理由；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（十二）泄露依法依规应当保密的信息；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（十三）依法应主动回避而不回避；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（十四）其他违反法律、法规及评标评审专家管理办法的行为。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bCs w:val="0"/>
          <w:color w:val="000000" w:themeColor="text1"/>
          <w:sz w:val="36"/>
          <w:szCs w:val="36"/>
          <w:shd w:val="clear" w:color="auto" w:fill="FFFFFF"/>
          <w14:textFill>
            <w14:solidFill>
              <w14:schemeClr w14:val="tx1"/>
            </w14:solidFill>
          </w14:textFill>
        </w:rPr>
        <w:t>第五十二条</w:t>
      </w:r>
      <w:r>
        <w:rPr>
          <w:rStyle w:val="6"/>
          <w:rFonts w:hint="eastAsia" w:ascii="仿宋" w:hAnsi="仿宋" w:eastAsia="仿宋" w:cs="仿宋"/>
          <w:b/>
          <w:bCs w:val="0"/>
          <w:color w:val="000000" w:themeColor="text1"/>
          <w:sz w:val="36"/>
          <w:szCs w:val="36"/>
          <w:shd w:val="clear" w:color="auto" w:fill="FFFFFF"/>
          <w:lang w:eastAsia="zh-CN"/>
          <w14:textFill>
            <w14:solidFill>
              <w14:schemeClr w14:val="tx1"/>
            </w14:solidFill>
          </w14:textFill>
        </w:rPr>
        <w:t>（</w:t>
      </w:r>
      <w:r>
        <w:rPr>
          <w:rStyle w:val="6"/>
          <w:rFonts w:hint="eastAsia" w:ascii="仿宋" w:hAnsi="仿宋" w:eastAsia="仿宋" w:cs="仿宋"/>
          <w:b/>
          <w:bCs w:val="0"/>
          <w:color w:val="000000" w:themeColor="text1"/>
          <w:sz w:val="36"/>
          <w:szCs w:val="36"/>
          <w:shd w:val="clear" w:color="auto" w:fill="FFFFFF"/>
          <w:lang w:val="en-US" w:eastAsia="zh-CN"/>
          <w14:textFill>
            <w14:solidFill>
              <w14:schemeClr w14:val="tx1"/>
            </w14:solidFill>
          </w14:textFill>
        </w:rPr>
        <w:t>系统开发运维机构法律责任）</w:t>
      </w: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系统开发运维机构不得有下列行为：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（一）电子系统发生故障处理不及时，影响交易活动顺利开展；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（二）泄露依法依规应当保密的信息；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（三）未采取有效技术手段，造成公共资源交易信息丢失、泄露、损毁和篡改；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（四）与交易主体串通，为弄虚作假、围标串标等违法违规行为提供便利；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（五）未经公共资源交易平台同意擅自修改电子系统或数据信息；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（六）无正当理由拒绝开放数据接口及要求，限制和排斥与公共资源交易平台认证的第三方系统对接，恶意不兼容第三方机构合法提供的网络产品或者服务；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（七）未按规定或标准要求，自行设定、收取电子系统升级费、对接费、服务费等费用，或者利用电子系统进行捆绑、变相、搭车、重复收费；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pPr>
      <w:r>
        <w:rPr>
          <w:rStyle w:val="6"/>
          <w:rFonts w:hint="eastAsia" w:ascii="仿宋" w:hAnsi="仿宋" w:eastAsia="仿宋" w:cs="仿宋"/>
          <w:b w:val="0"/>
          <w:bCs/>
          <w:color w:val="000000" w:themeColor="text1"/>
          <w:sz w:val="36"/>
          <w:szCs w:val="36"/>
          <w:shd w:val="clear" w:color="auto" w:fill="FFFFFF"/>
          <w14:textFill>
            <w14:solidFill>
              <w14:schemeClr w14:val="tx1"/>
            </w14:solidFill>
          </w14:textFill>
        </w:rPr>
        <w:t>（八）其他违反法律、法规的行为。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200"/>
        <w:jc w:val="left"/>
        <w:textAlignment w:val="auto"/>
        <w:rPr>
          <w:rStyle w:val="6"/>
          <w:rFonts w:hint="eastAsia" w:ascii="方正黑体简体" w:hAnsi="方正黑体简体" w:eastAsia="方正黑体简体" w:cs="方正黑体简体"/>
          <w:b w:val="0"/>
          <w:bCs/>
          <w:color w:val="000000" w:themeColor="text1"/>
          <w:sz w:val="36"/>
          <w:szCs w:val="36"/>
          <w:shd w:val="clear" w:color="auto" w:fill="FFFFFF"/>
          <w14:textFill>
            <w14:solidFill>
              <w14:schemeClr w14:val="tx1"/>
            </w14:solidFill>
          </w14:textFill>
        </w:rPr>
      </w:pPr>
      <w:r>
        <w:rPr>
          <w:rStyle w:val="6"/>
          <w:rFonts w:hint="eastAsia" w:ascii="方正黑体简体" w:hAnsi="方正黑体简体" w:eastAsia="方正黑体简体" w:cs="方正黑体简体"/>
          <w:b w:val="0"/>
          <w:bCs/>
          <w:color w:val="000000" w:themeColor="text1"/>
          <w:sz w:val="36"/>
          <w:szCs w:val="36"/>
          <w:shd w:val="clear" w:color="auto" w:fill="FFFFFF"/>
          <w14:textFill>
            <w14:solidFill>
              <w14:schemeClr w14:val="tx1"/>
            </w14:solidFill>
          </w14:textFill>
        </w:rPr>
        <w:t>第五十三条</w:t>
      </w:r>
      <w:r>
        <w:rPr>
          <w:rStyle w:val="6"/>
          <w:rFonts w:hint="eastAsia" w:ascii="方正黑体简体" w:hAnsi="方正黑体简体" w:eastAsia="方正黑体简体" w:cs="方正黑体简体"/>
          <w:b w:val="0"/>
          <w:bCs/>
          <w:color w:val="000000" w:themeColor="text1"/>
          <w:sz w:val="36"/>
          <w:szCs w:val="36"/>
          <w:shd w:val="clear" w:color="auto" w:fill="FFFFFF"/>
          <w:lang w:eastAsia="zh-CN"/>
          <w14:textFill>
            <w14:solidFill>
              <w14:schemeClr w14:val="tx1"/>
            </w14:solidFill>
          </w14:textFill>
        </w:rPr>
        <w:t>（</w:t>
      </w:r>
      <w:r>
        <w:rPr>
          <w:rStyle w:val="6"/>
          <w:rFonts w:hint="eastAsia" w:ascii="方正黑体简体" w:hAnsi="方正黑体简体" w:eastAsia="方正黑体简体" w:cs="方正黑体简体"/>
          <w:b w:val="0"/>
          <w:bCs/>
          <w:color w:val="000000" w:themeColor="text1"/>
          <w:sz w:val="36"/>
          <w:szCs w:val="36"/>
          <w:shd w:val="clear" w:color="auto" w:fill="FFFFFF"/>
          <w:lang w:val="en-US" w:eastAsia="zh-CN"/>
          <w14:textFill>
            <w14:solidFill>
              <w14:schemeClr w14:val="tx1"/>
            </w14:solidFill>
          </w14:textFill>
        </w:rPr>
        <w:t>未通过平台交易法律责任）</w:t>
      </w:r>
      <w:r>
        <w:rPr>
          <w:rStyle w:val="6"/>
          <w:rFonts w:hint="eastAsia" w:ascii="方正黑体简体" w:hAnsi="方正黑体简体" w:eastAsia="方正黑体简体" w:cs="方正黑体简体"/>
          <w:b w:val="0"/>
          <w:bCs/>
          <w:color w:val="000000" w:themeColor="text1"/>
          <w:sz w:val="36"/>
          <w:szCs w:val="36"/>
          <w:shd w:val="clear" w:color="auto" w:fill="FFFFFF"/>
          <w14:textFill>
            <w14:solidFill>
              <w14:schemeClr w14:val="tx1"/>
            </w14:solidFill>
          </w14:textFill>
        </w:rPr>
        <w:t>项目发起方、中介服务机构对已列入交易目录的公共资源交易事项，未按照规定通过交易平台进行交易的，由</w:t>
      </w:r>
      <w:r>
        <w:rPr>
          <w:rStyle w:val="6"/>
          <w:rFonts w:hint="eastAsia" w:ascii="方正黑体简体" w:hAnsi="方正黑体简体" w:eastAsia="方正黑体简体" w:cs="方正黑体简体"/>
          <w:b w:val="0"/>
          <w:bCs/>
          <w:color w:val="000000" w:themeColor="text1"/>
          <w:sz w:val="36"/>
          <w:szCs w:val="36"/>
          <w:shd w:val="clear" w:color="auto" w:fill="FFFFFF"/>
          <w:lang w:eastAsia="zh-CN"/>
          <w14:textFill>
            <w14:solidFill>
              <w14:schemeClr w14:val="tx1"/>
            </w14:solidFill>
          </w14:textFill>
        </w:rPr>
        <w:t>行政监督管理部门</w:t>
      </w:r>
      <w:r>
        <w:rPr>
          <w:rStyle w:val="6"/>
          <w:rFonts w:hint="eastAsia" w:ascii="方正黑体简体" w:hAnsi="方正黑体简体" w:eastAsia="方正黑体简体" w:cs="方正黑体简体"/>
          <w:b w:val="0"/>
          <w:bCs/>
          <w:color w:val="000000" w:themeColor="text1"/>
          <w:sz w:val="36"/>
          <w:szCs w:val="36"/>
          <w:shd w:val="clear" w:color="auto" w:fill="FFFFFF"/>
          <w14:textFill>
            <w14:solidFill>
              <w14:schemeClr w14:val="tx1"/>
            </w14:solidFill>
          </w14:textFill>
        </w:rPr>
        <w:t>根据各自的职责责令改正；情节严重的，给予警告或者通报批评。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pP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第</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五十四</w:t>
      </w: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行政责任</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行政监督管理部门</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和对公共资源交易工作负有监督职责的机构及其工作人员、各级公共资源交易平台及其工作人员违反本办法有关规定或不按照规定履行职责，按照管理权限，由其所在单位或上级主管部门责令改正，或予以通报批评；涉嫌违纪的，送纪检监察机关追究相关人员责任；涉嫌违法犯罪的，移送司法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Style w:val="6"/>
          <w:rFonts w:hint="eastAsia" w:ascii="仿宋" w:hAnsi="仿宋" w:eastAsia="仿宋" w:cs="仿宋"/>
          <w:b w:val="0"/>
          <w:bCs/>
          <w:i w:val="0"/>
          <w:iCs w:val="0"/>
          <w:caps w:val="0"/>
          <w:color w:val="000000" w:themeColor="text1"/>
          <w:spacing w:val="0"/>
          <w:sz w:val="36"/>
          <w:szCs w:val="36"/>
          <w:shd w:val="clear" w:color="auto" w:fill="FFFFFF"/>
          <w14:textFill>
            <w14:solidFill>
              <w14:schemeClr w14:val="tx1"/>
            </w14:solidFill>
          </w14:textFill>
        </w:rPr>
      </w:pPr>
      <w:r>
        <w:rPr>
          <w:rStyle w:val="6"/>
          <w:rFonts w:hint="eastAsia" w:ascii="仿宋" w:hAnsi="仿宋" w:eastAsia="仿宋" w:cs="仿宋"/>
          <w:b/>
          <w:bCs w:val="0"/>
          <w:i w:val="0"/>
          <w:iCs w:val="0"/>
          <w:caps w:val="0"/>
          <w:color w:val="000000" w:themeColor="text1"/>
          <w:spacing w:val="0"/>
          <w:sz w:val="36"/>
          <w:szCs w:val="36"/>
          <w:shd w:val="clear" w:color="auto" w:fill="FFFFFF"/>
          <w14:textFill>
            <w14:solidFill>
              <w14:schemeClr w14:val="tx1"/>
            </w14:solidFill>
          </w14:textFill>
        </w:rPr>
        <w:t>第五十五条</w:t>
      </w:r>
      <w:r>
        <w:rPr>
          <w:rStyle w:val="6"/>
          <w:rFonts w:hint="eastAsia" w:ascii="仿宋" w:hAnsi="仿宋" w:eastAsia="仿宋" w:cs="仿宋"/>
          <w:b w:val="0"/>
          <w:bCs/>
          <w:i w:val="0"/>
          <w:iCs w:val="0"/>
          <w:caps w:val="0"/>
          <w:color w:val="000000" w:themeColor="text1"/>
          <w:spacing w:val="0"/>
          <w:sz w:val="36"/>
          <w:szCs w:val="36"/>
          <w:shd w:val="clear" w:color="auto" w:fill="FFFFFF"/>
          <w:lang w:val="en-US" w:eastAsia="zh-CN"/>
          <w14:textFill>
            <w14:solidFill>
              <w14:schemeClr w14:val="tx1"/>
            </w14:solidFill>
          </w14:textFill>
        </w:rPr>
        <w:t xml:space="preserve">  </w:t>
      </w:r>
      <w:r>
        <w:rPr>
          <w:rStyle w:val="6"/>
          <w:rFonts w:hint="eastAsia" w:ascii="仿宋" w:hAnsi="仿宋" w:eastAsia="仿宋" w:cs="仿宋"/>
          <w:b w:val="0"/>
          <w:bCs/>
          <w:i w:val="0"/>
          <w:iCs w:val="0"/>
          <w:caps w:val="0"/>
          <w:color w:val="000000" w:themeColor="text1"/>
          <w:spacing w:val="0"/>
          <w:sz w:val="36"/>
          <w:szCs w:val="36"/>
          <w:shd w:val="clear" w:color="auto" w:fill="FFFFFF"/>
          <w14:textFill>
            <w14:solidFill>
              <w14:schemeClr w14:val="tx1"/>
            </w14:solidFill>
          </w14:textFill>
        </w:rPr>
        <w:t>公共资源交易市场主体、评标评审专家、系统开发运维机构违反本办法有关规定，由行政监督管理部门依法查处。涉嫌违纪的，送纪检监察机关追究相关人员责任。涉嫌违法犯罪的，移送司法机关处理。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40" w:lineRule="auto"/>
        <w:ind w:left="0" w:right="0" w:firstLine="420"/>
        <w:jc w:val="center"/>
        <w:textAlignment w:val="auto"/>
        <w:rPr>
          <w:rFonts w:hint="eastAsia" w:ascii="方正黑体简体" w:hAnsi="方正黑体简体" w:eastAsia="方正黑体简体" w:cs="方正黑体简体"/>
          <w:b w:val="0"/>
          <w:bCs/>
          <w:color w:val="000000" w:themeColor="text1"/>
          <w:sz w:val="36"/>
          <w:szCs w:val="36"/>
          <w14:textFill>
            <w14:solidFill>
              <w14:schemeClr w14:val="tx1"/>
            </w14:solidFill>
          </w14:textFill>
        </w:rPr>
      </w:pP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第八章</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lang w:val="en-US" w:eastAsia="zh-CN"/>
          <w14:textFill>
            <w14:solidFill>
              <w14:schemeClr w14:val="tx1"/>
            </w14:solidFill>
          </w14:textFill>
        </w:rPr>
        <w:t xml:space="preserve">  </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附</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lang w:val="en-US" w:eastAsia="zh-CN"/>
          <w14:textFill>
            <w14:solidFill>
              <w14:schemeClr w14:val="tx1"/>
            </w14:solidFill>
          </w14:textFill>
        </w:rPr>
        <w:t xml:space="preserve">  </w:t>
      </w:r>
      <w:r>
        <w:rPr>
          <w:rStyle w:val="6"/>
          <w:rFonts w:hint="eastAsia" w:ascii="方正黑体简体" w:hAnsi="方正黑体简体" w:eastAsia="方正黑体简体" w:cs="方正黑体简体"/>
          <w:b w:val="0"/>
          <w:bCs/>
          <w:i w:val="0"/>
          <w:iCs w:val="0"/>
          <w:caps w:val="0"/>
          <w:color w:val="000000" w:themeColor="text1"/>
          <w:spacing w:val="0"/>
          <w:sz w:val="36"/>
          <w:szCs w:val="36"/>
          <w:shd w:val="clear" w:color="auto" w:fill="FFFFFF"/>
          <w14:textFill>
            <w14:solidFill>
              <w14:schemeClr w14:val="tx1"/>
            </w14:solidFill>
          </w14:textFill>
        </w:rPr>
        <w:t>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color w:val="000000" w:themeColor="text1"/>
          <w:sz w:val="36"/>
          <w:szCs w:val="36"/>
          <w14:textFill>
            <w14:solidFill>
              <w14:schemeClr w14:val="tx1"/>
            </w14:solidFill>
          </w14:textFill>
        </w:rPr>
      </w:pP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第</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五</w:t>
      </w: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十</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六</w:t>
      </w:r>
      <w:r>
        <w:rPr>
          <w:rStyle w:val="6"/>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条</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t>名词解释</w:t>
      </w:r>
      <w:r>
        <w:rPr>
          <w:rStyle w:val="6"/>
          <w:rFonts w:hint="eastAsia" w:ascii="仿宋" w:hAnsi="仿宋" w:eastAsia="仿宋" w:cs="仿宋"/>
          <w:i w:val="0"/>
          <w:iCs w:val="0"/>
          <w:caps w:val="0"/>
          <w:color w:val="000000" w:themeColor="text1"/>
          <w:spacing w:val="0"/>
          <w:sz w:val="36"/>
          <w:szCs w:val="36"/>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6"/>
          <w:szCs w:val="36"/>
          <w:shd w:val="clear" w:color="auto" w:fill="FFFFFF"/>
          <w14:textFill>
            <w14:solidFill>
              <w14:schemeClr w14:val="tx1"/>
            </w14:solidFill>
          </w14:textFill>
        </w:rPr>
        <w:t>本办法所称项目发起方包括招标人、采购人、出让人、转让人、委托人等；项目响应方包括投标人、供应商、竞买人等；中介机构包括招标代理机构、政府采购代理机构、拍卖机构、产权交易机构等；评标评审专家包括依法依规组建的资格预审委员会、评标评审委员会、竞争性谈判小组、竞争性磋商小组、询价小组等的组成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3" w:firstLineChars="200"/>
        <w:textAlignment w:val="auto"/>
        <w:rPr>
          <w:rFonts w:hint="eastAsia" w:ascii="仿宋" w:hAnsi="仿宋" w:eastAsia="仿宋" w:cs="仿宋"/>
          <w:i w:val="0"/>
          <w:iCs w:val="0"/>
          <w:caps w:val="0"/>
          <w:color w:val="000000" w:themeColor="text1"/>
          <w:spacing w:val="0"/>
          <w:sz w:val="36"/>
          <w:szCs w:val="36"/>
          <w:shd w:val="clear" w:color="auto"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6"/>
          <w:szCs w:val="36"/>
          <w:shd w:val="clear" w:color="auto" w:fill="FFFFFF"/>
          <w:lang w:val="en-US" w:eastAsia="zh-CN"/>
          <w14:textFill>
            <w14:solidFill>
              <w14:schemeClr w14:val="tx1"/>
            </w14:solidFill>
          </w14:textFill>
        </w:rPr>
        <w:t>第五十七条 （</w:t>
      </w:r>
      <w:r>
        <w:rPr>
          <w:rFonts w:hint="eastAsia" w:ascii="仿宋" w:hAnsi="仿宋" w:eastAsia="仿宋" w:cs="仿宋"/>
          <w:b/>
          <w:bCs/>
          <w:color w:val="000000" w:themeColor="text1"/>
          <w:sz w:val="36"/>
          <w:szCs w:val="36"/>
          <w:shd w:val="clear" w:color="auto" w:fill="FFFFFF"/>
          <w14:textFill>
            <w14:solidFill>
              <w14:schemeClr w14:val="tx1"/>
            </w14:solidFill>
          </w14:textFill>
        </w:rPr>
        <w:t>生效时间</w:t>
      </w:r>
      <w:r>
        <w:rPr>
          <w:rFonts w:hint="eastAsia" w:ascii="仿宋" w:hAnsi="仿宋" w:eastAsia="仿宋" w:cs="仿宋"/>
          <w:b/>
          <w:bCs/>
          <w:color w:val="000000" w:themeColor="text1"/>
          <w:sz w:val="36"/>
          <w:szCs w:val="36"/>
          <w:shd w:val="clear" w:color="auto" w:fill="FFFFFF"/>
          <w:lang w:eastAsia="zh-CN"/>
          <w14:textFill>
            <w14:solidFill>
              <w14:schemeClr w14:val="tx1"/>
            </w14:solidFill>
          </w14:textFill>
        </w:rPr>
        <w:t>）</w:t>
      </w:r>
      <w:r>
        <w:rPr>
          <w:rFonts w:hint="eastAsia" w:ascii="仿宋" w:hAnsi="仿宋" w:eastAsia="仿宋" w:cs="仿宋"/>
          <w:color w:val="000000" w:themeColor="text1"/>
          <w:sz w:val="36"/>
          <w:szCs w:val="36"/>
          <w:shd w:val="clear" w:color="auto" w:fill="FFFFFF"/>
          <w14:textFill>
            <w14:solidFill>
              <w14:schemeClr w14:val="tx1"/>
            </w14:solidFill>
          </w14:textFill>
        </w:rPr>
        <w:t>本</w:t>
      </w:r>
      <w:r>
        <w:rPr>
          <w:rFonts w:hint="eastAsia" w:ascii="仿宋" w:hAnsi="仿宋" w:eastAsia="仿宋" w:cs="仿宋"/>
          <w:color w:val="000000" w:themeColor="text1"/>
          <w:sz w:val="36"/>
          <w:szCs w:val="36"/>
          <w:shd w:val="clear" w:color="auto" w:fill="FFFFFF"/>
          <w:lang w:val="en-US" w:eastAsia="zh-CN"/>
          <w14:textFill>
            <w14:solidFill>
              <w14:schemeClr w14:val="tx1"/>
            </w14:solidFill>
          </w14:textFill>
        </w:rPr>
        <w:t>办法</w:t>
      </w:r>
      <w:r>
        <w:rPr>
          <w:rFonts w:hint="eastAsia" w:ascii="仿宋" w:hAnsi="仿宋" w:eastAsia="仿宋" w:cs="仿宋"/>
          <w:color w:val="000000" w:themeColor="text1"/>
          <w:sz w:val="36"/>
          <w:szCs w:val="36"/>
          <w:shd w:val="clear" w:color="auto" w:fill="FFFFFF"/>
          <w14:textFill>
            <w14:solidFill>
              <w14:schemeClr w14:val="tx1"/>
            </w14:solidFill>
          </w14:textFill>
        </w:rPr>
        <w:t>自</w:t>
      </w:r>
      <w:r>
        <w:rPr>
          <w:rFonts w:hint="eastAsia" w:ascii="仿宋" w:hAnsi="仿宋" w:eastAsia="仿宋" w:cs="仿宋"/>
          <w:color w:val="000000" w:themeColor="text1"/>
          <w:sz w:val="36"/>
          <w:szCs w:val="36"/>
          <w:shd w:val="clear" w:color="auto" w:fill="FFFFFF"/>
          <w:lang w:eastAsia="zh-CN"/>
          <w14:textFill>
            <w14:solidFill>
              <w14:schemeClr w14:val="tx1"/>
            </w14:solidFill>
          </w14:textFill>
        </w:rPr>
        <w:t>2</w:t>
      </w:r>
      <w:r>
        <w:rPr>
          <w:rFonts w:hint="eastAsia" w:ascii="仿宋" w:hAnsi="仿宋" w:eastAsia="仿宋" w:cs="仿宋"/>
          <w:color w:val="000000" w:themeColor="text1"/>
          <w:sz w:val="36"/>
          <w:szCs w:val="36"/>
          <w:shd w:val="clear" w:color="auto" w:fill="FFFFFF"/>
          <w:lang w:val="en-US" w:eastAsia="zh-CN"/>
          <w14:textFill>
            <w14:solidFill>
              <w14:schemeClr w14:val="tx1"/>
            </w14:solidFill>
          </w14:textFill>
        </w:rPr>
        <w:t>024年  月  日</w:t>
      </w:r>
      <w:r>
        <w:rPr>
          <w:rFonts w:hint="eastAsia" w:ascii="仿宋" w:hAnsi="仿宋" w:eastAsia="仿宋" w:cs="仿宋"/>
          <w:color w:val="000000" w:themeColor="text1"/>
          <w:sz w:val="36"/>
          <w:szCs w:val="36"/>
          <w:shd w:val="clear" w:color="auto" w:fill="FFFFFF"/>
          <w14:textFill>
            <w14:solidFill>
              <w14:schemeClr w14:val="tx1"/>
            </w14:solidFill>
          </w14:textFill>
        </w:rPr>
        <w:t>起施行，原《</w:t>
      </w:r>
      <w:r>
        <w:rPr>
          <w:rFonts w:hint="eastAsia" w:ascii="仿宋" w:hAnsi="仿宋" w:eastAsia="仿宋" w:cs="仿宋"/>
          <w:color w:val="000000" w:themeColor="text1"/>
          <w:sz w:val="36"/>
          <w:szCs w:val="36"/>
          <w:shd w:val="clear" w:color="auto" w:fill="FFFFFF"/>
          <w:lang w:val="en-US" w:eastAsia="zh-CN"/>
          <w14:textFill>
            <w14:solidFill>
              <w14:schemeClr w14:val="tx1"/>
            </w14:solidFill>
          </w14:textFill>
        </w:rPr>
        <w:t>内蒙古自治区</w:t>
      </w:r>
      <w:r>
        <w:rPr>
          <w:rFonts w:hint="eastAsia" w:ascii="仿宋" w:hAnsi="仿宋" w:eastAsia="仿宋" w:cs="仿宋"/>
          <w:color w:val="000000" w:themeColor="text1"/>
          <w:sz w:val="36"/>
          <w:szCs w:val="36"/>
          <w:shd w:val="clear" w:color="auto" w:fill="FFFFFF"/>
          <w14:textFill>
            <w14:solidFill>
              <w14:schemeClr w14:val="tx1"/>
            </w14:solidFill>
          </w14:textFill>
        </w:rPr>
        <w:t>公共资源交易管理办法》废止。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36"/>
          <w:szCs w:val="36"/>
          <w14:textFill>
            <w14:solidFill>
              <w14:schemeClr w14:val="tx1"/>
            </w14:solidFill>
          </w14:textFill>
        </w:rPr>
      </w:pPr>
    </w:p>
    <w:sectPr>
      <w:footerReference r:id="rId3" w:type="default"/>
      <w:pgSz w:w="11906" w:h="16838"/>
      <w:pgMar w:top="1701" w:right="1417" w:bottom="141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28A59"/>
    <w:multiLevelType w:val="singleLevel"/>
    <w:tmpl w:val="94928A59"/>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ZTgwOTNiMmZhNzVkNWNlY2U2YTdlZjFlMDA5ZDYifQ=="/>
  </w:docVars>
  <w:rsids>
    <w:rsidRoot w:val="307D6A83"/>
    <w:rsid w:val="14E01C94"/>
    <w:rsid w:val="169F316A"/>
    <w:rsid w:val="201A1D80"/>
    <w:rsid w:val="307D6A83"/>
    <w:rsid w:val="442807FA"/>
    <w:rsid w:val="4ADC728B"/>
    <w:rsid w:val="4B4D0839"/>
    <w:rsid w:val="4E5F1541"/>
    <w:rsid w:val="5B5A2EAE"/>
    <w:rsid w:val="6F292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2024-03-13T02:07:00Z</dcterms:created>
  <dc:creator>轻风</dc:creator>
  <cp:lastModifiedBy>轻风</cp:lastModifiedBy>
  <cp:lastPrinted>2024-03-14T09:33:00Z</cp:lastPrinted>
  <dcterms:modified xsi:type="dcterms:W3CDTF">2024-03-20T08:00:07Z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D19AF791EC1A4E15AF322974034F7603_13</vt:lpwstr>
  </property>
</Properties>
</file>