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Arial"/>
          <w:b/>
          <w:bCs/>
          <w:sz w:val="36"/>
          <w:szCs w:val="36"/>
        </w:rPr>
      </w:pPr>
    </w:p>
    <w:p>
      <w:pPr>
        <w:jc w:val="center"/>
        <w:rPr>
          <w:rFonts w:ascii="宋体" w:hAnsi="宋体" w:eastAsia="宋体" w:cs="Arial"/>
          <w:b/>
          <w:bCs/>
          <w:sz w:val="36"/>
          <w:szCs w:val="36"/>
        </w:rPr>
      </w:pPr>
      <w:r>
        <w:rPr>
          <w:rFonts w:hint="eastAsia" w:ascii="宋体" w:hAnsi="宋体" w:eastAsia="宋体" w:cs="Arial"/>
          <w:b/>
          <w:bCs/>
          <w:sz w:val="36"/>
          <w:szCs w:val="36"/>
        </w:rPr>
        <w:t>内蒙古自治区公共资源交易管理服务中心办公楼及附属设施运行维护费</w:t>
      </w:r>
    </w:p>
    <w:p>
      <w:pPr>
        <w:jc w:val="center"/>
        <w:rPr>
          <w:rFonts w:ascii="宋体" w:hAnsi="宋体" w:eastAsia="宋体" w:cs="Arial"/>
          <w:b/>
          <w:bCs/>
          <w:sz w:val="36"/>
          <w:szCs w:val="36"/>
        </w:rPr>
      </w:pPr>
      <w:r>
        <w:rPr>
          <w:rFonts w:hint="eastAsia" w:ascii="宋体" w:hAnsi="宋体" w:eastAsia="宋体" w:cs="Arial"/>
          <w:b/>
          <w:bCs/>
          <w:sz w:val="36"/>
          <w:szCs w:val="36"/>
        </w:rPr>
        <w:t>项目支出</w:t>
      </w:r>
      <w:r>
        <w:rPr>
          <w:rFonts w:ascii="宋体" w:hAnsi="宋体" w:eastAsia="宋体" w:cs="Arial"/>
          <w:b/>
          <w:bCs/>
          <w:sz w:val="36"/>
          <w:szCs w:val="36"/>
        </w:rPr>
        <w:t>绩效</w:t>
      </w:r>
      <w:r>
        <w:rPr>
          <w:rFonts w:hint="eastAsia" w:ascii="宋体" w:hAnsi="宋体" w:eastAsia="宋体" w:cs="Arial"/>
          <w:b/>
          <w:bCs/>
          <w:sz w:val="36"/>
          <w:szCs w:val="36"/>
        </w:rPr>
        <w:t>评价报告</w:t>
      </w:r>
    </w:p>
    <w:p>
      <w:pPr>
        <w:spacing w:after="156" w:afterLines="50"/>
        <w:jc w:val="right"/>
        <w:rPr>
          <w:rFonts w:ascii="Times New Roman" w:hAnsi="Times New Roman" w:eastAsia="宋体" w:cs="Times New Roman"/>
          <w:sz w:val="18"/>
          <w:szCs w:val="18"/>
        </w:rPr>
      </w:pPr>
    </w:p>
    <w:p>
      <w:pPr>
        <w:spacing w:after="156" w:afterLines="50"/>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为全面实施预算绩效管理，提高财政资源配置效率和使用效益，根据《中共中央国务院关于全面实施预算绩效管理的意见》（中发〔</w:t>
      </w:r>
      <w:r>
        <w:rPr>
          <w:rFonts w:ascii="宋体" w:hAnsi="宋体" w:eastAsia="宋体" w:cs="Times New Roman"/>
          <w:sz w:val="28"/>
          <w:szCs w:val="28"/>
        </w:rPr>
        <w:t>2018〕34号）</w:t>
      </w:r>
      <w:r>
        <w:rPr>
          <w:rFonts w:hint="eastAsia" w:ascii="宋体" w:hAnsi="宋体" w:eastAsia="宋体" w:cs="Times New Roman"/>
          <w:sz w:val="28"/>
          <w:szCs w:val="28"/>
        </w:rPr>
        <w:t>、</w:t>
      </w:r>
      <w:r>
        <w:rPr>
          <w:rFonts w:ascii="宋体" w:hAnsi="宋体" w:eastAsia="宋体" w:cs="Times New Roman"/>
          <w:sz w:val="28"/>
          <w:szCs w:val="28"/>
        </w:rPr>
        <w:t>《</w:t>
      </w:r>
      <w:r>
        <w:rPr>
          <w:rFonts w:hint="eastAsia" w:ascii="宋体" w:hAnsi="宋体" w:eastAsia="宋体" w:cs="Times New Roman"/>
          <w:sz w:val="28"/>
          <w:szCs w:val="28"/>
        </w:rPr>
        <w:t>内蒙古自治区财政厅关于开展</w:t>
      </w:r>
      <w:r>
        <w:rPr>
          <w:rFonts w:ascii="宋体" w:hAnsi="宋体" w:eastAsia="宋体" w:cs="Times New Roman"/>
          <w:sz w:val="28"/>
          <w:szCs w:val="28"/>
        </w:rPr>
        <w:t>2021年度自治区本级单位绩效自评和部门评价工作的通知》（</w:t>
      </w:r>
      <w:r>
        <w:rPr>
          <w:rFonts w:hint="eastAsia" w:ascii="宋体" w:hAnsi="宋体" w:eastAsia="宋体" w:cs="Times New Roman"/>
          <w:sz w:val="28"/>
          <w:szCs w:val="28"/>
        </w:rPr>
        <w:t>内财监</w:t>
      </w:r>
      <w:r>
        <w:rPr>
          <w:rFonts w:ascii="宋体" w:hAnsi="宋体" w:eastAsia="宋体" w:cs="Times New Roman"/>
          <w:sz w:val="28"/>
          <w:szCs w:val="28"/>
        </w:rPr>
        <w:t xml:space="preserve"> [2022]644号）</w:t>
      </w:r>
      <w:r>
        <w:rPr>
          <w:rFonts w:hint="eastAsia" w:ascii="宋体" w:hAnsi="宋体" w:eastAsia="宋体" w:cs="Times New Roman"/>
          <w:sz w:val="28"/>
          <w:szCs w:val="28"/>
        </w:rPr>
        <w:t>，对办公楼及附属设施运行维护费项目开展了绩效评价，有关情况如下：</w:t>
      </w:r>
      <w:r>
        <w:rPr>
          <w:rFonts w:ascii="宋体" w:hAnsi="宋体" w:eastAsia="宋体" w:cs="Times New Roman"/>
          <w:sz w:val="28"/>
          <w:szCs w:val="28"/>
        </w:rPr>
        <w:t xml:space="preserve"> </w:t>
      </w:r>
    </w:p>
    <w:p>
      <w:pPr>
        <w:spacing w:before="156" w:beforeLines="50" w:line="360" w:lineRule="auto"/>
        <w:ind w:firstLine="562" w:firstLineChars="200"/>
        <w:rPr>
          <w:rFonts w:ascii="宋体" w:hAnsi="宋体" w:eastAsia="宋体"/>
          <w:b/>
          <w:sz w:val="28"/>
          <w:szCs w:val="28"/>
        </w:rPr>
      </w:pPr>
      <w:r>
        <w:rPr>
          <w:rFonts w:hint="eastAsia" w:ascii="宋体" w:hAnsi="宋体" w:eastAsia="宋体"/>
          <w:b/>
          <w:sz w:val="28"/>
          <w:szCs w:val="28"/>
        </w:rPr>
        <w:t>一、基本情况</w:t>
      </w:r>
    </w:p>
    <w:p>
      <w:pPr>
        <w:spacing w:line="360" w:lineRule="auto"/>
        <w:ind w:firstLine="562" w:firstLineChars="200"/>
        <w:outlineLvl w:val="0"/>
        <w:rPr>
          <w:rFonts w:ascii="宋体" w:hAnsi="宋体" w:eastAsia="宋体" w:cs="仿宋_GB2312"/>
          <w:b/>
          <w:sz w:val="28"/>
          <w:szCs w:val="28"/>
        </w:rPr>
      </w:pPr>
      <w:r>
        <w:rPr>
          <w:rFonts w:hint="eastAsia" w:ascii="宋体" w:hAnsi="宋体" w:eastAsia="宋体"/>
          <w:b/>
          <w:sz w:val="28"/>
          <w:szCs w:val="28"/>
        </w:rPr>
        <w:t>（</w:t>
      </w:r>
      <w:r>
        <w:rPr>
          <w:rFonts w:hint="eastAsia" w:ascii="宋体" w:hAnsi="宋体" w:eastAsia="宋体" w:cs="仿宋_GB2312"/>
          <w:b/>
          <w:sz w:val="28"/>
          <w:szCs w:val="28"/>
        </w:rPr>
        <w:t>一）项目概况</w:t>
      </w:r>
    </w:p>
    <w:p>
      <w:pPr>
        <w:spacing w:line="360" w:lineRule="auto"/>
        <w:ind w:firstLine="560" w:firstLineChars="200"/>
        <w:rPr>
          <w:rFonts w:ascii="宋体" w:hAnsi="宋体" w:eastAsia="宋体" w:cs="仿宋_GB2312"/>
          <w:sz w:val="28"/>
          <w:szCs w:val="28"/>
        </w:rPr>
      </w:pPr>
      <w:r>
        <w:rPr>
          <w:rFonts w:hint="eastAsia" w:ascii="宋体" w:hAnsi="宋体" w:eastAsia="宋体" w:cs="Times New Roman"/>
          <w:sz w:val="28"/>
          <w:szCs w:val="28"/>
        </w:rPr>
        <w:t>项目名称：内蒙古自治区公共资源交易管理服务中心办公楼及附属设施运行维护费项目。主要用于</w:t>
      </w:r>
      <w:r>
        <w:rPr>
          <w:rFonts w:hint="eastAsia" w:ascii="宋体" w:hAnsi="宋体" w:eastAsia="宋体" w:cs="仿宋_GB2312"/>
          <w:sz w:val="28"/>
          <w:szCs w:val="28"/>
        </w:rPr>
        <w:t>保障</w:t>
      </w:r>
      <w:r>
        <w:rPr>
          <w:rFonts w:ascii="宋体" w:hAnsi="宋体" w:eastAsia="宋体" w:cs="仿宋_GB2312"/>
          <w:sz w:val="28"/>
          <w:szCs w:val="28"/>
        </w:rPr>
        <w:t>公共资源交易中心办公楼及附属设施运行</w:t>
      </w:r>
      <w:r>
        <w:rPr>
          <w:rFonts w:hint="eastAsia" w:ascii="宋体" w:hAnsi="宋体" w:eastAsia="宋体" w:cs="仿宋_GB2312"/>
          <w:sz w:val="28"/>
          <w:szCs w:val="28"/>
        </w:rPr>
        <w:t>日常运行，机关工作人员的后勤保障工作，对机关正常运行提供必要的维护。</w:t>
      </w:r>
      <w:r>
        <w:rPr>
          <w:rFonts w:ascii="宋体" w:hAnsi="宋体" w:eastAsia="宋体" w:cs="仿宋_GB2312"/>
          <w:sz w:val="28"/>
          <w:szCs w:val="28"/>
        </w:rPr>
        <w:t>物业管理服务范围：（1）大楼安全防护工作（2）环境绿化养护（3）大楼环境卫生保洁（4）大楼管理：安保、设施设备、安防等</w:t>
      </w:r>
      <w:r>
        <w:rPr>
          <w:rFonts w:hint="eastAsia" w:ascii="宋体" w:hAnsi="宋体" w:eastAsia="宋体" w:cs="仿宋_GB2312"/>
          <w:sz w:val="28"/>
          <w:szCs w:val="28"/>
        </w:rPr>
        <w:t>。</w:t>
      </w:r>
    </w:p>
    <w:p>
      <w:pPr>
        <w:spacing w:line="600" w:lineRule="exact"/>
        <w:ind w:firstLine="562" w:firstLineChars="200"/>
        <w:rPr>
          <w:rFonts w:ascii="宋体" w:hAnsi="宋体" w:eastAsia="宋体"/>
          <w:b/>
          <w:sz w:val="28"/>
          <w:szCs w:val="28"/>
        </w:rPr>
      </w:pPr>
      <w:r>
        <w:rPr>
          <w:rFonts w:hint="eastAsia" w:ascii="宋体" w:hAnsi="宋体" w:eastAsia="宋体"/>
          <w:b/>
          <w:sz w:val="28"/>
          <w:szCs w:val="28"/>
        </w:rPr>
        <w:t>（二）项目绩效目标</w:t>
      </w:r>
    </w:p>
    <w:p>
      <w:pPr>
        <w:spacing w:line="600" w:lineRule="exact"/>
        <w:ind w:firstLine="562" w:firstLineChars="200"/>
        <w:rPr>
          <w:rFonts w:ascii="宋体" w:hAnsi="宋体" w:eastAsia="宋体" w:cs="仿宋_GB2312"/>
          <w:b/>
          <w:sz w:val="28"/>
          <w:szCs w:val="28"/>
        </w:rPr>
      </w:pPr>
      <w:r>
        <w:rPr>
          <w:rFonts w:hint="eastAsia" w:ascii="宋体" w:hAnsi="宋体" w:eastAsia="宋体" w:cs="仿宋_GB2312"/>
          <w:b/>
          <w:sz w:val="28"/>
          <w:szCs w:val="28"/>
        </w:rPr>
        <w:t>1、总体绩效目标</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保障</w:t>
      </w:r>
      <w:r>
        <w:rPr>
          <w:rFonts w:ascii="宋体" w:hAnsi="宋体" w:eastAsia="宋体" w:cs="仿宋_GB2312"/>
          <w:sz w:val="28"/>
          <w:szCs w:val="28"/>
        </w:rPr>
        <w:t>2021年公共资源交易中心办公楼及附属设施运行维护费、物业管理费、水费、电费、取暖费、停车场管理费等。物业管理服务范围：（1）大楼安全防护工作（2）环境绿化养护（3）大楼环境卫生保洁（4）大楼管理：安保、设施设备、安防等</w:t>
      </w:r>
      <w:r>
        <w:rPr>
          <w:rFonts w:hint="eastAsia" w:ascii="宋体" w:hAnsi="宋体" w:eastAsia="宋体" w:cs="仿宋_GB2312"/>
          <w:sz w:val="28"/>
          <w:szCs w:val="28"/>
        </w:rPr>
        <w:t>。</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2、年度绩效目标</w:t>
      </w:r>
    </w:p>
    <w:p>
      <w:pPr>
        <w:spacing w:line="360" w:lineRule="auto"/>
        <w:ind w:firstLine="560" w:firstLineChars="200"/>
        <w:rPr>
          <w:rFonts w:ascii="宋体" w:hAnsi="宋体" w:eastAsia="宋体" w:cs="仿宋_GB2312"/>
          <w:sz w:val="28"/>
          <w:szCs w:val="28"/>
        </w:rPr>
      </w:pPr>
      <w:r>
        <w:rPr>
          <w:rFonts w:ascii="宋体" w:hAnsi="宋体" w:eastAsia="宋体" w:cs="仿宋_GB2312"/>
          <w:sz w:val="28"/>
          <w:szCs w:val="28"/>
        </w:rPr>
        <w:t>确保我中心办公大楼1.57万平方米</w:t>
      </w:r>
      <w:r>
        <w:rPr>
          <w:rFonts w:hint="eastAsia" w:ascii="宋体" w:hAnsi="宋体" w:eastAsia="宋体" w:cs="仿宋_GB2312"/>
          <w:sz w:val="28"/>
          <w:szCs w:val="28"/>
        </w:rPr>
        <w:t>的</w:t>
      </w:r>
      <w:r>
        <w:rPr>
          <w:rFonts w:ascii="宋体" w:hAnsi="宋体" w:eastAsia="宋体" w:cs="仿宋_GB2312"/>
          <w:sz w:val="28"/>
          <w:szCs w:val="28"/>
        </w:rPr>
        <w:t>物业服务区域面积，干净、整洁、明亮；做好空调系统及电梯维保合同签订工作；定期对供水、供电系统检修，使各类设备完好率达到98%以上；及时清洗和更换生活水池、饮水器过滤芯，确保办公楼饮用水安全。对中央空调冬、夏两季到来之前进行清洗,每年对电梯进行2次维护保养；加强节能环保教育宣传，引导干部职工增强节约用水用电意识，机关大楼节能降耗效果明显，使保障服务工作率达到90%；评标人、专家对物业、停车场工作满意度达到95%。</w:t>
      </w:r>
    </w:p>
    <w:p>
      <w:pPr>
        <w:spacing w:line="600" w:lineRule="exact"/>
        <w:ind w:firstLine="562" w:firstLineChars="200"/>
        <w:rPr>
          <w:rFonts w:ascii="宋体" w:hAnsi="宋体" w:eastAsia="宋体"/>
          <w:b/>
          <w:sz w:val="28"/>
          <w:szCs w:val="28"/>
        </w:rPr>
      </w:pPr>
      <w:r>
        <w:rPr>
          <w:rFonts w:hint="eastAsia" w:ascii="宋体" w:hAnsi="宋体" w:eastAsia="宋体"/>
          <w:b/>
          <w:sz w:val="28"/>
          <w:szCs w:val="28"/>
        </w:rPr>
        <w:t>二、绩效评价工作开展情况</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（一）绩效评价目的、对象和范围。</w:t>
      </w:r>
    </w:p>
    <w:p>
      <w:pPr>
        <w:spacing w:line="360" w:lineRule="auto"/>
        <w:ind w:firstLine="560" w:firstLineChars="200"/>
        <w:rPr>
          <w:rFonts w:ascii="宋体" w:hAnsi="宋体" w:eastAsia="宋体" w:cs="仿宋_GB2312"/>
          <w:sz w:val="28"/>
          <w:szCs w:val="28"/>
        </w:rPr>
      </w:pPr>
      <w:r>
        <w:rPr>
          <w:rFonts w:ascii="宋体" w:hAnsi="宋体" w:eastAsia="宋体" w:cs="仿宋_GB2312"/>
          <w:sz w:val="28"/>
          <w:szCs w:val="28"/>
        </w:rPr>
        <w:t>本次项目的评价目的是</w:t>
      </w:r>
      <w:r>
        <w:rPr>
          <w:rFonts w:hint="eastAsia" w:ascii="宋体" w:hAnsi="宋体" w:eastAsia="宋体" w:cs="仿宋_GB2312"/>
          <w:sz w:val="28"/>
          <w:szCs w:val="28"/>
        </w:rPr>
        <w:t>从深化部门预算改革，加强财政支出管理实际需要出发，通过科学合理的方法，客观公正地评价财政资金使用的经济性、效率性和效益性，强化部门预算支出责任、改善财政支出管理。并且对绩效项目的实施、制度的建设、取得的成效以及后续管理等方面总结经验，发现问题，提出改进意见及合理化建议</w:t>
      </w:r>
      <w:r>
        <w:rPr>
          <w:rFonts w:ascii="宋体" w:hAnsi="宋体" w:eastAsia="宋体" w:cs="仿宋_GB2312"/>
          <w:sz w:val="28"/>
          <w:szCs w:val="28"/>
        </w:rPr>
        <w:t>。</w:t>
      </w:r>
      <w:r>
        <w:rPr>
          <w:rFonts w:hint="eastAsia" w:ascii="宋体" w:hAnsi="宋体" w:eastAsia="宋体" w:cs="仿宋_GB2312"/>
          <w:sz w:val="28"/>
          <w:szCs w:val="28"/>
        </w:rPr>
        <w:t>评价对象为自治区公共资源交易管理服务中心，范围为办公楼及附属设施运行维护费等。</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（二）绩效评价原则、评价指标体系（附表说明）、评价方法、评价标准等</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1.</w:t>
      </w:r>
      <w:r>
        <w:rPr>
          <w:rFonts w:ascii="宋体" w:hAnsi="宋体" w:eastAsia="宋体" w:cs="仿宋_GB2312"/>
          <w:sz w:val="28"/>
          <w:szCs w:val="28"/>
        </w:rPr>
        <w:t>绩效评价原则</w:t>
      </w:r>
    </w:p>
    <w:p>
      <w:pPr>
        <w:spacing w:line="360" w:lineRule="auto"/>
        <w:ind w:firstLine="560" w:firstLineChars="200"/>
        <w:rPr>
          <w:rFonts w:ascii="宋体" w:hAnsi="宋体" w:eastAsia="宋体" w:cs="仿宋_GB2312"/>
          <w:sz w:val="28"/>
          <w:szCs w:val="28"/>
        </w:rPr>
      </w:pPr>
      <w:r>
        <w:rPr>
          <w:rFonts w:ascii="宋体" w:hAnsi="宋体" w:eastAsia="宋体" w:cs="仿宋_GB2312"/>
          <w:sz w:val="28"/>
          <w:szCs w:val="28"/>
        </w:rPr>
        <w:t>（1）</w:t>
      </w:r>
      <w:r>
        <w:rPr>
          <w:rFonts w:hint="eastAsia" w:ascii="宋体" w:hAnsi="宋体" w:eastAsia="宋体" w:cs="仿宋_GB2312"/>
          <w:sz w:val="28"/>
          <w:szCs w:val="28"/>
        </w:rPr>
        <w:t>现场评价</w:t>
      </w:r>
      <w:r>
        <w:rPr>
          <w:rFonts w:ascii="宋体" w:hAnsi="宋体" w:eastAsia="宋体" w:cs="仿宋_GB2312"/>
          <w:sz w:val="28"/>
          <w:szCs w:val="28"/>
        </w:rPr>
        <w:t>原则：</w:t>
      </w:r>
      <w:r>
        <w:rPr>
          <w:rFonts w:hint="eastAsia" w:ascii="宋体" w:hAnsi="宋体" w:eastAsia="宋体" w:cs="仿宋_GB2312"/>
          <w:sz w:val="28"/>
          <w:szCs w:val="28"/>
        </w:rPr>
        <w:t>现场对有关情况进行核实、对所掌握的资料进行分析、对项目进行评价的过程</w:t>
      </w:r>
      <w:r>
        <w:rPr>
          <w:rFonts w:ascii="宋体" w:hAnsi="宋体" w:eastAsia="宋体" w:cs="仿宋_GB2312"/>
          <w:sz w:val="28"/>
          <w:szCs w:val="28"/>
        </w:rPr>
        <w:t>。</w:t>
      </w:r>
    </w:p>
    <w:p>
      <w:pPr>
        <w:spacing w:line="360" w:lineRule="auto"/>
        <w:ind w:firstLine="560" w:firstLineChars="200"/>
        <w:rPr>
          <w:rFonts w:ascii="宋体" w:hAnsi="宋体" w:eastAsia="宋体" w:cs="仿宋_GB2312"/>
          <w:sz w:val="28"/>
          <w:szCs w:val="28"/>
        </w:rPr>
      </w:pPr>
      <w:r>
        <w:rPr>
          <w:rFonts w:ascii="宋体" w:hAnsi="宋体" w:eastAsia="宋体" w:cs="仿宋_GB2312"/>
          <w:sz w:val="28"/>
          <w:szCs w:val="28"/>
        </w:rPr>
        <w:t>（2）</w:t>
      </w:r>
      <w:r>
        <w:rPr>
          <w:rFonts w:hint="eastAsia" w:ascii="宋体" w:hAnsi="宋体" w:eastAsia="宋体" w:cs="仿宋_GB2312"/>
          <w:sz w:val="28"/>
          <w:szCs w:val="28"/>
        </w:rPr>
        <w:t>非现场评价</w:t>
      </w:r>
      <w:r>
        <w:rPr>
          <w:rFonts w:ascii="宋体" w:hAnsi="宋体" w:eastAsia="宋体" w:cs="仿宋_GB2312"/>
          <w:sz w:val="28"/>
          <w:szCs w:val="28"/>
        </w:rPr>
        <w:t>原则：</w:t>
      </w:r>
      <w:r>
        <w:rPr>
          <w:rFonts w:hint="eastAsia" w:ascii="宋体" w:hAnsi="宋体" w:eastAsia="宋体" w:cs="仿宋_GB2312"/>
          <w:sz w:val="28"/>
          <w:szCs w:val="28"/>
        </w:rPr>
        <w:t>对项目相关资料和各种公开数据资料进行分类、汇总和分析，对项目进行评价的过程</w:t>
      </w:r>
      <w:r>
        <w:rPr>
          <w:rFonts w:ascii="宋体" w:hAnsi="宋体" w:eastAsia="宋体" w:cs="仿宋_GB2312"/>
          <w:sz w:val="28"/>
          <w:szCs w:val="28"/>
        </w:rPr>
        <w:t>。</w:t>
      </w:r>
    </w:p>
    <w:p>
      <w:pPr>
        <w:spacing w:line="360" w:lineRule="auto"/>
        <w:ind w:firstLine="560" w:firstLineChars="200"/>
        <w:rPr>
          <w:rFonts w:ascii="宋体" w:hAnsi="宋体" w:eastAsia="宋体" w:cs="仿宋_GB2312"/>
          <w:sz w:val="28"/>
          <w:szCs w:val="28"/>
        </w:rPr>
      </w:pPr>
      <w:r>
        <w:rPr>
          <w:rFonts w:ascii="宋体" w:hAnsi="宋体" w:eastAsia="宋体" w:cs="仿宋_GB2312"/>
          <w:sz w:val="28"/>
          <w:szCs w:val="28"/>
        </w:rPr>
        <w:t xml:space="preserve"> </w:t>
      </w:r>
      <w:r>
        <w:rPr>
          <w:rFonts w:hint="eastAsia" w:ascii="宋体" w:hAnsi="宋体" w:eastAsia="宋体" w:cs="仿宋_GB2312"/>
          <w:sz w:val="28"/>
          <w:szCs w:val="28"/>
        </w:rPr>
        <w:t>2.评价指标体系</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充分考虑指标参数设置的合理性，结合</w:t>
      </w:r>
      <w:r>
        <w:rPr>
          <w:rFonts w:ascii="宋体" w:hAnsi="宋体" w:eastAsia="宋体" w:cs="仿宋_GB2312"/>
          <w:sz w:val="28"/>
          <w:szCs w:val="28"/>
        </w:rPr>
        <w:t>绩效评价基本原理，</w:t>
      </w:r>
      <w:r>
        <w:rPr>
          <w:rFonts w:hint="eastAsia" w:ascii="宋体" w:hAnsi="宋体" w:eastAsia="宋体" w:cs="仿宋_GB2312"/>
          <w:sz w:val="28"/>
          <w:szCs w:val="28"/>
        </w:rPr>
        <w:t>严格</w:t>
      </w:r>
      <w:r>
        <w:rPr>
          <w:rFonts w:ascii="宋体" w:hAnsi="宋体" w:eastAsia="宋体" w:cs="仿宋_GB2312"/>
          <w:sz w:val="28"/>
          <w:szCs w:val="28"/>
        </w:rPr>
        <w:t>按照</w:t>
      </w:r>
      <w:r>
        <w:rPr>
          <w:rFonts w:hint="eastAsia" w:ascii="宋体" w:hAnsi="宋体" w:eastAsia="宋体" w:cs="仿宋_GB2312"/>
          <w:sz w:val="28"/>
          <w:szCs w:val="28"/>
        </w:rPr>
        <w:t>《内蒙古自治区项目支出绩效评价管理办法》的要求，科学建立评价</w:t>
      </w:r>
      <w:r>
        <w:rPr>
          <w:rFonts w:ascii="宋体" w:hAnsi="宋体" w:eastAsia="宋体" w:cs="仿宋_GB2312"/>
          <w:sz w:val="28"/>
          <w:szCs w:val="28"/>
        </w:rPr>
        <w:t>指标体系</w:t>
      </w:r>
      <w:r>
        <w:rPr>
          <w:rFonts w:hint="eastAsia" w:ascii="宋体" w:hAnsi="宋体" w:eastAsia="宋体" w:cs="仿宋_GB2312"/>
          <w:sz w:val="28"/>
          <w:szCs w:val="28"/>
        </w:rPr>
        <w:t>，体系中</w:t>
      </w:r>
      <w:r>
        <w:rPr>
          <w:rFonts w:ascii="宋体" w:hAnsi="宋体" w:eastAsia="宋体" w:cs="仿宋_GB2312"/>
          <w:sz w:val="28"/>
          <w:szCs w:val="28"/>
        </w:rPr>
        <w:t>包括指标含义、分值权重、</w:t>
      </w:r>
      <w:r>
        <w:rPr>
          <w:rFonts w:hint="eastAsia" w:ascii="宋体" w:hAnsi="宋体" w:eastAsia="宋体" w:cs="仿宋_GB2312"/>
          <w:sz w:val="28"/>
          <w:szCs w:val="28"/>
        </w:rPr>
        <w:t>评价方法等</w:t>
      </w:r>
      <w:r>
        <w:rPr>
          <w:rFonts w:ascii="宋体" w:hAnsi="宋体" w:eastAsia="宋体" w:cs="仿宋_GB2312"/>
          <w:sz w:val="28"/>
          <w:szCs w:val="28"/>
        </w:rPr>
        <w:t>。</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3.评价标准</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本项目评价标准严格按照《内蒙古自治区项目支出绩效评价管理办法》的要求，结合绩效评价原理合理制定。</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4.评价方法</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本项目评价方法采用成本效益分析法、比较法、项目档案查阅法等方法相结合。绩效评价指标体系及得分情况详见附件。</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（三）绩效评价工作过程。</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前期准备：为保障项目绩效评价工作顺利开展，查阅了政策文件、制度文件、制度执行情况、财务资料、预算执行情况、项目目标完成情况及开放性意见。</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组织实施：按照既定评价指标、评价方法、评分标准针对项目中各个环节进行打分。</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评价分析：按照《内蒙古自治区项目支出绩效评价管理办法》对各项指标打分情况进行分析。</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沟通反馈：待得分情况确定后，实施部门和财务部门进行沟通反馈，并对扣分指标和满分指标进行分析讲解。</w:t>
      </w:r>
    </w:p>
    <w:p>
      <w:pPr>
        <w:spacing w:line="360" w:lineRule="auto"/>
        <w:ind w:firstLine="562" w:firstLineChars="200"/>
        <w:rPr>
          <w:rFonts w:ascii="宋体" w:hAnsi="宋体" w:eastAsia="宋体"/>
          <w:sz w:val="28"/>
          <w:szCs w:val="28"/>
        </w:rPr>
      </w:pPr>
      <w:r>
        <w:rPr>
          <w:rFonts w:hint="eastAsia" w:ascii="宋体" w:hAnsi="宋体" w:eastAsia="宋体"/>
          <w:b/>
          <w:sz w:val="28"/>
          <w:szCs w:val="28"/>
        </w:rPr>
        <w:t>三、综合评价情况及评价结论（后附相关评分表）</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（一）评分结果</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根据确定的评价方法及评分办法，绩效评价工作组召开评价会，通过数据资料分析，对办公楼及附属设施运行维护费项目进行客观评价及评分，</w:t>
      </w:r>
      <w:r>
        <w:rPr>
          <w:rFonts w:ascii="宋体" w:hAnsi="宋体" w:eastAsia="宋体" w:cs="仿宋_GB2312"/>
          <w:sz w:val="28"/>
          <w:szCs w:val="28"/>
        </w:rPr>
        <w:t>最终评分结果：总分为 96.7 分，绩效评级为“</w:t>
      </w:r>
      <w:r>
        <w:rPr>
          <w:rFonts w:hint="eastAsia" w:ascii="宋体" w:hAnsi="宋体" w:eastAsia="宋体" w:cs="仿宋_GB2312"/>
          <w:sz w:val="28"/>
          <w:szCs w:val="28"/>
        </w:rPr>
        <w:t>优</w:t>
      </w:r>
      <w:r>
        <w:rPr>
          <w:rFonts w:ascii="宋体" w:hAnsi="宋体" w:eastAsia="宋体" w:cs="仿宋_GB2312"/>
          <w:sz w:val="28"/>
          <w:szCs w:val="28"/>
        </w:rPr>
        <w:t>”。具体得分情况见表：</w:t>
      </w:r>
    </w:p>
    <w:p>
      <w:pPr>
        <w:spacing w:line="360" w:lineRule="auto"/>
        <w:ind w:firstLine="560" w:firstLineChars="200"/>
        <w:jc w:val="center"/>
        <w:rPr>
          <w:rFonts w:ascii="宋体" w:hAnsi="宋体" w:eastAsia="宋体"/>
          <w:sz w:val="28"/>
          <w:szCs w:val="28"/>
        </w:rPr>
      </w:pPr>
      <w:r>
        <w:rPr>
          <w:rFonts w:hint="eastAsia" w:ascii="宋体" w:hAnsi="宋体" w:eastAsia="宋体"/>
          <w:sz w:val="28"/>
          <w:szCs w:val="28"/>
        </w:rPr>
        <w:t>绩效评价得分表</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568"/>
        <w:gridCol w:w="1418"/>
        <w:gridCol w:w="1527"/>
        <w:gridCol w:w="156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tabs>
                <w:tab w:val="left" w:pos="420"/>
              </w:tabs>
              <w:topLinePunct/>
              <w:spacing w:line="600" w:lineRule="exact"/>
              <w:jc w:val="center"/>
              <w:outlineLvl w:val="0"/>
              <w:rPr>
                <w:rFonts w:ascii="黑体" w:hAnsi="黑体" w:eastAsia="黑体" w:cs="仿宋"/>
                <w:sz w:val="24"/>
              </w:rPr>
            </w:pPr>
            <w:r>
              <w:rPr>
                <w:rFonts w:hint="eastAsia" w:ascii="黑体" w:hAnsi="黑体" w:eastAsia="黑体" w:cs="仿宋"/>
                <w:sz w:val="24"/>
              </w:rPr>
              <w:t>指标</w:t>
            </w:r>
          </w:p>
        </w:tc>
        <w:tc>
          <w:tcPr>
            <w:tcW w:w="1568" w:type="dxa"/>
          </w:tcPr>
          <w:p>
            <w:pPr>
              <w:tabs>
                <w:tab w:val="left" w:pos="420"/>
              </w:tabs>
              <w:topLinePunct/>
              <w:spacing w:line="600" w:lineRule="exact"/>
              <w:jc w:val="center"/>
              <w:outlineLvl w:val="0"/>
              <w:rPr>
                <w:rFonts w:ascii="黑体" w:hAnsi="黑体" w:eastAsia="黑体" w:cs="仿宋"/>
                <w:sz w:val="24"/>
              </w:rPr>
            </w:pPr>
            <w:r>
              <w:rPr>
                <w:rFonts w:hint="eastAsia" w:ascii="黑体" w:hAnsi="黑体" w:eastAsia="黑体" w:cs="仿宋"/>
                <w:sz w:val="24"/>
              </w:rPr>
              <w:t>1.项目决策</w:t>
            </w:r>
          </w:p>
        </w:tc>
        <w:tc>
          <w:tcPr>
            <w:tcW w:w="1418" w:type="dxa"/>
          </w:tcPr>
          <w:p>
            <w:pPr>
              <w:tabs>
                <w:tab w:val="left" w:pos="420"/>
              </w:tabs>
              <w:topLinePunct/>
              <w:spacing w:line="600" w:lineRule="exact"/>
              <w:jc w:val="center"/>
              <w:outlineLvl w:val="0"/>
              <w:rPr>
                <w:rFonts w:ascii="黑体" w:hAnsi="黑体" w:eastAsia="黑体" w:cs="仿宋"/>
                <w:sz w:val="24"/>
              </w:rPr>
            </w:pPr>
            <w:r>
              <w:rPr>
                <w:rFonts w:hint="eastAsia" w:ascii="黑体" w:hAnsi="黑体" w:eastAsia="黑体" w:cs="仿宋"/>
                <w:sz w:val="24"/>
              </w:rPr>
              <w:t>2.项目过程</w:t>
            </w:r>
          </w:p>
        </w:tc>
        <w:tc>
          <w:tcPr>
            <w:tcW w:w="1527" w:type="dxa"/>
          </w:tcPr>
          <w:p>
            <w:pPr>
              <w:tabs>
                <w:tab w:val="left" w:pos="420"/>
              </w:tabs>
              <w:topLinePunct/>
              <w:spacing w:line="600" w:lineRule="exact"/>
              <w:jc w:val="center"/>
              <w:outlineLvl w:val="0"/>
              <w:rPr>
                <w:rFonts w:ascii="黑体" w:hAnsi="黑体" w:eastAsia="黑体" w:cs="仿宋"/>
                <w:sz w:val="24"/>
              </w:rPr>
            </w:pPr>
            <w:r>
              <w:rPr>
                <w:rFonts w:hint="eastAsia" w:ascii="黑体" w:hAnsi="黑体" w:eastAsia="黑体" w:cs="仿宋"/>
                <w:sz w:val="24"/>
              </w:rPr>
              <w:t>3.项目产出</w:t>
            </w:r>
          </w:p>
        </w:tc>
        <w:tc>
          <w:tcPr>
            <w:tcW w:w="1567" w:type="dxa"/>
          </w:tcPr>
          <w:p>
            <w:pPr>
              <w:tabs>
                <w:tab w:val="left" w:pos="420"/>
              </w:tabs>
              <w:topLinePunct/>
              <w:spacing w:line="600" w:lineRule="exact"/>
              <w:jc w:val="center"/>
              <w:outlineLvl w:val="0"/>
              <w:rPr>
                <w:rFonts w:ascii="黑体" w:hAnsi="黑体" w:eastAsia="黑体" w:cs="仿宋"/>
                <w:sz w:val="24"/>
              </w:rPr>
            </w:pPr>
            <w:r>
              <w:rPr>
                <w:rFonts w:hint="eastAsia" w:ascii="黑体" w:hAnsi="黑体" w:eastAsia="黑体" w:cs="仿宋"/>
                <w:sz w:val="24"/>
              </w:rPr>
              <w:t>4.项目效率</w:t>
            </w:r>
          </w:p>
        </w:tc>
        <w:tc>
          <w:tcPr>
            <w:tcW w:w="1375" w:type="dxa"/>
          </w:tcPr>
          <w:p>
            <w:pPr>
              <w:tabs>
                <w:tab w:val="left" w:pos="420"/>
              </w:tabs>
              <w:topLinePunct/>
              <w:spacing w:line="600" w:lineRule="exact"/>
              <w:jc w:val="center"/>
              <w:outlineLvl w:val="0"/>
              <w:rPr>
                <w:rFonts w:ascii="黑体" w:hAnsi="黑体" w:eastAsia="黑体" w:cs="仿宋"/>
                <w:sz w:val="24"/>
              </w:rPr>
            </w:pPr>
            <w:r>
              <w:rPr>
                <w:rFonts w:hint="eastAsia" w:ascii="黑体" w:hAnsi="黑体" w:eastAsia="黑体" w:cs="仿宋"/>
                <w:sz w:val="24"/>
              </w:rPr>
              <w:t>合计情况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tabs>
                <w:tab w:val="left" w:pos="420"/>
              </w:tabs>
              <w:topLinePunct/>
              <w:spacing w:line="600" w:lineRule="exact"/>
              <w:jc w:val="center"/>
              <w:outlineLvl w:val="0"/>
              <w:rPr>
                <w:rFonts w:ascii="仿宋_GB2312" w:hAnsi="仿宋" w:eastAsia="仿宋_GB2312" w:cs="仿宋"/>
                <w:sz w:val="24"/>
              </w:rPr>
            </w:pPr>
            <w:r>
              <w:rPr>
                <w:rFonts w:hint="eastAsia" w:ascii="仿宋_GB2312" w:hAnsi="仿宋" w:eastAsia="仿宋_GB2312" w:cs="仿宋"/>
                <w:sz w:val="24"/>
              </w:rPr>
              <w:t>分值</w:t>
            </w:r>
          </w:p>
        </w:tc>
        <w:tc>
          <w:tcPr>
            <w:tcW w:w="1568" w:type="dxa"/>
          </w:tcPr>
          <w:p>
            <w:pPr>
              <w:tabs>
                <w:tab w:val="left" w:pos="420"/>
              </w:tabs>
              <w:topLinePunct/>
              <w:spacing w:line="600" w:lineRule="exact"/>
              <w:jc w:val="center"/>
              <w:outlineLvl w:val="0"/>
              <w:rPr>
                <w:rFonts w:ascii="仿宋_GB2312" w:hAnsi="仿宋" w:eastAsia="仿宋_GB2312" w:cs="仿宋"/>
                <w:sz w:val="24"/>
              </w:rPr>
            </w:pPr>
            <w:r>
              <w:rPr>
                <w:rFonts w:hint="eastAsia" w:ascii="仿宋_GB2312" w:hAnsi="仿宋" w:eastAsia="仿宋_GB2312" w:cs="仿宋"/>
                <w:sz w:val="24"/>
              </w:rPr>
              <w:t>1</w:t>
            </w:r>
            <w:r>
              <w:rPr>
                <w:rFonts w:ascii="仿宋_GB2312" w:hAnsi="仿宋" w:eastAsia="仿宋_GB2312" w:cs="仿宋"/>
                <w:sz w:val="24"/>
              </w:rPr>
              <w:t>2</w:t>
            </w:r>
          </w:p>
        </w:tc>
        <w:tc>
          <w:tcPr>
            <w:tcW w:w="1418" w:type="dxa"/>
          </w:tcPr>
          <w:p>
            <w:pPr>
              <w:tabs>
                <w:tab w:val="left" w:pos="420"/>
              </w:tabs>
              <w:topLinePunct/>
              <w:spacing w:line="600" w:lineRule="exact"/>
              <w:jc w:val="center"/>
              <w:outlineLvl w:val="0"/>
              <w:rPr>
                <w:rFonts w:ascii="仿宋_GB2312" w:hAnsi="仿宋" w:eastAsia="仿宋_GB2312" w:cs="仿宋"/>
                <w:sz w:val="24"/>
              </w:rPr>
            </w:pPr>
            <w:r>
              <w:rPr>
                <w:rFonts w:ascii="仿宋_GB2312" w:hAnsi="仿宋" w:eastAsia="仿宋_GB2312" w:cs="仿宋"/>
                <w:sz w:val="24"/>
              </w:rPr>
              <w:t>23</w:t>
            </w:r>
          </w:p>
        </w:tc>
        <w:tc>
          <w:tcPr>
            <w:tcW w:w="1527" w:type="dxa"/>
          </w:tcPr>
          <w:p>
            <w:pPr>
              <w:tabs>
                <w:tab w:val="left" w:pos="420"/>
              </w:tabs>
              <w:topLinePunct/>
              <w:spacing w:line="600" w:lineRule="exact"/>
              <w:jc w:val="center"/>
              <w:outlineLvl w:val="0"/>
              <w:rPr>
                <w:rFonts w:ascii="仿宋_GB2312" w:hAnsi="仿宋" w:eastAsia="仿宋_GB2312" w:cs="仿宋"/>
                <w:sz w:val="24"/>
              </w:rPr>
            </w:pPr>
            <w:r>
              <w:rPr>
                <w:rFonts w:ascii="仿宋_GB2312" w:hAnsi="仿宋" w:eastAsia="仿宋_GB2312" w:cs="仿宋"/>
                <w:sz w:val="24"/>
              </w:rPr>
              <w:t>30</w:t>
            </w:r>
          </w:p>
        </w:tc>
        <w:tc>
          <w:tcPr>
            <w:tcW w:w="1567" w:type="dxa"/>
          </w:tcPr>
          <w:p>
            <w:pPr>
              <w:tabs>
                <w:tab w:val="left" w:pos="420"/>
              </w:tabs>
              <w:topLinePunct/>
              <w:spacing w:line="600" w:lineRule="exact"/>
              <w:jc w:val="center"/>
              <w:outlineLvl w:val="0"/>
              <w:rPr>
                <w:rFonts w:ascii="仿宋_GB2312" w:hAnsi="仿宋" w:eastAsia="仿宋_GB2312" w:cs="仿宋"/>
                <w:sz w:val="24"/>
              </w:rPr>
            </w:pPr>
            <w:r>
              <w:rPr>
                <w:rFonts w:ascii="仿宋_GB2312" w:hAnsi="仿宋" w:eastAsia="仿宋_GB2312" w:cs="仿宋"/>
                <w:sz w:val="24"/>
              </w:rPr>
              <w:t>35</w:t>
            </w:r>
          </w:p>
        </w:tc>
        <w:tc>
          <w:tcPr>
            <w:tcW w:w="1375" w:type="dxa"/>
          </w:tcPr>
          <w:p>
            <w:pPr>
              <w:tabs>
                <w:tab w:val="left" w:pos="420"/>
              </w:tabs>
              <w:topLinePunct/>
              <w:spacing w:line="600" w:lineRule="exact"/>
              <w:jc w:val="center"/>
              <w:outlineLvl w:val="0"/>
              <w:rPr>
                <w:rFonts w:ascii="仿宋_GB2312" w:hAnsi="仿宋" w:eastAsia="仿宋_GB2312" w:cs="仿宋"/>
                <w:sz w:val="24"/>
              </w:rPr>
            </w:pPr>
            <w:r>
              <w:rPr>
                <w:rFonts w:hint="eastAsia" w:ascii="仿宋_GB2312" w:hAnsi="仿宋" w:eastAsia="仿宋_GB2312" w:cs="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tabs>
                <w:tab w:val="left" w:pos="420"/>
              </w:tabs>
              <w:topLinePunct/>
              <w:spacing w:line="600" w:lineRule="exact"/>
              <w:jc w:val="center"/>
              <w:outlineLvl w:val="0"/>
              <w:rPr>
                <w:rFonts w:ascii="仿宋_GB2312" w:hAnsi="仿宋" w:eastAsia="仿宋_GB2312" w:cs="仿宋"/>
                <w:sz w:val="24"/>
              </w:rPr>
            </w:pPr>
            <w:r>
              <w:rPr>
                <w:rFonts w:hint="eastAsia" w:ascii="仿宋_GB2312" w:hAnsi="仿宋" w:eastAsia="仿宋_GB2312" w:cs="仿宋"/>
                <w:sz w:val="24"/>
              </w:rPr>
              <w:t>得分</w:t>
            </w:r>
          </w:p>
        </w:tc>
        <w:tc>
          <w:tcPr>
            <w:tcW w:w="1568" w:type="dxa"/>
          </w:tcPr>
          <w:p>
            <w:pPr>
              <w:tabs>
                <w:tab w:val="left" w:pos="420"/>
              </w:tabs>
              <w:topLinePunct/>
              <w:spacing w:line="600" w:lineRule="exact"/>
              <w:jc w:val="center"/>
              <w:outlineLvl w:val="0"/>
              <w:rPr>
                <w:rFonts w:ascii="仿宋_GB2312" w:hAnsi="仿宋" w:eastAsia="仿宋_GB2312" w:cs="仿宋"/>
                <w:sz w:val="24"/>
              </w:rPr>
            </w:pPr>
            <w:r>
              <w:rPr>
                <w:rFonts w:hint="eastAsia" w:ascii="仿宋_GB2312" w:hAnsi="仿宋" w:eastAsia="仿宋_GB2312" w:cs="仿宋"/>
                <w:sz w:val="24"/>
              </w:rPr>
              <w:t>1</w:t>
            </w:r>
            <w:r>
              <w:rPr>
                <w:rFonts w:ascii="仿宋_GB2312" w:hAnsi="仿宋" w:eastAsia="仿宋_GB2312" w:cs="仿宋"/>
                <w:sz w:val="24"/>
              </w:rPr>
              <w:t>2</w:t>
            </w:r>
          </w:p>
        </w:tc>
        <w:tc>
          <w:tcPr>
            <w:tcW w:w="1418" w:type="dxa"/>
          </w:tcPr>
          <w:p>
            <w:pPr>
              <w:tabs>
                <w:tab w:val="left" w:pos="420"/>
              </w:tabs>
              <w:topLinePunct/>
              <w:spacing w:line="600" w:lineRule="exact"/>
              <w:jc w:val="center"/>
              <w:outlineLvl w:val="0"/>
              <w:rPr>
                <w:rFonts w:ascii="仿宋_GB2312" w:hAnsi="仿宋" w:eastAsia="仿宋_GB2312" w:cs="仿宋"/>
                <w:sz w:val="24"/>
              </w:rPr>
            </w:pPr>
            <w:r>
              <w:rPr>
                <w:rFonts w:ascii="仿宋_GB2312" w:hAnsi="仿宋" w:eastAsia="仿宋_GB2312" w:cs="仿宋"/>
                <w:sz w:val="24"/>
              </w:rPr>
              <w:t>19.7</w:t>
            </w:r>
          </w:p>
        </w:tc>
        <w:tc>
          <w:tcPr>
            <w:tcW w:w="1527" w:type="dxa"/>
          </w:tcPr>
          <w:p>
            <w:pPr>
              <w:tabs>
                <w:tab w:val="left" w:pos="420"/>
              </w:tabs>
              <w:topLinePunct/>
              <w:spacing w:line="600" w:lineRule="exact"/>
              <w:jc w:val="center"/>
              <w:outlineLvl w:val="0"/>
              <w:rPr>
                <w:rFonts w:ascii="仿宋_GB2312" w:hAnsi="仿宋" w:eastAsia="仿宋_GB2312" w:cs="仿宋"/>
                <w:sz w:val="24"/>
              </w:rPr>
            </w:pPr>
            <w:r>
              <w:rPr>
                <w:rFonts w:ascii="仿宋_GB2312" w:hAnsi="仿宋" w:eastAsia="仿宋_GB2312" w:cs="仿宋"/>
                <w:sz w:val="24"/>
              </w:rPr>
              <w:t>30</w:t>
            </w:r>
          </w:p>
        </w:tc>
        <w:tc>
          <w:tcPr>
            <w:tcW w:w="1567" w:type="dxa"/>
          </w:tcPr>
          <w:p>
            <w:pPr>
              <w:tabs>
                <w:tab w:val="left" w:pos="420"/>
              </w:tabs>
              <w:topLinePunct/>
              <w:spacing w:line="600" w:lineRule="exact"/>
              <w:jc w:val="center"/>
              <w:outlineLvl w:val="0"/>
              <w:rPr>
                <w:rFonts w:ascii="仿宋_GB2312" w:hAnsi="仿宋" w:eastAsia="仿宋_GB2312" w:cs="仿宋"/>
                <w:sz w:val="24"/>
              </w:rPr>
            </w:pPr>
            <w:r>
              <w:rPr>
                <w:rFonts w:ascii="仿宋_GB2312" w:hAnsi="仿宋" w:eastAsia="仿宋_GB2312" w:cs="仿宋"/>
                <w:sz w:val="24"/>
              </w:rPr>
              <w:t>35</w:t>
            </w:r>
          </w:p>
        </w:tc>
        <w:tc>
          <w:tcPr>
            <w:tcW w:w="1375" w:type="dxa"/>
          </w:tcPr>
          <w:p>
            <w:pPr>
              <w:tabs>
                <w:tab w:val="left" w:pos="420"/>
              </w:tabs>
              <w:topLinePunct/>
              <w:spacing w:line="600" w:lineRule="exact"/>
              <w:jc w:val="center"/>
              <w:outlineLvl w:val="0"/>
              <w:rPr>
                <w:rFonts w:ascii="仿宋_GB2312" w:hAnsi="仿宋" w:eastAsia="仿宋_GB2312" w:cs="仿宋"/>
                <w:sz w:val="24"/>
              </w:rPr>
            </w:pPr>
            <w:r>
              <w:rPr>
                <w:rFonts w:ascii="仿宋_GB2312" w:hAnsi="仿宋" w:eastAsia="仿宋_GB2312" w:cs="仿宋"/>
                <w:sz w:val="24"/>
              </w:rPr>
              <w:t>96.7</w:t>
            </w:r>
          </w:p>
        </w:tc>
      </w:tr>
    </w:tbl>
    <w:p>
      <w:pPr>
        <w:spacing w:line="360" w:lineRule="auto"/>
        <w:ind w:firstLine="560" w:firstLineChars="200"/>
        <w:rPr>
          <w:rFonts w:ascii="宋体" w:hAnsi="宋体" w:eastAsia="宋体"/>
          <w:sz w:val="28"/>
          <w:szCs w:val="28"/>
        </w:rPr>
      </w:pPr>
      <w:r>
        <w:rPr>
          <w:rFonts w:hint="eastAsia" w:ascii="宋体" w:hAnsi="宋体" w:eastAsia="宋体"/>
          <w:sz w:val="28"/>
          <w:szCs w:val="28"/>
        </w:rPr>
        <w:t>（二）评价结论</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自治区公共资源交易管理服务中心办公楼及附属设施运行维护费完成了预期目标，资金使用合理合规，保障公共资源交易中心办公楼及附属设施运行维护，完成了办公楼及附属设施运行维护任务。</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四、绩效评价指标分析</w:t>
      </w:r>
    </w:p>
    <w:p>
      <w:pPr>
        <w:spacing w:line="360" w:lineRule="auto"/>
        <w:ind w:firstLine="562" w:firstLineChars="200"/>
        <w:outlineLvl w:val="0"/>
        <w:rPr>
          <w:rFonts w:ascii="宋体" w:hAnsi="宋体" w:eastAsia="宋体"/>
          <w:b/>
          <w:sz w:val="28"/>
          <w:szCs w:val="28"/>
        </w:rPr>
      </w:pPr>
      <w:r>
        <w:rPr>
          <w:rFonts w:hint="eastAsia" w:ascii="宋体" w:hAnsi="宋体" w:eastAsia="宋体"/>
          <w:b/>
          <w:sz w:val="28"/>
          <w:szCs w:val="28"/>
        </w:rPr>
        <w:t>（一）项目决策情况</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在项目审批方面，审批流程符合自治区公共资源交易管理服务中心相关要求。在项目招标方面，招标方式及招标流程符合国家政采相关要求。在项目绩效目标方面，目标设置合理，与项目实施目标相符。同时，绩效目标设置符合可量化、可衡量的要求。</w:t>
      </w:r>
    </w:p>
    <w:p>
      <w:pPr>
        <w:spacing w:line="360" w:lineRule="auto"/>
        <w:ind w:firstLine="562" w:firstLineChars="200"/>
        <w:outlineLvl w:val="0"/>
        <w:rPr>
          <w:rFonts w:ascii="宋体" w:hAnsi="宋体" w:eastAsia="宋体"/>
          <w:b/>
          <w:sz w:val="28"/>
          <w:szCs w:val="28"/>
        </w:rPr>
      </w:pPr>
      <w:r>
        <w:rPr>
          <w:rFonts w:hint="eastAsia" w:ascii="宋体" w:hAnsi="宋体" w:eastAsia="宋体"/>
          <w:b/>
          <w:sz w:val="28"/>
          <w:szCs w:val="28"/>
        </w:rPr>
        <w:t>（二）项目过程情况</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在项目过程方面，资金支出较为合理，具有完善的财务制度，财务制度执行效果良好。但由于预算资金执行率为</w:t>
      </w:r>
      <w:r>
        <w:rPr>
          <w:rFonts w:ascii="宋体" w:hAnsi="宋体" w:eastAsia="宋体" w:cs="仿宋_GB2312"/>
          <w:sz w:val="28"/>
          <w:szCs w:val="28"/>
        </w:rPr>
        <w:t>88.19%</w:t>
      </w:r>
      <w:r>
        <w:rPr>
          <w:rFonts w:ascii="宋体" w:hAnsi="宋体" w:eastAsia="宋体" w:cs="仿宋_GB2312"/>
          <w:sz w:val="28"/>
          <w:szCs w:val="28"/>
        </w:rPr>
        <w:tab/>
      </w:r>
      <w:r>
        <w:rPr>
          <w:rFonts w:hint="eastAsia" w:ascii="宋体" w:hAnsi="宋体" w:eastAsia="宋体" w:cs="仿宋_GB2312"/>
          <w:sz w:val="28"/>
          <w:szCs w:val="28"/>
        </w:rPr>
        <w:t>，导致资金使用率指标扣</w:t>
      </w:r>
      <w:r>
        <w:rPr>
          <w:rFonts w:ascii="宋体" w:hAnsi="宋体" w:eastAsia="宋体" w:cs="仿宋_GB2312"/>
          <w:sz w:val="28"/>
          <w:szCs w:val="28"/>
        </w:rPr>
        <w:t>2</w:t>
      </w:r>
      <w:r>
        <w:rPr>
          <w:rFonts w:hint="eastAsia" w:ascii="宋体" w:hAnsi="宋体" w:eastAsia="宋体" w:cs="仿宋_GB2312"/>
          <w:sz w:val="28"/>
          <w:szCs w:val="28"/>
        </w:rPr>
        <w:t>分。</w:t>
      </w:r>
    </w:p>
    <w:p>
      <w:pPr>
        <w:spacing w:line="360" w:lineRule="auto"/>
        <w:ind w:firstLine="562" w:firstLineChars="200"/>
        <w:outlineLvl w:val="0"/>
        <w:rPr>
          <w:rFonts w:ascii="宋体" w:hAnsi="宋体" w:eastAsia="宋体"/>
          <w:b/>
          <w:sz w:val="28"/>
          <w:szCs w:val="28"/>
        </w:rPr>
      </w:pPr>
      <w:r>
        <w:rPr>
          <w:rFonts w:hint="eastAsia" w:ascii="宋体" w:hAnsi="宋体" w:eastAsia="宋体"/>
          <w:b/>
          <w:sz w:val="28"/>
          <w:szCs w:val="28"/>
        </w:rPr>
        <w:t>（三）项目产出情况</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在项目产出数量方面，办公楼区域面积</w:t>
      </w:r>
      <w:r>
        <w:rPr>
          <w:rFonts w:ascii="宋体" w:hAnsi="宋体" w:eastAsia="宋体" w:cs="仿宋_GB2312"/>
          <w:sz w:val="28"/>
          <w:szCs w:val="28"/>
        </w:rPr>
        <w:t>15742.32</w:t>
      </w:r>
      <w:r>
        <w:rPr>
          <w:rFonts w:hint="eastAsia" w:ascii="宋体" w:hAnsi="宋体" w:eastAsia="宋体" w:cs="仿宋_GB2312"/>
          <w:sz w:val="28"/>
          <w:szCs w:val="28"/>
        </w:rPr>
        <w:t>平方米，实际完成值</w:t>
      </w:r>
      <w:r>
        <w:rPr>
          <w:rFonts w:ascii="宋体" w:hAnsi="宋体" w:eastAsia="宋体" w:cs="仿宋_GB2312"/>
          <w:sz w:val="28"/>
          <w:szCs w:val="28"/>
        </w:rPr>
        <w:t>15742.32</w:t>
      </w:r>
      <w:r>
        <w:rPr>
          <w:rFonts w:hint="eastAsia" w:ascii="宋体" w:hAnsi="宋体" w:eastAsia="宋体" w:cs="仿宋_GB2312"/>
          <w:sz w:val="28"/>
          <w:szCs w:val="28"/>
        </w:rPr>
        <w:t>平方米。在项目产出质量方面，项目维修申报处理率达到预期目标，项目维修处理率100%。</w:t>
      </w:r>
    </w:p>
    <w:p>
      <w:pPr>
        <w:spacing w:line="360" w:lineRule="auto"/>
        <w:ind w:firstLine="562" w:firstLineChars="200"/>
        <w:outlineLvl w:val="0"/>
        <w:rPr>
          <w:rFonts w:ascii="宋体" w:hAnsi="宋体" w:eastAsia="宋体"/>
          <w:b/>
          <w:sz w:val="28"/>
          <w:szCs w:val="28"/>
        </w:rPr>
      </w:pPr>
      <w:r>
        <w:rPr>
          <w:rFonts w:hint="eastAsia" w:ascii="宋体" w:hAnsi="宋体" w:eastAsia="宋体"/>
          <w:b/>
          <w:sz w:val="28"/>
          <w:szCs w:val="28"/>
        </w:rPr>
        <w:t>（四）项目效益情况</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在项目实施效益方面，激发和调动工作人员的积极性，服务水平有效提升。在满意度方面，服务对象对物业、停车场工作满意度比较满意，达到了服务效果。</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五、主要经验及做法、存在的问题及原因分析</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自治区公共资源交易管理服务中心高度重视项目实施过程，明确了项目目标；财务部门建立了详细完善的财务管理制度，并严格按照该制度执行财务活动；对项目进度严格把控，对重要内容进行不定期检查。</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六、有关建议</w:t>
      </w:r>
    </w:p>
    <w:p>
      <w:pPr>
        <w:spacing w:line="360" w:lineRule="auto"/>
        <w:ind w:firstLine="562" w:firstLineChars="200"/>
        <w:outlineLvl w:val="0"/>
        <w:rPr>
          <w:rFonts w:ascii="宋体" w:hAnsi="宋体" w:eastAsia="宋体"/>
          <w:b/>
          <w:sz w:val="28"/>
          <w:szCs w:val="28"/>
        </w:rPr>
      </w:pPr>
      <w:r>
        <w:rPr>
          <w:rFonts w:hint="eastAsia" w:ascii="宋体" w:hAnsi="宋体" w:eastAsia="宋体"/>
          <w:b/>
          <w:sz w:val="28"/>
          <w:szCs w:val="28"/>
        </w:rPr>
        <w:t>（一）加强绩效管理培训，树牢预算绩效管理意识</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加强预算绩效管理培训，组织业务处室和项目申报单位有关人员深入学习</w:t>
      </w:r>
      <w:r>
        <w:rPr>
          <w:rFonts w:hint="eastAsia" w:ascii="宋体" w:hAnsi="宋体" w:eastAsia="宋体" w:cs="Times New Roman"/>
          <w:sz w:val="28"/>
          <w:szCs w:val="28"/>
        </w:rPr>
        <w:t>《中共中央国务院关于全面实施预算绩效管理的意见》（中发〔</w:t>
      </w:r>
      <w:r>
        <w:rPr>
          <w:rFonts w:ascii="宋体" w:hAnsi="宋体" w:eastAsia="宋体" w:cs="Times New Roman"/>
          <w:sz w:val="28"/>
          <w:szCs w:val="28"/>
        </w:rPr>
        <w:t>2018〕34号）</w:t>
      </w:r>
      <w:r>
        <w:rPr>
          <w:rFonts w:hint="eastAsia" w:ascii="宋体" w:hAnsi="宋体" w:eastAsia="宋体" w:cs="仿宋_GB2312"/>
          <w:sz w:val="28"/>
          <w:szCs w:val="28"/>
        </w:rPr>
        <w:t>等预算绩效管理文件，及时把握政策要求，明确项目实施的绩效导向，从而提高预算绩效管理的约束力，加快建立全过程预算绩效管理链条，强化绩效目标管理。</w:t>
      </w:r>
    </w:p>
    <w:p>
      <w:pPr>
        <w:spacing w:line="360" w:lineRule="auto"/>
        <w:ind w:firstLine="562" w:firstLineChars="200"/>
        <w:outlineLvl w:val="0"/>
        <w:rPr>
          <w:rFonts w:ascii="宋体" w:hAnsi="宋体" w:eastAsia="宋体"/>
          <w:b/>
          <w:sz w:val="28"/>
          <w:szCs w:val="28"/>
        </w:rPr>
      </w:pPr>
      <w:r>
        <w:rPr>
          <w:rFonts w:hint="eastAsia" w:ascii="宋体" w:hAnsi="宋体" w:eastAsia="宋体"/>
          <w:b/>
          <w:sz w:val="28"/>
          <w:szCs w:val="28"/>
        </w:rPr>
        <w:t>（二）强化项目绩效目标管理，优化完善项目指标设置</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项目单位立项时，应加强内容梳理，明确工作重点，提炼核心绩效指标，注意指标表述应准确、具体、清晰，真正实现绩效管理与实际工作紧密结合、相互促进、相互监督，充分发挥项目实施效益，便于后期考核评价。</w:t>
      </w:r>
    </w:p>
    <w:p>
      <w:pPr>
        <w:spacing w:line="600" w:lineRule="exact"/>
        <w:ind w:firstLine="562" w:firstLineChars="200"/>
        <w:rPr>
          <w:rFonts w:ascii="宋体" w:hAnsi="宋体" w:eastAsia="宋体"/>
          <w:b/>
          <w:bCs/>
          <w:sz w:val="28"/>
          <w:szCs w:val="28"/>
        </w:rPr>
      </w:pPr>
      <w:r>
        <w:rPr>
          <w:rFonts w:hint="eastAsia" w:ascii="宋体" w:hAnsi="宋体" w:eastAsia="宋体"/>
          <w:b/>
          <w:sz w:val="28"/>
          <w:szCs w:val="28"/>
        </w:rPr>
        <w:t>七、其他</w:t>
      </w:r>
    </w:p>
    <w:p>
      <w:pPr>
        <w:spacing w:line="360" w:lineRule="auto"/>
        <w:ind w:firstLine="560" w:firstLineChars="200"/>
        <w:rPr>
          <w:rFonts w:ascii="宋体" w:hAnsi="宋体" w:eastAsia="宋体" w:cs="仿宋_GB2312"/>
          <w:sz w:val="28"/>
          <w:szCs w:val="28"/>
        </w:rPr>
      </w:pPr>
      <w:r>
        <w:rPr>
          <w:rFonts w:ascii="宋体" w:hAnsi="宋体" w:eastAsia="宋体" w:cs="仿宋_GB2312"/>
          <w:sz w:val="28"/>
          <w:szCs w:val="28"/>
        </w:rPr>
        <w:t>无其他需说明的问题</w:t>
      </w:r>
      <w:r>
        <w:rPr>
          <w:rFonts w:hint="eastAsia" w:ascii="宋体" w:hAnsi="宋体" w:eastAsia="宋体" w:cs="仿宋_GB2312"/>
          <w:sz w:val="28"/>
          <w:szCs w:val="28"/>
        </w:rPr>
        <w:t>。</w:t>
      </w:r>
    </w:p>
    <w:p>
      <w:pPr>
        <w:spacing w:line="360" w:lineRule="auto"/>
        <w:ind w:firstLine="560" w:firstLineChars="200"/>
        <w:rPr>
          <w:rFonts w:ascii="宋体" w:hAnsi="宋体" w:eastAsia="宋体" w:cs="仿宋_GB2312"/>
          <w:sz w:val="28"/>
          <w:szCs w:val="28"/>
        </w:rPr>
      </w:pPr>
    </w:p>
    <w:p>
      <w:pPr>
        <w:spacing w:line="360" w:lineRule="auto"/>
        <w:ind w:firstLine="560" w:firstLineChars="200"/>
        <w:rPr>
          <w:rFonts w:ascii="宋体" w:hAnsi="宋体" w:eastAsia="宋体" w:cs="仿宋_GB2312"/>
          <w:sz w:val="28"/>
          <w:szCs w:val="28"/>
        </w:rPr>
      </w:pP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附件：绩效评价指标体系及得分情况</w:t>
      </w:r>
    </w:p>
    <w:p>
      <w:pPr>
        <w:jc w:val="left"/>
        <w:rPr>
          <w:rFonts w:ascii="宋体" w:hAnsi="宋体" w:eastAsia="宋体"/>
          <w:b/>
          <w:sz w:val="28"/>
          <w:szCs w:val="28"/>
        </w:rPr>
      </w:pPr>
    </w:p>
    <w:p>
      <w:pPr>
        <w:jc w:val="right"/>
        <w:rPr>
          <w:rFonts w:ascii="宋体" w:hAnsi="宋体" w:eastAsia="宋体"/>
          <w:b/>
          <w:sz w:val="28"/>
          <w:szCs w:val="28"/>
        </w:rPr>
        <w:sectPr>
          <w:pgSz w:w="11906" w:h="16838"/>
          <w:pgMar w:top="1701" w:right="1797" w:bottom="1701" w:left="1797" w:header="851" w:footer="992" w:gutter="0"/>
          <w:cols w:space="425" w:num="1"/>
          <w:docGrid w:type="lines" w:linePitch="312" w:charSpace="0"/>
        </w:sect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825"/>
        <w:gridCol w:w="683"/>
        <w:gridCol w:w="677"/>
        <w:gridCol w:w="590"/>
        <w:gridCol w:w="2094"/>
        <w:gridCol w:w="4101"/>
        <w:gridCol w:w="295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blHeader/>
        </w:trPr>
        <w:tc>
          <w:tcPr>
            <w:tcW w:w="5000" w:type="pct"/>
            <w:gridSpan w:val="9"/>
            <w:tcBorders>
              <w:top w:val="nil"/>
              <w:left w:val="nil"/>
              <w:bottom w:val="single" w:color="auto" w:sz="4" w:space="0"/>
              <w:right w:val="nil"/>
            </w:tcBorders>
            <w:shd w:val="clear" w:color="auto" w:fill="auto"/>
            <w:noWrap/>
            <w:vAlign w:val="center"/>
          </w:tcPr>
          <w:p>
            <w:pPr>
              <w:jc w:val="center"/>
              <w:rPr>
                <w:rFonts w:ascii="宋体" w:hAnsi="宋体" w:eastAsia="宋体" w:cs="Arial"/>
                <w:b/>
                <w:bCs/>
                <w:sz w:val="36"/>
                <w:szCs w:val="36"/>
              </w:rPr>
            </w:pPr>
            <w:r>
              <w:rPr>
                <w:rFonts w:hint="eastAsia" w:ascii="宋体" w:hAnsi="宋体" w:eastAsia="宋体" w:cs="Arial"/>
                <w:b/>
                <w:bCs/>
                <w:sz w:val="36"/>
                <w:szCs w:val="36"/>
              </w:rPr>
              <w:t>内蒙古自治区公共资源交易管理服务中心办公楼及附属设施运行维护费</w:t>
            </w:r>
          </w:p>
          <w:p>
            <w:pPr>
              <w:topLinePunct/>
              <w:spacing w:line="520" w:lineRule="exact"/>
              <w:ind w:firstLine="645"/>
              <w:jc w:val="center"/>
              <w:rPr>
                <w:rFonts w:ascii="宋体" w:hAnsi="宋体" w:eastAsia="宋体" w:cs="宋体"/>
                <w:b/>
                <w:bCs/>
                <w:kern w:val="0"/>
                <w:sz w:val="36"/>
                <w:szCs w:val="36"/>
              </w:rPr>
            </w:pPr>
            <w:bookmarkStart w:id="0" w:name="_GoBack"/>
            <w:bookmarkEnd w:id="0"/>
            <w:r>
              <w:rPr>
                <w:rFonts w:hint="eastAsia" w:ascii="黑体" w:hAnsi="黑体" w:eastAsia="黑体" w:cs="黑体"/>
                <w:sz w:val="32"/>
                <w:szCs w:val="32"/>
              </w:rPr>
              <w:t>绩效评价指标体系及得分情况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trPr>
        <w:tc>
          <w:tcPr>
            <w:tcW w:w="279" w:type="pct"/>
            <w:tcBorders>
              <w:top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一级指标</w:t>
            </w:r>
          </w:p>
        </w:tc>
        <w:tc>
          <w:tcPr>
            <w:tcW w:w="302" w:type="pct"/>
            <w:tcBorders>
              <w:top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二级指标</w:t>
            </w:r>
          </w:p>
        </w:tc>
        <w:tc>
          <w:tcPr>
            <w:tcW w:w="250" w:type="pct"/>
            <w:tcBorders>
              <w:top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指标分值</w:t>
            </w:r>
          </w:p>
        </w:tc>
        <w:tc>
          <w:tcPr>
            <w:tcW w:w="248" w:type="pct"/>
            <w:tcBorders>
              <w:top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三级指标</w:t>
            </w:r>
          </w:p>
        </w:tc>
        <w:tc>
          <w:tcPr>
            <w:tcW w:w="216" w:type="pct"/>
            <w:tcBorders>
              <w:top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指标分值</w:t>
            </w:r>
          </w:p>
        </w:tc>
        <w:tc>
          <w:tcPr>
            <w:tcW w:w="767" w:type="pct"/>
            <w:tcBorders>
              <w:top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指标解释</w:t>
            </w:r>
          </w:p>
        </w:tc>
        <w:tc>
          <w:tcPr>
            <w:tcW w:w="1502" w:type="pct"/>
            <w:tcBorders>
              <w:top w:val="single" w:color="auto" w:sz="4" w:space="0"/>
              <w:bottom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指标说明</w:t>
            </w:r>
          </w:p>
        </w:tc>
        <w:tc>
          <w:tcPr>
            <w:tcW w:w="1083" w:type="pct"/>
            <w:tcBorders>
              <w:top w:val="single" w:color="auto" w:sz="4" w:space="0"/>
              <w:bottom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评分标准</w:t>
            </w:r>
          </w:p>
        </w:tc>
        <w:tc>
          <w:tcPr>
            <w:tcW w:w="353" w:type="pct"/>
            <w:tcBorders>
              <w:top w:val="single" w:color="auto" w:sz="4" w:space="0"/>
              <w:bottom w:val="single" w:color="auto" w:sz="4" w:space="0"/>
            </w:tcBorders>
            <w:shd w:val="clear" w:color="auto" w:fill="auto"/>
            <w:vAlign w:val="center"/>
          </w:tcPr>
          <w:p>
            <w:pPr>
              <w:widowControl/>
              <w:jc w:val="center"/>
              <w:rPr>
                <w:rFonts w:ascii="黑体" w:hAnsi="黑体" w:eastAsia="黑体" w:cs="宋体"/>
                <w:kern w:val="0"/>
                <w:sz w:val="22"/>
              </w:rPr>
            </w:pPr>
            <w:r>
              <w:rPr>
                <w:rFonts w:hint="eastAsia" w:ascii="黑体" w:hAnsi="黑体" w:eastAsia="黑体" w:cs="宋体"/>
                <w:kern w:val="0"/>
                <w:sz w:val="22"/>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决策（12分）　</w:t>
            </w:r>
          </w:p>
        </w:tc>
        <w:tc>
          <w:tcPr>
            <w:tcW w:w="302"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项目立项　</w:t>
            </w:r>
          </w:p>
        </w:tc>
        <w:tc>
          <w:tcPr>
            <w:tcW w:w="250"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c>
          <w:tcPr>
            <w:tcW w:w="248"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立项依据</w:t>
            </w:r>
          </w:p>
        </w:tc>
        <w:tc>
          <w:tcPr>
            <w:tcW w:w="216"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c>
          <w:tcPr>
            <w:tcW w:w="767" w:type="pct"/>
            <w:vMerge w:val="restart"/>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项目立项是否符合法律法规、相关政策、发展规划以及部门职责，用以反映和考核项目立项依据情况。</w:t>
            </w:r>
          </w:p>
        </w:tc>
        <w:tc>
          <w:tcPr>
            <w:tcW w:w="1502" w:type="pct"/>
            <w:tcBorders>
              <w:bottom w:val="nil"/>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评价要点：</w:t>
            </w:r>
          </w:p>
        </w:tc>
        <w:tc>
          <w:tcPr>
            <w:tcW w:w="1083" w:type="pct"/>
            <w:tcBorders>
              <w:bottom w:val="nil"/>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符合全部五项（2分）；</w:t>
            </w:r>
          </w:p>
        </w:tc>
        <w:tc>
          <w:tcPr>
            <w:tcW w:w="353" w:type="pct"/>
            <w:vMerge w:val="restart"/>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①项目立项是否符合国家法律法规、国民经济发展规划和相关政策；</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符合其中四项（1.6分）；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②项目立项是否符合行业发展规划和政策要求；</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符合其中三项（1.2分）；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③项目立项是否与部门职责范围相符，属于部门履职所需；</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符合其中二项（0.8分）；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④项目是否属于公共财政支持范围，是否符合中央、地方事权支出责任划分原则；</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符合其中一项（0.4分）；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shd w:val="clear" w:color="auto" w:fill="auto"/>
            <w:vAlign w:val="center"/>
          </w:tcPr>
          <w:p>
            <w:pPr>
              <w:widowControl/>
              <w:jc w:val="left"/>
              <w:rPr>
                <w:rFonts w:ascii="仿宋" w:hAnsi="仿宋" w:eastAsia="仿宋" w:cs="宋体"/>
                <w:kern w:val="0"/>
                <w:sz w:val="22"/>
              </w:rPr>
            </w:pPr>
          </w:p>
        </w:tc>
        <w:tc>
          <w:tcPr>
            <w:tcW w:w="1502" w:type="pct"/>
            <w:tcBorders>
              <w:top w:val="nil"/>
              <w:bottom w:val="single" w:color="auto" w:sz="4" w:space="0"/>
            </w:tcBorders>
            <w:shd w:val="clear" w:color="auto" w:fill="auto"/>
            <w:vAlign w:val="center"/>
          </w:tcPr>
          <w:p>
            <w:pPr>
              <w:jc w:val="left"/>
              <w:rPr>
                <w:rFonts w:ascii="仿宋" w:hAnsi="仿宋" w:eastAsia="仿宋" w:cs="宋体"/>
                <w:kern w:val="0"/>
                <w:sz w:val="22"/>
              </w:rPr>
            </w:pPr>
            <w:r>
              <w:rPr>
                <w:rFonts w:hint="eastAsia" w:ascii="仿宋" w:hAnsi="仿宋" w:eastAsia="仿宋" w:cs="宋体"/>
                <w:kern w:val="0"/>
                <w:sz w:val="22"/>
              </w:rPr>
              <w:t>⑤项目是否与相关部门同类项目或部门内部相关项目重复。</w:t>
            </w:r>
          </w:p>
        </w:tc>
        <w:tc>
          <w:tcPr>
            <w:tcW w:w="1083" w:type="pct"/>
            <w:tcBorders>
              <w:top w:val="nil"/>
              <w:bottom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全部不符合则不得分。</w:t>
            </w:r>
          </w:p>
        </w:tc>
        <w:tc>
          <w:tcPr>
            <w:tcW w:w="353" w:type="pct"/>
            <w:vMerge w:val="continue"/>
            <w:tcBorders>
              <w:bottom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立项程序</w:t>
            </w:r>
          </w:p>
        </w:tc>
        <w:tc>
          <w:tcPr>
            <w:tcW w:w="216"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c>
          <w:tcPr>
            <w:tcW w:w="767" w:type="pct"/>
            <w:vMerge w:val="restart"/>
            <w:tcBorders>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项目申请、设立过程是否符合相关要求，用以反映和考核项目立项的规范情况。</w:t>
            </w:r>
          </w:p>
        </w:tc>
        <w:tc>
          <w:tcPr>
            <w:tcW w:w="1502" w:type="pct"/>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评价要点：</w:t>
            </w:r>
          </w:p>
        </w:tc>
        <w:tc>
          <w:tcPr>
            <w:tcW w:w="1083" w:type="pct"/>
            <w:tcBorders>
              <w:left w:val="single" w:color="auto" w:sz="4" w:space="0"/>
              <w:bottom w:val="nil"/>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符合全部三项（2分）；</w:t>
            </w:r>
          </w:p>
        </w:tc>
        <w:tc>
          <w:tcPr>
            <w:tcW w:w="353" w:type="pct"/>
            <w:vMerge w:val="restart"/>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①项目是否按照规定的程序申请设立；</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符合其中二项（1.3分）；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②审批文件、材料是否符合相关要求；</w:t>
            </w:r>
          </w:p>
        </w:tc>
        <w:tc>
          <w:tcPr>
            <w:tcW w:w="10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符合其中一项（0.7分）；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③事前是否已经过必要的可行性研究、专家论证、风险评估、绩效评估、集体决策。</w:t>
            </w:r>
          </w:p>
        </w:tc>
        <w:tc>
          <w:tcPr>
            <w:tcW w:w="108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全部不符合则不得分。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绩效目标　</w:t>
            </w:r>
          </w:p>
        </w:tc>
        <w:tc>
          <w:tcPr>
            <w:tcW w:w="250"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c>
          <w:tcPr>
            <w:tcW w:w="248"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绩效目标</w:t>
            </w:r>
          </w:p>
        </w:tc>
        <w:tc>
          <w:tcPr>
            <w:tcW w:w="216"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c>
          <w:tcPr>
            <w:tcW w:w="767" w:type="pct"/>
            <w:vMerge w:val="restart"/>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项目所设定的绩效目标是否依据充分，是否符合客观实际，用以反映和考核项目绩效目标与项目实施的相符情况。</w:t>
            </w:r>
          </w:p>
        </w:tc>
        <w:tc>
          <w:tcPr>
            <w:tcW w:w="1502" w:type="pct"/>
            <w:tcBorders>
              <w:top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评价要点：</w:t>
            </w:r>
          </w:p>
        </w:tc>
        <w:tc>
          <w:tcPr>
            <w:tcW w:w="1083" w:type="pc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符合其中四项（2分）；</w:t>
            </w:r>
          </w:p>
        </w:tc>
        <w:tc>
          <w:tcPr>
            <w:tcW w:w="353" w:type="pct"/>
            <w:vMerge w:val="restart"/>
            <w:tcBorders>
              <w:lef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（如未设定预算绩效目标，也可考核其他工作任务目标）</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符合其中三项（1.5分）；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①项目是否有绩效目标；</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符合其中二项（1分）；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②项目绩效目标与实际工作内容是否具有相关性；</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符合其中一项（0.5分）；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③项目预期产出效益和效果是否符合正常的业绩水平；</w:t>
            </w:r>
          </w:p>
        </w:tc>
        <w:tc>
          <w:tcPr>
            <w:tcW w:w="1083"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全部不符合则不得分。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shd w:val="clear" w:color="auto" w:fill="auto"/>
            <w:vAlign w:val="center"/>
          </w:tcPr>
          <w:p>
            <w:pPr>
              <w:widowControl/>
              <w:jc w:val="left"/>
              <w:rPr>
                <w:rFonts w:ascii="仿宋" w:hAnsi="仿宋" w:eastAsia="仿宋" w:cs="宋体"/>
                <w:kern w:val="0"/>
                <w:sz w:val="22"/>
              </w:rPr>
            </w:pPr>
          </w:p>
        </w:tc>
        <w:tc>
          <w:tcPr>
            <w:tcW w:w="1502" w:type="pct"/>
            <w:tcBorders>
              <w:top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④是否与预算确定的项目投资额或资金量相匹配。</w:t>
            </w:r>
          </w:p>
        </w:tc>
        <w:tc>
          <w:tcPr>
            <w:tcW w:w="1083"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绩效指标</w:t>
            </w:r>
          </w:p>
        </w:tc>
        <w:tc>
          <w:tcPr>
            <w:tcW w:w="216"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c>
          <w:tcPr>
            <w:tcW w:w="767" w:type="pct"/>
            <w:vMerge w:val="restart"/>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依据绩效目标设定的绩效指标是否清晰、细化、可衡量等，用以反映和考核项目绩效目标的明细化情况。</w:t>
            </w:r>
          </w:p>
        </w:tc>
        <w:tc>
          <w:tcPr>
            <w:tcW w:w="1502" w:type="pct"/>
            <w:tcBorders>
              <w:bottom w:val="nil"/>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评价要点：</w:t>
            </w:r>
          </w:p>
        </w:tc>
        <w:tc>
          <w:tcPr>
            <w:tcW w:w="1083" w:type="pct"/>
            <w:tcBorders>
              <w:top w:val="single" w:color="auto" w:sz="4" w:space="0"/>
              <w:bottom w:val="nil"/>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符合全部三项（2分）；</w:t>
            </w:r>
          </w:p>
        </w:tc>
        <w:tc>
          <w:tcPr>
            <w:tcW w:w="353" w:type="pct"/>
            <w:vMerge w:val="restart"/>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shd w:val="clear" w:color="auto" w:fill="auto"/>
            <w:vAlign w:val="center"/>
          </w:tcPr>
          <w:p>
            <w:pPr>
              <w:widowControl/>
              <w:jc w:val="left"/>
              <w:rPr>
                <w:rFonts w:ascii="仿宋" w:hAnsi="仿宋" w:eastAsia="仿宋" w:cs="宋体"/>
                <w:kern w:val="0"/>
                <w:sz w:val="22"/>
              </w:rPr>
            </w:pPr>
          </w:p>
        </w:tc>
        <w:tc>
          <w:tcPr>
            <w:tcW w:w="1502" w:type="pct"/>
            <w:tcBorders>
              <w:top w:val="nil"/>
              <w:bottom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①是否将项目绩效目标细化分解为具体的绩效指标；</w:t>
            </w:r>
          </w:p>
        </w:tc>
        <w:tc>
          <w:tcPr>
            <w:tcW w:w="1083" w:type="pct"/>
            <w:tcBorders>
              <w:top w:val="nil"/>
              <w:bottom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符合其中二项（1.3分）；</w:t>
            </w:r>
          </w:p>
        </w:tc>
        <w:tc>
          <w:tcPr>
            <w:tcW w:w="353" w:type="pct"/>
            <w:vMerge w:val="continue"/>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②是否通过清晰、可衡量的指标值予以体现；</w:t>
            </w:r>
          </w:p>
        </w:tc>
        <w:tc>
          <w:tcPr>
            <w:tcW w:w="1083" w:type="pc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符合其中一项（0.7分）；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shd w:val="clear" w:color="auto" w:fill="auto"/>
            <w:vAlign w:val="center"/>
          </w:tcPr>
          <w:p>
            <w:pPr>
              <w:widowControl/>
              <w:jc w:val="left"/>
              <w:rPr>
                <w:rFonts w:ascii="仿宋" w:hAnsi="仿宋" w:eastAsia="仿宋" w:cs="宋体"/>
                <w:kern w:val="0"/>
                <w:sz w:val="22"/>
              </w:rPr>
            </w:pPr>
          </w:p>
        </w:tc>
        <w:tc>
          <w:tcPr>
            <w:tcW w:w="1502" w:type="pct"/>
            <w:tcBorders>
              <w:top w:val="nil"/>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③是否与项目目标任务数或计划数相对应。</w:t>
            </w:r>
          </w:p>
        </w:tc>
        <w:tc>
          <w:tcPr>
            <w:tcW w:w="1083" w:type="pct"/>
            <w:tcBorders>
              <w:top w:val="nil"/>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全部不符合则不得分。</w:t>
            </w:r>
          </w:p>
        </w:tc>
        <w:tc>
          <w:tcPr>
            <w:tcW w:w="353" w:type="pct"/>
            <w:vMerge w:val="continue"/>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资金投入</w:t>
            </w:r>
          </w:p>
        </w:tc>
        <w:tc>
          <w:tcPr>
            <w:tcW w:w="250"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c>
          <w:tcPr>
            <w:tcW w:w="248"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预算编制</w:t>
            </w:r>
          </w:p>
        </w:tc>
        <w:tc>
          <w:tcPr>
            <w:tcW w:w="216"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c>
          <w:tcPr>
            <w:tcW w:w="767" w:type="pct"/>
            <w:vMerge w:val="restart"/>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项目预算编制是否经过科学论证、有明确标准，资金额度与年度目标是否相适应，用以反映和考核项目预算编制的科学性、合理性情况。</w:t>
            </w:r>
          </w:p>
        </w:tc>
        <w:tc>
          <w:tcPr>
            <w:tcW w:w="1502" w:type="pct"/>
            <w:tcBorders>
              <w:bottom w:val="nil"/>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评价要点：</w:t>
            </w:r>
          </w:p>
        </w:tc>
        <w:tc>
          <w:tcPr>
            <w:tcW w:w="1083" w:type="pct"/>
            <w:tcBorders>
              <w:bottom w:val="nil"/>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符合其中四项（2分）；</w:t>
            </w:r>
          </w:p>
        </w:tc>
        <w:tc>
          <w:tcPr>
            <w:tcW w:w="353" w:type="pct"/>
            <w:vMerge w:val="restart"/>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①预算编制是否经过科学论证；</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符合其中三项（1.5分）；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②预算内容与项目内容是否匹配；</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符合其中二项（1分）；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③预算额度测算依据是否充分，是否按照标准编制；</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符合其中一项（0.5分）；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shd w:val="clear" w:color="auto" w:fill="auto"/>
            <w:vAlign w:val="center"/>
          </w:tcPr>
          <w:p>
            <w:pPr>
              <w:widowControl/>
              <w:jc w:val="left"/>
              <w:rPr>
                <w:rFonts w:ascii="仿宋" w:hAnsi="仿宋" w:eastAsia="仿宋" w:cs="宋体"/>
                <w:kern w:val="0"/>
                <w:sz w:val="22"/>
              </w:rPr>
            </w:pPr>
          </w:p>
        </w:tc>
        <w:tc>
          <w:tcPr>
            <w:tcW w:w="1502" w:type="pct"/>
            <w:tcBorders>
              <w:top w:val="nil"/>
              <w:bottom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④预算确定的项目投资额或资金量是否与工作任务相匹配。</w:t>
            </w:r>
          </w:p>
        </w:tc>
        <w:tc>
          <w:tcPr>
            <w:tcW w:w="1083" w:type="pct"/>
            <w:tcBorders>
              <w:top w:val="nil"/>
              <w:bottom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全部不符合则不得分。</w:t>
            </w:r>
          </w:p>
        </w:tc>
        <w:tc>
          <w:tcPr>
            <w:tcW w:w="353" w:type="pct"/>
            <w:vMerge w:val="continue"/>
            <w:tcBorders>
              <w:bottom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资金分配</w:t>
            </w:r>
          </w:p>
        </w:tc>
        <w:tc>
          <w:tcPr>
            <w:tcW w:w="216"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c>
          <w:tcPr>
            <w:tcW w:w="767" w:type="pct"/>
            <w:vMerge w:val="restart"/>
            <w:tcBorders>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项目预算资金分配是否有测算依据，与补助单位或地方实际是否相适应，用以反映和考核项目预算资金分配的科学性、合理性情况。</w:t>
            </w:r>
          </w:p>
        </w:tc>
        <w:tc>
          <w:tcPr>
            <w:tcW w:w="1502" w:type="pct"/>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评价要点：</w:t>
            </w:r>
          </w:p>
        </w:tc>
        <w:tc>
          <w:tcPr>
            <w:tcW w:w="1083" w:type="pc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符合其中二项（1分）；</w:t>
            </w:r>
          </w:p>
        </w:tc>
        <w:tc>
          <w:tcPr>
            <w:tcW w:w="353" w:type="pct"/>
            <w:vMerge w:val="restart"/>
            <w:tcBorders>
              <w:lef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①预算资金分配依据是否充分；</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符合其中一项（0.5分）；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shd w:val="clear" w:color="auto" w:fill="auto"/>
            <w:vAlign w:val="center"/>
          </w:tcPr>
          <w:p>
            <w:pPr>
              <w:widowControl/>
              <w:jc w:val="left"/>
              <w:rPr>
                <w:rFonts w:ascii="仿宋" w:hAnsi="仿宋" w:eastAsia="仿宋" w:cs="宋体"/>
                <w:kern w:val="0"/>
                <w:sz w:val="22"/>
              </w:rPr>
            </w:pPr>
          </w:p>
        </w:tc>
        <w:tc>
          <w:tcPr>
            <w:tcW w:w="1502" w:type="pct"/>
            <w:tcBorders>
              <w:top w:val="nil"/>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②资金分配额度是否合理，与项目单位或地方实际是否相适应。</w:t>
            </w:r>
          </w:p>
        </w:tc>
        <w:tc>
          <w:tcPr>
            <w:tcW w:w="1083" w:type="pct"/>
            <w:tcBorders>
              <w:top w:val="nil"/>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全部不符合则不得分。</w:t>
            </w:r>
          </w:p>
        </w:tc>
        <w:tc>
          <w:tcPr>
            <w:tcW w:w="353" w:type="pct"/>
            <w:vMerge w:val="continue"/>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过程（23分）</w:t>
            </w:r>
          </w:p>
        </w:tc>
        <w:tc>
          <w:tcPr>
            <w:tcW w:w="302"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资金管理</w:t>
            </w:r>
          </w:p>
        </w:tc>
        <w:tc>
          <w:tcPr>
            <w:tcW w:w="250"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8</w:t>
            </w:r>
          </w:p>
        </w:tc>
        <w:tc>
          <w:tcPr>
            <w:tcW w:w="248"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资金到位率</w:t>
            </w:r>
          </w:p>
        </w:tc>
        <w:tc>
          <w:tcPr>
            <w:tcW w:w="216"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c>
          <w:tcPr>
            <w:tcW w:w="767" w:type="pct"/>
            <w:vMerge w:val="restart"/>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实际到位资金与预算资金的比率，用以反映和考核资金落实情况对项目实施的总体保障程度。</w:t>
            </w:r>
          </w:p>
        </w:tc>
        <w:tc>
          <w:tcPr>
            <w:tcW w:w="1502" w:type="pct"/>
            <w:tcBorders>
              <w:bottom w:val="nil"/>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资金到位率=（实际到位资金/预算资金）×100%。</w:t>
            </w:r>
          </w:p>
        </w:tc>
        <w:tc>
          <w:tcPr>
            <w:tcW w:w="1083" w:type="pct"/>
            <w:tcBorders>
              <w:bottom w:val="nil"/>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符合其中三项（4分）；</w:t>
            </w:r>
          </w:p>
        </w:tc>
        <w:tc>
          <w:tcPr>
            <w:tcW w:w="353" w:type="pct"/>
            <w:vMerge w:val="restart"/>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实际到位资金：一定时期（本年度或项目期）内落实到具体项目的资金。</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符合其中二项（2.7分）；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shd w:val="clear" w:color="auto" w:fill="auto"/>
            <w:vAlign w:val="center"/>
          </w:tcPr>
          <w:p>
            <w:pPr>
              <w:widowControl/>
              <w:jc w:val="left"/>
              <w:rPr>
                <w:rFonts w:ascii="仿宋" w:hAnsi="仿宋" w:eastAsia="仿宋" w:cs="宋体"/>
                <w:kern w:val="0"/>
                <w:sz w:val="22"/>
              </w:rPr>
            </w:pPr>
          </w:p>
        </w:tc>
        <w:tc>
          <w:tcPr>
            <w:tcW w:w="1502" w:type="pct"/>
            <w:vMerge w:val="restart"/>
            <w:tcBorders>
              <w:top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预算资金：一定时期（本年度或项目期）内预算安排到具体项目的资金。</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符合其中一项（1.4分）；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shd w:val="clear" w:color="auto" w:fill="auto"/>
            <w:vAlign w:val="center"/>
          </w:tcPr>
          <w:p>
            <w:pPr>
              <w:widowControl/>
              <w:jc w:val="left"/>
              <w:rPr>
                <w:rFonts w:ascii="仿宋" w:hAnsi="仿宋" w:eastAsia="仿宋" w:cs="宋体"/>
                <w:kern w:val="0"/>
                <w:sz w:val="22"/>
              </w:rPr>
            </w:pPr>
          </w:p>
        </w:tc>
        <w:tc>
          <w:tcPr>
            <w:tcW w:w="1502" w:type="pct"/>
            <w:vMerge w:val="continue"/>
            <w:tcBorders>
              <w:bottom w:val="single" w:color="auto" w:sz="4" w:space="0"/>
            </w:tcBorders>
            <w:shd w:val="clear" w:color="auto" w:fill="auto"/>
            <w:vAlign w:val="center"/>
          </w:tcPr>
          <w:p>
            <w:pPr>
              <w:widowControl/>
              <w:jc w:val="left"/>
              <w:rPr>
                <w:rFonts w:ascii="仿宋" w:hAnsi="仿宋" w:eastAsia="仿宋" w:cs="宋体"/>
                <w:kern w:val="0"/>
                <w:sz w:val="22"/>
              </w:rPr>
            </w:pPr>
          </w:p>
        </w:tc>
        <w:tc>
          <w:tcPr>
            <w:tcW w:w="1083" w:type="pct"/>
            <w:tcBorders>
              <w:top w:val="nil"/>
              <w:bottom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全部不符合则不得分。</w:t>
            </w:r>
          </w:p>
        </w:tc>
        <w:tc>
          <w:tcPr>
            <w:tcW w:w="353" w:type="pct"/>
            <w:vMerge w:val="continue"/>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预算执行率</w:t>
            </w:r>
          </w:p>
        </w:tc>
        <w:tc>
          <w:tcPr>
            <w:tcW w:w="216"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c>
          <w:tcPr>
            <w:tcW w:w="767" w:type="pct"/>
            <w:vMerge w:val="restart"/>
            <w:tcBorders>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项目预算资金是否按照计划执行，用以反映或考核项目预算执行情况。</w:t>
            </w:r>
          </w:p>
        </w:tc>
        <w:tc>
          <w:tcPr>
            <w:tcW w:w="1502" w:type="pct"/>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预算执行率=（实际支出资金/实际到位资金）×100%。</w:t>
            </w:r>
          </w:p>
        </w:tc>
        <w:tc>
          <w:tcPr>
            <w:tcW w:w="1083" w:type="pc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符合其中二项（4分）；</w:t>
            </w:r>
          </w:p>
        </w:tc>
        <w:tc>
          <w:tcPr>
            <w:tcW w:w="353" w:type="pct"/>
            <w:vMerge w:val="restart"/>
            <w:tcBorders>
              <w:lef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实际支出资金：一定时期（本年度或项目期）内项目实际拨付的资金。</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符合其中一项（2分）；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p>
        </w:tc>
        <w:tc>
          <w:tcPr>
            <w:tcW w:w="10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全部不符合则不得分。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7</w:t>
            </w:r>
          </w:p>
        </w:tc>
        <w:tc>
          <w:tcPr>
            <w:tcW w:w="248"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资金使用合规性</w:t>
            </w:r>
          </w:p>
        </w:tc>
        <w:tc>
          <w:tcPr>
            <w:tcW w:w="216"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7</w:t>
            </w:r>
          </w:p>
        </w:tc>
        <w:tc>
          <w:tcPr>
            <w:tcW w:w="767" w:type="pct"/>
            <w:vMerge w:val="restart"/>
            <w:tcBorders>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项目资金使用是否符合相关的财务管理制度规定，用以反映和考核项目资金的规范运行情况。</w:t>
            </w:r>
          </w:p>
        </w:tc>
        <w:tc>
          <w:tcPr>
            <w:tcW w:w="1502" w:type="pct"/>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评价要点：</w:t>
            </w:r>
          </w:p>
        </w:tc>
        <w:tc>
          <w:tcPr>
            <w:tcW w:w="1083" w:type="pc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符合其中四项（7分）；</w:t>
            </w:r>
          </w:p>
        </w:tc>
        <w:tc>
          <w:tcPr>
            <w:tcW w:w="353" w:type="pct"/>
            <w:vMerge w:val="restart"/>
            <w:tcBorders>
              <w:lef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①是否符合国家财经法规和财务管理制度以及有关专项资金管理办法的规定；</w:t>
            </w:r>
          </w:p>
        </w:tc>
        <w:tc>
          <w:tcPr>
            <w:tcW w:w="10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符合其中三项（5.2分）；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②资金的拨付是否有完整的审批程序和手续；</w:t>
            </w:r>
          </w:p>
        </w:tc>
        <w:tc>
          <w:tcPr>
            <w:tcW w:w="1083" w:type="pc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符合其中二项（3.5分）；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③是否符合项目预算批复或合同规定的用途；</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符合其中一项（1.7分）；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④是否存在截留、挤占、挪用、虚列支出等情况。</w:t>
            </w:r>
          </w:p>
        </w:tc>
        <w:tc>
          <w:tcPr>
            <w:tcW w:w="10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全部不符合则不得分。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组织实施</w:t>
            </w:r>
          </w:p>
        </w:tc>
        <w:tc>
          <w:tcPr>
            <w:tcW w:w="250"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8</w:t>
            </w:r>
          </w:p>
        </w:tc>
        <w:tc>
          <w:tcPr>
            <w:tcW w:w="248"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管理制度健全性</w:t>
            </w:r>
          </w:p>
        </w:tc>
        <w:tc>
          <w:tcPr>
            <w:tcW w:w="216"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c>
          <w:tcPr>
            <w:tcW w:w="767" w:type="pct"/>
            <w:vMerge w:val="restart"/>
            <w:tcBorders>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项目实施单位的财务和业务管理制度是否健全，用以反映和考核财务和业务管理制度对项目顺利实施的保障情况。</w:t>
            </w:r>
          </w:p>
        </w:tc>
        <w:tc>
          <w:tcPr>
            <w:tcW w:w="1502" w:type="pct"/>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评价要点：</w:t>
            </w:r>
          </w:p>
        </w:tc>
        <w:tc>
          <w:tcPr>
            <w:tcW w:w="1083" w:type="pc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符合其中二项（4分）；</w:t>
            </w:r>
          </w:p>
        </w:tc>
        <w:tc>
          <w:tcPr>
            <w:tcW w:w="353" w:type="pct"/>
            <w:vMerge w:val="restart"/>
            <w:tcBorders>
              <w:lef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①是否已制定或具有相应的财务和业务管理制度；</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符合其中一项（2分）；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②财务和业务管理制度是否合法、合规、完整。</w:t>
            </w:r>
          </w:p>
        </w:tc>
        <w:tc>
          <w:tcPr>
            <w:tcW w:w="10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全部不符合则不得分。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制度执行有效性</w:t>
            </w:r>
          </w:p>
        </w:tc>
        <w:tc>
          <w:tcPr>
            <w:tcW w:w="216"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c>
          <w:tcPr>
            <w:tcW w:w="767" w:type="pct"/>
            <w:vMerge w:val="restart"/>
            <w:tcBorders>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项目实施是否符合相关管理规定，用以反映和考核相关管理制度的有效执行情况。</w:t>
            </w:r>
          </w:p>
        </w:tc>
        <w:tc>
          <w:tcPr>
            <w:tcW w:w="1502" w:type="pct"/>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评价要点：</w:t>
            </w:r>
          </w:p>
        </w:tc>
        <w:tc>
          <w:tcPr>
            <w:tcW w:w="1083" w:type="pc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符合其中四项（4分）；</w:t>
            </w:r>
          </w:p>
        </w:tc>
        <w:tc>
          <w:tcPr>
            <w:tcW w:w="353" w:type="pct"/>
            <w:vMerge w:val="restart"/>
            <w:tcBorders>
              <w:lef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①是否遵守相关法律法规和相关管理规定；</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符合其中三项（3分）；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②项目调整及支出调整手续是否完备；</w:t>
            </w:r>
          </w:p>
        </w:tc>
        <w:tc>
          <w:tcPr>
            <w:tcW w:w="10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符合其中二项（2分）；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③项目合同书、验收报告、技术鉴定等资料是否齐全并及时归档；</w:t>
            </w:r>
          </w:p>
        </w:tc>
        <w:tc>
          <w:tcPr>
            <w:tcW w:w="1083" w:type="pc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符合其中一项（1分）；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④项目实施的人员条件、场地设备、信息支撑等是否落实到位。</w:t>
            </w:r>
          </w:p>
        </w:tc>
        <w:tc>
          <w:tcPr>
            <w:tcW w:w="10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全部不符合则不得分。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产出（30分）</w:t>
            </w:r>
          </w:p>
        </w:tc>
        <w:tc>
          <w:tcPr>
            <w:tcW w:w="302"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产出数量</w:t>
            </w:r>
          </w:p>
        </w:tc>
        <w:tc>
          <w:tcPr>
            <w:tcW w:w="250"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8</w:t>
            </w:r>
          </w:p>
        </w:tc>
        <w:tc>
          <w:tcPr>
            <w:tcW w:w="248"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实际完成率</w:t>
            </w:r>
          </w:p>
        </w:tc>
        <w:tc>
          <w:tcPr>
            <w:tcW w:w="216"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8</w:t>
            </w:r>
          </w:p>
        </w:tc>
        <w:tc>
          <w:tcPr>
            <w:tcW w:w="767" w:type="pct"/>
            <w:vMerge w:val="restart"/>
            <w:tcBorders>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项目实施的实际产出数与计划产出数的比率，用以反映和考核项目产出数量目标的实现程度。</w:t>
            </w:r>
          </w:p>
        </w:tc>
        <w:tc>
          <w:tcPr>
            <w:tcW w:w="1502" w:type="pct"/>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实际完成率=（实际产出数/计划产出数）×100%。</w:t>
            </w:r>
          </w:p>
        </w:tc>
        <w:tc>
          <w:tcPr>
            <w:tcW w:w="1083" w:type="pc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符合其中三项（8分）；</w:t>
            </w:r>
          </w:p>
        </w:tc>
        <w:tc>
          <w:tcPr>
            <w:tcW w:w="353" w:type="pct"/>
            <w:vMerge w:val="restart"/>
            <w:tcBorders>
              <w:lef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实际产出数：一定时期（本年度或项目期）内项目实际产出的产品或提供的服务数量。</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符合其中二项（5.3分）；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计划产出数：项目绩效目标确定的在一定时期（本年度或项目期）内计划产出的产品或提供的服务数量。</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符合其中一项（2.7分）；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p>
        </w:tc>
        <w:tc>
          <w:tcPr>
            <w:tcW w:w="10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全部不符合则不得分。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产出质量</w:t>
            </w:r>
          </w:p>
        </w:tc>
        <w:tc>
          <w:tcPr>
            <w:tcW w:w="250"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7</w:t>
            </w:r>
          </w:p>
        </w:tc>
        <w:tc>
          <w:tcPr>
            <w:tcW w:w="248"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质量达标率</w:t>
            </w:r>
          </w:p>
        </w:tc>
        <w:tc>
          <w:tcPr>
            <w:tcW w:w="216"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7</w:t>
            </w:r>
          </w:p>
        </w:tc>
        <w:tc>
          <w:tcPr>
            <w:tcW w:w="767" w:type="pct"/>
            <w:vMerge w:val="restart"/>
            <w:tcBorders>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项目完成的质量达标产出数与实际产出数的比率，用以反映和考核项目产出质量目标的实现程度。</w:t>
            </w:r>
          </w:p>
        </w:tc>
        <w:tc>
          <w:tcPr>
            <w:tcW w:w="1502" w:type="pct"/>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评价要点</w:t>
            </w:r>
          </w:p>
        </w:tc>
        <w:tc>
          <w:tcPr>
            <w:tcW w:w="1083" w:type="pc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符合其中二项（3.5分）；</w:t>
            </w:r>
          </w:p>
        </w:tc>
        <w:tc>
          <w:tcPr>
            <w:tcW w:w="353" w:type="pct"/>
            <w:vMerge w:val="restart"/>
            <w:tcBorders>
              <w:lef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①维修申报处理率达到98%；</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符合其中一项（3.5分）；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②质量达标产出数:一定时期(本年度或项目期)内实际达到既定质量标准的产品或服务数量。既定质量标准是指项目实施单位设立绩效目标时依据计划标准、行业标准、历史标准或其他标准而设定的绩效指标值。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10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全部不符合则不得分。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产出时效</w:t>
            </w:r>
          </w:p>
        </w:tc>
        <w:tc>
          <w:tcPr>
            <w:tcW w:w="250"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7</w:t>
            </w:r>
          </w:p>
        </w:tc>
        <w:tc>
          <w:tcPr>
            <w:tcW w:w="248"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完成及时性</w:t>
            </w:r>
          </w:p>
        </w:tc>
        <w:tc>
          <w:tcPr>
            <w:tcW w:w="216"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7</w:t>
            </w:r>
          </w:p>
        </w:tc>
        <w:tc>
          <w:tcPr>
            <w:tcW w:w="767" w:type="pct"/>
            <w:vMerge w:val="restart"/>
            <w:tcBorders>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项目实际完成时间与计划完成时间的比较，用以反映和考核项目产出时效目标的实现程度。</w:t>
            </w:r>
          </w:p>
        </w:tc>
        <w:tc>
          <w:tcPr>
            <w:tcW w:w="1502" w:type="pct"/>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实际完成时间：项目实施单位完成该项目实际所耗用的时间。</w:t>
            </w:r>
          </w:p>
        </w:tc>
        <w:tc>
          <w:tcPr>
            <w:tcW w:w="1083" w:type="pc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符合其中二项（7分）；</w:t>
            </w:r>
          </w:p>
        </w:tc>
        <w:tc>
          <w:tcPr>
            <w:tcW w:w="353" w:type="pct"/>
            <w:vMerge w:val="restart"/>
            <w:tcBorders>
              <w:lef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计划完成时间：按照项目实施计划或相关规定完成该项目所需的时间。</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符合其中一项（3.5分）；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p>
        </w:tc>
        <w:tc>
          <w:tcPr>
            <w:tcW w:w="10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全部不符合则不得分。</w:t>
            </w:r>
          </w:p>
        </w:tc>
        <w:tc>
          <w:tcPr>
            <w:tcW w:w="353" w:type="pct"/>
            <w:vMerge w:val="continue"/>
            <w:tcBorders>
              <w:left w:val="single" w:color="auto" w:sz="4" w:space="0"/>
              <w:bottom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产出成本</w:t>
            </w:r>
          </w:p>
        </w:tc>
        <w:tc>
          <w:tcPr>
            <w:tcW w:w="250"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8</w:t>
            </w:r>
          </w:p>
        </w:tc>
        <w:tc>
          <w:tcPr>
            <w:tcW w:w="248"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成本节约率</w:t>
            </w:r>
          </w:p>
        </w:tc>
        <w:tc>
          <w:tcPr>
            <w:tcW w:w="216"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8</w:t>
            </w:r>
          </w:p>
        </w:tc>
        <w:tc>
          <w:tcPr>
            <w:tcW w:w="767" w:type="pct"/>
            <w:vMerge w:val="restart"/>
            <w:tcBorders>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完成项目计划工作目标的实际节约成本与计划成本的比率，用以反映和考核项目的成本节约程度。</w:t>
            </w:r>
          </w:p>
        </w:tc>
        <w:tc>
          <w:tcPr>
            <w:tcW w:w="1502" w:type="pct"/>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成本节约率=[（计划成本-实际成本）/计划成本]×100%。</w:t>
            </w:r>
          </w:p>
        </w:tc>
        <w:tc>
          <w:tcPr>
            <w:tcW w:w="1083" w:type="pc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符合其中三项（8分）；</w:t>
            </w:r>
          </w:p>
        </w:tc>
        <w:tc>
          <w:tcPr>
            <w:tcW w:w="353" w:type="pct"/>
            <w:vMerge w:val="restart"/>
            <w:tcBorders>
              <w:lef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实际成本：项目实施单位如期、保质、保量完成既定工作目标实际所耗费的支出。</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符合其中二项（5.4分）；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计划成本：项目实施单位为完成工作目标计划安排的支出，一般以项目预算为参考。</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符合其中一项（2.6分）；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p>
        </w:tc>
        <w:tc>
          <w:tcPr>
            <w:tcW w:w="10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全部不符合则不得分。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效益（35分）　</w:t>
            </w:r>
          </w:p>
        </w:tc>
        <w:tc>
          <w:tcPr>
            <w:tcW w:w="302"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项目效益　</w:t>
            </w:r>
          </w:p>
        </w:tc>
        <w:tc>
          <w:tcPr>
            <w:tcW w:w="250"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35</w:t>
            </w:r>
          </w:p>
        </w:tc>
        <w:tc>
          <w:tcPr>
            <w:tcW w:w="248"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实施效益</w:t>
            </w:r>
          </w:p>
        </w:tc>
        <w:tc>
          <w:tcPr>
            <w:tcW w:w="216"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25</w:t>
            </w:r>
          </w:p>
        </w:tc>
        <w:tc>
          <w:tcPr>
            <w:tcW w:w="767" w:type="pct"/>
            <w:vMerge w:val="restart"/>
            <w:tcBorders>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项目实施所产生的效益。</w:t>
            </w:r>
          </w:p>
        </w:tc>
        <w:tc>
          <w:tcPr>
            <w:tcW w:w="1502" w:type="pct"/>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评价要点</w:t>
            </w:r>
          </w:p>
        </w:tc>
        <w:tc>
          <w:tcPr>
            <w:tcW w:w="1083" w:type="pc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符合其中三项（</w:t>
            </w:r>
            <w:r>
              <w:rPr>
                <w:rFonts w:ascii="仿宋" w:hAnsi="仿宋" w:eastAsia="仿宋" w:cs="宋体"/>
                <w:kern w:val="0"/>
                <w:sz w:val="22"/>
              </w:rPr>
              <w:t>25</w:t>
            </w:r>
            <w:r>
              <w:rPr>
                <w:rFonts w:hint="eastAsia" w:ascii="仿宋" w:hAnsi="仿宋" w:eastAsia="仿宋" w:cs="宋体"/>
                <w:kern w:val="0"/>
                <w:sz w:val="22"/>
              </w:rPr>
              <w:t>分）；</w:t>
            </w:r>
          </w:p>
        </w:tc>
        <w:tc>
          <w:tcPr>
            <w:tcW w:w="353" w:type="pct"/>
            <w:vMerge w:val="restart"/>
            <w:tcBorders>
              <w:lef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single" w:color="auto" w:sz="4" w:space="0"/>
              <w:right w:val="single" w:color="auto" w:sz="4" w:space="0"/>
            </w:tcBorders>
            <w:shd w:val="clear" w:color="auto" w:fill="auto"/>
            <w:vAlign w:val="center"/>
          </w:tcPr>
          <w:p>
            <w:pPr>
              <w:pStyle w:val="11"/>
              <w:widowControl/>
              <w:numPr>
                <w:ilvl w:val="0"/>
                <w:numId w:val="1"/>
              </w:numPr>
              <w:ind w:firstLineChars="0"/>
              <w:jc w:val="left"/>
              <w:rPr>
                <w:rFonts w:ascii="仿宋" w:hAnsi="仿宋" w:eastAsia="仿宋" w:cs="宋体"/>
                <w:kern w:val="0"/>
                <w:sz w:val="22"/>
              </w:rPr>
            </w:pPr>
            <w:r>
              <w:rPr>
                <w:rFonts w:hint="eastAsia" w:ascii="仿宋" w:hAnsi="仿宋" w:eastAsia="仿宋" w:cs="宋体"/>
                <w:kern w:val="0"/>
                <w:sz w:val="22"/>
              </w:rPr>
              <w:t>激发和调动工作人员的积极性。</w:t>
            </w:r>
          </w:p>
        </w:tc>
        <w:tc>
          <w:tcPr>
            <w:tcW w:w="10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符合其中二项（1</w:t>
            </w:r>
            <w:r>
              <w:rPr>
                <w:rFonts w:ascii="仿宋" w:hAnsi="仿宋" w:eastAsia="仿宋" w:cs="宋体"/>
                <w:kern w:val="0"/>
                <w:sz w:val="22"/>
              </w:rPr>
              <w:t>6</w:t>
            </w:r>
            <w:r>
              <w:rPr>
                <w:rFonts w:hint="eastAsia" w:ascii="仿宋" w:hAnsi="仿宋" w:eastAsia="仿宋" w:cs="宋体"/>
                <w:kern w:val="0"/>
                <w:sz w:val="22"/>
              </w:rPr>
              <w:t>.</w:t>
            </w:r>
            <w:r>
              <w:rPr>
                <w:rFonts w:ascii="仿宋" w:hAnsi="仿宋" w:eastAsia="仿宋" w:cs="宋体"/>
                <w:kern w:val="0"/>
                <w:sz w:val="22"/>
              </w:rPr>
              <w:t>6</w:t>
            </w:r>
            <w:r>
              <w:rPr>
                <w:rFonts w:hint="eastAsia" w:ascii="仿宋" w:hAnsi="仿宋" w:eastAsia="仿宋" w:cs="宋体"/>
                <w:kern w:val="0"/>
                <w:sz w:val="22"/>
              </w:rPr>
              <w:t>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②服务水平提升。</w:t>
            </w:r>
          </w:p>
        </w:tc>
        <w:tc>
          <w:tcPr>
            <w:tcW w:w="1083" w:type="pc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符合其中一项（</w:t>
            </w:r>
            <w:r>
              <w:rPr>
                <w:rFonts w:ascii="仿宋" w:hAnsi="仿宋" w:eastAsia="仿宋" w:cs="宋体"/>
                <w:kern w:val="0"/>
                <w:sz w:val="22"/>
              </w:rPr>
              <w:t>8</w:t>
            </w:r>
            <w:r>
              <w:rPr>
                <w:rFonts w:hint="eastAsia" w:ascii="仿宋" w:hAnsi="仿宋" w:eastAsia="仿宋" w:cs="宋体"/>
                <w:kern w:val="0"/>
                <w:sz w:val="22"/>
              </w:rPr>
              <w:t>.3分）；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③建立服务长效机制，激励先进、强化服务建设。</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全部不符合则不得分。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满意度</w:t>
            </w:r>
          </w:p>
        </w:tc>
        <w:tc>
          <w:tcPr>
            <w:tcW w:w="216" w:type="pct"/>
            <w:vMerge w:val="restart"/>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10</w:t>
            </w:r>
          </w:p>
        </w:tc>
        <w:tc>
          <w:tcPr>
            <w:tcW w:w="767" w:type="pct"/>
            <w:vMerge w:val="restart"/>
            <w:tcBorders>
              <w:right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服务对象对项目实施效果的满意程度。</w:t>
            </w:r>
          </w:p>
        </w:tc>
        <w:tc>
          <w:tcPr>
            <w:tcW w:w="1502" w:type="pct"/>
            <w:tcBorders>
              <w:top w:val="single" w:color="auto" w:sz="4" w:space="0"/>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评价要点</w:t>
            </w:r>
          </w:p>
        </w:tc>
        <w:tc>
          <w:tcPr>
            <w:tcW w:w="1083" w:type="pct"/>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符合其中二项（10分）；</w:t>
            </w:r>
          </w:p>
        </w:tc>
        <w:tc>
          <w:tcPr>
            <w:tcW w:w="353" w:type="pct"/>
            <w:vMerge w:val="restart"/>
            <w:tcBorders>
              <w:left w:val="single" w:color="auto" w:sz="4" w:space="0"/>
            </w:tcBorders>
            <w:shd w:val="clear" w:color="auto" w:fill="auto"/>
            <w:noWrap/>
            <w:vAlign w:val="center"/>
          </w:tcPr>
          <w:p>
            <w:pPr>
              <w:widowControl/>
              <w:jc w:val="center"/>
              <w:rPr>
                <w:rFonts w:ascii="仿宋" w:hAnsi="仿宋" w:eastAsia="仿宋" w:cs="宋体"/>
                <w:kern w:val="0"/>
                <w:sz w:val="22"/>
              </w:rPr>
            </w:pPr>
            <w:r>
              <w:rPr>
                <w:rFonts w:hint="eastAsia" w:ascii="仿宋" w:hAnsi="仿宋" w:eastAsia="仿宋" w:cs="宋体"/>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9" w:type="pct"/>
            <w:vMerge w:val="continue"/>
            <w:shd w:val="clear" w:color="auto" w:fill="auto"/>
            <w:vAlign w:val="center"/>
          </w:tcPr>
          <w:p>
            <w:pPr>
              <w:widowControl/>
              <w:jc w:val="left"/>
              <w:rPr>
                <w:rFonts w:ascii="仿宋" w:hAnsi="仿宋" w:eastAsia="仿宋" w:cs="宋体"/>
                <w:kern w:val="0"/>
                <w:sz w:val="22"/>
              </w:rPr>
            </w:pPr>
          </w:p>
        </w:tc>
        <w:tc>
          <w:tcPr>
            <w:tcW w:w="302" w:type="pct"/>
            <w:vMerge w:val="continue"/>
            <w:shd w:val="clear" w:color="auto" w:fill="auto"/>
            <w:vAlign w:val="center"/>
          </w:tcPr>
          <w:p>
            <w:pPr>
              <w:widowControl/>
              <w:jc w:val="left"/>
              <w:rPr>
                <w:rFonts w:ascii="仿宋" w:hAnsi="仿宋" w:eastAsia="仿宋" w:cs="宋体"/>
                <w:kern w:val="0"/>
                <w:sz w:val="22"/>
              </w:rPr>
            </w:pPr>
          </w:p>
        </w:tc>
        <w:tc>
          <w:tcPr>
            <w:tcW w:w="250" w:type="pct"/>
            <w:vMerge w:val="continue"/>
            <w:shd w:val="clear" w:color="auto" w:fill="auto"/>
            <w:vAlign w:val="center"/>
          </w:tcPr>
          <w:p>
            <w:pPr>
              <w:widowControl/>
              <w:jc w:val="left"/>
              <w:rPr>
                <w:rFonts w:ascii="仿宋" w:hAnsi="仿宋" w:eastAsia="仿宋" w:cs="宋体"/>
                <w:kern w:val="0"/>
                <w:sz w:val="22"/>
              </w:rPr>
            </w:pPr>
          </w:p>
        </w:tc>
        <w:tc>
          <w:tcPr>
            <w:tcW w:w="248" w:type="pct"/>
            <w:vMerge w:val="continue"/>
            <w:shd w:val="clear" w:color="auto" w:fill="auto"/>
            <w:vAlign w:val="center"/>
          </w:tcPr>
          <w:p>
            <w:pPr>
              <w:widowControl/>
              <w:jc w:val="left"/>
              <w:rPr>
                <w:rFonts w:ascii="仿宋" w:hAnsi="仿宋" w:eastAsia="仿宋" w:cs="宋体"/>
                <w:kern w:val="0"/>
                <w:sz w:val="22"/>
              </w:rPr>
            </w:pPr>
          </w:p>
        </w:tc>
        <w:tc>
          <w:tcPr>
            <w:tcW w:w="216" w:type="pct"/>
            <w:vMerge w:val="continue"/>
            <w:shd w:val="clear" w:color="auto" w:fill="auto"/>
            <w:vAlign w:val="center"/>
          </w:tcPr>
          <w:p>
            <w:pPr>
              <w:widowControl/>
              <w:jc w:val="left"/>
              <w:rPr>
                <w:rFonts w:ascii="仿宋" w:hAnsi="仿宋" w:eastAsia="仿宋" w:cs="宋体"/>
                <w:kern w:val="0"/>
                <w:sz w:val="22"/>
              </w:rPr>
            </w:pPr>
          </w:p>
        </w:tc>
        <w:tc>
          <w:tcPr>
            <w:tcW w:w="767" w:type="pct"/>
            <w:vMerge w:val="continue"/>
            <w:tcBorders>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nil"/>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①中心人员对物业、停车场工作满意度</w:t>
            </w:r>
          </w:p>
        </w:tc>
        <w:tc>
          <w:tcPr>
            <w:tcW w:w="1083" w:type="pct"/>
            <w:tcBorders>
              <w:top w:val="nil"/>
              <w:left w:val="single" w:color="auto" w:sz="4" w:space="0"/>
              <w:bottom w:val="nil"/>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符合其中一项（5分）；</w:t>
            </w:r>
          </w:p>
        </w:tc>
        <w:tc>
          <w:tcPr>
            <w:tcW w:w="353" w:type="pct"/>
            <w:vMerge w:val="continue"/>
            <w:tcBorders>
              <w:left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79" w:type="pct"/>
            <w:vMerge w:val="continue"/>
            <w:tcBorders>
              <w:bottom w:val="single" w:color="auto" w:sz="4" w:space="0"/>
            </w:tcBorders>
            <w:shd w:val="clear" w:color="auto" w:fill="auto"/>
            <w:vAlign w:val="center"/>
          </w:tcPr>
          <w:p>
            <w:pPr>
              <w:widowControl/>
              <w:jc w:val="left"/>
              <w:rPr>
                <w:rFonts w:ascii="仿宋" w:hAnsi="仿宋" w:eastAsia="仿宋" w:cs="宋体"/>
                <w:kern w:val="0"/>
                <w:sz w:val="22"/>
              </w:rPr>
            </w:pPr>
          </w:p>
        </w:tc>
        <w:tc>
          <w:tcPr>
            <w:tcW w:w="302" w:type="pct"/>
            <w:vMerge w:val="continue"/>
            <w:tcBorders>
              <w:bottom w:val="single" w:color="auto" w:sz="4" w:space="0"/>
            </w:tcBorders>
            <w:shd w:val="clear" w:color="auto" w:fill="auto"/>
            <w:vAlign w:val="center"/>
          </w:tcPr>
          <w:p>
            <w:pPr>
              <w:widowControl/>
              <w:jc w:val="left"/>
              <w:rPr>
                <w:rFonts w:ascii="仿宋" w:hAnsi="仿宋" w:eastAsia="仿宋" w:cs="宋体"/>
                <w:kern w:val="0"/>
                <w:sz w:val="22"/>
              </w:rPr>
            </w:pPr>
          </w:p>
        </w:tc>
        <w:tc>
          <w:tcPr>
            <w:tcW w:w="250" w:type="pct"/>
            <w:vMerge w:val="continue"/>
            <w:tcBorders>
              <w:bottom w:val="single" w:color="auto" w:sz="4" w:space="0"/>
            </w:tcBorders>
            <w:shd w:val="clear" w:color="auto" w:fill="auto"/>
            <w:vAlign w:val="center"/>
          </w:tcPr>
          <w:p>
            <w:pPr>
              <w:widowControl/>
              <w:jc w:val="left"/>
              <w:rPr>
                <w:rFonts w:ascii="仿宋" w:hAnsi="仿宋" w:eastAsia="仿宋" w:cs="宋体"/>
                <w:kern w:val="0"/>
                <w:sz w:val="22"/>
              </w:rPr>
            </w:pPr>
          </w:p>
        </w:tc>
        <w:tc>
          <w:tcPr>
            <w:tcW w:w="248" w:type="pct"/>
            <w:vMerge w:val="continue"/>
            <w:tcBorders>
              <w:bottom w:val="single" w:color="auto" w:sz="4" w:space="0"/>
            </w:tcBorders>
            <w:shd w:val="clear" w:color="auto" w:fill="auto"/>
            <w:vAlign w:val="center"/>
          </w:tcPr>
          <w:p>
            <w:pPr>
              <w:widowControl/>
              <w:jc w:val="left"/>
              <w:rPr>
                <w:rFonts w:ascii="仿宋" w:hAnsi="仿宋" w:eastAsia="仿宋" w:cs="宋体"/>
                <w:kern w:val="0"/>
                <w:sz w:val="22"/>
              </w:rPr>
            </w:pPr>
          </w:p>
        </w:tc>
        <w:tc>
          <w:tcPr>
            <w:tcW w:w="216" w:type="pct"/>
            <w:vMerge w:val="continue"/>
            <w:tcBorders>
              <w:bottom w:val="single" w:color="auto" w:sz="4" w:space="0"/>
            </w:tcBorders>
            <w:shd w:val="clear" w:color="auto" w:fill="auto"/>
            <w:vAlign w:val="center"/>
          </w:tcPr>
          <w:p>
            <w:pPr>
              <w:widowControl/>
              <w:jc w:val="left"/>
              <w:rPr>
                <w:rFonts w:ascii="仿宋" w:hAnsi="仿宋" w:eastAsia="仿宋" w:cs="宋体"/>
                <w:kern w:val="0"/>
                <w:sz w:val="22"/>
              </w:rPr>
            </w:pPr>
          </w:p>
        </w:tc>
        <w:tc>
          <w:tcPr>
            <w:tcW w:w="767" w:type="pct"/>
            <w:vMerge w:val="continue"/>
            <w:tcBorders>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p>
        </w:tc>
        <w:tc>
          <w:tcPr>
            <w:tcW w:w="1502"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kern w:val="0"/>
                <w:sz w:val="22"/>
              </w:rPr>
            </w:pPr>
            <w:r>
              <w:rPr>
                <w:rFonts w:hint="eastAsia" w:ascii="仿宋" w:hAnsi="仿宋" w:eastAsia="仿宋" w:cs="宋体"/>
                <w:kern w:val="0"/>
                <w:sz w:val="22"/>
              </w:rPr>
              <w:t>②评标人、专家对物业、停车场工作满意度</w:t>
            </w:r>
          </w:p>
        </w:tc>
        <w:tc>
          <w:tcPr>
            <w:tcW w:w="108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kern w:val="0"/>
                <w:sz w:val="22"/>
              </w:rPr>
            </w:pPr>
            <w:r>
              <w:rPr>
                <w:rFonts w:hint="eastAsia" w:ascii="仿宋" w:hAnsi="仿宋" w:eastAsia="仿宋" w:cs="宋体"/>
                <w:kern w:val="0"/>
                <w:sz w:val="22"/>
              </w:rPr>
              <w:t>全部不符合则不得分。</w:t>
            </w:r>
          </w:p>
        </w:tc>
        <w:tc>
          <w:tcPr>
            <w:tcW w:w="353" w:type="pct"/>
            <w:vMerge w:val="continue"/>
            <w:tcBorders>
              <w:left w:val="single" w:color="auto" w:sz="4" w:space="0"/>
              <w:bottom w:val="single" w:color="auto" w:sz="4" w:space="0"/>
            </w:tcBorders>
            <w:shd w:val="clear" w:color="auto" w:fill="auto"/>
            <w:vAlign w:val="center"/>
          </w:tcPr>
          <w:p>
            <w:pPr>
              <w:widowControl/>
              <w:jc w:val="left"/>
              <w:rPr>
                <w:rFonts w:ascii="仿宋" w:hAnsi="仿宋" w:eastAsia="仿宋"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81" w:type="pct"/>
            <w:gridSpan w:val="2"/>
            <w:tcBorders>
              <w:bottom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合计</w:t>
            </w:r>
          </w:p>
        </w:tc>
        <w:tc>
          <w:tcPr>
            <w:tcW w:w="250" w:type="pct"/>
            <w:tcBorders>
              <w:bottom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100</w:t>
            </w:r>
          </w:p>
        </w:tc>
        <w:tc>
          <w:tcPr>
            <w:tcW w:w="248" w:type="pct"/>
            <w:tcBorders>
              <w:bottom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c>
          <w:tcPr>
            <w:tcW w:w="216" w:type="pct"/>
            <w:tcBorders>
              <w:bottom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100</w:t>
            </w:r>
          </w:p>
        </w:tc>
        <w:tc>
          <w:tcPr>
            <w:tcW w:w="767" w:type="pct"/>
            <w:tcBorders>
              <w:bottom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c>
          <w:tcPr>
            <w:tcW w:w="1502" w:type="pct"/>
            <w:tcBorders>
              <w:top w:val="single" w:color="auto" w:sz="4" w:space="0"/>
              <w:bottom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c>
          <w:tcPr>
            <w:tcW w:w="1083" w:type="pct"/>
            <w:tcBorders>
              <w:top w:val="single" w:color="auto" w:sz="4" w:space="0"/>
              <w:bottom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　</w:t>
            </w:r>
          </w:p>
        </w:tc>
        <w:tc>
          <w:tcPr>
            <w:tcW w:w="353" w:type="pct"/>
            <w:tcBorders>
              <w:bottom w:val="single" w:color="auto" w:sz="4" w:space="0"/>
            </w:tcBorders>
            <w:shd w:val="clear" w:color="auto" w:fill="auto"/>
            <w:vAlign w:val="center"/>
          </w:tcPr>
          <w:p>
            <w:pPr>
              <w:widowControl/>
              <w:jc w:val="center"/>
              <w:rPr>
                <w:rFonts w:ascii="仿宋" w:hAnsi="仿宋" w:eastAsia="仿宋" w:cs="宋体"/>
                <w:kern w:val="0"/>
                <w:sz w:val="22"/>
              </w:rPr>
            </w:pPr>
            <w:r>
              <w:rPr>
                <w:rFonts w:hint="eastAsia" w:ascii="仿宋" w:hAnsi="仿宋" w:eastAsia="仿宋" w:cs="宋体"/>
                <w:kern w:val="0"/>
                <w:sz w:val="22"/>
              </w:rPr>
              <w:t>96.7</w:t>
            </w:r>
          </w:p>
        </w:tc>
      </w:tr>
    </w:tbl>
    <w:p>
      <w:pPr>
        <w:jc w:val="right"/>
        <w:rPr>
          <w:rFonts w:ascii="宋体" w:hAnsi="宋体" w:eastAsia="宋体"/>
          <w:b/>
          <w:sz w:val="28"/>
          <w:szCs w:val="28"/>
        </w:rPr>
      </w:pPr>
    </w:p>
    <w:sectPr>
      <w:pgSz w:w="16838" w:h="11906" w:orient="landscape"/>
      <w:pgMar w:top="1797" w:right="1701" w:bottom="1797"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GothicI Cyr">
    <w:altName w:val="Courier New"/>
    <w:panose1 w:val="00000000000000000000"/>
    <w:charset w:val="CC"/>
    <w:family w:val="auto"/>
    <w:pitch w:val="default"/>
    <w:sig w:usb0="00000000" w:usb1="00000000" w:usb2="00000000" w:usb3="00000000" w:csb0="00000004"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F03CEE"/>
    <w:multiLevelType w:val="multilevel"/>
    <w:tmpl w:val="67F03CE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kNmYxZGIyMzc0ZDBmMzM5N2QwZjNhMzA2YmIzZjAifQ=="/>
  </w:docVars>
  <w:rsids>
    <w:rsidRoot w:val="003C4C25"/>
    <w:rsid w:val="00036AC6"/>
    <w:rsid w:val="00071A03"/>
    <w:rsid w:val="000A0DF9"/>
    <w:rsid w:val="000A3127"/>
    <w:rsid w:val="0012218A"/>
    <w:rsid w:val="0015273B"/>
    <w:rsid w:val="00160113"/>
    <w:rsid w:val="001670E7"/>
    <w:rsid w:val="001764C7"/>
    <w:rsid w:val="00180861"/>
    <w:rsid w:val="001A16CC"/>
    <w:rsid w:val="001A7B18"/>
    <w:rsid w:val="00243E1F"/>
    <w:rsid w:val="00251F90"/>
    <w:rsid w:val="00260FBF"/>
    <w:rsid w:val="002B32A1"/>
    <w:rsid w:val="002C5599"/>
    <w:rsid w:val="002C6BF9"/>
    <w:rsid w:val="002F6D9C"/>
    <w:rsid w:val="003101EA"/>
    <w:rsid w:val="00326637"/>
    <w:rsid w:val="00336204"/>
    <w:rsid w:val="00340DFF"/>
    <w:rsid w:val="00375A94"/>
    <w:rsid w:val="00381BAA"/>
    <w:rsid w:val="00392109"/>
    <w:rsid w:val="0039524C"/>
    <w:rsid w:val="003C4C25"/>
    <w:rsid w:val="00416127"/>
    <w:rsid w:val="0043008D"/>
    <w:rsid w:val="00443948"/>
    <w:rsid w:val="00483B5F"/>
    <w:rsid w:val="00487114"/>
    <w:rsid w:val="004B3C69"/>
    <w:rsid w:val="004B5700"/>
    <w:rsid w:val="004D43B0"/>
    <w:rsid w:val="005039D8"/>
    <w:rsid w:val="00513031"/>
    <w:rsid w:val="00520F5E"/>
    <w:rsid w:val="005A145C"/>
    <w:rsid w:val="005A70F1"/>
    <w:rsid w:val="005B47FF"/>
    <w:rsid w:val="005E661B"/>
    <w:rsid w:val="005F3342"/>
    <w:rsid w:val="005F3A3B"/>
    <w:rsid w:val="006045B8"/>
    <w:rsid w:val="00622A1A"/>
    <w:rsid w:val="006569F0"/>
    <w:rsid w:val="00697151"/>
    <w:rsid w:val="006D4233"/>
    <w:rsid w:val="007247CD"/>
    <w:rsid w:val="0075117D"/>
    <w:rsid w:val="00776EB8"/>
    <w:rsid w:val="0078113E"/>
    <w:rsid w:val="00785C23"/>
    <w:rsid w:val="00790508"/>
    <w:rsid w:val="007B31A1"/>
    <w:rsid w:val="007C0623"/>
    <w:rsid w:val="007E2915"/>
    <w:rsid w:val="0083714B"/>
    <w:rsid w:val="00857C6C"/>
    <w:rsid w:val="008C0AD5"/>
    <w:rsid w:val="008D28C1"/>
    <w:rsid w:val="008F65E2"/>
    <w:rsid w:val="009019A2"/>
    <w:rsid w:val="0092457F"/>
    <w:rsid w:val="009357DF"/>
    <w:rsid w:val="00956483"/>
    <w:rsid w:val="009637C9"/>
    <w:rsid w:val="00965850"/>
    <w:rsid w:val="00976BB2"/>
    <w:rsid w:val="00990112"/>
    <w:rsid w:val="009D3E62"/>
    <w:rsid w:val="009E4066"/>
    <w:rsid w:val="009F1E71"/>
    <w:rsid w:val="00A334F9"/>
    <w:rsid w:val="00A472DD"/>
    <w:rsid w:val="00A53832"/>
    <w:rsid w:val="00A711F7"/>
    <w:rsid w:val="00A83DD4"/>
    <w:rsid w:val="00AD13C0"/>
    <w:rsid w:val="00B055D6"/>
    <w:rsid w:val="00B05654"/>
    <w:rsid w:val="00B45CAD"/>
    <w:rsid w:val="00BD308D"/>
    <w:rsid w:val="00BE7CCC"/>
    <w:rsid w:val="00BF2786"/>
    <w:rsid w:val="00C03A67"/>
    <w:rsid w:val="00C0677D"/>
    <w:rsid w:val="00C30E4E"/>
    <w:rsid w:val="00C40563"/>
    <w:rsid w:val="00C42876"/>
    <w:rsid w:val="00C45CFD"/>
    <w:rsid w:val="00C47774"/>
    <w:rsid w:val="00C71C06"/>
    <w:rsid w:val="00C83B4C"/>
    <w:rsid w:val="00C93906"/>
    <w:rsid w:val="00CA0A57"/>
    <w:rsid w:val="00CA67E6"/>
    <w:rsid w:val="00CD1ED3"/>
    <w:rsid w:val="00CE0CD2"/>
    <w:rsid w:val="00CF1A0B"/>
    <w:rsid w:val="00D03954"/>
    <w:rsid w:val="00D05593"/>
    <w:rsid w:val="00D62507"/>
    <w:rsid w:val="00D8498E"/>
    <w:rsid w:val="00E104CB"/>
    <w:rsid w:val="00E23B5B"/>
    <w:rsid w:val="00E35F7B"/>
    <w:rsid w:val="00E52472"/>
    <w:rsid w:val="00E55AA2"/>
    <w:rsid w:val="00E55C32"/>
    <w:rsid w:val="00E96642"/>
    <w:rsid w:val="00EB4320"/>
    <w:rsid w:val="00EC0E2A"/>
    <w:rsid w:val="00ED6F6B"/>
    <w:rsid w:val="00ED73A5"/>
    <w:rsid w:val="00EE1A0F"/>
    <w:rsid w:val="00F11529"/>
    <w:rsid w:val="00F30F37"/>
    <w:rsid w:val="00F37437"/>
    <w:rsid w:val="00F54239"/>
    <w:rsid w:val="00F60C59"/>
    <w:rsid w:val="00F90B9C"/>
    <w:rsid w:val="072440CC"/>
    <w:rsid w:val="33142885"/>
    <w:rsid w:val="43460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Char"/>
    <w:basedOn w:val="1"/>
    <w:qFormat/>
    <w:uiPriority w:val="0"/>
    <w:pPr>
      <w:widowControl/>
      <w:spacing w:after="160" w:line="240" w:lineRule="exact"/>
      <w:jc w:val="left"/>
    </w:pPr>
    <w:rPr>
      <w:rFonts w:ascii="Times New Roman" w:hAnsi="Times New Roman" w:eastAsia="宋体" w:cs="GothicI Cyr"/>
    </w:rPr>
  </w:style>
  <w:style w:type="paragraph" w:customStyle="1" w:styleId="10">
    <w:name w:val="Char1"/>
    <w:basedOn w:val="1"/>
    <w:uiPriority w:val="0"/>
    <w:pPr>
      <w:widowControl/>
      <w:spacing w:after="160" w:line="240" w:lineRule="exact"/>
      <w:jc w:val="left"/>
    </w:pPr>
    <w:rPr>
      <w:rFonts w:ascii="Times New Roman" w:hAnsi="Times New Roman" w:eastAsia="宋体" w:cs="GothicI Cyr"/>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B4166-7897-4F97-B7B5-85DBE3936FD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5542</Words>
  <Characters>5711</Characters>
  <Lines>46</Lines>
  <Paragraphs>13</Paragraphs>
  <TotalTime>0</TotalTime>
  <ScaleCrop>false</ScaleCrop>
  <LinksUpToDate>false</LinksUpToDate>
  <CharactersWithSpaces>5727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2021-08-24T03:31:00Z</dcterms:created>
  <dc:creator>User</dc:creator>
  <cp:lastModifiedBy>龙宝</cp:lastModifiedBy>
  <dcterms:modified xsi:type="dcterms:W3CDTF">2023-07-27T03:05:47Z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C4B8D071AD61490ABFB40E9DB88EA6E0_13</vt:lpwstr>
  </property>
</Properties>
</file>